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1.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51FD5" w14:textId="77777777" w:rsidR="00A42EBB" w:rsidRPr="00C43E6D" w:rsidRDefault="00A42EBB" w:rsidP="00A42EBB">
      <w:pPr>
        <w:pStyle w:val="Title"/>
        <w:jc w:val="right"/>
        <w:rPr>
          <w:b w:val="0"/>
          <w:bCs/>
          <w:iCs/>
          <w:sz w:val="24"/>
          <w:szCs w:val="24"/>
          <w:lang w:val="ro-MD"/>
        </w:rPr>
      </w:pPr>
      <w:r w:rsidRPr="00C43E6D">
        <w:rPr>
          <w:b w:val="0"/>
          <w:bCs/>
          <w:iCs/>
          <w:sz w:val="24"/>
          <w:szCs w:val="24"/>
          <w:lang w:val="ro-MD"/>
        </w:rPr>
        <w:t>Proiect</w:t>
      </w:r>
    </w:p>
    <w:p w14:paraId="2A5326DE" w14:textId="77777777" w:rsidR="00A42EBB" w:rsidRPr="00C43E6D" w:rsidRDefault="00A42EBB" w:rsidP="00A42EBB">
      <w:pPr>
        <w:pStyle w:val="Title"/>
        <w:jc w:val="right"/>
        <w:rPr>
          <w:b w:val="0"/>
          <w:bCs/>
          <w:i w:val="0"/>
          <w:iCs/>
          <w:sz w:val="24"/>
          <w:szCs w:val="24"/>
          <w:u w:val="single"/>
          <w:lang w:val="ro-MD"/>
        </w:rPr>
      </w:pPr>
    </w:p>
    <w:p w14:paraId="49CBC548" w14:textId="77777777" w:rsidR="0023621F" w:rsidRPr="00C43E6D" w:rsidRDefault="0023621F" w:rsidP="00A42EBB">
      <w:pPr>
        <w:pStyle w:val="Title"/>
        <w:jc w:val="right"/>
        <w:rPr>
          <w:b w:val="0"/>
          <w:bCs/>
          <w:i w:val="0"/>
          <w:iCs/>
          <w:sz w:val="24"/>
          <w:szCs w:val="24"/>
          <w:u w:val="single"/>
          <w:lang w:val="ro-MD"/>
        </w:rPr>
      </w:pPr>
    </w:p>
    <w:p w14:paraId="5306C91F" w14:textId="77777777" w:rsidR="00A42EBB" w:rsidRPr="00C43E6D" w:rsidRDefault="00A42EBB" w:rsidP="00A42EBB">
      <w:pPr>
        <w:pStyle w:val="Title"/>
        <w:rPr>
          <w:i w:val="0"/>
          <w:iCs/>
          <w:sz w:val="24"/>
          <w:szCs w:val="24"/>
          <w:lang w:val="ro-MD"/>
        </w:rPr>
      </w:pPr>
      <w:r w:rsidRPr="00C43E6D">
        <w:rPr>
          <w:i w:val="0"/>
          <w:iCs/>
          <w:sz w:val="24"/>
          <w:szCs w:val="24"/>
          <w:lang w:val="ro-MD"/>
        </w:rPr>
        <w:t>GUVERNUL REPUBLICII MOLDOVA</w:t>
      </w:r>
    </w:p>
    <w:p w14:paraId="465E8620" w14:textId="77777777" w:rsidR="00A42EBB" w:rsidRPr="00C43E6D" w:rsidRDefault="00A42EBB" w:rsidP="00A42EBB">
      <w:pPr>
        <w:pStyle w:val="Title"/>
        <w:rPr>
          <w:b w:val="0"/>
          <w:bCs/>
          <w:i w:val="0"/>
          <w:iCs/>
          <w:sz w:val="24"/>
          <w:szCs w:val="24"/>
          <w:lang w:val="ro-MD"/>
        </w:rPr>
      </w:pPr>
    </w:p>
    <w:p w14:paraId="334C47A0" w14:textId="77777777" w:rsidR="00A42EBB" w:rsidRPr="00C43E6D" w:rsidRDefault="00A42EBB" w:rsidP="00A42EBB">
      <w:pPr>
        <w:pStyle w:val="Title"/>
        <w:rPr>
          <w:b w:val="0"/>
          <w:bCs/>
          <w:i w:val="0"/>
          <w:iCs/>
          <w:sz w:val="24"/>
          <w:szCs w:val="24"/>
          <w:lang w:val="ro-MD"/>
        </w:rPr>
      </w:pPr>
      <w:r w:rsidRPr="00C43E6D">
        <w:rPr>
          <w:b w:val="0"/>
          <w:bCs/>
          <w:i w:val="0"/>
          <w:iCs/>
          <w:sz w:val="24"/>
          <w:szCs w:val="24"/>
          <w:lang w:val="ro-MD"/>
        </w:rPr>
        <w:t>HOTĂRÎRE nr. ____</w:t>
      </w:r>
    </w:p>
    <w:p w14:paraId="1064A257" w14:textId="77777777" w:rsidR="00A42EBB" w:rsidRPr="00C43E6D" w:rsidRDefault="00A42EBB" w:rsidP="00A42EBB">
      <w:pPr>
        <w:pStyle w:val="Title"/>
        <w:rPr>
          <w:b w:val="0"/>
          <w:bCs/>
          <w:i w:val="0"/>
          <w:iCs/>
          <w:sz w:val="24"/>
          <w:szCs w:val="24"/>
          <w:lang w:val="ro-MD"/>
        </w:rPr>
      </w:pPr>
    </w:p>
    <w:p w14:paraId="5B04BD69" w14:textId="6CCCE852" w:rsidR="00E426A8" w:rsidRPr="00C43E6D" w:rsidRDefault="00A42EBB" w:rsidP="00E426A8">
      <w:pPr>
        <w:pStyle w:val="tt"/>
        <w:rPr>
          <w:lang w:val="ro-MD"/>
        </w:rPr>
      </w:pPr>
      <w:bookmarkStart w:id="0" w:name="_Hlk168473281"/>
      <w:r w:rsidRPr="00C43E6D">
        <w:rPr>
          <w:lang w:val="ro-MD"/>
        </w:rPr>
        <w:t xml:space="preserve">cu privire la aprobarea </w:t>
      </w:r>
      <w:bookmarkStart w:id="1" w:name="_Hlk128993123"/>
      <w:r w:rsidR="00970EA0" w:rsidRPr="00C43E6D">
        <w:rPr>
          <w:lang w:val="ro-MD"/>
        </w:rPr>
        <w:t>Plan</w:t>
      </w:r>
      <w:r w:rsidR="00D425A1" w:rsidRPr="00C43E6D">
        <w:rPr>
          <w:lang w:val="ro-MD"/>
        </w:rPr>
        <w:t>ului</w:t>
      </w:r>
      <w:r w:rsidR="00970EA0" w:rsidRPr="00C43E6D">
        <w:rPr>
          <w:lang w:val="ro-MD"/>
        </w:rPr>
        <w:t xml:space="preserve"> de</w:t>
      </w:r>
      <w:r w:rsidRPr="00C43E6D">
        <w:rPr>
          <w:lang w:val="ro-MD"/>
        </w:rPr>
        <w:t xml:space="preserve"> măsuri</w:t>
      </w:r>
      <w:r w:rsidR="00DA18C1" w:rsidRPr="00C43E6D">
        <w:rPr>
          <w:lang w:val="ro-MD"/>
        </w:rPr>
        <w:t xml:space="preserve"> </w:t>
      </w:r>
      <w:r w:rsidR="00970EA0" w:rsidRPr="00C43E6D">
        <w:rPr>
          <w:lang w:val="ro-MD"/>
        </w:rPr>
        <w:t>pentru</w:t>
      </w:r>
      <w:r w:rsidR="00DA18C1" w:rsidRPr="00C43E6D">
        <w:rPr>
          <w:lang w:val="ro-MD"/>
        </w:rPr>
        <w:t xml:space="preserve"> pregătire</w:t>
      </w:r>
      <w:r w:rsidR="00DC36CC">
        <w:rPr>
          <w:lang w:val="ro-MD"/>
        </w:rPr>
        <w:t>a</w:t>
      </w:r>
    </w:p>
    <w:p w14:paraId="4670CF31" w14:textId="6F4BBE22" w:rsidR="00A95365" w:rsidRPr="00C43E6D" w:rsidRDefault="00D425A1" w:rsidP="00805C53">
      <w:pPr>
        <w:pStyle w:val="cb"/>
        <w:rPr>
          <w:b w:val="0"/>
          <w:bCs w:val="0"/>
        </w:rPr>
      </w:pPr>
      <w:r w:rsidRPr="00C43E6D">
        <w:t>de</w:t>
      </w:r>
      <w:r w:rsidR="00DA18C1" w:rsidRPr="00C43E6D">
        <w:t xml:space="preserve"> sezonul </w:t>
      </w:r>
      <w:r w:rsidR="004E666B" w:rsidRPr="00C43E6D">
        <w:t xml:space="preserve">de </w:t>
      </w:r>
      <w:r w:rsidRPr="00C43E6D">
        <w:t>încălzire</w:t>
      </w:r>
      <w:r w:rsidR="00DA18C1" w:rsidRPr="00C43E6D">
        <w:t xml:space="preserve"> 202</w:t>
      </w:r>
      <w:r w:rsidR="00DB2EB6" w:rsidRPr="00C43E6D">
        <w:t>5</w:t>
      </w:r>
      <w:r w:rsidR="00DA18C1" w:rsidRPr="00C43E6D">
        <w:t>-202</w:t>
      </w:r>
      <w:r w:rsidR="00DB2EB6" w:rsidRPr="00C43E6D">
        <w:t>6</w:t>
      </w:r>
    </w:p>
    <w:bookmarkEnd w:id="0"/>
    <w:p w14:paraId="7FB49594" w14:textId="70C9610A" w:rsidR="00A42EBB" w:rsidRPr="00C43E6D" w:rsidRDefault="00A42EBB" w:rsidP="00DA18C1">
      <w:pPr>
        <w:pStyle w:val="tt"/>
        <w:rPr>
          <w:lang w:val="ro-MD"/>
        </w:rPr>
      </w:pPr>
    </w:p>
    <w:bookmarkEnd w:id="1"/>
    <w:p w14:paraId="4DDB54E3" w14:textId="77777777" w:rsidR="00A42EBB" w:rsidRPr="00C43E6D" w:rsidRDefault="00A42EBB" w:rsidP="00A42EBB">
      <w:pPr>
        <w:pStyle w:val="Title"/>
        <w:rPr>
          <w:b w:val="0"/>
          <w:bCs/>
          <w:i w:val="0"/>
          <w:iCs/>
          <w:sz w:val="24"/>
          <w:szCs w:val="24"/>
          <w:lang w:val="ro-MD"/>
        </w:rPr>
      </w:pPr>
    </w:p>
    <w:p w14:paraId="725467B2" w14:textId="77777777" w:rsidR="00A42EBB" w:rsidRPr="00C43E6D" w:rsidRDefault="00A42EBB" w:rsidP="00A42EBB">
      <w:pPr>
        <w:pStyle w:val="Title"/>
        <w:rPr>
          <w:b w:val="0"/>
          <w:bCs/>
          <w:i w:val="0"/>
          <w:iCs/>
          <w:sz w:val="24"/>
          <w:szCs w:val="24"/>
          <w:lang w:val="ro-MD"/>
        </w:rPr>
      </w:pPr>
      <w:r w:rsidRPr="00C43E6D">
        <w:rPr>
          <w:b w:val="0"/>
          <w:bCs/>
          <w:i w:val="0"/>
          <w:iCs/>
          <w:sz w:val="24"/>
          <w:szCs w:val="24"/>
          <w:lang w:val="ro-MD"/>
        </w:rPr>
        <w:t>din ________________________</w:t>
      </w:r>
    </w:p>
    <w:p w14:paraId="48A91A65" w14:textId="5B3AAE16" w:rsidR="00A42EBB" w:rsidRPr="00C43E6D" w:rsidRDefault="00A42EBB" w:rsidP="001B0184">
      <w:pPr>
        <w:pStyle w:val="Title"/>
        <w:rPr>
          <w:b w:val="0"/>
          <w:bCs/>
          <w:i w:val="0"/>
          <w:iCs/>
          <w:sz w:val="24"/>
          <w:szCs w:val="24"/>
          <w:lang w:val="ro-MD"/>
        </w:rPr>
      </w:pPr>
      <w:r w:rsidRPr="00C43E6D">
        <w:rPr>
          <w:b w:val="0"/>
          <w:bCs/>
          <w:i w:val="0"/>
          <w:iCs/>
          <w:sz w:val="24"/>
          <w:szCs w:val="24"/>
          <w:lang w:val="ro-MD"/>
        </w:rPr>
        <w:t xml:space="preserve">Chișinău </w:t>
      </w:r>
    </w:p>
    <w:p w14:paraId="568B96A1" w14:textId="77777777" w:rsidR="0023621F" w:rsidRPr="00C43E6D" w:rsidRDefault="0023621F" w:rsidP="001B0184">
      <w:pPr>
        <w:pStyle w:val="Title"/>
        <w:rPr>
          <w:b w:val="0"/>
          <w:bCs/>
          <w:i w:val="0"/>
          <w:iCs/>
          <w:sz w:val="24"/>
          <w:szCs w:val="24"/>
          <w:lang w:val="ro-MD"/>
        </w:rPr>
      </w:pPr>
    </w:p>
    <w:p w14:paraId="347F1E11" w14:textId="47CA0D52" w:rsidR="0023621F" w:rsidRPr="00C43E6D" w:rsidRDefault="00A42EBB" w:rsidP="002861C1">
      <w:pPr>
        <w:pStyle w:val="NormalWeb"/>
        <w:spacing w:after="360"/>
        <w:jc w:val="both"/>
        <w:rPr>
          <w:lang w:val="ro-MD"/>
        </w:rPr>
      </w:pPr>
      <w:r w:rsidRPr="00C43E6D">
        <w:rPr>
          <w:lang w:val="ro-MD"/>
        </w:rPr>
        <w:t>În temeiul art. 4 alin. (1) lit. e) din Legea nr. 174/2017 cu privire la energetică</w:t>
      </w:r>
      <w:r w:rsidR="00E752B9" w:rsidRPr="00C43E6D">
        <w:rPr>
          <w:lang w:val="ro-MD"/>
        </w:rPr>
        <w:t xml:space="preserve"> </w:t>
      </w:r>
      <w:r w:rsidR="00E752B9" w:rsidRPr="00C43E6D">
        <w:rPr>
          <w:lang w:val="ro-MD" w:eastAsia="ru-RU"/>
        </w:rPr>
        <w:t>(</w:t>
      </w:r>
      <w:r w:rsidR="007B6477" w:rsidRPr="00C43E6D">
        <w:rPr>
          <w:lang w:val="ro-MD" w:eastAsia="ru-RU"/>
        </w:rPr>
        <w:t xml:space="preserve">republicată în </w:t>
      </w:r>
      <w:r w:rsidR="00E752B9" w:rsidRPr="00C43E6D">
        <w:rPr>
          <w:lang w:val="ro-MD" w:eastAsia="ru-RU"/>
        </w:rPr>
        <w:t>Monitorul Oficial al Republicii Moldova, 20</w:t>
      </w:r>
      <w:r w:rsidR="00D46E90" w:rsidRPr="00C43E6D">
        <w:rPr>
          <w:lang w:val="ro-MD" w:eastAsia="ru-RU"/>
        </w:rPr>
        <w:t>23</w:t>
      </w:r>
      <w:r w:rsidR="00E752B9" w:rsidRPr="00C43E6D">
        <w:rPr>
          <w:lang w:val="ro-MD" w:eastAsia="ru-RU"/>
        </w:rPr>
        <w:t xml:space="preserve">, nr. </w:t>
      </w:r>
      <w:r w:rsidR="00D46E90" w:rsidRPr="00C43E6D">
        <w:rPr>
          <w:lang w:val="ro-MD" w:eastAsia="ru-RU"/>
        </w:rPr>
        <w:t>480-482</w:t>
      </w:r>
      <w:r w:rsidR="00E752B9" w:rsidRPr="00C43E6D">
        <w:rPr>
          <w:lang w:val="ro-MD" w:eastAsia="ru-RU"/>
        </w:rPr>
        <w:t xml:space="preserve">, art. </w:t>
      </w:r>
      <w:r w:rsidR="00D46E90" w:rsidRPr="00C43E6D">
        <w:rPr>
          <w:lang w:val="ro-MD" w:eastAsia="ru-RU"/>
        </w:rPr>
        <w:t>849)</w:t>
      </w:r>
      <w:r w:rsidRPr="00C43E6D">
        <w:rPr>
          <w:lang w:val="ro-MD"/>
        </w:rPr>
        <w:t xml:space="preserve">, Guvernul </w:t>
      </w:r>
    </w:p>
    <w:p w14:paraId="17677815" w14:textId="44EC1F11" w:rsidR="00A42EBB" w:rsidRPr="00C43E6D" w:rsidRDefault="00A42EBB" w:rsidP="00C347E6">
      <w:pPr>
        <w:pStyle w:val="cb"/>
        <w:spacing w:after="240"/>
        <w:ind w:left="708"/>
      </w:pPr>
      <w:r w:rsidRPr="00C43E6D">
        <w:t>HOTĂRĂȘTE:</w:t>
      </w:r>
    </w:p>
    <w:p w14:paraId="28EEC666" w14:textId="0F32214D" w:rsidR="009D058F" w:rsidRPr="00C43E6D" w:rsidRDefault="00A42EBB" w:rsidP="00C347E6">
      <w:pPr>
        <w:pStyle w:val="NormalWeb"/>
        <w:numPr>
          <w:ilvl w:val="0"/>
          <w:numId w:val="1"/>
        </w:numPr>
        <w:spacing w:before="120" w:after="0" w:line="276" w:lineRule="auto"/>
        <w:ind w:left="0" w:firstLine="446"/>
        <w:jc w:val="both"/>
        <w:rPr>
          <w:color w:val="000000" w:themeColor="text1"/>
          <w:lang w:val="ro-MD"/>
        </w:rPr>
      </w:pPr>
      <w:r w:rsidRPr="00C43E6D">
        <w:rPr>
          <w:color w:val="000000" w:themeColor="text1"/>
          <w:lang w:val="ro-MD"/>
        </w:rPr>
        <w:t xml:space="preserve">Se instituie </w:t>
      </w:r>
      <w:bookmarkStart w:id="2" w:name="_Hlk175206108"/>
      <w:r w:rsidR="00732FB1" w:rsidRPr="00C43E6D">
        <w:rPr>
          <w:color w:val="000000" w:themeColor="text1"/>
          <w:lang w:val="ro-MD"/>
        </w:rPr>
        <w:t xml:space="preserve">Comisia guvernamentală </w:t>
      </w:r>
      <w:r w:rsidRPr="00C43E6D">
        <w:rPr>
          <w:color w:val="000000" w:themeColor="text1"/>
          <w:lang w:val="ro-MD"/>
        </w:rPr>
        <w:t xml:space="preserve">de coordonare a măsurilor </w:t>
      </w:r>
      <w:r w:rsidR="009549DC" w:rsidRPr="00C43E6D">
        <w:rPr>
          <w:color w:val="000000" w:themeColor="text1"/>
          <w:lang w:val="ro-MD"/>
        </w:rPr>
        <w:t xml:space="preserve">de </w:t>
      </w:r>
      <w:r w:rsidR="00DA18C1" w:rsidRPr="00C43E6D">
        <w:rPr>
          <w:color w:val="000000" w:themeColor="text1"/>
          <w:lang w:val="ro-MD"/>
        </w:rPr>
        <w:t xml:space="preserve">pregătire pentru sezonul </w:t>
      </w:r>
      <w:r w:rsidR="00236DF8" w:rsidRPr="00C43E6D">
        <w:rPr>
          <w:color w:val="000000" w:themeColor="text1"/>
          <w:lang w:val="ro-MD"/>
        </w:rPr>
        <w:t>de încălzire</w:t>
      </w:r>
      <w:r w:rsidR="00DA18C1" w:rsidRPr="00C43E6D">
        <w:rPr>
          <w:color w:val="000000" w:themeColor="text1"/>
          <w:lang w:val="ro-MD"/>
        </w:rPr>
        <w:t xml:space="preserve"> 202</w:t>
      </w:r>
      <w:r w:rsidR="00DB2EB6" w:rsidRPr="00C43E6D">
        <w:rPr>
          <w:color w:val="000000" w:themeColor="text1"/>
          <w:lang w:val="ro-MD"/>
        </w:rPr>
        <w:t>5</w:t>
      </w:r>
      <w:r w:rsidR="00DA18C1" w:rsidRPr="00C43E6D">
        <w:rPr>
          <w:color w:val="000000" w:themeColor="text1"/>
          <w:lang w:val="ro-MD"/>
        </w:rPr>
        <w:t>-202</w:t>
      </w:r>
      <w:r w:rsidR="00DB2EB6" w:rsidRPr="00C43E6D">
        <w:rPr>
          <w:color w:val="000000" w:themeColor="text1"/>
          <w:lang w:val="ro-MD"/>
        </w:rPr>
        <w:t>6</w:t>
      </w:r>
      <w:r w:rsidR="009549DC" w:rsidRPr="00C43E6D">
        <w:rPr>
          <w:color w:val="000000" w:themeColor="text1"/>
          <w:lang w:val="ro-MD"/>
        </w:rPr>
        <w:t xml:space="preserve"> </w:t>
      </w:r>
      <w:r w:rsidR="00687FC3" w:rsidRPr="00C43E6D">
        <w:rPr>
          <w:color w:val="000000" w:themeColor="text1"/>
          <w:lang w:val="ro-MD"/>
        </w:rPr>
        <w:t>și se aprobă componența acesteia</w:t>
      </w:r>
      <w:bookmarkEnd w:id="2"/>
      <w:r w:rsidR="001B0184" w:rsidRPr="00C43E6D">
        <w:rPr>
          <w:color w:val="000000" w:themeColor="text1"/>
          <w:lang w:val="ro-MD"/>
        </w:rPr>
        <w:t>,</w:t>
      </w:r>
      <w:r w:rsidRPr="00C43E6D">
        <w:rPr>
          <w:color w:val="000000" w:themeColor="text1"/>
          <w:lang w:val="ro-MD"/>
        </w:rPr>
        <w:t xml:space="preserve"> </w:t>
      </w:r>
      <w:r w:rsidR="00687FC3" w:rsidRPr="00C43E6D">
        <w:rPr>
          <w:color w:val="000000" w:themeColor="text1"/>
          <w:lang w:val="ro-MD"/>
        </w:rPr>
        <w:t>conform anexei nr. 1</w:t>
      </w:r>
      <w:r w:rsidRPr="00C43E6D">
        <w:rPr>
          <w:color w:val="000000" w:themeColor="text1"/>
          <w:lang w:val="ro-MD"/>
        </w:rPr>
        <w:t>.</w:t>
      </w:r>
      <w:r w:rsidR="00102828" w:rsidRPr="00C43E6D">
        <w:rPr>
          <w:color w:val="000000" w:themeColor="text1"/>
          <w:lang w:val="ro-MD"/>
        </w:rPr>
        <w:t xml:space="preserve"> </w:t>
      </w:r>
    </w:p>
    <w:p w14:paraId="40FC56A9" w14:textId="547198B4" w:rsidR="009D058F" w:rsidRPr="00C43E6D" w:rsidRDefault="00915F15" w:rsidP="00C347E6">
      <w:pPr>
        <w:pStyle w:val="NormalWeb"/>
        <w:numPr>
          <w:ilvl w:val="0"/>
          <w:numId w:val="1"/>
        </w:numPr>
        <w:spacing w:before="120" w:after="0" w:line="276" w:lineRule="auto"/>
        <w:ind w:left="0" w:firstLine="446"/>
        <w:jc w:val="both"/>
        <w:rPr>
          <w:color w:val="000000" w:themeColor="text1"/>
          <w:lang w:val="ro-MD"/>
        </w:rPr>
      </w:pPr>
      <w:r w:rsidRPr="00C43E6D">
        <w:rPr>
          <w:color w:val="000000" w:themeColor="text1"/>
          <w:lang w:val="ro-MD"/>
        </w:rPr>
        <w:t xml:space="preserve">Comisia </w:t>
      </w:r>
      <w:r w:rsidR="005A5DAB" w:rsidRPr="00C43E6D">
        <w:rPr>
          <w:color w:val="000000" w:themeColor="text1"/>
          <w:lang w:val="ro-MD"/>
        </w:rPr>
        <w:t>este</w:t>
      </w:r>
      <w:r w:rsidRPr="00C43E6D">
        <w:rPr>
          <w:color w:val="000000" w:themeColor="text1"/>
          <w:lang w:val="ro-MD"/>
        </w:rPr>
        <w:t xml:space="preserve"> convocată și condusă de către președintele Comisiei. </w:t>
      </w:r>
      <w:r w:rsidR="00102828" w:rsidRPr="00C43E6D">
        <w:rPr>
          <w:color w:val="000000" w:themeColor="text1"/>
          <w:lang w:val="ro-MD"/>
        </w:rPr>
        <w:t>În lipsa președintelui Comisiei, aceasta va putea fi convocată și condusă de vicepreședintele Comisiei.</w:t>
      </w:r>
      <w:r w:rsidRPr="00C43E6D">
        <w:rPr>
          <w:color w:val="000000" w:themeColor="text1"/>
          <w:lang w:val="ro-MD"/>
        </w:rPr>
        <w:t xml:space="preserve"> </w:t>
      </w:r>
    </w:p>
    <w:p w14:paraId="02A8D9C7" w14:textId="0F80E8C2" w:rsidR="00970EA0" w:rsidRPr="00C43E6D" w:rsidRDefault="00915F15" w:rsidP="00C347E6">
      <w:pPr>
        <w:pStyle w:val="NormalWeb"/>
        <w:numPr>
          <w:ilvl w:val="0"/>
          <w:numId w:val="1"/>
        </w:numPr>
        <w:spacing w:before="120" w:after="0" w:line="276" w:lineRule="auto"/>
        <w:ind w:left="0" w:firstLine="446"/>
        <w:jc w:val="both"/>
        <w:rPr>
          <w:color w:val="000000" w:themeColor="text1"/>
          <w:lang w:val="ro-MD"/>
        </w:rPr>
      </w:pPr>
      <w:r w:rsidRPr="00C43E6D">
        <w:rPr>
          <w:color w:val="000000" w:themeColor="text1"/>
          <w:lang w:val="ro-MD"/>
        </w:rPr>
        <w:t>Ministerul Energiei va asigura ținerea lucrărilor de secretariat a Comisiei.</w:t>
      </w:r>
    </w:p>
    <w:p w14:paraId="197B80D7" w14:textId="0BF99046" w:rsidR="00A42EBB" w:rsidRPr="00C43E6D" w:rsidRDefault="00A42EBB" w:rsidP="00C347E6">
      <w:pPr>
        <w:pStyle w:val="NormalWeb"/>
        <w:numPr>
          <w:ilvl w:val="0"/>
          <w:numId w:val="1"/>
        </w:numPr>
        <w:spacing w:before="120" w:after="0" w:line="276" w:lineRule="auto"/>
        <w:ind w:left="0" w:firstLine="446"/>
        <w:jc w:val="both"/>
        <w:rPr>
          <w:color w:val="000000" w:themeColor="text1"/>
          <w:lang w:val="ro-MD"/>
        </w:rPr>
      </w:pPr>
      <w:r w:rsidRPr="00C43E6D">
        <w:rPr>
          <w:color w:val="000000" w:themeColor="text1"/>
          <w:lang w:val="ro-MD"/>
        </w:rPr>
        <w:t xml:space="preserve">Se aprobă Planul </w:t>
      </w:r>
      <w:r w:rsidR="00732FB1" w:rsidRPr="00C43E6D">
        <w:rPr>
          <w:color w:val="000000" w:themeColor="text1"/>
          <w:lang w:val="ro-MD"/>
        </w:rPr>
        <w:t xml:space="preserve">de </w:t>
      </w:r>
      <w:r w:rsidRPr="00C43E6D">
        <w:rPr>
          <w:color w:val="000000" w:themeColor="text1"/>
          <w:lang w:val="ro-MD"/>
        </w:rPr>
        <w:t xml:space="preserve">măsuri </w:t>
      </w:r>
      <w:r w:rsidR="00970EA0" w:rsidRPr="00C43E6D">
        <w:rPr>
          <w:color w:val="000000" w:themeColor="text1"/>
          <w:lang w:val="ro-MD"/>
        </w:rPr>
        <w:t>pentru pregătire</w:t>
      </w:r>
      <w:r w:rsidR="00DC36CC">
        <w:rPr>
          <w:color w:val="000000" w:themeColor="text1"/>
          <w:lang w:val="ro-MD"/>
        </w:rPr>
        <w:t>a</w:t>
      </w:r>
      <w:r w:rsidR="00970EA0" w:rsidRPr="00C43E6D">
        <w:rPr>
          <w:color w:val="000000" w:themeColor="text1"/>
          <w:lang w:val="ro-MD"/>
        </w:rPr>
        <w:t xml:space="preserve"> </w:t>
      </w:r>
      <w:r w:rsidR="004E666B" w:rsidRPr="00C43E6D">
        <w:rPr>
          <w:color w:val="000000" w:themeColor="text1"/>
          <w:lang w:val="ro-MD"/>
        </w:rPr>
        <w:t>de</w:t>
      </w:r>
      <w:r w:rsidR="00970EA0" w:rsidRPr="00C43E6D">
        <w:rPr>
          <w:color w:val="000000" w:themeColor="text1"/>
          <w:lang w:val="ro-MD"/>
        </w:rPr>
        <w:t xml:space="preserve"> sezonul </w:t>
      </w:r>
      <w:r w:rsidR="004E666B" w:rsidRPr="00C43E6D">
        <w:rPr>
          <w:color w:val="000000" w:themeColor="text1"/>
          <w:lang w:val="ro-MD"/>
        </w:rPr>
        <w:t>de încălzire</w:t>
      </w:r>
      <w:r w:rsidR="00970EA0" w:rsidRPr="00C43E6D">
        <w:rPr>
          <w:color w:val="000000" w:themeColor="text1"/>
          <w:lang w:val="ro-MD"/>
        </w:rPr>
        <w:t xml:space="preserve"> 202</w:t>
      </w:r>
      <w:r w:rsidR="00DB2EB6" w:rsidRPr="00C43E6D">
        <w:rPr>
          <w:color w:val="000000" w:themeColor="text1"/>
          <w:lang w:val="ro-MD"/>
        </w:rPr>
        <w:t>5</w:t>
      </w:r>
      <w:r w:rsidR="00970EA0" w:rsidRPr="00C43E6D">
        <w:rPr>
          <w:color w:val="000000" w:themeColor="text1"/>
          <w:lang w:val="ro-MD"/>
        </w:rPr>
        <w:t>-202</w:t>
      </w:r>
      <w:r w:rsidR="00DB2EB6" w:rsidRPr="00C43E6D">
        <w:rPr>
          <w:color w:val="000000" w:themeColor="text1"/>
          <w:lang w:val="ro-MD"/>
        </w:rPr>
        <w:t>6</w:t>
      </w:r>
      <w:r w:rsidR="00970EA0" w:rsidRPr="00C43E6D">
        <w:rPr>
          <w:color w:val="000000" w:themeColor="text1"/>
          <w:lang w:val="ro-MD"/>
        </w:rPr>
        <w:t xml:space="preserve"> </w:t>
      </w:r>
      <w:r w:rsidR="00AA4095" w:rsidRPr="00C43E6D">
        <w:rPr>
          <w:lang w:val="ro-MD"/>
        </w:rPr>
        <w:t>(în continuare – Plan de măsuri)</w:t>
      </w:r>
      <w:r w:rsidRPr="00C43E6D">
        <w:rPr>
          <w:color w:val="000000" w:themeColor="text1"/>
          <w:lang w:val="ro-MD"/>
        </w:rPr>
        <w:t xml:space="preserve">, conform </w:t>
      </w:r>
      <w:r w:rsidR="00687FC3" w:rsidRPr="00C43E6D">
        <w:rPr>
          <w:color w:val="000000" w:themeColor="text1"/>
          <w:lang w:val="ro-MD"/>
        </w:rPr>
        <w:t xml:space="preserve">anexei </w:t>
      </w:r>
      <w:r w:rsidRPr="00C43E6D">
        <w:rPr>
          <w:color w:val="000000" w:themeColor="text1"/>
          <w:lang w:val="ro-MD"/>
        </w:rPr>
        <w:t>nr.</w:t>
      </w:r>
      <w:r w:rsidR="00970EA0" w:rsidRPr="00C43E6D">
        <w:rPr>
          <w:color w:val="000000" w:themeColor="text1"/>
          <w:lang w:val="ro-MD"/>
        </w:rPr>
        <w:t xml:space="preserve"> </w:t>
      </w:r>
      <w:r w:rsidRPr="00C43E6D">
        <w:rPr>
          <w:color w:val="000000" w:themeColor="text1"/>
          <w:lang w:val="ro-MD"/>
        </w:rPr>
        <w:t>2.</w:t>
      </w:r>
    </w:p>
    <w:p w14:paraId="320A7ADE" w14:textId="5C62CDEB" w:rsidR="00A42EBB" w:rsidRPr="00C43E6D" w:rsidRDefault="00A42EBB" w:rsidP="00C347E6">
      <w:pPr>
        <w:pStyle w:val="NormalWeb"/>
        <w:numPr>
          <w:ilvl w:val="0"/>
          <w:numId w:val="1"/>
        </w:numPr>
        <w:suppressAutoHyphens w:val="0"/>
        <w:spacing w:before="120" w:after="0" w:line="276" w:lineRule="auto"/>
        <w:ind w:left="0" w:firstLine="446"/>
        <w:jc w:val="both"/>
        <w:rPr>
          <w:color w:val="000000" w:themeColor="text1"/>
          <w:lang w:val="ro-MD"/>
        </w:rPr>
      </w:pPr>
      <w:r w:rsidRPr="00C43E6D">
        <w:rPr>
          <w:color w:val="000000" w:themeColor="text1"/>
          <w:lang w:val="ro-MD"/>
        </w:rPr>
        <w:t xml:space="preserve"> </w:t>
      </w:r>
      <w:r w:rsidR="00687FC3" w:rsidRPr="00C43E6D">
        <w:rPr>
          <w:color w:val="000000" w:themeColor="text1"/>
          <w:lang w:val="ro-MD"/>
        </w:rPr>
        <w:t>Ministerele, alte autorități administrative centrale și instituțiile publice, în colaborare cu autoritățile publice locale, vor asigura, în limitele competențelor atribuite, realizarea prezentei hotărâri și a Planului de măsuri</w:t>
      </w:r>
      <w:r w:rsidRPr="00C43E6D">
        <w:rPr>
          <w:color w:val="000000" w:themeColor="text1"/>
          <w:lang w:val="ro-MD"/>
        </w:rPr>
        <w:t>:</w:t>
      </w:r>
    </w:p>
    <w:p w14:paraId="57186A6B" w14:textId="30FA2B8E" w:rsidR="00A42EBB" w:rsidRPr="00C43E6D" w:rsidRDefault="00C347E6" w:rsidP="002861C1">
      <w:pPr>
        <w:spacing w:after="120" w:line="276" w:lineRule="auto"/>
        <w:ind w:firstLine="547"/>
        <w:jc w:val="both"/>
        <w:rPr>
          <w:rFonts w:ascii="Times New Roman" w:hAnsi="Times New Roman" w:cs="Times New Roman"/>
          <w:color w:val="000000" w:themeColor="text1"/>
          <w:sz w:val="24"/>
          <w:szCs w:val="24"/>
        </w:rPr>
      </w:pPr>
      <w:r w:rsidRPr="00C43E6D">
        <w:rPr>
          <w:rFonts w:ascii="Times New Roman" w:hAnsi="Times New Roman" w:cs="Times New Roman"/>
          <w:color w:val="000000" w:themeColor="text1"/>
          <w:sz w:val="24"/>
          <w:szCs w:val="24"/>
        </w:rPr>
        <w:t>5</w:t>
      </w:r>
      <w:r w:rsidR="007177CB" w:rsidRPr="00C43E6D">
        <w:rPr>
          <w:rFonts w:ascii="Times New Roman" w:hAnsi="Times New Roman" w:cs="Times New Roman"/>
          <w:color w:val="000000" w:themeColor="text1"/>
          <w:sz w:val="24"/>
          <w:szCs w:val="24"/>
        </w:rPr>
        <w:t>.1.</w:t>
      </w:r>
      <w:r w:rsidR="00A42EBB" w:rsidRPr="00C43E6D">
        <w:rPr>
          <w:rFonts w:ascii="Times New Roman" w:hAnsi="Times New Roman" w:cs="Times New Roman"/>
          <w:color w:val="000000" w:themeColor="text1"/>
          <w:sz w:val="24"/>
          <w:szCs w:val="24"/>
        </w:rPr>
        <w:t xml:space="preserve"> vor </w:t>
      </w:r>
      <w:r w:rsidR="000F26DC" w:rsidRPr="00C43E6D">
        <w:rPr>
          <w:rFonts w:ascii="Times New Roman" w:hAnsi="Times New Roman" w:cs="Times New Roman"/>
          <w:color w:val="000000" w:themeColor="text1"/>
          <w:sz w:val="24"/>
          <w:szCs w:val="24"/>
        </w:rPr>
        <w:t xml:space="preserve">elabora și aproba planuri interne în vederea </w:t>
      </w:r>
      <w:r w:rsidR="001B0184" w:rsidRPr="00C43E6D">
        <w:rPr>
          <w:rFonts w:ascii="Times New Roman" w:hAnsi="Times New Roman" w:cs="Times New Roman"/>
          <w:color w:val="000000" w:themeColor="text1"/>
          <w:sz w:val="24"/>
          <w:szCs w:val="24"/>
        </w:rPr>
        <w:t>întreprinderii acțiunilor</w:t>
      </w:r>
      <w:r w:rsidR="00A42EBB" w:rsidRPr="00C43E6D">
        <w:rPr>
          <w:rFonts w:ascii="Times New Roman" w:hAnsi="Times New Roman" w:cs="Times New Roman"/>
          <w:color w:val="000000" w:themeColor="text1"/>
          <w:sz w:val="24"/>
          <w:szCs w:val="24"/>
        </w:rPr>
        <w:t xml:space="preserve"> necesare pentru executarea măsurilor prevăzute în </w:t>
      </w:r>
      <w:r w:rsidR="00B44C96" w:rsidRPr="00C43E6D">
        <w:rPr>
          <w:rFonts w:ascii="Times New Roman" w:hAnsi="Times New Roman" w:cs="Times New Roman"/>
          <w:color w:val="000000" w:themeColor="text1"/>
          <w:sz w:val="24"/>
          <w:szCs w:val="24"/>
        </w:rPr>
        <w:t>Planul de măsuri</w:t>
      </w:r>
      <w:r w:rsidR="00BF54B4" w:rsidRPr="00C43E6D">
        <w:rPr>
          <w:rFonts w:ascii="Times New Roman" w:hAnsi="Times New Roman" w:cs="Times New Roman"/>
          <w:color w:val="000000" w:themeColor="text1"/>
          <w:sz w:val="24"/>
          <w:szCs w:val="24"/>
        </w:rPr>
        <w:t>.</w:t>
      </w:r>
    </w:p>
    <w:p w14:paraId="5EB7678E" w14:textId="4A79F274" w:rsidR="00A42EBB" w:rsidRPr="00C43E6D" w:rsidRDefault="00C347E6" w:rsidP="002861C1">
      <w:pPr>
        <w:spacing w:after="120" w:line="276" w:lineRule="auto"/>
        <w:ind w:firstLine="547"/>
        <w:jc w:val="both"/>
        <w:rPr>
          <w:rFonts w:ascii="Times New Roman" w:hAnsi="Times New Roman" w:cs="Times New Roman"/>
          <w:color w:val="000000" w:themeColor="text1"/>
          <w:sz w:val="24"/>
          <w:szCs w:val="24"/>
        </w:rPr>
      </w:pPr>
      <w:r w:rsidRPr="00C43E6D">
        <w:rPr>
          <w:rFonts w:ascii="Times New Roman" w:hAnsi="Times New Roman" w:cs="Times New Roman"/>
          <w:color w:val="000000" w:themeColor="text1"/>
          <w:sz w:val="24"/>
          <w:szCs w:val="24"/>
        </w:rPr>
        <w:t>5</w:t>
      </w:r>
      <w:r w:rsidR="007177CB" w:rsidRPr="00C43E6D">
        <w:rPr>
          <w:rFonts w:ascii="Times New Roman" w:hAnsi="Times New Roman" w:cs="Times New Roman"/>
          <w:color w:val="000000" w:themeColor="text1"/>
          <w:sz w:val="24"/>
          <w:szCs w:val="24"/>
        </w:rPr>
        <w:t>.2.</w:t>
      </w:r>
      <w:r w:rsidR="00A42EBB" w:rsidRPr="00C43E6D">
        <w:rPr>
          <w:rFonts w:ascii="Times New Roman" w:hAnsi="Times New Roman" w:cs="Times New Roman"/>
          <w:color w:val="000000" w:themeColor="text1"/>
          <w:sz w:val="24"/>
          <w:szCs w:val="24"/>
        </w:rPr>
        <w:t xml:space="preserve"> vor prezenta Ministerului </w:t>
      </w:r>
      <w:r w:rsidR="000778B8" w:rsidRPr="00C43E6D">
        <w:rPr>
          <w:rFonts w:ascii="Times New Roman" w:hAnsi="Times New Roman" w:cs="Times New Roman"/>
          <w:color w:val="000000" w:themeColor="text1"/>
          <w:sz w:val="24"/>
          <w:szCs w:val="24"/>
        </w:rPr>
        <w:t>Energiei</w:t>
      </w:r>
      <w:r w:rsidR="00874639" w:rsidRPr="00874639">
        <w:rPr>
          <w:rFonts w:ascii="Times New Roman" w:hAnsi="Times New Roman" w:cs="Times New Roman"/>
          <w:color w:val="000000" w:themeColor="text1"/>
          <w:sz w:val="24"/>
          <w:szCs w:val="24"/>
        </w:rPr>
        <w:t xml:space="preserve"> </w:t>
      </w:r>
      <w:r w:rsidR="00874639" w:rsidRPr="000B163D">
        <w:rPr>
          <w:rFonts w:ascii="Times New Roman" w:hAnsi="Times New Roman" w:cs="Times New Roman"/>
          <w:color w:val="000000" w:themeColor="text1"/>
          <w:sz w:val="24"/>
          <w:szCs w:val="24"/>
        </w:rPr>
        <w:t>până la data de 5 septembrie și 5 octombrie 2025</w:t>
      </w:r>
      <w:r w:rsidR="00A42EBB" w:rsidRPr="00C43E6D">
        <w:rPr>
          <w:rFonts w:ascii="Times New Roman" w:hAnsi="Times New Roman" w:cs="Times New Roman"/>
          <w:color w:val="000000" w:themeColor="text1"/>
          <w:sz w:val="24"/>
          <w:szCs w:val="24"/>
        </w:rPr>
        <w:t xml:space="preserve">, </w:t>
      </w:r>
      <w:r w:rsidR="00874639">
        <w:rPr>
          <w:rFonts w:ascii="Times New Roman" w:hAnsi="Times New Roman" w:cs="Times New Roman"/>
          <w:color w:val="000000" w:themeColor="text1"/>
          <w:sz w:val="24"/>
          <w:szCs w:val="24"/>
        </w:rPr>
        <w:t xml:space="preserve">două raportări privind </w:t>
      </w:r>
      <w:r w:rsidR="00874639" w:rsidRPr="00C43E6D">
        <w:rPr>
          <w:rFonts w:ascii="Times New Roman" w:hAnsi="Times New Roman" w:cs="Times New Roman"/>
          <w:color w:val="000000" w:themeColor="text1"/>
          <w:sz w:val="24"/>
          <w:szCs w:val="24"/>
        </w:rPr>
        <w:t>informația despre executarea măsurilor prevăzute în Planul de măsuri</w:t>
      </w:r>
      <w:r w:rsidR="00A42EBB" w:rsidRPr="00C43E6D">
        <w:rPr>
          <w:rFonts w:ascii="Times New Roman" w:hAnsi="Times New Roman" w:cs="Times New Roman"/>
          <w:color w:val="000000" w:themeColor="text1"/>
          <w:sz w:val="24"/>
          <w:szCs w:val="24"/>
        </w:rPr>
        <w:t>.</w:t>
      </w:r>
    </w:p>
    <w:p w14:paraId="3CC37BBD" w14:textId="5682EF1F" w:rsidR="00341B6C" w:rsidRPr="00C43E6D" w:rsidRDefault="00C347E6" w:rsidP="00DB2EB6">
      <w:pPr>
        <w:spacing w:line="276" w:lineRule="auto"/>
        <w:ind w:firstLine="540"/>
        <w:jc w:val="both"/>
        <w:rPr>
          <w:rFonts w:ascii="Times New Roman" w:hAnsi="Times New Roman" w:cs="Times New Roman"/>
          <w:sz w:val="24"/>
          <w:szCs w:val="24"/>
        </w:rPr>
      </w:pPr>
      <w:r w:rsidRPr="00C43E6D">
        <w:rPr>
          <w:rFonts w:ascii="Times New Roman" w:hAnsi="Times New Roman" w:cs="Times New Roman"/>
          <w:color w:val="000000" w:themeColor="text1"/>
          <w:sz w:val="24"/>
          <w:szCs w:val="24"/>
        </w:rPr>
        <w:t>5</w:t>
      </w:r>
      <w:r w:rsidR="007177CB" w:rsidRPr="00C43E6D">
        <w:rPr>
          <w:rFonts w:ascii="Times New Roman" w:hAnsi="Times New Roman" w:cs="Times New Roman"/>
          <w:color w:val="000000" w:themeColor="text1"/>
          <w:sz w:val="24"/>
          <w:szCs w:val="24"/>
        </w:rPr>
        <w:t>.3.</w:t>
      </w:r>
      <w:r w:rsidR="00A42EBB" w:rsidRPr="00C43E6D">
        <w:rPr>
          <w:rFonts w:ascii="Times New Roman" w:hAnsi="Times New Roman" w:cs="Times New Roman"/>
          <w:color w:val="000000" w:themeColor="text1"/>
          <w:sz w:val="24"/>
          <w:szCs w:val="24"/>
        </w:rPr>
        <w:t xml:space="preserve"> </w:t>
      </w:r>
      <w:r w:rsidR="00874639">
        <w:rPr>
          <w:rFonts w:ascii="Times New Roman" w:hAnsi="Times New Roman" w:cs="Times New Roman"/>
          <w:color w:val="000000" w:themeColor="text1"/>
          <w:sz w:val="24"/>
          <w:szCs w:val="24"/>
        </w:rPr>
        <w:t xml:space="preserve">În baza </w:t>
      </w:r>
      <w:r w:rsidR="00874639" w:rsidRPr="00C43E6D">
        <w:rPr>
          <w:rFonts w:ascii="Times New Roman" w:hAnsi="Times New Roman" w:cs="Times New Roman"/>
          <w:sz w:val="24"/>
          <w:szCs w:val="24"/>
        </w:rPr>
        <w:t>informați</w:t>
      </w:r>
      <w:r w:rsidR="00874639">
        <w:rPr>
          <w:rFonts w:ascii="Times New Roman" w:hAnsi="Times New Roman" w:cs="Times New Roman"/>
          <w:sz w:val="24"/>
          <w:szCs w:val="24"/>
        </w:rPr>
        <w:t>ei recepționate</w:t>
      </w:r>
      <w:r w:rsidR="00874639" w:rsidRPr="00C43E6D">
        <w:rPr>
          <w:rFonts w:ascii="Times New Roman" w:hAnsi="Times New Roman" w:cs="Times New Roman"/>
          <w:sz w:val="24"/>
          <w:szCs w:val="24"/>
        </w:rPr>
        <w:t xml:space="preserve"> </w:t>
      </w:r>
      <w:r w:rsidR="00874639">
        <w:rPr>
          <w:rFonts w:ascii="Times New Roman" w:hAnsi="Times New Roman" w:cs="Times New Roman"/>
          <w:sz w:val="24"/>
          <w:szCs w:val="24"/>
        </w:rPr>
        <w:t xml:space="preserve">conform pct. 5.2., </w:t>
      </w:r>
      <w:r w:rsidR="00A42EBB" w:rsidRPr="00C43E6D">
        <w:rPr>
          <w:rFonts w:ascii="Times New Roman" w:hAnsi="Times New Roman" w:cs="Times New Roman"/>
          <w:color w:val="000000" w:themeColor="text1"/>
          <w:sz w:val="24"/>
          <w:szCs w:val="24"/>
        </w:rPr>
        <w:t xml:space="preserve">Ministerul </w:t>
      </w:r>
      <w:r w:rsidR="00E426A8" w:rsidRPr="00C43E6D">
        <w:rPr>
          <w:rFonts w:ascii="Times New Roman" w:hAnsi="Times New Roman" w:cs="Times New Roman"/>
          <w:color w:val="000000" w:themeColor="text1"/>
          <w:sz w:val="24"/>
          <w:szCs w:val="24"/>
        </w:rPr>
        <w:t>Energiei</w:t>
      </w:r>
      <w:r w:rsidR="00A42EBB" w:rsidRPr="00C43E6D">
        <w:rPr>
          <w:rFonts w:ascii="Times New Roman" w:hAnsi="Times New Roman" w:cs="Times New Roman"/>
          <w:color w:val="000000" w:themeColor="text1"/>
          <w:sz w:val="24"/>
          <w:szCs w:val="24"/>
        </w:rPr>
        <w:t xml:space="preserve"> va prezenta Guvernului</w:t>
      </w:r>
      <w:r w:rsidR="00874639">
        <w:rPr>
          <w:rFonts w:ascii="Times New Roman" w:hAnsi="Times New Roman" w:cs="Times New Roman"/>
          <w:color w:val="000000" w:themeColor="text1"/>
          <w:sz w:val="24"/>
          <w:szCs w:val="24"/>
        </w:rPr>
        <w:t xml:space="preserve"> două rapoarte </w:t>
      </w:r>
      <w:r w:rsidR="00874639" w:rsidRPr="00C43E6D">
        <w:rPr>
          <w:rFonts w:ascii="Times New Roman" w:hAnsi="Times New Roman" w:cs="Times New Roman"/>
          <w:sz w:val="24"/>
          <w:szCs w:val="24"/>
        </w:rPr>
        <w:t xml:space="preserve">privind progresul </w:t>
      </w:r>
      <w:r w:rsidR="00874639">
        <w:rPr>
          <w:rFonts w:ascii="Times New Roman" w:hAnsi="Times New Roman" w:cs="Times New Roman"/>
          <w:sz w:val="24"/>
          <w:szCs w:val="24"/>
        </w:rPr>
        <w:t xml:space="preserve">înregistrat </w:t>
      </w:r>
      <w:r w:rsidR="00874639" w:rsidRPr="00C43E6D">
        <w:rPr>
          <w:rFonts w:ascii="Times New Roman" w:hAnsi="Times New Roman" w:cs="Times New Roman"/>
          <w:sz w:val="24"/>
          <w:szCs w:val="24"/>
        </w:rPr>
        <w:t xml:space="preserve">în realizarea Planului de măsuri </w:t>
      </w:r>
      <w:r w:rsidR="00874639">
        <w:rPr>
          <w:rFonts w:ascii="Times New Roman" w:hAnsi="Times New Roman" w:cs="Times New Roman"/>
          <w:color w:val="000000" w:themeColor="text1"/>
          <w:sz w:val="24"/>
          <w:szCs w:val="24"/>
        </w:rPr>
        <w:t>elaborate</w:t>
      </w:r>
      <w:r w:rsidR="00874639" w:rsidRPr="00874639">
        <w:rPr>
          <w:rFonts w:ascii="Times New Roman" w:hAnsi="Times New Roman" w:cs="Times New Roman"/>
          <w:sz w:val="24"/>
          <w:szCs w:val="24"/>
        </w:rPr>
        <w:t xml:space="preserve"> </w:t>
      </w:r>
      <w:r w:rsidR="00874639" w:rsidRPr="000B163D">
        <w:rPr>
          <w:rFonts w:ascii="Times New Roman" w:hAnsi="Times New Roman" w:cs="Times New Roman"/>
          <w:sz w:val="24"/>
          <w:szCs w:val="24"/>
        </w:rPr>
        <w:t>până la data de 15 septembrie și 15 octombrie</w:t>
      </w:r>
      <w:r w:rsidR="00874639">
        <w:rPr>
          <w:rFonts w:ascii="Times New Roman" w:hAnsi="Times New Roman" w:cs="Times New Roman"/>
          <w:sz w:val="24"/>
          <w:szCs w:val="24"/>
        </w:rPr>
        <w:t xml:space="preserve"> 2025</w:t>
      </w:r>
      <w:r w:rsidR="00A42EBB" w:rsidRPr="00C43E6D">
        <w:rPr>
          <w:rFonts w:ascii="Times New Roman" w:hAnsi="Times New Roman" w:cs="Times New Roman"/>
          <w:sz w:val="24"/>
          <w:szCs w:val="24"/>
        </w:rPr>
        <w:t>.</w:t>
      </w:r>
    </w:p>
    <w:p w14:paraId="296AB59F" w14:textId="2D4A5EEB" w:rsidR="00A42EBB" w:rsidRPr="00C43E6D" w:rsidRDefault="00C43E6D" w:rsidP="00C347E6">
      <w:pPr>
        <w:shd w:val="clear" w:color="auto" w:fill="FFFFFF"/>
        <w:spacing w:before="120" w:after="0" w:line="276" w:lineRule="auto"/>
        <w:ind w:firstLine="547"/>
        <w:jc w:val="both"/>
        <w:rPr>
          <w:rFonts w:ascii="Times New Roman" w:hAnsi="Times New Roman" w:cs="Times New Roman"/>
          <w:sz w:val="24"/>
          <w:szCs w:val="24"/>
        </w:rPr>
      </w:pPr>
      <w:r>
        <w:rPr>
          <w:rFonts w:ascii="Times New Roman" w:hAnsi="Times New Roman" w:cs="Times New Roman"/>
          <w:sz w:val="24"/>
          <w:szCs w:val="24"/>
        </w:rPr>
        <w:t>6</w:t>
      </w:r>
      <w:r w:rsidR="00341B6C" w:rsidRPr="00C43E6D">
        <w:rPr>
          <w:rFonts w:ascii="Times New Roman" w:hAnsi="Times New Roman" w:cs="Times New Roman"/>
          <w:sz w:val="24"/>
          <w:szCs w:val="24"/>
        </w:rPr>
        <w:t xml:space="preserve">. </w:t>
      </w:r>
      <w:r w:rsidR="00A42EBB" w:rsidRPr="00C43E6D">
        <w:rPr>
          <w:rFonts w:ascii="Times New Roman" w:hAnsi="Times New Roman" w:cs="Times New Roman"/>
          <w:sz w:val="24"/>
          <w:szCs w:val="24"/>
        </w:rPr>
        <w:t xml:space="preserve">Controlul asupra executării prezentei hotărâri se pune în sarcina Ministerului </w:t>
      </w:r>
      <w:r w:rsidR="000778B8" w:rsidRPr="00C43E6D">
        <w:rPr>
          <w:rFonts w:ascii="Times New Roman" w:hAnsi="Times New Roman" w:cs="Times New Roman"/>
          <w:sz w:val="24"/>
          <w:szCs w:val="24"/>
        </w:rPr>
        <w:t>Energiei</w:t>
      </w:r>
      <w:r w:rsidR="00A42EBB" w:rsidRPr="00C43E6D">
        <w:rPr>
          <w:rFonts w:ascii="Times New Roman" w:hAnsi="Times New Roman" w:cs="Times New Roman"/>
          <w:sz w:val="24"/>
          <w:szCs w:val="24"/>
        </w:rPr>
        <w:t>.</w:t>
      </w:r>
    </w:p>
    <w:p w14:paraId="7DC64ADB" w14:textId="19282ED2" w:rsidR="00A42EBB" w:rsidRPr="00C43E6D" w:rsidRDefault="00C43E6D" w:rsidP="00C347E6">
      <w:pPr>
        <w:shd w:val="clear" w:color="auto" w:fill="FFFFFF"/>
        <w:spacing w:before="120" w:after="0" w:line="276" w:lineRule="auto"/>
        <w:ind w:firstLine="547"/>
        <w:jc w:val="both"/>
        <w:rPr>
          <w:rFonts w:ascii="Times New Roman" w:hAnsi="Times New Roman" w:cs="Times New Roman"/>
          <w:sz w:val="24"/>
          <w:szCs w:val="24"/>
        </w:rPr>
      </w:pPr>
      <w:r>
        <w:rPr>
          <w:rFonts w:ascii="Times New Roman" w:hAnsi="Times New Roman" w:cs="Times New Roman"/>
          <w:sz w:val="24"/>
          <w:szCs w:val="24"/>
        </w:rPr>
        <w:t>7</w:t>
      </w:r>
      <w:r w:rsidR="00A42EBB" w:rsidRPr="00C43E6D">
        <w:rPr>
          <w:rFonts w:ascii="Times New Roman" w:hAnsi="Times New Roman" w:cs="Times New Roman"/>
          <w:sz w:val="24"/>
          <w:szCs w:val="24"/>
        </w:rPr>
        <w:t>. Prezenta hotărâre intră în vigoare la data publicării în Monitorul Oficial al Republicii Moldova.</w:t>
      </w:r>
    </w:p>
    <w:p w14:paraId="3B32B94E" w14:textId="77777777" w:rsidR="00A42EBB" w:rsidRPr="00C43E6D" w:rsidRDefault="00A42EBB" w:rsidP="00A42EBB">
      <w:pPr>
        <w:pStyle w:val="cb"/>
        <w:jc w:val="left"/>
      </w:pPr>
    </w:p>
    <w:p w14:paraId="1010B1E1" w14:textId="77777777" w:rsidR="00C347E6" w:rsidRPr="00C43E6D" w:rsidRDefault="00C347E6" w:rsidP="00A42EBB">
      <w:pPr>
        <w:pStyle w:val="cb"/>
        <w:jc w:val="left"/>
      </w:pPr>
    </w:p>
    <w:p w14:paraId="30492983" w14:textId="77777777" w:rsidR="008B35D6" w:rsidRPr="00C43E6D" w:rsidRDefault="008B35D6" w:rsidP="008B35D6">
      <w:pPr>
        <w:spacing w:after="0" w:line="240" w:lineRule="auto"/>
        <w:ind w:firstLine="709"/>
        <w:jc w:val="both"/>
        <w:rPr>
          <w:rFonts w:ascii="Times New Roman" w:eastAsia="Times New Roman" w:hAnsi="Times New Roman" w:cs="Times New Roman"/>
          <w:sz w:val="24"/>
          <w:szCs w:val="24"/>
          <w:shd w:val="clear" w:color="auto" w:fill="FFFFFF"/>
        </w:rPr>
      </w:pPr>
      <w:r w:rsidRPr="00C43E6D">
        <w:rPr>
          <w:rFonts w:ascii="Times New Roman" w:eastAsia="Times New Roman" w:hAnsi="Times New Roman" w:cs="Times New Roman"/>
          <w:sz w:val="24"/>
          <w:szCs w:val="24"/>
          <w:shd w:val="clear" w:color="auto" w:fill="FFFFFF"/>
        </w:rPr>
        <w:t> </w:t>
      </w:r>
    </w:p>
    <w:p w14:paraId="01CA4FA6" w14:textId="77777777" w:rsidR="008B35D6" w:rsidRPr="00C43E6D" w:rsidRDefault="008B35D6" w:rsidP="008B35D6">
      <w:pPr>
        <w:spacing w:after="0" w:line="240" w:lineRule="auto"/>
        <w:ind w:firstLine="709"/>
        <w:jc w:val="both"/>
        <w:rPr>
          <w:rFonts w:ascii="Times New Roman" w:eastAsia="Times New Roman" w:hAnsi="Times New Roman" w:cs="Times New Roman"/>
          <w:sz w:val="24"/>
          <w:szCs w:val="24"/>
          <w:shd w:val="clear" w:color="auto" w:fill="FFFFFF"/>
        </w:rPr>
      </w:pPr>
      <w:r w:rsidRPr="00C43E6D">
        <w:rPr>
          <w:rFonts w:ascii="Times New Roman" w:eastAsia="Times New Roman" w:hAnsi="Times New Roman" w:cs="Times New Roman"/>
          <w:b/>
          <w:bCs/>
          <w:sz w:val="24"/>
          <w:szCs w:val="24"/>
          <w:shd w:val="clear" w:color="auto" w:fill="FFFFFF"/>
        </w:rPr>
        <w:t>PRIM-MINISTRU</w:t>
      </w:r>
      <w:r w:rsidRPr="00C43E6D">
        <w:rPr>
          <w:rFonts w:ascii="Times New Roman" w:eastAsia="Times New Roman" w:hAnsi="Times New Roman" w:cs="Times New Roman"/>
          <w:b/>
          <w:bCs/>
          <w:sz w:val="24"/>
          <w:szCs w:val="24"/>
          <w:shd w:val="clear" w:color="auto" w:fill="FFFFFF"/>
        </w:rPr>
        <w:tab/>
      </w:r>
      <w:r w:rsidRPr="00C43E6D">
        <w:rPr>
          <w:rFonts w:ascii="Times New Roman" w:eastAsia="Times New Roman" w:hAnsi="Times New Roman" w:cs="Times New Roman"/>
          <w:b/>
          <w:bCs/>
          <w:sz w:val="24"/>
          <w:szCs w:val="24"/>
          <w:shd w:val="clear" w:color="auto" w:fill="FFFFFF"/>
        </w:rPr>
        <w:tab/>
      </w:r>
      <w:r w:rsidRPr="00C43E6D">
        <w:rPr>
          <w:rFonts w:ascii="Times New Roman" w:eastAsia="Times New Roman" w:hAnsi="Times New Roman" w:cs="Times New Roman"/>
          <w:b/>
          <w:bCs/>
          <w:sz w:val="24"/>
          <w:szCs w:val="24"/>
          <w:shd w:val="clear" w:color="auto" w:fill="FFFFFF"/>
        </w:rPr>
        <w:tab/>
      </w:r>
      <w:r w:rsidRPr="00C43E6D">
        <w:rPr>
          <w:rFonts w:ascii="Times New Roman" w:eastAsia="Times New Roman" w:hAnsi="Times New Roman" w:cs="Times New Roman"/>
          <w:b/>
          <w:bCs/>
          <w:sz w:val="24"/>
          <w:szCs w:val="24"/>
          <w:shd w:val="clear" w:color="auto" w:fill="FFFFFF"/>
        </w:rPr>
        <w:tab/>
      </w:r>
      <w:r w:rsidRPr="00C43E6D">
        <w:rPr>
          <w:rFonts w:ascii="Times New Roman" w:eastAsia="Times New Roman" w:hAnsi="Times New Roman" w:cs="Times New Roman"/>
          <w:b/>
          <w:bCs/>
          <w:sz w:val="24"/>
          <w:szCs w:val="24"/>
          <w:shd w:val="clear" w:color="auto" w:fill="FFFFFF"/>
        </w:rPr>
        <w:tab/>
        <w:t>Dorin RECEAN</w:t>
      </w:r>
    </w:p>
    <w:p w14:paraId="495E4A9A" w14:textId="77777777" w:rsidR="008B35D6" w:rsidRPr="00C43E6D" w:rsidRDefault="008B35D6" w:rsidP="008B35D6">
      <w:pPr>
        <w:spacing w:after="0" w:line="240" w:lineRule="auto"/>
        <w:ind w:firstLine="709"/>
        <w:jc w:val="both"/>
        <w:rPr>
          <w:rFonts w:ascii="Times New Roman" w:eastAsia="Times New Roman" w:hAnsi="Times New Roman" w:cs="Times New Roman"/>
          <w:sz w:val="24"/>
          <w:szCs w:val="24"/>
          <w:shd w:val="clear" w:color="auto" w:fill="FFFFFF"/>
        </w:rPr>
      </w:pPr>
      <w:r w:rsidRPr="00C43E6D">
        <w:rPr>
          <w:rFonts w:ascii="Times New Roman" w:eastAsia="Times New Roman" w:hAnsi="Times New Roman" w:cs="Times New Roman"/>
          <w:sz w:val="24"/>
          <w:szCs w:val="24"/>
          <w:shd w:val="clear" w:color="auto" w:fill="FFFFFF"/>
        </w:rPr>
        <w:t> </w:t>
      </w:r>
    </w:p>
    <w:p w14:paraId="4160D1BC" w14:textId="77777777" w:rsidR="008B35D6" w:rsidRPr="00C43E6D" w:rsidRDefault="008B35D6" w:rsidP="008B35D6">
      <w:pPr>
        <w:spacing w:after="0" w:line="240" w:lineRule="auto"/>
        <w:ind w:firstLine="709"/>
        <w:jc w:val="both"/>
        <w:rPr>
          <w:rFonts w:ascii="Times New Roman" w:eastAsia="Times New Roman" w:hAnsi="Times New Roman" w:cs="Times New Roman"/>
          <w:sz w:val="24"/>
          <w:szCs w:val="24"/>
          <w:shd w:val="clear" w:color="auto" w:fill="FFFFFF"/>
        </w:rPr>
      </w:pPr>
      <w:r w:rsidRPr="00C43E6D">
        <w:rPr>
          <w:rFonts w:ascii="Times New Roman" w:eastAsia="Times New Roman" w:hAnsi="Times New Roman" w:cs="Times New Roman"/>
          <w:sz w:val="24"/>
          <w:szCs w:val="24"/>
          <w:shd w:val="clear" w:color="auto" w:fill="FFFFFF"/>
        </w:rPr>
        <w:t>Contrasemnează:</w:t>
      </w:r>
    </w:p>
    <w:p w14:paraId="3A5AF755" w14:textId="77777777" w:rsidR="008B35D6" w:rsidRPr="00C43E6D" w:rsidRDefault="008B35D6" w:rsidP="008B35D6">
      <w:pPr>
        <w:spacing w:after="0" w:line="240" w:lineRule="auto"/>
        <w:ind w:firstLine="709"/>
        <w:jc w:val="both"/>
        <w:rPr>
          <w:rFonts w:ascii="Times New Roman" w:eastAsia="Times New Roman" w:hAnsi="Times New Roman" w:cs="Times New Roman"/>
          <w:sz w:val="24"/>
          <w:szCs w:val="24"/>
          <w:shd w:val="clear" w:color="auto" w:fill="FFFFFF"/>
        </w:rPr>
      </w:pPr>
    </w:p>
    <w:p w14:paraId="4ECF5025" w14:textId="7FBB1C4F" w:rsidR="008B35D6" w:rsidRPr="00C43E6D" w:rsidRDefault="008B35D6" w:rsidP="008B35D6">
      <w:pPr>
        <w:spacing w:after="0" w:line="240" w:lineRule="auto"/>
        <w:ind w:firstLine="709"/>
        <w:rPr>
          <w:rFonts w:ascii="Times New Roman" w:eastAsia="Times New Roman" w:hAnsi="Times New Roman" w:cs="Times New Roman"/>
          <w:b/>
          <w:sz w:val="24"/>
          <w:szCs w:val="24"/>
          <w:shd w:val="clear" w:color="auto" w:fill="FFFFFF"/>
        </w:rPr>
      </w:pPr>
      <w:r w:rsidRPr="00C43E6D">
        <w:rPr>
          <w:rFonts w:ascii="Times New Roman" w:eastAsia="Times New Roman" w:hAnsi="Times New Roman" w:cs="Times New Roman"/>
          <w:b/>
          <w:sz w:val="24"/>
          <w:szCs w:val="24"/>
          <w:shd w:val="clear" w:color="auto" w:fill="FFFFFF"/>
        </w:rPr>
        <w:t>Ministru Energiei</w:t>
      </w:r>
      <w:r w:rsidRPr="00C43E6D">
        <w:rPr>
          <w:rFonts w:ascii="Times New Roman" w:eastAsia="Times New Roman" w:hAnsi="Times New Roman" w:cs="Times New Roman"/>
          <w:b/>
          <w:sz w:val="24"/>
          <w:szCs w:val="24"/>
          <w:shd w:val="clear" w:color="auto" w:fill="FFFFFF"/>
        </w:rPr>
        <w:tab/>
      </w:r>
      <w:r w:rsidRPr="00C43E6D">
        <w:rPr>
          <w:rFonts w:ascii="Times New Roman" w:eastAsia="Times New Roman" w:hAnsi="Times New Roman" w:cs="Times New Roman"/>
          <w:b/>
          <w:sz w:val="24"/>
          <w:szCs w:val="24"/>
          <w:shd w:val="clear" w:color="auto" w:fill="FFFFFF"/>
        </w:rPr>
        <w:tab/>
      </w:r>
      <w:r w:rsidRPr="00C43E6D">
        <w:rPr>
          <w:rFonts w:ascii="Times New Roman" w:eastAsia="Times New Roman" w:hAnsi="Times New Roman" w:cs="Times New Roman"/>
          <w:b/>
          <w:sz w:val="24"/>
          <w:szCs w:val="24"/>
          <w:shd w:val="clear" w:color="auto" w:fill="FFFFFF"/>
        </w:rPr>
        <w:tab/>
      </w:r>
      <w:r w:rsidRPr="00C43E6D">
        <w:rPr>
          <w:rFonts w:ascii="Times New Roman" w:eastAsia="Times New Roman" w:hAnsi="Times New Roman" w:cs="Times New Roman"/>
          <w:b/>
          <w:sz w:val="24"/>
          <w:szCs w:val="24"/>
          <w:shd w:val="clear" w:color="auto" w:fill="FFFFFF"/>
        </w:rPr>
        <w:tab/>
      </w:r>
      <w:r w:rsidRPr="00C43E6D">
        <w:rPr>
          <w:rFonts w:ascii="Times New Roman" w:eastAsia="Times New Roman" w:hAnsi="Times New Roman" w:cs="Times New Roman"/>
          <w:b/>
          <w:sz w:val="24"/>
          <w:szCs w:val="24"/>
          <w:shd w:val="clear" w:color="auto" w:fill="FFFFFF"/>
        </w:rPr>
        <w:tab/>
      </w:r>
      <w:r w:rsidR="00DB2EB6" w:rsidRPr="00C43E6D">
        <w:rPr>
          <w:rFonts w:ascii="Times New Roman" w:eastAsia="Times New Roman" w:hAnsi="Times New Roman" w:cs="Times New Roman"/>
          <w:b/>
          <w:sz w:val="24"/>
          <w:szCs w:val="24"/>
          <w:shd w:val="clear" w:color="auto" w:fill="FFFFFF"/>
        </w:rPr>
        <w:t>Dorin JUNGHIETU</w:t>
      </w:r>
    </w:p>
    <w:p w14:paraId="0242743C" w14:textId="77777777" w:rsidR="008B35D6" w:rsidRPr="00C43E6D" w:rsidRDefault="008B35D6" w:rsidP="008B35D6">
      <w:pPr>
        <w:spacing w:after="0" w:line="240" w:lineRule="auto"/>
        <w:ind w:firstLine="709"/>
        <w:jc w:val="both"/>
        <w:rPr>
          <w:rFonts w:ascii="Times New Roman" w:eastAsia="Times New Roman" w:hAnsi="Times New Roman" w:cs="Times New Roman"/>
          <w:b/>
          <w:sz w:val="24"/>
          <w:szCs w:val="24"/>
          <w:shd w:val="clear" w:color="auto" w:fill="FFFFFF"/>
        </w:rPr>
      </w:pPr>
    </w:p>
    <w:p w14:paraId="4F551C52" w14:textId="557F78D3" w:rsidR="00DB2EB6" w:rsidRPr="00C43E6D" w:rsidRDefault="00DB2EB6" w:rsidP="00A42EBB">
      <w:pPr>
        <w:pStyle w:val="cb"/>
        <w:ind w:left="708"/>
        <w:jc w:val="right"/>
        <w:rPr>
          <w:b w:val="0"/>
          <w:bCs w:val="0"/>
          <w:i/>
          <w:iCs/>
        </w:rPr>
      </w:pPr>
    </w:p>
    <w:p w14:paraId="164B1870" w14:textId="77777777" w:rsidR="00AB1986" w:rsidRPr="00C43E6D" w:rsidRDefault="00AB1986" w:rsidP="00A42EBB">
      <w:pPr>
        <w:pStyle w:val="cb"/>
        <w:ind w:left="708"/>
        <w:jc w:val="right"/>
        <w:rPr>
          <w:b w:val="0"/>
          <w:bCs w:val="0"/>
          <w:i/>
          <w:iCs/>
        </w:rPr>
      </w:pPr>
    </w:p>
    <w:p w14:paraId="59EEDC6C" w14:textId="5879AFAB" w:rsidR="00A42EBB" w:rsidRPr="00C43E6D" w:rsidRDefault="00A42EBB" w:rsidP="00A42EBB">
      <w:pPr>
        <w:pStyle w:val="cb"/>
        <w:ind w:left="708"/>
        <w:jc w:val="right"/>
        <w:rPr>
          <w:b w:val="0"/>
          <w:bCs w:val="0"/>
          <w:i/>
          <w:iCs/>
        </w:rPr>
      </w:pPr>
      <w:r w:rsidRPr="00C43E6D">
        <w:rPr>
          <w:b w:val="0"/>
          <w:bCs w:val="0"/>
          <w:i/>
          <w:iCs/>
        </w:rPr>
        <w:t>Anex</w:t>
      </w:r>
      <w:r w:rsidR="00DB2EB6" w:rsidRPr="00C43E6D">
        <w:rPr>
          <w:b w:val="0"/>
          <w:bCs w:val="0"/>
          <w:i/>
          <w:iCs/>
        </w:rPr>
        <w:t>a</w:t>
      </w:r>
      <w:r w:rsidRPr="00C43E6D">
        <w:rPr>
          <w:b w:val="0"/>
          <w:bCs w:val="0"/>
          <w:i/>
          <w:iCs/>
        </w:rPr>
        <w:t xml:space="preserve"> nr. 1</w:t>
      </w:r>
    </w:p>
    <w:p w14:paraId="3B8B12F8" w14:textId="77777777" w:rsidR="00A42EBB" w:rsidRPr="00C43E6D" w:rsidRDefault="00A42EBB" w:rsidP="00A42EBB">
      <w:pPr>
        <w:pStyle w:val="cb"/>
        <w:ind w:left="708"/>
        <w:jc w:val="right"/>
        <w:rPr>
          <w:b w:val="0"/>
          <w:bCs w:val="0"/>
          <w:i/>
          <w:iCs/>
        </w:rPr>
      </w:pPr>
      <w:r w:rsidRPr="00C43E6D">
        <w:rPr>
          <w:b w:val="0"/>
          <w:bCs w:val="0"/>
          <w:i/>
          <w:iCs/>
        </w:rPr>
        <w:t>la Hotărârea Guvernului nr.</w:t>
      </w:r>
      <w:r w:rsidRPr="00C43E6D">
        <w:rPr>
          <w:b w:val="0"/>
          <w:bCs w:val="0"/>
        </w:rPr>
        <w:t xml:space="preserve"> </w:t>
      </w:r>
    </w:p>
    <w:p w14:paraId="616397F9" w14:textId="77777777" w:rsidR="00A42EBB" w:rsidRPr="00C43E6D" w:rsidRDefault="00A42EBB" w:rsidP="00E426A8">
      <w:pPr>
        <w:pStyle w:val="cb"/>
        <w:jc w:val="left"/>
        <w:rPr>
          <w:b w:val="0"/>
          <w:bCs w:val="0"/>
        </w:rPr>
      </w:pPr>
    </w:p>
    <w:p w14:paraId="44CA0A2B" w14:textId="77777777" w:rsidR="00A42EBB" w:rsidRPr="00C43E6D" w:rsidRDefault="00A42EBB" w:rsidP="00A42EBB">
      <w:pPr>
        <w:pStyle w:val="cb"/>
      </w:pPr>
      <w:r w:rsidRPr="00C43E6D">
        <w:t>COMPONENȚA</w:t>
      </w:r>
    </w:p>
    <w:p w14:paraId="4C2A57F1" w14:textId="6B0D7C9E" w:rsidR="00BF54B4" w:rsidRPr="00C43E6D" w:rsidRDefault="00A42EBB" w:rsidP="00BF54B4">
      <w:pPr>
        <w:pStyle w:val="cb"/>
        <w:ind w:left="-284" w:right="-311"/>
      </w:pPr>
      <w:r w:rsidRPr="00C43E6D">
        <w:t xml:space="preserve">Comisiei guvernamentale </w:t>
      </w:r>
      <w:r w:rsidR="007B2EB8" w:rsidRPr="00C43E6D">
        <w:t xml:space="preserve">de coordonare a măsurilor de pregătire pentru sezonul </w:t>
      </w:r>
      <w:r w:rsidR="00236DF8" w:rsidRPr="00C43E6D">
        <w:t>de încălzire</w:t>
      </w:r>
      <w:r w:rsidR="007B2EB8" w:rsidRPr="00C43E6D">
        <w:t xml:space="preserve"> 202</w:t>
      </w:r>
      <w:r w:rsidR="00BF54B4" w:rsidRPr="00C43E6D">
        <w:t>5</w:t>
      </w:r>
      <w:r w:rsidR="007B2EB8" w:rsidRPr="00C43E6D">
        <w:t>-202</w:t>
      </w:r>
      <w:r w:rsidR="00BF54B4" w:rsidRPr="00C43E6D">
        <w:t>6</w:t>
      </w:r>
    </w:p>
    <w:p w14:paraId="15F4DDE1" w14:textId="6851B445" w:rsidR="00A42EBB" w:rsidRPr="00C43E6D" w:rsidRDefault="00A42EBB" w:rsidP="008E02C5">
      <w:pPr>
        <w:pStyle w:val="cb"/>
        <w:jc w:val="left"/>
      </w:pPr>
    </w:p>
    <w:p w14:paraId="6DF0B470" w14:textId="77777777" w:rsidR="00A42EBB" w:rsidRPr="00C43E6D" w:rsidRDefault="00A42EBB" w:rsidP="009251A8">
      <w:pPr>
        <w:pStyle w:val="cb"/>
        <w:jc w:val="left"/>
        <w:rPr>
          <w:b w:val="0"/>
          <w:bCs w:val="0"/>
        </w:rPr>
      </w:pPr>
    </w:p>
    <w:p w14:paraId="2F9B3F4E" w14:textId="3CA60276" w:rsidR="00600F69" w:rsidRPr="00C43E6D" w:rsidRDefault="00A42EBB" w:rsidP="00A42EBB">
      <w:pPr>
        <w:pStyle w:val="cb"/>
        <w:spacing w:line="276" w:lineRule="auto"/>
        <w:jc w:val="left"/>
        <w:rPr>
          <w:b w:val="0"/>
          <w:bCs w:val="0"/>
        </w:rPr>
      </w:pPr>
      <w:r w:rsidRPr="00C43E6D">
        <w:rPr>
          <w:b w:val="0"/>
          <w:bCs w:val="0"/>
        </w:rPr>
        <w:t>Prim-ministru, președinte al Comisiei</w:t>
      </w:r>
    </w:p>
    <w:p w14:paraId="48F492F9" w14:textId="388C3232" w:rsidR="007B2EB8" w:rsidRPr="00C43E6D" w:rsidRDefault="007B2EB8" w:rsidP="00A42EBB">
      <w:pPr>
        <w:pStyle w:val="cb"/>
        <w:spacing w:line="276" w:lineRule="auto"/>
        <w:jc w:val="left"/>
        <w:rPr>
          <w:b w:val="0"/>
          <w:bCs w:val="0"/>
        </w:rPr>
      </w:pPr>
      <w:r w:rsidRPr="00C43E6D">
        <w:rPr>
          <w:b w:val="0"/>
          <w:bCs w:val="0"/>
        </w:rPr>
        <w:t xml:space="preserve">Ministru al </w:t>
      </w:r>
      <w:r w:rsidR="008A7EFA" w:rsidRPr="00C43E6D">
        <w:rPr>
          <w:b w:val="0"/>
          <w:bCs w:val="0"/>
        </w:rPr>
        <w:t>E</w:t>
      </w:r>
      <w:r w:rsidRPr="00C43E6D">
        <w:rPr>
          <w:b w:val="0"/>
          <w:bCs w:val="0"/>
        </w:rPr>
        <w:t>nergiei, vicepreședinte al Comisiei</w:t>
      </w:r>
    </w:p>
    <w:p w14:paraId="6E628213" w14:textId="509AAC8A" w:rsidR="007B2EB8" w:rsidRPr="00C43E6D" w:rsidRDefault="007B2EB8" w:rsidP="00A42EBB">
      <w:pPr>
        <w:pStyle w:val="cb"/>
        <w:spacing w:line="276" w:lineRule="auto"/>
        <w:jc w:val="left"/>
        <w:rPr>
          <w:b w:val="0"/>
          <w:bCs w:val="0"/>
        </w:rPr>
      </w:pPr>
      <w:r w:rsidRPr="00C43E6D">
        <w:rPr>
          <w:b w:val="0"/>
          <w:bCs w:val="0"/>
        </w:rPr>
        <w:t>Vice</w:t>
      </w:r>
      <w:r w:rsidR="00D32420" w:rsidRPr="00C43E6D">
        <w:rPr>
          <w:b w:val="0"/>
          <w:bCs w:val="0"/>
        </w:rPr>
        <w:t>prim</w:t>
      </w:r>
      <w:r w:rsidRPr="00C43E6D">
        <w:rPr>
          <w:b w:val="0"/>
          <w:bCs w:val="0"/>
        </w:rPr>
        <w:t>-</w:t>
      </w:r>
      <w:r w:rsidR="00D32420" w:rsidRPr="00C43E6D">
        <w:rPr>
          <w:b w:val="0"/>
          <w:bCs w:val="0"/>
        </w:rPr>
        <w:t>ministru</w:t>
      </w:r>
      <w:r w:rsidRPr="00C43E6D">
        <w:rPr>
          <w:b w:val="0"/>
          <w:bCs w:val="0"/>
        </w:rPr>
        <w:t xml:space="preserve"> pentru </w:t>
      </w:r>
      <w:r w:rsidR="00167E3C" w:rsidRPr="00C43E6D">
        <w:rPr>
          <w:b w:val="0"/>
          <w:bCs w:val="0"/>
        </w:rPr>
        <w:t>r</w:t>
      </w:r>
      <w:r w:rsidRPr="00C43E6D">
        <w:rPr>
          <w:b w:val="0"/>
          <w:bCs w:val="0"/>
        </w:rPr>
        <w:t xml:space="preserve">eintegrare </w:t>
      </w:r>
    </w:p>
    <w:p w14:paraId="3A5B5B0C" w14:textId="2B624C3E" w:rsidR="007B2EB8" w:rsidRPr="00C43E6D" w:rsidRDefault="00D32420" w:rsidP="00A42EBB">
      <w:pPr>
        <w:pStyle w:val="cb"/>
        <w:spacing w:line="276" w:lineRule="auto"/>
        <w:jc w:val="left"/>
        <w:rPr>
          <w:b w:val="0"/>
          <w:bCs w:val="0"/>
        </w:rPr>
      </w:pPr>
      <w:r w:rsidRPr="00C43E6D">
        <w:rPr>
          <w:b w:val="0"/>
          <w:bCs w:val="0"/>
        </w:rPr>
        <w:t>Viceprim-ministru</w:t>
      </w:r>
      <w:r w:rsidR="007B2EB8" w:rsidRPr="00C43E6D">
        <w:rPr>
          <w:b w:val="0"/>
          <w:bCs w:val="0"/>
        </w:rPr>
        <w:t>, ministru</w:t>
      </w:r>
      <w:r w:rsidR="000778B8" w:rsidRPr="00C43E6D">
        <w:rPr>
          <w:b w:val="0"/>
          <w:bCs w:val="0"/>
        </w:rPr>
        <w:t xml:space="preserve"> a</w:t>
      </w:r>
      <w:r w:rsidR="007B2EB8" w:rsidRPr="00C43E6D">
        <w:rPr>
          <w:b w:val="0"/>
          <w:bCs w:val="0"/>
        </w:rPr>
        <w:t xml:space="preserve">l </w:t>
      </w:r>
      <w:r w:rsidR="00167E3C" w:rsidRPr="00C43E6D">
        <w:rPr>
          <w:b w:val="0"/>
          <w:bCs w:val="0"/>
        </w:rPr>
        <w:t>d</w:t>
      </w:r>
      <w:r w:rsidR="008A7EFA" w:rsidRPr="00C43E6D">
        <w:rPr>
          <w:b w:val="0"/>
          <w:bCs w:val="0"/>
        </w:rPr>
        <w:t xml:space="preserve">ezvoltării </w:t>
      </w:r>
      <w:r w:rsidR="00167E3C" w:rsidRPr="00C43E6D">
        <w:rPr>
          <w:b w:val="0"/>
          <w:bCs w:val="0"/>
        </w:rPr>
        <w:t>e</w:t>
      </w:r>
      <w:r w:rsidR="008A7EFA" w:rsidRPr="00C43E6D">
        <w:rPr>
          <w:b w:val="0"/>
          <w:bCs w:val="0"/>
        </w:rPr>
        <w:t xml:space="preserve">conomice și </w:t>
      </w:r>
      <w:r w:rsidR="00167E3C" w:rsidRPr="00C43E6D">
        <w:rPr>
          <w:b w:val="0"/>
          <w:bCs w:val="0"/>
        </w:rPr>
        <w:t>d</w:t>
      </w:r>
      <w:r w:rsidR="008A7EFA" w:rsidRPr="00C43E6D">
        <w:rPr>
          <w:b w:val="0"/>
          <w:bCs w:val="0"/>
        </w:rPr>
        <w:t>igitalizării</w:t>
      </w:r>
    </w:p>
    <w:p w14:paraId="2FBAE4CE" w14:textId="54F09396" w:rsidR="00A42EBB" w:rsidRPr="00C43E6D" w:rsidRDefault="008047DA" w:rsidP="00A42EBB">
      <w:pPr>
        <w:pStyle w:val="cb"/>
        <w:spacing w:line="276" w:lineRule="auto"/>
        <w:jc w:val="left"/>
        <w:rPr>
          <w:b w:val="0"/>
          <w:bCs w:val="0"/>
        </w:rPr>
      </w:pPr>
      <w:r w:rsidRPr="00C43E6D">
        <w:rPr>
          <w:b w:val="0"/>
          <w:bCs w:val="0"/>
        </w:rPr>
        <w:t xml:space="preserve">Viceprim-ministru, ministru </w:t>
      </w:r>
      <w:r w:rsidR="00F25992" w:rsidRPr="00C43E6D">
        <w:rPr>
          <w:b w:val="0"/>
          <w:bCs w:val="0"/>
        </w:rPr>
        <w:t xml:space="preserve">al </w:t>
      </w:r>
      <w:r w:rsidR="00167E3C" w:rsidRPr="00C43E6D">
        <w:rPr>
          <w:b w:val="0"/>
          <w:bCs w:val="0"/>
        </w:rPr>
        <w:t>i</w:t>
      </w:r>
      <w:r w:rsidR="00A42EBB" w:rsidRPr="00C43E6D">
        <w:rPr>
          <w:b w:val="0"/>
          <w:bCs w:val="0"/>
        </w:rPr>
        <w:t xml:space="preserve">nfrastructurii și </w:t>
      </w:r>
      <w:r w:rsidR="00167E3C" w:rsidRPr="00C43E6D">
        <w:rPr>
          <w:b w:val="0"/>
          <w:bCs w:val="0"/>
        </w:rPr>
        <w:t>d</w:t>
      </w:r>
      <w:r w:rsidR="00A42EBB" w:rsidRPr="00C43E6D">
        <w:rPr>
          <w:b w:val="0"/>
          <w:bCs w:val="0"/>
        </w:rPr>
        <w:t xml:space="preserve">ezvoltării </w:t>
      </w:r>
      <w:r w:rsidR="00167E3C" w:rsidRPr="00C43E6D">
        <w:rPr>
          <w:b w:val="0"/>
          <w:bCs w:val="0"/>
        </w:rPr>
        <w:t>r</w:t>
      </w:r>
      <w:r w:rsidR="00A42EBB" w:rsidRPr="00C43E6D">
        <w:rPr>
          <w:b w:val="0"/>
          <w:bCs w:val="0"/>
        </w:rPr>
        <w:t xml:space="preserve">egionale </w:t>
      </w:r>
    </w:p>
    <w:p w14:paraId="2FE88928" w14:textId="55959FAD" w:rsidR="00A42EBB" w:rsidRPr="00C43E6D" w:rsidRDefault="00A42EBB" w:rsidP="00A42EBB">
      <w:pPr>
        <w:pStyle w:val="cb"/>
        <w:spacing w:line="276" w:lineRule="auto"/>
        <w:jc w:val="left"/>
        <w:rPr>
          <w:b w:val="0"/>
          <w:bCs w:val="0"/>
        </w:rPr>
      </w:pPr>
      <w:r w:rsidRPr="00C43E6D">
        <w:rPr>
          <w:b w:val="0"/>
          <w:bCs w:val="0"/>
        </w:rPr>
        <w:t>Minis</w:t>
      </w:r>
      <w:r w:rsidR="0011634D" w:rsidRPr="00C43E6D">
        <w:rPr>
          <w:b w:val="0"/>
          <w:bCs w:val="0"/>
        </w:rPr>
        <w:t>tru al</w:t>
      </w:r>
      <w:r w:rsidRPr="00C43E6D">
        <w:rPr>
          <w:b w:val="0"/>
          <w:bCs w:val="0"/>
        </w:rPr>
        <w:t xml:space="preserve"> </w:t>
      </w:r>
      <w:r w:rsidR="00167E3C" w:rsidRPr="00C43E6D">
        <w:rPr>
          <w:b w:val="0"/>
          <w:bCs w:val="0"/>
        </w:rPr>
        <w:t>f</w:t>
      </w:r>
      <w:r w:rsidRPr="00C43E6D">
        <w:rPr>
          <w:b w:val="0"/>
          <w:bCs w:val="0"/>
        </w:rPr>
        <w:t>inanțelor</w:t>
      </w:r>
    </w:p>
    <w:p w14:paraId="06E2809A" w14:textId="17CE1A93" w:rsidR="00A42EBB" w:rsidRPr="00C43E6D" w:rsidRDefault="0011634D" w:rsidP="00A42EBB">
      <w:pPr>
        <w:pStyle w:val="cb"/>
        <w:spacing w:line="276" w:lineRule="auto"/>
        <w:jc w:val="left"/>
        <w:rPr>
          <w:b w:val="0"/>
          <w:bCs w:val="0"/>
        </w:rPr>
      </w:pPr>
      <w:r w:rsidRPr="00C43E6D">
        <w:rPr>
          <w:b w:val="0"/>
          <w:bCs w:val="0"/>
        </w:rPr>
        <w:t xml:space="preserve">Ministru al </w:t>
      </w:r>
      <w:r w:rsidR="00167E3C" w:rsidRPr="00C43E6D">
        <w:rPr>
          <w:b w:val="0"/>
          <w:bCs w:val="0"/>
        </w:rPr>
        <w:t>m</w:t>
      </w:r>
      <w:r w:rsidR="00A42EBB" w:rsidRPr="00C43E6D">
        <w:rPr>
          <w:b w:val="0"/>
          <w:bCs w:val="0"/>
        </w:rPr>
        <w:t xml:space="preserve">uncii și </w:t>
      </w:r>
      <w:r w:rsidR="00167E3C" w:rsidRPr="00C43E6D">
        <w:rPr>
          <w:b w:val="0"/>
          <w:bCs w:val="0"/>
        </w:rPr>
        <w:t>p</w:t>
      </w:r>
      <w:r w:rsidR="00A42EBB" w:rsidRPr="00C43E6D">
        <w:rPr>
          <w:b w:val="0"/>
          <w:bCs w:val="0"/>
        </w:rPr>
        <w:t xml:space="preserve">rotecției </w:t>
      </w:r>
      <w:r w:rsidR="00167E3C" w:rsidRPr="00C43E6D">
        <w:rPr>
          <w:b w:val="0"/>
          <w:bCs w:val="0"/>
        </w:rPr>
        <w:t>s</w:t>
      </w:r>
      <w:r w:rsidR="00A42EBB" w:rsidRPr="00C43E6D">
        <w:rPr>
          <w:b w:val="0"/>
          <w:bCs w:val="0"/>
        </w:rPr>
        <w:t>ociale</w:t>
      </w:r>
    </w:p>
    <w:p w14:paraId="3A6C48D8" w14:textId="32F36C1B" w:rsidR="00A42EBB" w:rsidRPr="00C43E6D" w:rsidRDefault="0011634D" w:rsidP="00A42EBB">
      <w:pPr>
        <w:pStyle w:val="cb"/>
        <w:spacing w:line="276" w:lineRule="auto"/>
        <w:jc w:val="left"/>
        <w:rPr>
          <w:b w:val="0"/>
          <w:bCs w:val="0"/>
        </w:rPr>
      </w:pPr>
      <w:r w:rsidRPr="00C43E6D">
        <w:rPr>
          <w:b w:val="0"/>
          <w:bCs w:val="0"/>
        </w:rPr>
        <w:t xml:space="preserve">Ministru al </w:t>
      </w:r>
      <w:r w:rsidR="00167E3C" w:rsidRPr="00C43E6D">
        <w:rPr>
          <w:b w:val="0"/>
          <w:bCs w:val="0"/>
        </w:rPr>
        <w:t>a</w:t>
      </w:r>
      <w:r w:rsidR="00A42EBB" w:rsidRPr="00C43E6D">
        <w:rPr>
          <w:b w:val="0"/>
          <w:bCs w:val="0"/>
        </w:rPr>
        <w:t xml:space="preserve">facerilor </w:t>
      </w:r>
      <w:r w:rsidR="00167E3C" w:rsidRPr="00C43E6D">
        <w:rPr>
          <w:b w:val="0"/>
          <w:bCs w:val="0"/>
        </w:rPr>
        <w:t>i</w:t>
      </w:r>
      <w:r w:rsidR="00A42EBB" w:rsidRPr="00C43E6D">
        <w:rPr>
          <w:b w:val="0"/>
          <w:bCs w:val="0"/>
        </w:rPr>
        <w:t>nterne</w:t>
      </w:r>
    </w:p>
    <w:p w14:paraId="67336972" w14:textId="33592636" w:rsidR="00A42EBB" w:rsidRDefault="0011634D" w:rsidP="00A42EBB">
      <w:pPr>
        <w:pStyle w:val="cb"/>
        <w:spacing w:line="276" w:lineRule="auto"/>
        <w:jc w:val="left"/>
        <w:rPr>
          <w:b w:val="0"/>
          <w:bCs w:val="0"/>
        </w:rPr>
      </w:pPr>
      <w:r w:rsidRPr="00C43E6D">
        <w:rPr>
          <w:b w:val="0"/>
          <w:bCs w:val="0"/>
        </w:rPr>
        <w:t xml:space="preserve">Ministru al </w:t>
      </w:r>
      <w:r w:rsidR="00167E3C" w:rsidRPr="00C43E6D">
        <w:rPr>
          <w:b w:val="0"/>
          <w:bCs w:val="0"/>
        </w:rPr>
        <w:t>m</w:t>
      </w:r>
      <w:r w:rsidR="00A42EBB" w:rsidRPr="00C43E6D">
        <w:rPr>
          <w:b w:val="0"/>
          <w:bCs w:val="0"/>
        </w:rPr>
        <w:t>ediului</w:t>
      </w:r>
    </w:p>
    <w:p w14:paraId="7E1BC3B9" w14:textId="763D5643" w:rsidR="008047DA" w:rsidRPr="00C43E6D" w:rsidRDefault="008047DA" w:rsidP="00A42EBB">
      <w:pPr>
        <w:pStyle w:val="cb"/>
        <w:spacing w:line="276" w:lineRule="auto"/>
        <w:jc w:val="left"/>
        <w:rPr>
          <w:b w:val="0"/>
          <w:bCs w:val="0"/>
        </w:rPr>
      </w:pPr>
      <w:r>
        <w:rPr>
          <w:b w:val="0"/>
          <w:bCs w:val="0"/>
        </w:rPr>
        <w:t>M</w:t>
      </w:r>
      <w:r w:rsidRPr="00C43E6D">
        <w:rPr>
          <w:b w:val="0"/>
          <w:bCs w:val="0"/>
        </w:rPr>
        <w:t>inistru al agriculturii și industriei alimentare</w:t>
      </w:r>
    </w:p>
    <w:p w14:paraId="3A613898" w14:textId="4702C98E" w:rsidR="00A42EBB" w:rsidRPr="00C43E6D" w:rsidRDefault="0011634D" w:rsidP="00A42EBB">
      <w:pPr>
        <w:pStyle w:val="cb"/>
        <w:spacing w:line="276" w:lineRule="auto"/>
        <w:jc w:val="left"/>
        <w:rPr>
          <w:b w:val="0"/>
          <w:bCs w:val="0"/>
        </w:rPr>
      </w:pPr>
      <w:r w:rsidRPr="00C43E6D">
        <w:rPr>
          <w:b w:val="0"/>
          <w:bCs w:val="0"/>
        </w:rPr>
        <w:t xml:space="preserve">Ministru al </w:t>
      </w:r>
      <w:r w:rsidR="00167E3C" w:rsidRPr="00C43E6D">
        <w:rPr>
          <w:b w:val="0"/>
          <w:bCs w:val="0"/>
        </w:rPr>
        <w:t>e</w:t>
      </w:r>
      <w:r w:rsidR="00A42EBB" w:rsidRPr="00C43E6D">
        <w:rPr>
          <w:b w:val="0"/>
          <w:bCs w:val="0"/>
        </w:rPr>
        <w:t xml:space="preserve">ducației și </w:t>
      </w:r>
      <w:r w:rsidR="00167E3C" w:rsidRPr="00C43E6D">
        <w:rPr>
          <w:b w:val="0"/>
          <w:bCs w:val="0"/>
        </w:rPr>
        <w:t>c</w:t>
      </w:r>
      <w:r w:rsidR="00A42EBB" w:rsidRPr="00C43E6D">
        <w:rPr>
          <w:b w:val="0"/>
          <w:bCs w:val="0"/>
        </w:rPr>
        <w:t>ercetării</w:t>
      </w:r>
    </w:p>
    <w:p w14:paraId="655854A7" w14:textId="4F34674D" w:rsidR="000778B8" w:rsidRPr="00C43E6D" w:rsidRDefault="0011634D" w:rsidP="00106950">
      <w:pPr>
        <w:pStyle w:val="cb"/>
        <w:spacing w:line="276" w:lineRule="auto"/>
        <w:jc w:val="left"/>
        <w:rPr>
          <w:b w:val="0"/>
          <w:bCs w:val="0"/>
        </w:rPr>
      </w:pPr>
      <w:r w:rsidRPr="00C43E6D">
        <w:rPr>
          <w:b w:val="0"/>
          <w:bCs w:val="0"/>
        </w:rPr>
        <w:t xml:space="preserve">Ministru al </w:t>
      </w:r>
      <w:r w:rsidR="00167E3C" w:rsidRPr="00C43E6D">
        <w:rPr>
          <w:b w:val="0"/>
          <w:bCs w:val="0"/>
        </w:rPr>
        <w:t>s</w:t>
      </w:r>
      <w:r w:rsidR="00503929" w:rsidRPr="00C43E6D">
        <w:rPr>
          <w:b w:val="0"/>
          <w:bCs w:val="0"/>
        </w:rPr>
        <w:t>ănătăți</w:t>
      </w:r>
      <w:r w:rsidR="000778B8" w:rsidRPr="00C43E6D">
        <w:rPr>
          <w:b w:val="0"/>
          <w:bCs w:val="0"/>
        </w:rPr>
        <w:t>i</w:t>
      </w:r>
    </w:p>
    <w:p w14:paraId="787DF65E" w14:textId="1361655E" w:rsidR="00167E3C" w:rsidRPr="00C43E6D" w:rsidRDefault="00167E3C" w:rsidP="00A42EBB">
      <w:pPr>
        <w:pStyle w:val="cb"/>
        <w:spacing w:line="276" w:lineRule="auto"/>
        <w:jc w:val="left"/>
        <w:rPr>
          <w:b w:val="0"/>
          <w:bCs w:val="0"/>
        </w:rPr>
      </w:pPr>
      <w:r w:rsidRPr="00C43E6D">
        <w:rPr>
          <w:b w:val="0"/>
          <w:bCs w:val="0"/>
        </w:rPr>
        <w:t>Reprezentant al Congresului Autorităților Locale din Moldova</w:t>
      </w:r>
    </w:p>
    <w:p w14:paraId="4F0C5B36" w14:textId="3E811135" w:rsidR="00A42EBB" w:rsidRPr="00C43E6D" w:rsidRDefault="0011634D" w:rsidP="00A42EBB">
      <w:pPr>
        <w:pStyle w:val="cb"/>
        <w:spacing w:line="276" w:lineRule="auto"/>
        <w:jc w:val="left"/>
        <w:rPr>
          <w:b w:val="0"/>
          <w:bCs w:val="0"/>
        </w:rPr>
      </w:pPr>
      <w:r w:rsidRPr="00C43E6D">
        <w:rPr>
          <w:b w:val="0"/>
          <w:bCs w:val="0"/>
        </w:rPr>
        <w:t>Director</w:t>
      </w:r>
      <w:r w:rsidR="007670E6" w:rsidRPr="00C43E6D">
        <w:rPr>
          <w:b w:val="0"/>
          <w:bCs w:val="0"/>
        </w:rPr>
        <w:t xml:space="preserve"> al </w:t>
      </w:r>
      <w:r w:rsidR="00A42EBB" w:rsidRPr="00C43E6D">
        <w:rPr>
          <w:b w:val="0"/>
          <w:bCs w:val="0"/>
        </w:rPr>
        <w:t>Agenți</w:t>
      </w:r>
      <w:r w:rsidR="007670E6" w:rsidRPr="00C43E6D">
        <w:rPr>
          <w:b w:val="0"/>
          <w:bCs w:val="0"/>
        </w:rPr>
        <w:t>ei</w:t>
      </w:r>
      <w:r w:rsidR="00A42EBB" w:rsidRPr="00C43E6D">
        <w:rPr>
          <w:b w:val="0"/>
          <w:bCs w:val="0"/>
        </w:rPr>
        <w:t xml:space="preserve"> Proprietății Publice</w:t>
      </w:r>
    </w:p>
    <w:p w14:paraId="281404BB" w14:textId="6595B571" w:rsidR="00A42EBB" w:rsidRPr="00C43E6D" w:rsidRDefault="007670E6" w:rsidP="00A42EBB">
      <w:pPr>
        <w:pStyle w:val="cb"/>
        <w:spacing w:line="276" w:lineRule="auto"/>
        <w:jc w:val="left"/>
        <w:rPr>
          <w:b w:val="0"/>
          <w:bCs w:val="0"/>
        </w:rPr>
      </w:pPr>
      <w:r w:rsidRPr="00C43E6D">
        <w:rPr>
          <w:b w:val="0"/>
          <w:bCs w:val="0"/>
        </w:rPr>
        <w:t xml:space="preserve">Director al </w:t>
      </w:r>
      <w:r w:rsidR="00A42EBB" w:rsidRPr="00C43E6D">
        <w:rPr>
          <w:b w:val="0"/>
          <w:bCs w:val="0"/>
        </w:rPr>
        <w:t>Agenției Naționale pentru Reglementare în Energetică</w:t>
      </w:r>
    </w:p>
    <w:p w14:paraId="230632CE" w14:textId="5DBF2D73" w:rsidR="00A42EBB" w:rsidRPr="00C43E6D" w:rsidRDefault="007670E6" w:rsidP="00A42EBB">
      <w:pPr>
        <w:pStyle w:val="cb"/>
        <w:spacing w:line="276" w:lineRule="auto"/>
        <w:jc w:val="left"/>
        <w:rPr>
          <w:b w:val="0"/>
          <w:bCs w:val="0"/>
        </w:rPr>
      </w:pPr>
      <w:r w:rsidRPr="00C43E6D">
        <w:rPr>
          <w:b w:val="0"/>
          <w:bCs w:val="0"/>
        </w:rPr>
        <w:t xml:space="preserve">Director al </w:t>
      </w:r>
      <w:r w:rsidR="00A42EBB" w:rsidRPr="00C43E6D">
        <w:rPr>
          <w:b w:val="0"/>
          <w:bCs w:val="0"/>
        </w:rPr>
        <w:t>Agenți</w:t>
      </w:r>
      <w:r w:rsidRPr="00C43E6D">
        <w:rPr>
          <w:b w:val="0"/>
          <w:bCs w:val="0"/>
        </w:rPr>
        <w:t>ei</w:t>
      </w:r>
      <w:r w:rsidR="00A42EBB" w:rsidRPr="00C43E6D">
        <w:rPr>
          <w:b w:val="0"/>
          <w:bCs w:val="0"/>
        </w:rPr>
        <w:t xml:space="preserve"> Rezerve Materiale</w:t>
      </w:r>
    </w:p>
    <w:p w14:paraId="3FD7DD81" w14:textId="0A3F7FDA" w:rsidR="00A42EBB" w:rsidRPr="00C43E6D" w:rsidRDefault="007670E6" w:rsidP="00A42EBB">
      <w:pPr>
        <w:pStyle w:val="cb"/>
        <w:spacing w:line="276" w:lineRule="auto"/>
        <w:jc w:val="left"/>
        <w:rPr>
          <w:b w:val="0"/>
          <w:bCs w:val="0"/>
        </w:rPr>
      </w:pPr>
      <w:r w:rsidRPr="00C43E6D">
        <w:rPr>
          <w:b w:val="0"/>
          <w:bCs w:val="0"/>
        </w:rPr>
        <w:t xml:space="preserve">Director al </w:t>
      </w:r>
      <w:r w:rsidR="00A42EBB" w:rsidRPr="00C43E6D">
        <w:rPr>
          <w:b w:val="0"/>
          <w:bCs w:val="0"/>
        </w:rPr>
        <w:t>Agenți</w:t>
      </w:r>
      <w:r w:rsidRPr="00C43E6D">
        <w:rPr>
          <w:b w:val="0"/>
          <w:bCs w:val="0"/>
        </w:rPr>
        <w:t>ei</w:t>
      </w:r>
      <w:r w:rsidR="00A42EBB" w:rsidRPr="00C43E6D">
        <w:rPr>
          <w:b w:val="0"/>
          <w:bCs w:val="0"/>
        </w:rPr>
        <w:t xml:space="preserve"> „Moldsilva”</w:t>
      </w:r>
    </w:p>
    <w:p w14:paraId="53E5AABD" w14:textId="77777777" w:rsidR="00915F15" w:rsidRPr="00C43E6D" w:rsidRDefault="00915F15" w:rsidP="00915F15">
      <w:pPr>
        <w:pStyle w:val="NormalWeb"/>
        <w:spacing w:before="0" w:after="0" w:line="276" w:lineRule="auto"/>
        <w:rPr>
          <w:lang w:val="ro-MD"/>
        </w:rPr>
      </w:pPr>
      <w:r w:rsidRPr="00C43E6D">
        <w:rPr>
          <w:lang w:val="ro-MD"/>
        </w:rPr>
        <w:t>Director al Agenției Achiziții Publice</w:t>
      </w:r>
    </w:p>
    <w:p w14:paraId="1C50CDD0" w14:textId="5582EB0B" w:rsidR="00167E3C" w:rsidRPr="00C43E6D" w:rsidRDefault="00167E3C" w:rsidP="00A42EBB">
      <w:pPr>
        <w:pStyle w:val="NormalWeb"/>
        <w:spacing w:before="0" w:after="0" w:line="276" w:lineRule="auto"/>
        <w:rPr>
          <w:lang w:val="ro-MD"/>
        </w:rPr>
      </w:pPr>
      <w:r w:rsidRPr="00C43E6D">
        <w:rPr>
          <w:lang w:val="ro-MD"/>
        </w:rPr>
        <w:t>Șef al Inspectoratului General pentru Situații de Urgență</w:t>
      </w:r>
    </w:p>
    <w:p w14:paraId="1FC7B541" w14:textId="51CF6489" w:rsidR="00A42EBB" w:rsidRPr="00C43E6D" w:rsidRDefault="00C137FC" w:rsidP="00A42EBB">
      <w:pPr>
        <w:pStyle w:val="NormalWeb"/>
        <w:spacing w:before="0" w:after="0" w:line="276" w:lineRule="auto"/>
        <w:rPr>
          <w:lang w:val="ro-MD"/>
        </w:rPr>
      </w:pPr>
      <w:r w:rsidRPr="00C43E6D">
        <w:rPr>
          <w:lang w:val="ro-MD"/>
        </w:rPr>
        <w:t xml:space="preserve">Șef </w:t>
      </w:r>
      <w:r w:rsidR="007670E6" w:rsidRPr="00C43E6D">
        <w:rPr>
          <w:lang w:val="ro-MD"/>
        </w:rPr>
        <w:t xml:space="preserve">al </w:t>
      </w:r>
      <w:r w:rsidR="006526EB" w:rsidRPr="00C43E6D">
        <w:rPr>
          <w:lang w:val="ro-MD"/>
        </w:rPr>
        <w:t xml:space="preserve">Inspectoratului Național </w:t>
      </w:r>
      <w:r w:rsidR="000778B8" w:rsidRPr="00C43E6D">
        <w:rPr>
          <w:lang w:val="ro-MD"/>
        </w:rPr>
        <w:t xml:space="preserve">pentru </w:t>
      </w:r>
      <w:r w:rsidR="00A42EBB" w:rsidRPr="00C43E6D">
        <w:rPr>
          <w:lang w:val="ro-MD"/>
        </w:rPr>
        <w:t xml:space="preserve">Supraveghere Tehnică </w:t>
      </w:r>
    </w:p>
    <w:p w14:paraId="702BF383" w14:textId="248ED4B6" w:rsidR="00D32420" w:rsidRPr="00C43E6D" w:rsidRDefault="007670E6" w:rsidP="00A42EBB">
      <w:pPr>
        <w:pStyle w:val="NormalWeb"/>
        <w:spacing w:before="0" w:after="0" w:line="276" w:lineRule="auto"/>
        <w:rPr>
          <w:lang w:val="ro-MD"/>
        </w:rPr>
      </w:pPr>
      <w:r w:rsidRPr="00C43E6D">
        <w:rPr>
          <w:lang w:val="ro-MD"/>
        </w:rPr>
        <w:t xml:space="preserve">Director al </w:t>
      </w:r>
      <w:r w:rsidR="006653B8" w:rsidRPr="00C43E6D">
        <w:rPr>
          <w:lang w:val="ro-MD"/>
        </w:rPr>
        <w:t>Centrului Național pentru Energie Durabilă</w:t>
      </w:r>
      <w:r w:rsidR="00A42EBB" w:rsidRPr="00C43E6D">
        <w:rPr>
          <w:lang w:val="ro-MD"/>
        </w:rPr>
        <w:t xml:space="preserve"> </w:t>
      </w:r>
    </w:p>
    <w:p w14:paraId="368DEC7A" w14:textId="321A239C" w:rsidR="00A42EBB" w:rsidRPr="00C43E6D" w:rsidRDefault="007670E6" w:rsidP="00A42EBB">
      <w:pPr>
        <w:pStyle w:val="NormalWeb"/>
        <w:spacing w:before="0" w:after="0" w:line="276" w:lineRule="auto"/>
        <w:rPr>
          <w:lang w:val="ro-MD"/>
        </w:rPr>
      </w:pPr>
      <w:r w:rsidRPr="00C43E6D">
        <w:rPr>
          <w:lang w:val="ro-MD"/>
        </w:rPr>
        <w:t xml:space="preserve">Director al </w:t>
      </w:r>
      <w:r w:rsidR="00A42EBB" w:rsidRPr="00C43E6D">
        <w:rPr>
          <w:lang w:val="ro-MD"/>
        </w:rPr>
        <w:t>Serviciul</w:t>
      </w:r>
      <w:r w:rsidR="00DB2EB6" w:rsidRPr="00C43E6D">
        <w:rPr>
          <w:lang w:val="ro-MD"/>
        </w:rPr>
        <w:t>ui</w:t>
      </w:r>
      <w:r w:rsidR="00A42EBB" w:rsidRPr="00C43E6D">
        <w:rPr>
          <w:lang w:val="ro-MD"/>
        </w:rPr>
        <w:t xml:space="preserve"> Vamal</w:t>
      </w:r>
    </w:p>
    <w:p w14:paraId="26CA3760" w14:textId="1A7A8C4F" w:rsidR="00CF1922" w:rsidRPr="00C43E6D" w:rsidRDefault="007670E6" w:rsidP="00A42EBB">
      <w:pPr>
        <w:pStyle w:val="NormalWeb"/>
        <w:spacing w:before="0" w:after="0" w:line="276" w:lineRule="auto"/>
        <w:rPr>
          <w:lang w:val="ro-MD"/>
        </w:rPr>
      </w:pPr>
      <w:r w:rsidRPr="00C43E6D">
        <w:rPr>
          <w:lang w:val="ro-MD"/>
        </w:rPr>
        <w:t xml:space="preserve">Director al </w:t>
      </w:r>
      <w:r w:rsidR="00A42EBB" w:rsidRPr="00C43E6D">
        <w:rPr>
          <w:lang w:val="ro-MD"/>
        </w:rPr>
        <w:t>Serviciul</w:t>
      </w:r>
      <w:r w:rsidR="00DB2EB6" w:rsidRPr="00C43E6D">
        <w:rPr>
          <w:lang w:val="ro-MD"/>
        </w:rPr>
        <w:t>ui</w:t>
      </w:r>
      <w:r w:rsidR="00A42EBB" w:rsidRPr="00C43E6D">
        <w:rPr>
          <w:lang w:val="ro-MD"/>
        </w:rPr>
        <w:t xml:space="preserve"> Fiscal de Stat</w:t>
      </w:r>
    </w:p>
    <w:p w14:paraId="24EE67F5" w14:textId="57602009" w:rsidR="00D32420" w:rsidRPr="00C43E6D" w:rsidRDefault="00D32420" w:rsidP="00A42EBB">
      <w:pPr>
        <w:pStyle w:val="NormalWeb"/>
        <w:spacing w:before="0" w:after="0" w:line="276" w:lineRule="auto"/>
        <w:rPr>
          <w:lang w:val="ro-MD"/>
        </w:rPr>
      </w:pPr>
      <w:r w:rsidRPr="00C43E6D">
        <w:rPr>
          <w:lang w:val="ro-MD"/>
        </w:rPr>
        <w:t xml:space="preserve">Director al </w:t>
      </w:r>
      <w:r w:rsidR="00AB017A" w:rsidRPr="00C43E6D">
        <w:rPr>
          <w:lang w:val="ro-MD"/>
        </w:rPr>
        <w:t>Societății pe Acțiuni (în continuare SA)</w:t>
      </w:r>
      <w:r w:rsidR="00AB017A">
        <w:rPr>
          <w:lang w:val="ro-MD"/>
        </w:rPr>
        <w:t xml:space="preserve"> </w:t>
      </w:r>
      <w:r w:rsidRPr="00C43E6D">
        <w:rPr>
          <w:lang w:val="ro-MD"/>
        </w:rPr>
        <w:t>„Administrația de Stat a Drumurilor”</w:t>
      </w:r>
    </w:p>
    <w:p w14:paraId="48493EF7" w14:textId="66D365FB" w:rsidR="009D6AC2" w:rsidRPr="00C43E6D" w:rsidRDefault="009D6AC2" w:rsidP="00A42EBB">
      <w:pPr>
        <w:pStyle w:val="NormalWeb"/>
        <w:spacing w:before="0" w:after="0" w:line="276" w:lineRule="auto"/>
        <w:rPr>
          <w:lang w:val="ro-MD"/>
        </w:rPr>
      </w:pPr>
      <w:r w:rsidRPr="00C43E6D">
        <w:rPr>
          <w:lang w:val="ro-MD"/>
        </w:rPr>
        <w:t xml:space="preserve">Director al </w:t>
      </w:r>
      <w:r w:rsidR="00AB017A">
        <w:rPr>
          <w:lang w:val="ro-MD"/>
        </w:rPr>
        <w:t>Î</w:t>
      </w:r>
      <w:r w:rsidR="00AB017A" w:rsidRPr="00C43E6D">
        <w:rPr>
          <w:lang w:val="ro-MD"/>
        </w:rPr>
        <w:t xml:space="preserve">ntreprinderii de </w:t>
      </w:r>
      <w:r w:rsidR="00AB017A">
        <w:rPr>
          <w:lang w:val="ro-MD"/>
        </w:rPr>
        <w:t>S</w:t>
      </w:r>
      <w:r w:rsidR="00AB017A" w:rsidRPr="00C43E6D">
        <w:rPr>
          <w:lang w:val="ro-MD"/>
        </w:rPr>
        <w:t>tat (în continuare ÎS)</w:t>
      </w:r>
      <w:r w:rsidR="00106950" w:rsidRPr="00C43E6D">
        <w:rPr>
          <w:lang w:val="ro-MD"/>
        </w:rPr>
        <w:t xml:space="preserve"> </w:t>
      </w:r>
      <w:r w:rsidRPr="00C43E6D">
        <w:rPr>
          <w:lang w:val="ro-MD"/>
        </w:rPr>
        <w:t>„Calea Ferată din Moldova”</w:t>
      </w:r>
    </w:p>
    <w:p w14:paraId="43CF708F" w14:textId="0ECA24EC" w:rsidR="00167E3C" w:rsidRDefault="00167E3C" w:rsidP="00167E3C">
      <w:pPr>
        <w:pStyle w:val="NormalWeb"/>
        <w:spacing w:before="0" w:after="0" w:line="276" w:lineRule="auto"/>
        <w:rPr>
          <w:lang w:val="ro-MD"/>
        </w:rPr>
      </w:pPr>
      <w:r w:rsidRPr="00C43E6D">
        <w:rPr>
          <w:lang w:val="ro-MD"/>
        </w:rPr>
        <w:t xml:space="preserve">Director al </w:t>
      </w:r>
      <w:r w:rsidR="00DC36CC" w:rsidRPr="00DC36CC">
        <w:rPr>
          <w:shd w:val="clear" w:color="auto" w:fill="FFFFFF" w:themeFill="background1"/>
          <w:lang w:val="ro-MD"/>
        </w:rPr>
        <w:t>Societății cu Răspundere Limitată (în continuare SRL)</w:t>
      </w:r>
      <w:r w:rsidRPr="00C43E6D">
        <w:rPr>
          <w:lang w:val="ro-MD"/>
        </w:rPr>
        <w:t xml:space="preserve"> „Vestmoldtransgaz”</w:t>
      </w:r>
    </w:p>
    <w:p w14:paraId="6439FA62" w14:textId="251C2E59" w:rsidR="008047DA" w:rsidRPr="00C43E6D" w:rsidRDefault="008047DA" w:rsidP="008047DA">
      <w:pPr>
        <w:pStyle w:val="NormalWeb"/>
        <w:spacing w:before="0" w:after="0" w:line="276" w:lineRule="auto"/>
        <w:rPr>
          <w:lang w:val="ro-MD"/>
        </w:rPr>
      </w:pPr>
      <w:r w:rsidRPr="00C43E6D">
        <w:rPr>
          <w:lang w:val="ro-MD"/>
        </w:rPr>
        <w:t xml:space="preserve">Director al </w:t>
      </w:r>
      <w:r w:rsidR="0035407C" w:rsidRPr="00C43E6D">
        <w:rPr>
          <w:lang w:val="ro-MD"/>
        </w:rPr>
        <w:t xml:space="preserve">SA </w:t>
      </w:r>
      <w:r w:rsidRPr="00C43E6D">
        <w:rPr>
          <w:lang w:val="ro-MD"/>
        </w:rPr>
        <w:t>„Energocom”</w:t>
      </w:r>
    </w:p>
    <w:p w14:paraId="582D7DA5" w14:textId="743D696B" w:rsidR="008047DA" w:rsidRDefault="008047DA" w:rsidP="00167E3C">
      <w:pPr>
        <w:pStyle w:val="NormalWeb"/>
        <w:spacing w:before="0" w:after="0" w:line="276" w:lineRule="auto"/>
        <w:rPr>
          <w:lang w:val="ro-MD"/>
        </w:rPr>
      </w:pPr>
      <w:r w:rsidRPr="00C43E6D">
        <w:rPr>
          <w:lang w:val="ro-MD"/>
        </w:rPr>
        <w:t>Director al SA „Moldovagaz”</w:t>
      </w:r>
    </w:p>
    <w:p w14:paraId="73021B43" w14:textId="370AB341" w:rsidR="00DC36CC" w:rsidRPr="00C43E6D" w:rsidRDefault="00DC36CC" w:rsidP="00167E3C">
      <w:pPr>
        <w:pStyle w:val="NormalWeb"/>
        <w:spacing w:before="0" w:after="0" w:line="276" w:lineRule="auto"/>
        <w:rPr>
          <w:lang w:val="ro-MD"/>
        </w:rPr>
      </w:pPr>
      <w:r w:rsidRPr="00DC36CC">
        <w:rPr>
          <w:lang w:val="ro-MD"/>
        </w:rPr>
        <w:t>Director al SRL „Moldovatransgaz”</w:t>
      </w:r>
    </w:p>
    <w:p w14:paraId="63CCBB56" w14:textId="170206E6" w:rsidR="00167E3C" w:rsidRPr="00C43E6D" w:rsidRDefault="00167E3C" w:rsidP="00167E3C">
      <w:pPr>
        <w:pStyle w:val="NormalWeb"/>
        <w:spacing w:before="0" w:after="0" w:line="276" w:lineRule="auto"/>
        <w:rPr>
          <w:lang w:val="ro-MD"/>
        </w:rPr>
      </w:pPr>
      <w:r w:rsidRPr="00C43E6D">
        <w:rPr>
          <w:lang w:val="ro-MD"/>
        </w:rPr>
        <w:t>Director al ÎS „Moldelectrica”</w:t>
      </w:r>
    </w:p>
    <w:p w14:paraId="6A1CABFA" w14:textId="77777777" w:rsidR="00167E3C" w:rsidRPr="00C43E6D" w:rsidRDefault="00167E3C" w:rsidP="00167E3C">
      <w:pPr>
        <w:pStyle w:val="NormalWeb"/>
        <w:spacing w:before="0" w:after="0" w:line="276" w:lineRule="auto"/>
        <w:rPr>
          <w:lang w:val="ro-MD"/>
        </w:rPr>
      </w:pPr>
      <w:r w:rsidRPr="00C43E6D">
        <w:rPr>
          <w:lang w:val="ro-MD"/>
        </w:rPr>
        <w:t>Director al SA „RED-Nord”</w:t>
      </w:r>
    </w:p>
    <w:p w14:paraId="68FE8756" w14:textId="77777777" w:rsidR="00167E3C" w:rsidRPr="00C43E6D" w:rsidRDefault="00167E3C" w:rsidP="00167E3C">
      <w:pPr>
        <w:pStyle w:val="NormalWeb"/>
        <w:spacing w:before="0" w:after="0" w:line="276" w:lineRule="auto"/>
        <w:rPr>
          <w:lang w:val="ro-MD"/>
        </w:rPr>
      </w:pPr>
      <w:r w:rsidRPr="00C43E6D">
        <w:rPr>
          <w:lang w:val="ro-MD"/>
        </w:rPr>
        <w:t>Director al Întreprinderii cu Capital Străin (în continuare ÎCS) „Premier Energy Distribution” SA</w:t>
      </w:r>
    </w:p>
    <w:p w14:paraId="079ACF34" w14:textId="77777777" w:rsidR="00167E3C" w:rsidRPr="00C43E6D" w:rsidRDefault="00167E3C" w:rsidP="00167E3C">
      <w:pPr>
        <w:pStyle w:val="NormalWeb"/>
        <w:spacing w:before="0" w:after="0" w:line="276" w:lineRule="auto"/>
        <w:rPr>
          <w:lang w:val="ro-MD"/>
        </w:rPr>
      </w:pPr>
      <w:r w:rsidRPr="00C43E6D">
        <w:rPr>
          <w:lang w:val="ro-MD"/>
        </w:rPr>
        <w:t>Director al ÎCS „Premier Energy” SRL</w:t>
      </w:r>
    </w:p>
    <w:p w14:paraId="769C6D5E" w14:textId="30DF71FA" w:rsidR="00167E3C" w:rsidRPr="00C43E6D" w:rsidRDefault="00167E3C" w:rsidP="00A42EBB">
      <w:pPr>
        <w:pStyle w:val="NormalWeb"/>
        <w:spacing w:before="0" w:after="0" w:line="276" w:lineRule="auto"/>
        <w:rPr>
          <w:lang w:val="ro-MD"/>
        </w:rPr>
      </w:pPr>
      <w:r w:rsidRPr="00C43E6D">
        <w:rPr>
          <w:lang w:val="ro-MD"/>
        </w:rPr>
        <w:t>Director al SA „FEE-Nord”</w:t>
      </w:r>
    </w:p>
    <w:p w14:paraId="293A7D72" w14:textId="247B8E33" w:rsidR="00A42EBB" w:rsidRPr="00C43E6D" w:rsidRDefault="00E01AC8" w:rsidP="00A42EBB">
      <w:pPr>
        <w:pStyle w:val="NormalWeb"/>
        <w:spacing w:before="0" w:after="0" w:line="276" w:lineRule="auto"/>
        <w:rPr>
          <w:lang w:val="ro-MD"/>
        </w:rPr>
      </w:pPr>
      <w:r w:rsidRPr="00C43E6D">
        <w:rPr>
          <w:lang w:val="ro-MD"/>
        </w:rPr>
        <w:t xml:space="preserve">Director al </w:t>
      </w:r>
      <w:r w:rsidR="00A42EBB" w:rsidRPr="00C43E6D">
        <w:rPr>
          <w:lang w:val="ro-MD"/>
        </w:rPr>
        <w:t xml:space="preserve">SA </w:t>
      </w:r>
      <w:r w:rsidR="002379B9" w:rsidRPr="00C43E6D">
        <w:rPr>
          <w:lang w:val="ro-MD"/>
        </w:rPr>
        <w:t>„</w:t>
      </w:r>
      <w:r w:rsidR="00A42EBB" w:rsidRPr="00C43E6D">
        <w:rPr>
          <w:lang w:val="ro-MD"/>
        </w:rPr>
        <w:t>Termoelectrica”</w:t>
      </w:r>
    </w:p>
    <w:p w14:paraId="43EB5255" w14:textId="48A590BC" w:rsidR="00A42EBB" w:rsidRPr="00C43E6D" w:rsidRDefault="00E01AC8" w:rsidP="00A42EBB">
      <w:pPr>
        <w:pStyle w:val="NormalWeb"/>
        <w:spacing w:before="0" w:after="0" w:line="276" w:lineRule="auto"/>
        <w:rPr>
          <w:lang w:val="ro-MD"/>
        </w:rPr>
      </w:pPr>
      <w:r w:rsidRPr="00C43E6D">
        <w:rPr>
          <w:lang w:val="ro-MD"/>
        </w:rPr>
        <w:t xml:space="preserve">Director al </w:t>
      </w:r>
      <w:r w:rsidR="00A42EBB" w:rsidRPr="00C43E6D">
        <w:rPr>
          <w:lang w:val="ro-MD"/>
        </w:rPr>
        <w:t xml:space="preserve">SA </w:t>
      </w:r>
      <w:r w:rsidR="002379B9" w:rsidRPr="00C43E6D">
        <w:rPr>
          <w:lang w:val="ro-MD"/>
        </w:rPr>
        <w:t>„</w:t>
      </w:r>
      <w:r w:rsidR="00A42EBB" w:rsidRPr="00C43E6D">
        <w:rPr>
          <w:lang w:val="ro-MD"/>
        </w:rPr>
        <w:t>CET-Nord”</w:t>
      </w:r>
    </w:p>
    <w:p w14:paraId="12AE4D5F" w14:textId="015AD05E" w:rsidR="004E391F" w:rsidRPr="00C43E6D" w:rsidRDefault="004E391F" w:rsidP="00A42EBB">
      <w:pPr>
        <w:pStyle w:val="NormalWeb"/>
        <w:spacing w:before="0" w:after="0" w:line="276" w:lineRule="auto"/>
        <w:rPr>
          <w:lang w:val="ro-MD"/>
        </w:rPr>
      </w:pPr>
      <w:r w:rsidRPr="00C43E6D">
        <w:rPr>
          <w:lang w:val="ro-MD"/>
        </w:rPr>
        <w:t xml:space="preserve">Director </w:t>
      </w:r>
      <w:r w:rsidR="00167E3C" w:rsidRPr="00C43E6D">
        <w:rPr>
          <w:lang w:val="ro-MD"/>
        </w:rPr>
        <w:t>al ÎS „Nodul Hidroenergetic Costești”</w:t>
      </w:r>
    </w:p>
    <w:p w14:paraId="329AAD0F" w14:textId="77777777" w:rsidR="00167E3C" w:rsidRPr="0035326F" w:rsidRDefault="00167E3C" w:rsidP="00167E3C">
      <w:pPr>
        <w:tabs>
          <w:tab w:val="left" w:pos="5040"/>
        </w:tabs>
        <w:suppressAutoHyphens/>
        <w:spacing w:after="0" w:line="276" w:lineRule="auto"/>
        <w:rPr>
          <w:rFonts w:ascii="Times New Roman" w:eastAsia="Times New Roman" w:hAnsi="Times New Roman" w:cs="Times New Roman"/>
          <w:sz w:val="24"/>
          <w:szCs w:val="24"/>
          <w:lang w:eastAsia="ar-SA"/>
        </w:rPr>
      </w:pPr>
      <w:r w:rsidRPr="0035326F">
        <w:rPr>
          <w:rFonts w:ascii="Times New Roman" w:eastAsia="Times New Roman" w:hAnsi="Times New Roman" w:cs="Times New Roman"/>
          <w:sz w:val="24"/>
          <w:szCs w:val="24"/>
          <w:lang w:eastAsia="ar-SA"/>
        </w:rPr>
        <w:t>Director dezvoltare în cadrul Asociației Obștești „Alianța pentru Eficientă Energetică și Regenerabile”</w:t>
      </w:r>
    </w:p>
    <w:p w14:paraId="5AD210D9" w14:textId="3C08A47A" w:rsidR="00CA0948" w:rsidRPr="00C43E6D" w:rsidRDefault="00167E3C" w:rsidP="00167E3C">
      <w:pPr>
        <w:tabs>
          <w:tab w:val="left" w:pos="5040"/>
        </w:tabs>
        <w:suppressAutoHyphens/>
        <w:spacing w:line="276" w:lineRule="auto"/>
        <w:rPr>
          <w:rFonts w:ascii="Times New Roman" w:eastAsia="Times New Roman" w:hAnsi="Times New Roman" w:cs="Times New Roman"/>
          <w:sz w:val="24"/>
          <w:szCs w:val="24"/>
          <w:lang w:eastAsia="ar-SA"/>
        </w:rPr>
      </w:pPr>
      <w:r w:rsidRPr="0035326F">
        <w:rPr>
          <w:rFonts w:ascii="Times New Roman" w:eastAsia="Times New Roman" w:hAnsi="Times New Roman" w:cs="Times New Roman"/>
          <w:sz w:val="24"/>
          <w:szCs w:val="24"/>
          <w:lang w:eastAsia="ar-SA"/>
        </w:rPr>
        <w:t>Manager de program în cadrul Comunității pentru advocacy și politici publice „WatchDog.MD”</w:t>
      </w:r>
    </w:p>
    <w:p w14:paraId="34789220" w14:textId="59150BEE" w:rsidR="0023621F" w:rsidRPr="00C43E6D" w:rsidRDefault="0023621F" w:rsidP="00A42EBB">
      <w:pPr>
        <w:pStyle w:val="cb"/>
        <w:ind w:left="708"/>
        <w:jc w:val="right"/>
        <w:rPr>
          <w:b w:val="0"/>
          <w:bCs w:val="0"/>
          <w:i/>
          <w:iCs/>
        </w:rPr>
      </w:pPr>
    </w:p>
    <w:p w14:paraId="1777A0D3" w14:textId="4EA7C86D" w:rsidR="00DB2EB6" w:rsidRPr="00C43E6D" w:rsidRDefault="00DB2EB6" w:rsidP="00A42EBB">
      <w:pPr>
        <w:pStyle w:val="cb"/>
        <w:ind w:left="708"/>
        <w:jc w:val="right"/>
        <w:rPr>
          <w:b w:val="0"/>
          <w:bCs w:val="0"/>
          <w:i/>
          <w:iCs/>
        </w:rPr>
      </w:pPr>
    </w:p>
    <w:p w14:paraId="15C0D57E" w14:textId="77777777" w:rsidR="00603607" w:rsidRPr="00C43E6D" w:rsidRDefault="00603607" w:rsidP="00A42EBB">
      <w:pPr>
        <w:pStyle w:val="cb"/>
        <w:ind w:left="708"/>
        <w:jc w:val="right"/>
        <w:rPr>
          <w:b w:val="0"/>
          <w:bCs w:val="0"/>
          <w:i/>
          <w:iCs/>
        </w:rPr>
      </w:pPr>
    </w:p>
    <w:p w14:paraId="14C685C9" w14:textId="68DE553A" w:rsidR="00A42EBB" w:rsidRPr="00C43E6D" w:rsidRDefault="00A42EBB" w:rsidP="00A42EBB">
      <w:pPr>
        <w:pStyle w:val="cb"/>
        <w:ind w:left="708"/>
        <w:jc w:val="right"/>
        <w:rPr>
          <w:b w:val="0"/>
          <w:bCs w:val="0"/>
          <w:i/>
          <w:iCs/>
        </w:rPr>
      </w:pPr>
      <w:r w:rsidRPr="00C43E6D">
        <w:rPr>
          <w:b w:val="0"/>
          <w:bCs w:val="0"/>
          <w:i/>
          <w:iCs/>
        </w:rPr>
        <w:t xml:space="preserve">Anexă nr. 2 </w:t>
      </w:r>
    </w:p>
    <w:p w14:paraId="1F07206D" w14:textId="77777777" w:rsidR="00A42EBB" w:rsidRPr="00C43E6D" w:rsidRDefault="00A42EBB" w:rsidP="00A42EBB">
      <w:pPr>
        <w:pStyle w:val="cb"/>
        <w:ind w:left="708"/>
        <w:jc w:val="right"/>
        <w:rPr>
          <w:b w:val="0"/>
          <w:bCs w:val="0"/>
          <w:i/>
          <w:iCs/>
        </w:rPr>
      </w:pPr>
      <w:r w:rsidRPr="00C43E6D">
        <w:rPr>
          <w:b w:val="0"/>
          <w:bCs w:val="0"/>
          <w:i/>
          <w:iCs/>
        </w:rPr>
        <w:t>la Hotărârea Guvernului nr.</w:t>
      </w:r>
      <w:r w:rsidRPr="00C43E6D">
        <w:rPr>
          <w:b w:val="0"/>
          <w:bCs w:val="0"/>
        </w:rPr>
        <w:t xml:space="preserve"> </w:t>
      </w:r>
    </w:p>
    <w:p w14:paraId="4050D915" w14:textId="1426086E" w:rsidR="00970EA0" w:rsidRPr="00C43E6D" w:rsidRDefault="00970EA0" w:rsidP="00A42EBB">
      <w:pPr>
        <w:pStyle w:val="cb"/>
        <w:spacing w:before="240" w:after="240"/>
        <w:ind w:left="708"/>
      </w:pPr>
      <w:r w:rsidRPr="00C43E6D">
        <w:t xml:space="preserve">Planul de măsuri pentru pregătire </w:t>
      </w:r>
      <w:r w:rsidR="004E666B" w:rsidRPr="00C43E6D">
        <w:t>de</w:t>
      </w:r>
      <w:r w:rsidRPr="00C43E6D">
        <w:t xml:space="preserve"> sezonul </w:t>
      </w:r>
      <w:r w:rsidR="004E666B" w:rsidRPr="00C43E6D">
        <w:t>de încălzire</w:t>
      </w:r>
      <w:r w:rsidRPr="00C43E6D">
        <w:t xml:space="preserve"> 202</w:t>
      </w:r>
      <w:r w:rsidR="00DB2EB6" w:rsidRPr="00C43E6D">
        <w:t>5</w:t>
      </w:r>
      <w:r w:rsidRPr="00C43E6D">
        <w:t>-202</w:t>
      </w:r>
      <w:r w:rsidR="00DB2EB6" w:rsidRPr="00C43E6D">
        <w:t>6</w:t>
      </w:r>
    </w:p>
    <w:p w14:paraId="33804CC5" w14:textId="0C5F551C" w:rsidR="00A42EBB" w:rsidRPr="00C43E6D" w:rsidRDefault="00A42EBB" w:rsidP="00A42EBB">
      <w:pPr>
        <w:pStyle w:val="cb"/>
        <w:spacing w:before="240" w:after="240"/>
        <w:ind w:left="708"/>
        <w:rPr>
          <w:b w:val="0"/>
          <w:bCs w:val="0"/>
        </w:rPr>
      </w:pPr>
      <w:r w:rsidRPr="00C43E6D">
        <w:rPr>
          <w:rStyle w:val="Strong"/>
          <w:b/>
          <w:bCs/>
          <w:shd w:val="clear" w:color="auto" w:fill="FFFFFF"/>
        </w:rPr>
        <w:t>I. CONTEXT ȘI FUNDAMENTARE</w:t>
      </w:r>
    </w:p>
    <w:p w14:paraId="1138C649" w14:textId="7345A92D" w:rsidR="00B41DD2" w:rsidRPr="00C958F1" w:rsidRDefault="007177CB" w:rsidP="00C958F1">
      <w:pPr>
        <w:spacing w:after="60" w:line="276" w:lineRule="auto"/>
        <w:ind w:firstLine="547"/>
        <w:jc w:val="both"/>
        <w:rPr>
          <w:rFonts w:ascii="Times New Roman" w:hAnsi="Times New Roman" w:cs="Times New Roman"/>
          <w:color w:val="000000"/>
          <w:sz w:val="24"/>
          <w:szCs w:val="24"/>
          <w:highlight w:val="yellow"/>
        </w:rPr>
      </w:pPr>
      <w:r w:rsidRPr="00C43E6D">
        <w:rPr>
          <w:rFonts w:ascii="Times New Roman" w:hAnsi="Times New Roman" w:cs="Times New Roman"/>
          <w:b/>
          <w:bCs/>
          <w:color w:val="000000"/>
          <w:sz w:val="24"/>
          <w:szCs w:val="24"/>
        </w:rPr>
        <w:t>1.</w:t>
      </w:r>
      <w:r w:rsidRPr="00C43E6D">
        <w:rPr>
          <w:rFonts w:ascii="Times New Roman" w:hAnsi="Times New Roman" w:cs="Times New Roman"/>
          <w:color w:val="000000"/>
          <w:sz w:val="24"/>
          <w:szCs w:val="24"/>
        </w:rPr>
        <w:t xml:space="preserve"> </w:t>
      </w:r>
      <w:r w:rsidR="0012773E" w:rsidRPr="00C958F1">
        <w:rPr>
          <w:rFonts w:ascii="Times New Roman" w:hAnsi="Times New Roman" w:cs="Times New Roman"/>
          <w:color w:val="000000"/>
          <w:sz w:val="24"/>
          <w:szCs w:val="24"/>
        </w:rPr>
        <w:t xml:space="preserve">Piața europeană și globală a gazelor naturale a suferit un șoc major de aprovizionare în </w:t>
      </w:r>
      <w:r w:rsidR="000B2C77" w:rsidRPr="00C958F1">
        <w:rPr>
          <w:rFonts w:ascii="Times New Roman" w:hAnsi="Times New Roman" w:cs="Times New Roman"/>
          <w:color w:val="000000"/>
          <w:sz w:val="24"/>
          <w:szCs w:val="24"/>
        </w:rPr>
        <w:t xml:space="preserve">anul </w:t>
      </w:r>
      <w:r w:rsidR="0012773E" w:rsidRPr="00C958F1">
        <w:rPr>
          <w:rFonts w:ascii="Times New Roman" w:hAnsi="Times New Roman" w:cs="Times New Roman"/>
          <w:color w:val="000000"/>
          <w:sz w:val="24"/>
          <w:szCs w:val="24"/>
        </w:rPr>
        <w:t xml:space="preserve">2022: reducerea bruscă </w:t>
      </w:r>
      <w:r w:rsidR="000B2C77" w:rsidRPr="00C958F1">
        <w:rPr>
          <w:rFonts w:ascii="Times New Roman" w:hAnsi="Times New Roman" w:cs="Times New Roman"/>
          <w:color w:val="000000"/>
          <w:sz w:val="24"/>
          <w:szCs w:val="24"/>
        </w:rPr>
        <w:t>de către Rus</w:t>
      </w:r>
      <w:r w:rsidR="006416D6" w:rsidRPr="00C958F1">
        <w:rPr>
          <w:rFonts w:ascii="Times New Roman" w:hAnsi="Times New Roman" w:cs="Times New Roman"/>
          <w:color w:val="000000"/>
          <w:sz w:val="24"/>
          <w:szCs w:val="24"/>
        </w:rPr>
        <w:t>ia</w:t>
      </w:r>
      <w:r w:rsidR="000B2C77" w:rsidRPr="00C958F1">
        <w:rPr>
          <w:rFonts w:ascii="Times New Roman" w:hAnsi="Times New Roman" w:cs="Times New Roman"/>
          <w:color w:val="000000"/>
          <w:sz w:val="24"/>
          <w:szCs w:val="24"/>
        </w:rPr>
        <w:t xml:space="preserve"> </w:t>
      </w:r>
      <w:r w:rsidR="0012773E" w:rsidRPr="00C958F1">
        <w:rPr>
          <w:rFonts w:ascii="Times New Roman" w:hAnsi="Times New Roman" w:cs="Times New Roman"/>
          <w:color w:val="000000"/>
          <w:sz w:val="24"/>
          <w:szCs w:val="24"/>
        </w:rPr>
        <w:t xml:space="preserve">a </w:t>
      </w:r>
      <w:r w:rsidR="000B2C77" w:rsidRPr="00C958F1">
        <w:rPr>
          <w:rFonts w:ascii="Times New Roman" w:hAnsi="Times New Roman" w:cs="Times New Roman"/>
          <w:color w:val="000000"/>
          <w:sz w:val="24"/>
          <w:szCs w:val="24"/>
        </w:rPr>
        <w:t>livrării</w:t>
      </w:r>
      <w:r w:rsidR="0012773E" w:rsidRPr="00C958F1">
        <w:rPr>
          <w:rFonts w:ascii="Times New Roman" w:hAnsi="Times New Roman" w:cs="Times New Roman"/>
          <w:color w:val="000000"/>
          <w:sz w:val="24"/>
          <w:szCs w:val="24"/>
        </w:rPr>
        <w:t xml:space="preserve"> gaze</w:t>
      </w:r>
      <w:r w:rsidR="000B2C77" w:rsidRPr="00C958F1">
        <w:rPr>
          <w:rFonts w:ascii="Times New Roman" w:hAnsi="Times New Roman" w:cs="Times New Roman"/>
          <w:color w:val="000000"/>
          <w:sz w:val="24"/>
          <w:szCs w:val="24"/>
        </w:rPr>
        <w:t>lor</w:t>
      </w:r>
      <w:r w:rsidR="0012773E" w:rsidRPr="00C958F1">
        <w:rPr>
          <w:rFonts w:ascii="Times New Roman" w:hAnsi="Times New Roman" w:cs="Times New Roman"/>
          <w:color w:val="000000"/>
          <w:sz w:val="24"/>
          <w:szCs w:val="24"/>
        </w:rPr>
        <w:t xml:space="preserve"> </w:t>
      </w:r>
      <w:r w:rsidR="000B2C77" w:rsidRPr="00C958F1">
        <w:rPr>
          <w:rFonts w:ascii="Times New Roman" w:hAnsi="Times New Roman" w:cs="Times New Roman"/>
          <w:color w:val="000000"/>
          <w:sz w:val="24"/>
          <w:szCs w:val="24"/>
        </w:rPr>
        <w:t xml:space="preserve">naturale </w:t>
      </w:r>
      <w:r w:rsidR="0012773E" w:rsidRPr="00C958F1">
        <w:rPr>
          <w:rFonts w:ascii="Times New Roman" w:hAnsi="Times New Roman" w:cs="Times New Roman"/>
          <w:color w:val="000000"/>
          <w:sz w:val="24"/>
          <w:szCs w:val="24"/>
        </w:rPr>
        <w:t>către Uniunea Europeană</w:t>
      </w:r>
      <w:r w:rsidR="000B2C77" w:rsidRPr="00C958F1">
        <w:rPr>
          <w:rFonts w:ascii="Times New Roman" w:hAnsi="Times New Roman" w:cs="Times New Roman"/>
          <w:color w:val="000000"/>
          <w:sz w:val="24"/>
          <w:szCs w:val="24"/>
        </w:rPr>
        <w:t xml:space="preserve"> (UE)</w:t>
      </w:r>
      <w:r w:rsidR="0012773E" w:rsidRPr="00C958F1">
        <w:rPr>
          <w:rFonts w:ascii="Times New Roman" w:hAnsi="Times New Roman" w:cs="Times New Roman"/>
          <w:color w:val="000000"/>
          <w:sz w:val="24"/>
          <w:szCs w:val="24"/>
        </w:rPr>
        <w:t xml:space="preserve"> a pus o presiune fără precedent asupra pieței, declanșând o criză globală a gazelor naturale. În ciuda acestor reduceri a </w:t>
      </w:r>
      <w:r w:rsidR="006416D6" w:rsidRPr="00C958F1">
        <w:rPr>
          <w:rFonts w:ascii="Times New Roman" w:hAnsi="Times New Roman" w:cs="Times New Roman"/>
          <w:color w:val="000000"/>
          <w:sz w:val="24"/>
          <w:szCs w:val="24"/>
        </w:rPr>
        <w:t xml:space="preserve">volumelor de </w:t>
      </w:r>
      <w:r w:rsidR="0012773E" w:rsidRPr="00C958F1">
        <w:rPr>
          <w:rFonts w:ascii="Times New Roman" w:hAnsi="Times New Roman" w:cs="Times New Roman"/>
          <w:color w:val="000000"/>
          <w:sz w:val="24"/>
          <w:szCs w:val="24"/>
        </w:rPr>
        <w:t>gaze naturale livrate de Rus</w:t>
      </w:r>
      <w:r w:rsidR="006416D6" w:rsidRPr="00C958F1">
        <w:rPr>
          <w:rFonts w:ascii="Times New Roman" w:hAnsi="Times New Roman" w:cs="Times New Roman"/>
          <w:color w:val="000000"/>
          <w:sz w:val="24"/>
          <w:szCs w:val="24"/>
        </w:rPr>
        <w:t>ia</w:t>
      </w:r>
      <w:r w:rsidR="0012773E" w:rsidRPr="00C958F1">
        <w:rPr>
          <w:rFonts w:ascii="Times New Roman" w:hAnsi="Times New Roman" w:cs="Times New Roman"/>
          <w:color w:val="000000"/>
          <w:sz w:val="24"/>
          <w:szCs w:val="24"/>
        </w:rPr>
        <w:t xml:space="preserve">, </w:t>
      </w:r>
      <w:r w:rsidR="000B2C77" w:rsidRPr="00C958F1">
        <w:rPr>
          <w:rFonts w:ascii="Times New Roman" w:hAnsi="Times New Roman" w:cs="Times New Roman"/>
          <w:color w:val="000000"/>
          <w:sz w:val="24"/>
          <w:szCs w:val="24"/>
        </w:rPr>
        <w:t>UE</w:t>
      </w:r>
      <w:r w:rsidR="0012773E" w:rsidRPr="00C958F1">
        <w:rPr>
          <w:rFonts w:ascii="Times New Roman" w:hAnsi="Times New Roman" w:cs="Times New Roman"/>
          <w:color w:val="000000"/>
          <w:sz w:val="24"/>
          <w:szCs w:val="24"/>
        </w:rPr>
        <w:t xml:space="preserve"> a reușit </w:t>
      </w:r>
      <w:r w:rsidR="0077026C" w:rsidRPr="00C958F1">
        <w:rPr>
          <w:rFonts w:ascii="Times New Roman" w:hAnsi="Times New Roman" w:cs="Times New Roman"/>
          <w:color w:val="000000"/>
          <w:sz w:val="24"/>
          <w:szCs w:val="24"/>
        </w:rPr>
        <w:t>asigurarea unui nivel al</w:t>
      </w:r>
      <w:r w:rsidR="0012773E" w:rsidRPr="00C958F1">
        <w:rPr>
          <w:rFonts w:ascii="Times New Roman" w:hAnsi="Times New Roman" w:cs="Times New Roman"/>
          <w:color w:val="000000"/>
          <w:sz w:val="24"/>
          <w:szCs w:val="24"/>
        </w:rPr>
        <w:t xml:space="preserve"> </w:t>
      </w:r>
      <w:r w:rsidR="006416D6" w:rsidRPr="00C958F1">
        <w:rPr>
          <w:rFonts w:ascii="Times New Roman" w:hAnsi="Times New Roman" w:cs="Times New Roman"/>
          <w:color w:val="000000"/>
          <w:sz w:val="24"/>
          <w:szCs w:val="24"/>
        </w:rPr>
        <w:t xml:space="preserve">volumelor de gaze naturale stocate în </w:t>
      </w:r>
      <w:r w:rsidR="00F251D8" w:rsidRPr="00C958F1">
        <w:rPr>
          <w:rFonts w:ascii="Times New Roman" w:hAnsi="Times New Roman" w:cs="Times New Roman"/>
          <w:color w:val="000000"/>
          <w:sz w:val="24"/>
          <w:szCs w:val="24"/>
        </w:rPr>
        <w:t>instalațiile</w:t>
      </w:r>
      <w:r w:rsidR="0012773E" w:rsidRPr="00C958F1">
        <w:rPr>
          <w:rFonts w:ascii="Times New Roman" w:hAnsi="Times New Roman" w:cs="Times New Roman"/>
          <w:color w:val="000000"/>
          <w:sz w:val="24"/>
          <w:szCs w:val="24"/>
        </w:rPr>
        <w:t xml:space="preserve"> de stocare a gazelor </w:t>
      </w:r>
      <w:r w:rsidR="000B2C77" w:rsidRPr="00C958F1">
        <w:rPr>
          <w:rFonts w:ascii="Times New Roman" w:hAnsi="Times New Roman" w:cs="Times New Roman"/>
          <w:color w:val="000000"/>
          <w:sz w:val="24"/>
          <w:szCs w:val="24"/>
        </w:rPr>
        <w:t xml:space="preserve">naturale </w:t>
      </w:r>
      <w:r w:rsidR="0012773E" w:rsidRPr="00C958F1">
        <w:rPr>
          <w:rFonts w:ascii="Times New Roman" w:hAnsi="Times New Roman" w:cs="Times New Roman"/>
          <w:color w:val="000000"/>
          <w:sz w:val="24"/>
          <w:szCs w:val="24"/>
        </w:rPr>
        <w:t xml:space="preserve">cu mult peste mediile istorice. Creșterea semnificativă a nivelului stocurilor de gaze naturale a fost susținută de </w:t>
      </w:r>
      <w:r w:rsidR="006416D6" w:rsidRPr="00C958F1">
        <w:rPr>
          <w:rFonts w:ascii="Times New Roman" w:hAnsi="Times New Roman" w:cs="Times New Roman"/>
          <w:color w:val="000000"/>
          <w:sz w:val="24"/>
          <w:szCs w:val="24"/>
        </w:rPr>
        <w:t>mai multe</w:t>
      </w:r>
      <w:r w:rsidR="0012773E" w:rsidRPr="00C958F1">
        <w:rPr>
          <w:rFonts w:ascii="Times New Roman" w:hAnsi="Times New Roman" w:cs="Times New Roman"/>
          <w:color w:val="000000"/>
          <w:sz w:val="24"/>
          <w:szCs w:val="24"/>
        </w:rPr>
        <w:t xml:space="preserve"> măsuri de politic</w:t>
      </w:r>
      <w:r w:rsidR="006C4F0A" w:rsidRPr="00C958F1">
        <w:rPr>
          <w:rFonts w:ascii="Times New Roman" w:hAnsi="Times New Roman" w:cs="Times New Roman"/>
          <w:color w:val="000000"/>
          <w:sz w:val="24"/>
          <w:szCs w:val="24"/>
        </w:rPr>
        <w:t>i</w:t>
      </w:r>
      <w:r w:rsidR="0012773E" w:rsidRPr="00C958F1">
        <w:rPr>
          <w:rFonts w:ascii="Times New Roman" w:hAnsi="Times New Roman" w:cs="Times New Roman"/>
          <w:color w:val="000000"/>
          <w:sz w:val="24"/>
          <w:szCs w:val="24"/>
        </w:rPr>
        <w:t xml:space="preserve"> bine adaptate, un flux record de gaze naturale lichefiate (</w:t>
      </w:r>
      <w:r w:rsidR="005362F5" w:rsidRPr="00C958F1">
        <w:rPr>
          <w:rFonts w:ascii="Times New Roman" w:hAnsi="Times New Roman" w:cs="Times New Roman"/>
          <w:color w:val="000000"/>
          <w:sz w:val="24"/>
          <w:szCs w:val="24"/>
        </w:rPr>
        <w:t>GNL</w:t>
      </w:r>
      <w:r w:rsidR="0012773E" w:rsidRPr="00C958F1">
        <w:rPr>
          <w:rFonts w:ascii="Times New Roman" w:hAnsi="Times New Roman" w:cs="Times New Roman"/>
          <w:color w:val="000000"/>
          <w:sz w:val="24"/>
          <w:szCs w:val="24"/>
        </w:rPr>
        <w:t>) și o scădere bruscă a consumului de gaze naturale, în special în industriile mari consumatoare de gaz</w:t>
      </w:r>
      <w:r w:rsidR="00813936" w:rsidRPr="00C958F1">
        <w:rPr>
          <w:rFonts w:ascii="Times New Roman" w:hAnsi="Times New Roman" w:cs="Times New Roman"/>
          <w:color w:val="000000"/>
          <w:sz w:val="24"/>
          <w:szCs w:val="24"/>
        </w:rPr>
        <w:t>e naturale</w:t>
      </w:r>
      <w:r w:rsidR="0012773E" w:rsidRPr="00C958F1">
        <w:rPr>
          <w:rFonts w:ascii="Times New Roman" w:hAnsi="Times New Roman" w:cs="Times New Roman"/>
          <w:color w:val="000000"/>
          <w:sz w:val="24"/>
          <w:szCs w:val="24"/>
        </w:rPr>
        <w:t xml:space="preserve"> și energie. </w:t>
      </w:r>
      <w:r w:rsidR="006416D6" w:rsidRPr="00C958F1">
        <w:rPr>
          <w:rFonts w:ascii="Times New Roman" w:hAnsi="Times New Roman" w:cs="Times New Roman"/>
          <w:color w:val="000000"/>
          <w:sz w:val="24"/>
          <w:szCs w:val="24"/>
        </w:rPr>
        <w:t xml:space="preserve">Criza gazelor naturale a scos în evidență </w:t>
      </w:r>
      <w:r w:rsidR="00765A31" w:rsidRPr="00C958F1">
        <w:rPr>
          <w:rFonts w:ascii="Times New Roman" w:hAnsi="Times New Roman" w:cs="Times New Roman"/>
          <w:color w:val="000000"/>
          <w:sz w:val="24"/>
          <w:szCs w:val="24"/>
        </w:rPr>
        <w:t xml:space="preserve">faptul </w:t>
      </w:r>
      <w:r w:rsidR="006416D6" w:rsidRPr="00C958F1">
        <w:rPr>
          <w:rFonts w:ascii="Times New Roman" w:hAnsi="Times New Roman" w:cs="Times New Roman"/>
          <w:color w:val="000000"/>
          <w:sz w:val="24"/>
          <w:szCs w:val="24"/>
        </w:rPr>
        <w:t>că tranziția către energia produsă din surse regenerabil</w:t>
      </w:r>
      <w:r w:rsidR="00765A31" w:rsidRPr="00C958F1">
        <w:rPr>
          <w:rFonts w:ascii="Times New Roman" w:hAnsi="Times New Roman" w:cs="Times New Roman"/>
          <w:color w:val="000000"/>
          <w:sz w:val="24"/>
          <w:szCs w:val="24"/>
        </w:rPr>
        <w:t>e</w:t>
      </w:r>
      <w:r w:rsidR="006416D6" w:rsidRPr="00C958F1">
        <w:rPr>
          <w:rFonts w:ascii="Times New Roman" w:hAnsi="Times New Roman" w:cs="Times New Roman"/>
          <w:color w:val="000000"/>
          <w:sz w:val="24"/>
          <w:szCs w:val="24"/>
        </w:rPr>
        <w:t xml:space="preserve"> este urgentă și va contribui la creșterea stabilității pe piața globală a resurselor energetice.</w:t>
      </w:r>
      <w:r w:rsidR="00642F8F">
        <w:rPr>
          <w:rFonts w:ascii="Times New Roman" w:hAnsi="Times New Roman" w:cs="Times New Roman"/>
          <w:color w:val="000000"/>
          <w:sz w:val="24"/>
          <w:szCs w:val="24"/>
        </w:rPr>
        <w:t xml:space="preserve"> </w:t>
      </w:r>
    </w:p>
    <w:p w14:paraId="218790C1" w14:textId="04392896" w:rsidR="004C7DEB" w:rsidRPr="00C958F1" w:rsidRDefault="007177CB" w:rsidP="00C958F1">
      <w:pPr>
        <w:spacing w:after="60" w:line="276" w:lineRule="auto"/>
        <w:ind w:firstLine="547"/>
        <w:jc w:val="both"/>
        <w:rPr>
          <w:rFonts w:ascii="Times New Roman" w:hAnsi="Times New Roman" w:cs="Times New Roman"/>
          <w:color w:val="000000"/>
          <w:sz w:val="24"/>
          <w:szCs w:val="24"/>
          <w:highlight w:val="yellow"/>
        </w:rPr>
      </w:pPr>
      <w:r w:rsidRPr="00C958F1">
        <w:rPr>
          <w:rFonts w:ascii="Times New Roman" w:hAnsi="Times New Roman" w:cs="Times New Roman"/>
          <w:b/>
          <w:bCs/>
          <w:color w:val="000000"/>
          <w:sz w:val="24"/>
          <w:szCs w:val="24"/>
        </w:rPr>
        <w:t>2.</w:t>
      </w:r>
      <w:r w:rsidRPr="00C958F1">
        <w:rPr>
          <w:rFonts w:ascii="Times New Roman" w:hAnsi="Times New Roman" w:cs="Times New Roman"/>
          <w:color w:val="000000"/>
          <w:sz w:val="24"/>
          <w:szCs w:val="24"/>
        </w:rPr>
        <w:t xml:space="preserve"> </w:t>
      </w:r>
      <w:r w:rsidR="004C7DEB" w:rsidRPr="00C958F1">
        <w:rPr>
          <w:rFonts w:ascii="Times New Roman" w:hAnsi="Times New Roman" w:cs="Times New Roman"/>
          <w:color w:val="000000"/>
          <w:sz w:val="24"/>
          <w:szCs w:val="24"/>
        </w:rPr>
        <w:t xml:space="preserve">Potrivit </w:t>
      </w:r>
      <w:hyperlink r:id="rId8" w:history="1">
        <w:r w:rsidR="000B41B9" w:rsidRPr="00C958F1">
          <w:rPr>
            <w:rStyle w:val="Hyperlink"/>
            <w:rFonts w:ascii="Times New Roman" w:hAnsi="Times New Roman" w:cs="Times New Roman"/>
            <w:sz w:val="24"/>
            <w:szCs w:val="24"/>
          </w:rPr>
          <w:t>R</w:t>
        </w:r>
        <w:r w:rsidR="004C7DEB" w:rsidRPr="00C958F1">
          <w:rPr>
            <w:rStyle w:val="Hyperlink"/>
            <w:rFonts w:ascii="Times New Roman" w:hAnsi="Times New Roman" w:cs="Times New Roman"/>
            <w:sz w:val="24"/>
            <w:szCs w:val="24"/>
          </w:rPr>
          <w:t>aport</w:t>
        </w:r>
        <w:r w:rsidR="000B41B9" w:rsidRPr="00C958F1">
          <w:rPr>
            <w:rStyle w:val="Hyperlink"/>
            <w:rFonts w:ascii="Times New Roman" w:hAnsi="Times New Roman" w:cs="Times New Roman"/>
            <w:sz w:val="24"/>
            <w:szCs w:val="24"/>
          </w:rPr>
          <w:t>ului</w:t>
        </w:r>
        <w:r w:rsidR="00DA771E" w:rsidRPr="00C958F1">
          <w:rPr>
            <w:rStyle w:val="FootnoteReference"/>
            <w:rFonts w:ascii="Times New Roman" w:hAnsi="Times New Roman" w:cs="Times New Roman"/>
            <w:color w:val="0000FF"/>
            <w:sz w:val="24"/>
            <w:szCs w:val="24"/>
            <w:u w:val="single"/>
          </w:rPr>
          <w:footnoteReference w:id="1"/>
        </w:r>
        <w:r w:rsidR="004C7DEB" w:rsidRPr="00C958F1">
          <w:rPr>
            <w:rStyle w:val="Hyperlink"/>
            <w:rFonts w:ascii="Times New Roman" w:hAnsi="Times New Roman" w:cs="Times New Roman"/>
            <w:sz w:val="24"/>
            <w:szCs w:val="24"/>
          </w:rPr>
          <w:t xml:space="preserve"> Agenției Internaționale pentru Energie (AIE) privind piața gazelor naturale</w:t>
        </w:r>
      </w:hyperlink>
      <w:r w:rsidR="004C7DEB" w:rsidRPr="00C958F1">
        <w:rPr>
          <w:rFonts w:ascii="Times New Roman" w:hAnsi="Times New Roman" w:cs="Times New Roman"/>
          <w:color w:val="000000"/>
          <w:sz w:val="24"/>
          <w:szCs w:val="24"/>
        </w:rPr>
        <w:t>,</w:t>
      </w:r>
      <w:r w:rsidR="00EE1AE8" w:rsidRPr="00C958F1">
        <w:rPr>
          <w:rFonts w:ascii="Times New Roman" w:hAnsi="Times New Roman" w:cs="Times New Roman"/>
          <w:color w:val="000000"/>
          <w:sz w:val="24"/>
          <w:szCs w:val="24"/>
          <w:highlight w:val="yellow"/>
        </w:rPr>
        <w:t xml:space="preserve"> </w:t>
      </w:r>
      <w:r w:rsidR="00EE1AE8" w:rsidRPr="00C958F1">
        <w:rPr>
          <w:rFonts w:ascii="Times New Roman" w:hAnsi="Times New Roman" w:cs="Times New Roman"/>
          <w:color w:val="000000"/>
          <w:sz w:val="24"/>
          <w:szCs w:val="24"/>
        </w:rPr>
        <w:t>cererea globală de gaze naturale a continuat să crească în sezonul de încălzire 2024</w:t>
      </w:r>
      <w:r w:rsidR="006416D6" w:rsidRPr="00C958F1">
        <w:rPr>
          <w:rFonts w:ascii="Times New Roman" w:hAnsi="Times New Roman" w:cs="Times New Roman"/>
          <w:color w:val="000000"/>
          <w:sz w:val="24"/>
          <w:szCs w:val="24"/>
        </w:rPr>
        <w:t>-20</w:t>
      </w:r>
      <w:r w:rsidR="00EE1AE8" w:rsidRPr="00C958F1">
        <w:rPr>
          <w:rFonts w:ascii="Times New Roman" w:hAnsi="Times New Roman" w:cs="Times New Roman"/>
          <w:color w:val="000000"/>
          <w:sz w:val="24"/>
          <w:szCs w:val="24"/>
        </w:rPr>
        <w:t xml:space="preserve">25, creșterea fiind determinată în principal de țările din Europa și America de Nord. Instalațiile de </w:t>
      </w:r>
      <w:r w:rsidR="00C07C33" w:rsidRPr="00C958F1">
        <w:rPr>
          <w:rFonts w:ascii="Times New Roman" w:hAnsi="Times New Roman" w:cs="Times New Roman"/>
          <w:color w:val="000000"/>
          <w:sz w:val="24"/>
          <w:szCs w:val="24"/>
        </w:rPr>
        <w:t>stocare</w:t>
      </w:r>
      <w:r w:rsidR="00EE1AE8" w:rsidRPr="00C958F1">
        <w:rPr>
          <w:rFonts w:ascii="Times New Roman" w:hAnsi="Times New Roman" w:cs="Times New Roman"/>
          <w:color w:val="000000"/>
          <w:sz w:val="24"/>
          <w:szCs w:val="24"/>
        </w:rPr>
        <w:t xml:space="preserve"> subterană și mecanismele de rezervă au oferit o flexibilitate esențială sistemului de gaze naturale și au asigurat o aprovizionare stabilă și sigură cu gaze</w:t>
      </w:r>
      <w:r w:rsidR="00C43E6D" w:rsidRPr="00C958F1">
        <w:rPr>
          <w:rFonts w:ascii="Times New Roman" w:hAnsi="Times New Roman" w:cs="Times New Roman"/>
          <w:color w:val="000000"/>
          <w:sz w:val="24"/>
          <w:szCs w:val="24"/>
        </w:rPr>
        <w:t xml:space="preserve"> naturale</w:t>
      </w:r>
      <w:r w:rsidR="00EE1AE8" w:rsidRPr="00C958F1">
        <w:rPr>
          <w:rFonts w:ascii="Times New Roman" w:hAnsi="Times New Roman" w:cs="Times New Roman"/>
          <w:color w:val="000000"/>
          <w:sz w:val="24"/>
          <w:szCs w:val="24"/>
        </w:rPr>
        <w:t xml:space="preserve"> în sezonul de încălzire 2024-2025. În 2025, se preconizează o încetinire a creșterii cererii globale de gaze naturale față de anul precedent, pe fondul condițiilor de piață mai stricte, în timp ce incertitudinile macroeconomice sporite ar putea, de asemenea, să afecteze cererea.</w:t>
      </w:r>
    </w:p>
    <w:p w14:paraId="0FDD0325" w14:textId="38914382" w:rsidR="004C7DEB" w:rsidRPr="00C958F1" w:rsidRDefault="000B41B9" w:rsidP="00C958F1">
      <w:pPr>
        <w:spacing w:after="60" w:line="276" w:lineRule="auto"/>
        <w:ind w:firstLine="547"/>
        <w:jc w:val="both"/>
        <w:rPr>
          <w:rFonts w:ascii="Times New Roman" w:hAnsi="Times New Roman" w:cs="Times New Roman"/>
          <w:color w:val="000000"/>
          <w:sz w:val="24"/>
          <w:szCs w:val="24"/>
        </w:rPr>
      </w:pPr>
      <w:r w:rsidRPr="00C958F1">
        <w:rPr>
          <w:rFonts w:ascii="Times New Roman" w:hAnsi="Times New Roman" w:cs="Times New Roman"/>
          <w:b/>
          <w:bCs/>
          <w:color w:val="000000"/>
          <w:sz w:val="24"/>
          <w:szCs w:val="24"/>
        </w:rPr>
        <w:t>3.</w:t>
      </w:r>
      <w:r w:rsidRPr="00C958F1">
        <w:rPr>
          <w:rFonts w:ascii="Times New Roman" w:hAnsi="Times New Roman" w:cs="Times New Roman"/>
          <w:color w:val="000000"/>
          <w:sz w:val="24"/>
          <w:szCs w:val="24"/>
        </w:rPr>
        <w:t xml:space="preserve"> </w:t>
      </w:r>
      <w:r w:rsidR="00EE1AE8" w:rsidRPr="00C958F1">
        <w:rPr>
          <w:rFonts w:ascii="Times New Roman" w:hAnsi="Times New Roman" w:cs="Times New Roman"/>
          <w:color w:val="000000"/>
          <w:sz w:val="24"/>
          <w:szCs w:val="24"/>
        </w:rPr>
        <w:t xml:space="preserve">Se estimează că nivelurile scăzute de stocare a gazelor naturale și exporturile reduse de gaze </w:t>
      </w:r>
      <w:r w:rsidR="00C43E6D" w:rsidRPr="00C958F1">
        <w:rPr>
          <w:rFonts w:ascii="Times New Roman" w:hAnsi="Times New Roman" w:cs="Times New Roman"/>
          <w:color w:val="000000"/>
          <w:sz w:val="24"/>
          <w:szCs w:val="24"/>
        </w:rPr>
        <w:t xml:space="preserve">naturale </w:t>
      </w:r>
      <w:r w:rsidR="00EE1AE8" w:rsidRPr="00C958F1">
        <w:rPr>
          <w:rFonts w:ascii="Times New Roman" w:hAnsi="Times New Roman" w:cs="Times New Roman"/>
          <w:color w:val="000000"/>
          <w:sz w:val="24"/>
          <w:szCs w:val="24"/>
        </w:rPr>
        <w:t xml:space="preserve">prin conducte din Rusia către Uniunea Europeană vor menține condițiile fundamentale ale pieței. Susținute de necesitățile mai mari de injectare în </w:t>
      </w:r>
      <w:r w:rsidR="00355A5E" w:rsidRPr="00C958F1">
        <w:rPr>
          <w:rFonts w:ascii="Times New Roman" w:hAnsi="Times New Roman" w:cs="Times New Roman"/>
          <w:color w:val="000000"/>
          <w:sz w:val="24"/>
          <w:szCs w:val="24"/>
        </w:rPr>
        <w:t>instalațiile de stocare a gazelor naturale</w:t>
      </w:r>
      <w:r w:rsidR="00EE1AE8" w:rsidRPr="00C958F1">
        <w:rPr>
          <w:rFonts w:ascii="Times New Roman" w:hAnsi="Times New Roman" w:cs="Times New Roman"/>
          <w:color w:val="000000"/>
          <w:sz w:val="24"/>
          <w:szCs w:val="24"/>
        </w:rPr>
        <w:t xml:space="preserve">, se preconizează că importurile de GNL ale Europei vor crește în 2025 până aproape de maximele lor istorice. În schimb, se </w:t>
      </w:r>
      <w:r w:rsidR="00355A5E" w:rsidRPr="00C958F1">
        <w:rPr>
          <w:rFonts w:ascii="Times New Roman" w:hAnsi="Times New Roman" w:cs="Times New Roman"/>
          <w:color w:val="000000"/>
          <w:sz w:val="24"/>
          <w:szCs w:val="24"/>
        </w:rPr>
        <w:t>estimează</w:t>
      </w:r>
      <w:r w:rsidR="00EE1AE8" w:rsidRPr="00C958F1">
        <w:rPr>
          <w:rFonts w:ascii="Times New Roman" w:hAnsi="Times New Roman" w:cs="Times New Roman"/>
          <w:color w:val="000000"/>
          <w:sz w:val="24"/>
          <w:szCs w:val="24"/>
        </w:rPr>
        <w:t xml:space="preserve"> c</w:t>
      </w:r>
      <w:r w:rsidR="00DA771E" w:rsidRPr="00C958F1">
        <w:rPr>
          <w:rFonts w:ascii="Times New Roman" w:hAnsi="Times New Roman" w:cs="Times New Roman"/>
          <w:color w:val="000000"/>
          <w:sz w:val="24"/>
          <w:szCs w:val="24"/>
        </w:rPr>
        <w:t>ă</w:t>
      </w:r>
      <w:r w:rsidR="00EE1AE8" w:rsidRPr="00C958F1">
        <w:rPr>
          <w:rFonts w:ascii="Times New Roman" w:hAnsi="Times New Roman" w:cs="Times New Roman"/>
          <w:color w:val="000000"/>
          <w:sz w:val="24"/>
          <w:szCs w:val="24"/>
        </w:rPr>
        <w:t xml:space="preserve"> importurile Chin</w:t>
      </w:r>
      <w:r w:rsidR="00C43E6D" w:rsidRPr="00C958F1">
        <w:rPr>
          <w:rFonts w:ascii="Times New Roman" w:hAnsi="Times New Roman" w:cs="Times New Roman"/>
          <w:color w:val="000000"/>
          <w:sz w:val="24"/>
          <w:szCs w:val="24"/>
        </w:rPr>
        <w:t>ei de GNL</w:t>
      </w:r>
      <w:r w:rsidR="00EE1AE8" w:rsidRPr="00C958F1">
        <w:rPr>
          <w:rFonts w:ascii="Times New Roman" w:hAnsi="Times New Roman" w:cs="Times New Roman"/>
          <w:color w:val="000000"/>
          <w:sz w:val="24"/>
          <w:szCs w:val="24"/>
        </w:rPr>
        <w:t xml:space="preserve"> vor scădea din cauza creșterii mai slabe a cererii interne și a concurenței puternice din partea Europei pentru </w:t>
      </w:r>
      <w:r w:rsidR="006C2A09" w:rsidRPr="00C958F1">
        <w:rPr>
          <w:rFonts w:ascii="Times New Roman" w:hAnsi="Times New Roman" w:cs="Times New Roman"/>
          <w:color w:val="000000"/>
          <w:sz w:val="24"/>
          <w:szCs w:val="24"/>
        </w:rPr>
        <w:t>livrările</w:t>
      </w:r>
      <w:r w:rsidR="00EE1AE8" w:rsidRPr="00C958F1">
        <w:rPr>
          <w:rFonts w:ascii="Times New Roman" w:hAnsi="Times New Roman" w:cs="Times New Roman"/>
          <w:color w:val="000000"/>
          <w:sz w:val="24"/>
          <w:szCs w:val="24"/>
        </w:rPr>
        <w:t xml:space="preserve"> flexibile de GNL.</w:t>
      </w:r>
    </w:p>
    <w:p w14:paraId="4D4B1C20" w14:textId="3022E408" w:rsidR="004C7DEB" w:rsidRPr="00C958F1" w:rsidRDefault="000B41B9" w:rsidP="00C958F1">
      <w:pPr>
        <w:spacing w:after="60" w:line="276" w:lineRule="auto"/>
        <w:ind w:firstLine="547"/>
        <w:jc w:val="both"/>
        <w:rPr>
          <w:rFonts w:ascii="Times New Roman" w:hAnsi="Times New Roman" w:cs="Times New Roman"/>
          <w:color w:val="000000"/>
          <w:sz w:val="24"/>
          <w:szCs w:val="24"/>
          <w:highlight w:val="yellow"/>
        </w:rPr>
      </w:pPr>
      <w:r w:rsidRPr="00C958F1">
        <w:rPr>
          <w:rFonts w:ascii="Times New Roman" w:hAnsi="Times New Roman" w:cs="Times New Roman"/>
          <w:b/>
          <w:bCs/>
          <w:color w:val="000000"/>
          <w:sz w:val="24"/>
          <w:szCs w:val="24"/>
        </w:rPr>
        <w:t>4.</w:t>
      </w:r>
      <w:r w:rsidRPr="00C958F1">
        <w:rPr>
          <w:rFonts w:ascii="Times New Roman" w:hAnsi="Times New Roman" w:cs="Times New Roman"/>
          <w:color w:val="000000"/>
          <w:sz w:val="24"/>
          <w:szCs w:val="24"/>
        </w:rPr>
        <w:t xml:space="preserve"> </w:t>
      </w:r>
      <w:r w:rsidR="00765A31" w:rsidRPr="00C958F1">
        <w:rPr>
          <w:rFonts w:ascii="Times New Roman" w:hAnsi="Times New Roman" w:cs="Times New Roman"/>
          <w:color w:val="000000"/>
          <w:sz w:val="24"/>
          <w:szCs w:val="24"/>
        </w:rPr>
        <w:t>Principiile</w:t>
      </w:r>
      <w:r w:rsidR="00EE1AE8" w:rsidRPr="00C958F1">
        <w:rPr>
          <w:rFonts w:ascii="Times New Roman" w:hAnsi="Times New Roman" w:cs="Times New Roman"/>
          <w:color w:val="000000"/>
          <w:sz w:val="24"/>
          <w:szCs w:val="24"/>
        </w:rPr>
        <w:t xml:space="preserve"> de piață mai stricte au exercitat o presiune în creștere asupra prețurilor gazelor</w:t>
      </w:r>
      <w:r w:rsidR="00C43E6D" w:rsidRPr="00C958F1">
        <w:rPr>
          <w:rFonts w:ascii="Times New Roman" w:hAnsi="Times New Roman" w:cs="Times New Roman"/>
          <w:color w:val="000000"/>
          <w:sz w:val="24"/>
          <w:szCs w:val="24"/>
        </w:rPr>
        <w:t xml:space="preserve"> naturale</w:t>
      </w:r>
      <w:r w:rsidR="00EE1AE8" w:rsidRPr="00C958F1">
        <w:rPr>
          <w:rFonts w:ascii="Times New Roman" w:hAnsi="Times New Roman" w:cs="Times New Roman"/>
          <w:color w:val="000000"/>
          <w:sz w:val="24"/>
          <w:szCs w:val="24"/>
        </w:rPr>
        <w:t xml:space="preserve"> pe toate piețele-cheie, în timp ce tensiunile geopolitice au continuat, de asemenea, să alimenteze volatilitatea prețurilor. Creșterea sub medie a producției mondiale de GNL și scăderea exporturilor de gaze naturale prin conducte din Rus</w:t>
      </w:r>
      <w:r w:rsidR="006416D6" w:rsidRPr="00C958F1">
        <w:rPr>
          <w:rFonts w:ascii="Times New Roman" w:hAnsi="Times New Roman" w:cs="Times New Roman"/>
          <w:color w:val="000000"/>
          <w:sz w:val="24"/>
          <w:szCs w:val="24"/>
        </w:rPr>
        <w:t>ia</w:t>
      </w:r>
      <w:r w:rsidR="00EE1AE8" w:rsidRPr="00C958F1">
        <w:rPr>
          <w:rFonts w:ascii="Times New Roman" w:hAnsi="Times New Roman" w:cs="Times New Roman"/>
          <w:color w:val="000000"/>
          <w:sz w:val="24"/>
          <w:szCs w:val="24"/>
        </w:rPr>
        <w:t xml:space="preserve"> către Uniunea Europeană au menținut oferta la un nivel scăzut și au sporit apelul la mecanismele de stocare a gazelor</w:t>
      </w:r>
      <w:r w:rsidR="00672A2D" w:rsidRPr="00C958F1">
        <w:rPr>
          <w:rFonts w:ascii="Times New Roman" w:hAnsi="Times New Roman" w:cs="Times New Roman"/>
          <w:color w:val="000000"/>
          <w:sz w:val="24"/>
          <w:szCs w:val="24"/>
        </w:rPr>
        <w:t xml:space="preserve"> naturale</w:t>
      </w:r>
      <w:r w:rsidR="00C42800" w:rsidRPr="00C958F1">
        <w:rPr>
          <w:rFonts w:ascii="Times New Roman" w:hAnsi="Times New Roman" w:cs="Times New Roman"/>
          <w:color w:val="000000"/>
          <w:sz w:val="24"/>
          <w:szCs w:val="24"/>
        </w:rPr>
        <w:t>.</w:t>
      </w:r>
    </w:p>
    <w:p w14:paraId="3233F14E" w14:textId="6454EB3C" w:rsidR="00C42800" w:rsidRPr="00C958F1" w:rsidRDefault="00A94902" w:rsidP="00C958F1">
      <w:pPr>
        <w:spacing w:after="60" w:line="276" w:lineRule="auto"/>
        <w:ind w:firstLine="547"/>
        <w:jc w:val="both"/>
        <w:rPr>
          <w:rFonts w:ascii="Times New Roman" w:hAnsi="Times New Roman" w:cs="Times New Roman"/>
          <w:color w:val="000000"/>
          <w:sz w:val="24"/>
          <w:szCs w:val="24"/>
          <w:highlight w:val="yellow"/>
        </w:rPr>
      </w:pPr>
      <w:r w:rsidRPr="00C958F1">
        <w:rPr>
          <w:rFonts w:ascii="Times New Roman" w:hAnsi="Times New Roman" w:cs="Times New Roman"/>
          <w:b/>
          <w:bCs/>
          <w:color w:val="000000"/>
          <w:sz w:val="24"/>
          <w:szCs w:val="24"/>
        </w:rPr>
        <w:t>5</w:t>
      </w:r>
      <w:r w:rsidR="000B41B9" w:rsidRPr="00C958F1">
        <w:rPr>
          <w:rFonts w:ascii="Times New Roman" w:hAnsi="Times New Roman" w:cs="Times New Roman"/>
          <w:b/>
          <w:bCs/>
          <w:color w:val="000000"/>
          <w:sz w:val="24"/>
          <w:szCs w:val="24"/>
        </w:rPr>
        <w:t>.</w:t>
      </w:r>
      <w:r w:rsidR="000B41B9" w:rsidRPr="00C958F1">
        <w:rPr>
          <w:rFonts w:ascii="Times New Roman" w:hAnsi="Times New Roman" w:cs="Times New Roman"/>
          <w:color w:val="000000"/>
          <w:sz w:val="24"/>
          <w:szCs w:val="24"/>
        </w:rPr>
        <w:t xml:space="preserve"> </w:t>
      </w:r>
      <w:r w:rsidR="00EE1AE8" w:rsidRPr="00C958F1">
        <w:rPr>
          <w:rFonts w:ascii="Times New Roman" w:hAnsi="Times New Roman" w:cs="Times New Roman"/>
          <w:color w:val="000000"/>
          <w:sz w:val="24"/>
          <w:szCs w:val="24"/>
        </w:rPr>
        <w:t>Perioadele în care producția de energie eoliană a fost scăzută au evidențiat rolul-cheie pe care centralele electrice pe gaz</w:t>
      </w:r>
      <w:r w:rsidR="00672A2D" w:rsidRPr="00C958F1">
        <w:rPr>
          <w:rFonts w:ascii="Times New Roman" w:hAnsi="Times New Roman" w:cs="Times New Roman"/>
          <w:color w:val="000000"/>
          <w:sz w:val="24"/>
          <w:szCs w:val="24"/>
        </w:rPr>
        <w:t>e naturale</w:t>
      </w:r>
      <w:r w:rsidR="00EE1AE8" w:rsidRPr="00C958F1">
        <w:rPr>
          <w:rFonts w:ascii="Times New Roman" w:hAnsi="Times New Roman" w:cs="Times New Roman"/>
          <w:color w:val="000000"/>
          <w:sz w:val="24"/>
          <w:szCs w:val="24"/>
        </w:rPr>
        <w:t xml:space="preserve"> îl pot juca în asigurarea securității aprovizionării cu energie electrică pe piețele energetice dominate din ce în ce mai mult de surse regenerabile variabile. În America de Nord, o iarnă mai rece a </w:t>
      </w:r>
      <w:r w:rsidR="00672A2D" w:rsidRPr="00C958F1">
        <w:rPr>
          <w:rFonts w:ascii="Times New Roman" w:hAnsi="Times New Roman" w:cs="Times New Roman"/>
          <w:color w:val="000000"/>
          <w:sz w:val="24"/>
          <w:szCs w:val="24"/>
        </w:rPr>
        <w:t>contribuit la</w:t>
      </w:r>
      <w:r w:rsidR="00EE1AE8" w:rsidRPr="00C958F1">
        <w:rPr>
          <w:rFonts w:ascii="Times New Roman" w:hAnsi="Times New Roman" w:cs="Times New Roman"/>
          <w:color w:val="000000"/>
          <w:sz w:val="24"/>
          <w:szCs w:val="24"/>
        </w:rPr>
        <w:t xml:space="preserve"> </w:t>
      </w:r>
      <w:r w:rsidR="00672A2D" w:rsidRPr="00C958F1">
        <w:rPr>
          <w:rFonts w:ascii="Times New Roman" w:hAnsi="Times New Roman" w:cs="Times New Roman"/>
          <w:color w:val="000000"/>
          <w:sz w:val="24"/>
          <w:szCs w:val="24"/>
        </w:rPr>
        <w:t xml:space="preserve">înregistrarea unui </w:t>
      </w:r>
      <w:r w:rsidR="00EE1AE8" w:rsidRPr="00C958F1">
        <w:rPr>
          <w:rFonts w:ascii="Times New Roman" w:hAnsi="Times New Roman" w:cs="Times New Roman"/>
          <w:color w:val="000000"/>
          <w:sz w:val="24"/>
          <w:szCs w:val="24"/>
        </w:rPr>
        <w:t xml:space="preserve">consum de gaze naturale la un nivel record, creșterea cererii fiind susținută în mare măsură de utilizarea mai intensă a gazelor </w:t>
      </w:r>
      <w:r w:rsidR="004521D3" w:rsidRPr="00C958F1">
        <w:rPr>
          <w:rFonts w:ascii="Times New Roman" w:hAnsi="Times New Roman" w:cs="Times New Roman"/>
          <w:color w:val="000000"/>
          <w:sz w:val="24"/>
          <w:szCs w:val="24"/>
        </w:rPr>
        <w:t xml:space="preserve">naturale </w:t>
      </w:r>
      <w:r w:rsidR="00EE1AE8" w:rsidRPr="00C958F1">
        <w:rPr>
          <w:rFonts w:ascii="Times New Roman" w:hAnsi="Times New Roman" w:cs="Times New Roman"/>
          <w:color w:val="000000"/>
          <w:sz w:val="24"/>
          <w:szCs w:val="24"/>
        </w:rPr>
        <w:t>în</w:t>
      </w:r>
      <w:r w:rsidR="004521D3" w:rsidRPr="00C958F1">
        <w:rPr>
          <w:rFonts w:ascii="Times New Roman" w:hAnsi="Times New Roman" w:cs="Times New Roman"/>
          <w:color w:val="000000"/>
          <w:sz w:val="24"/>
          <w:szCs w:val="24"/>
        </w:rPr>
        <w:t xml:space="preserve"> sectorul rezidențial</w:t>
      </w:r>
      <w:r w:rsidR="00EE1AE8" w:rsidRPr="00C958F1">
        <w:rPr>
          <w:rFonts w:ascii="Times New Roman" w:hAnsi="Times New Roman" w:cs="Times New Roman"/>
          <w:color w:val="000000"/>
          <w:sz w:val="24"/>
          <w:szCs w:val="24"/>
        </w:rPr>
        <w:t>. În schimb, creșterea cererii de gaze</w:t>
      </w:r>
      <w:r w:rsidR="00AB2DCF" w:rsidRPr="00C958F1">
        <w:rPr>
          <w:rFonts w:ascii="Times New Roman" w:hAnsi="Times New Roman" w:cs="Times New Roman"/>
          <w:color w:val="000000"/>
          <w:sz w:val="24"/>
          <w:szCs w:val="24"/>
        </w:rPr>
        <w:t xml:space="preserve"> naturale</w:t>
      </w:r>
      <w:r w:rsidR="00EE1AE8" w:rsidRPr="00C958F1">
        <w:rPr>
          <w:rFonts w:ascii="Times New Roman" w:hAnsi="Times New Roman" w:cs="Times New Roman"/>
          <w:color w:val="000000"/>
          <w:sz w:val="24"/>
          <w:szCs w:val="24"/>
        </w:rPr>
        <w:t xml:space="preserve"> a încetinit semnificativ în Asia, cererea de gaze</w:t>
      </w:r>
      <w:r w:rsidR="00AB2DCF" w:rsidRPr="00C958F1">
        <w:rPr>
          <w:rFonts w:ascii="Times New Roman" w:hAnsi="Times New Roman" w:cs="Times New Roman"/>
          <w:color w:val="000000"/>
          <w:sz w:val="24"/>
          <w:szCs w:val="24"/>
        </w:rPr>
        <w:t xml:space="preserve"> naturale</w:t>
      </w:r>
      <w:r w:rsidR="00EE1AE8" w:rsidRPr="00C958F1">
        <w:rPr>
          <w:rFonts w:ascii="Times New Roman" w:hAnsi="Times New Roman" w:cs="Times New Roman"/>
          <w:color w:val="000000"/>
          <w:sz w:val="24"/>
          <w:szCs w:val="24"/>
        </w:rPr>
        <w:t xml:space="preserve"> din China scăzând cu aproximativ 2% în perioada noiembrie 2024</w:t>
      </w:r>
      <w:r w:rsidR="004521D3" w:rsidRPr="00C958F1">
        <w:rPr>
          <w:rFonts w:ascii="Times New Roman" w:hAnsi="Times New Roman" w:cs="Times New Roman"/>
          <w:color w:val="000000"/>
          <w:sz w:val="24"/>
          <w:szCs w:val="24"/>
        </w:rPr>
        <w:t xml:space="preserve"> </w:t>
      </w:r>
      <w:r w:rsidR="00EE1AE8" w:rsidRPr="00C958F1">
        <w:rPr>
          <w:rFonts w:ascii="Times New Roman" w:hAnsi="Times New Roman" w:cs="Times New Roman"/>
          <w:color w:val="000000"/>
          <w:sz w:val="24"/>
          <w:szCs w:val="24"/>
        </w:rPr>
        <w:t>-</w:t>
      </w:r>
      <w:r w:rsidR="004521D3" w:rsidRPr="00C958F1">
        <w:rPr>
          <w:rFonts w:ascii="Times New Roman" w:hAnsi="Times New Roman" w:cs="Times New Roman"/>
          <w:color w:val="000000"/>
          <w:sz w:val="24"/>
          <w:szCs w:val="24"/>
        </w:rPr>
        <w:t xml:space="preserve"> </w:t>
      </w:r>
      <w:r w:rsidR="00EE1AE8" w:rsidRPr="00C958F1">
        <w:rPr>
          <w:rFonts w:ascii="Times New Roman" w:hAnsi="Times New Roman" w:cs="Times New Roman"/>
          <w:color w:val="000000"/>
          <w:sz w:val="24"/>
          <w:szCs w:val="24"/>
        </w:rPr>
        <w:t xml:space="preserve">februarie 2025. </w:t>
      </w:r>
      <w:r w:rsidR="00672A2D" w:rsidRPr="00C958F1">
        <w:rPr>
          <w:rFonts w:ascii="Times New Roman" w:hAnsi="Times New Roman" w:cs="Times New Roman"/>
          <w:color w:val="000000"/>
          <w:sz w:val="24"/>
          <w:szCs w:val="24"/>
        </w:rPr>
        <w:t>Condițiile climaterice</w:t>
      </w:r>
      <w:r w:rsidR="00EE1AE8" w:rsidRPr="00C958F1">
        <w:rPr>
          <w:rFonts w:ascii="Times New Roman" w:hAnsi="Times New Roman" w:cs="Times New Roman"/>
          <w:color w:val="000000"/>
          <w:sz w:val="24"/>
          <w:szCs w:val="24"/>
        </w:rPr>
        <w:t xml:space="preserve"> mai blând</w:t>
      </w:r>
      <w:r w:rsidR="00672A2D" w:rsidRPr="00C958F1">
        <w:rPr>
          <w:rFonts w:ascii="Times New Roman" w:hAnsi="Times New Roman" w:cs="Times New Roman"/>
          <w:color w:val="000000"/>
          <w:sz w:val="24"/>
          <w:szCs w:val="24"/>
        </w:rPr>
        <w:t>e</w:t>
      </w:r>
      <w:r w:rsidR="00EE1AE8" w:rsidRPr="00C958F1">
        <w:rPr>
          <w:rFonts w:ascii="Times New Roman" w:hAnsi="Times New Roman" w:cs="Times New Roman"/>
          <w:color w:val="000000"/>
          <w:sz w:val="24"/>
          <w:szCs w:val="24"/>
        </w:rPr>
        <w:t xml:space="preserve"> din nordul Chinei, împreună cu performanțele macroeconomice mai slabe și prețurile spot ridicate ale GNL, au </w:t>
      </w:r>
      <w:r w:rsidR="00672A2D" w:rsidRPr="00C958F1">
        <w:rPr>
          <w:rFonts w:ascii="Times New Roman" w:hAnsi="Times New Roman" w:cs="Times New Roman"/>
          <w:color w:val="000000"/>
          <w:sz w:val="24"/>
          <w:szCs w:val="24"/>
        </w:rPr>
        <w:t>încetinit</w:t>
      </w:r>
      <w:r w:rsidR="00EE1AE8" w:rsidRPr="00C958F1">
        <w:rPr>
          <w:rFonts w:ascii="Times New Roman" w:hAnsi="Times New Roman" w:cs="Times New Roman"/>
          <w:color w:val="000000"/>
          <w:sz w:val="24"/>
          <w:szCs w:val="24"/>
        </w:rPr>
        <w:t xml:space="preserve"> expansiunea cererii de gaze</w:t>
      </w:r>
      <w:r w:rsidR="00AB2DCF" w:rsidRPr="00C958F1">
        <w:rPr>
          <w:rFonts w:ascii="Times New Roman" w:hAnsi="Times New Roman" w:cs="Times New Roman"/>
          <w:color w:val="000000"/>
          <w:sz w:val="24"/>
          <w:szCs w:val="24"/>
        </w:rPr>
        <w:t xml:space="preserve"> naturale</w:t>
      </w:r>
      <w:r w:rsidR="00EE1AE8" w:rsidRPr="00C958F1">
        <w:rPr>
          <w:rFonts w:ascii="Times New Roman" w:hAnsi="Times New Roman" w:cs="Times New Roman"/>
          <w:color w:val="000000"/>
          <w:sz w:val="24"/>
          <w:szCs w:val="24"/>
        </w:rPr>
        <w:t xml:space="preserve"> în Asia. În Eurasia, consumul de gaze naturale a scăzut cu aproximativ 3% în ritm anual în sezonul de încălzire 2024</w:t>
      </w:r>
      <w:r w:rsidR="004521D3" w:rsidRPr="00C958F1">
        <w:rPr>
          <w:rFonts w:ascii="Times New Roman" w:hAnsi="Times New Roman" w:cs="Times New Roman"/>
          <w:color w:val="000000"/>
          <w:sz w:val="24"/>
          <w:szCs w:val="24"/>
        </w:rPr>
        <w:t xml:space="preserve"> - 20</w:t>
      </w:r>
      <w:r w:rsidR="00EE1AE8" w:rsidRPr="00C958F1">
        <w:rPr>
          <w:rFonts w:ascii="Times New Roman" w:hAnsi="Times New Roman" w:cs="Times New Roman"/>
          <w:color w:val="000000"/>
          <w:sz w:val="24"/>
          <w:szCs w:val="24"/>
        </w:rPr>
        <w:t>25, pe fondul unei ierni neobișnuit de blânde în Rusia.</w:t>
      </w:r>
    </w:p>
    <w:p w14:paraId="48BE243A" w14:textId="7DBF5629" w:rsidR="006416D6" w:rsidRPr="00C958F1" w:rsidRDefault="00A94902" w:rsidP="00C958F1">
      <w:pPr>
        <w:spacing w:after="60" w:line="276" w:lineRule="auto"/>
        <w:ind w:firstLine="547"/>
        <w:jc w:val="both"/>
        <w:rPr>
          <w:rFonts w:ascii="Times New Roman" w:hAnsi="Times New Roman" w:cs="Times New Roman"/>
          <w:color w:val="000000"/>
          <w:sz w:val="24"/>
          <w:szCs w:val="24"/>
        </w:rPr>
      </w:pPr>
      <w:r w:rsidRPr="00C958F1">
        <w:rPr>
          <w:rFonts w:ascii="Times New Roman" w:hAnsi="Times New Roman" w:cs="Times New Roman"/>
          <w:b/>
          <w:bCs/>
          <w:color w:val="000000"/>
          <w:sz w:val="24"/>
          <w:szCs w:val="24"/>
        </w:rPr>
        <w:lastRenderedPageBreak/>
        <w:t>6</w:t>
      </w:r>
      <w:r w:rsidR="000B41B9" w:rsidRPr="00C958F1">
        <w:rPr>
          <w:rFonts w:ascii="Times New Roman" w:hAnsi="Times New Roman" w:cs="Times New Roman"/>
          <w:b/>
          <w:bCs/>
          <w:color w:val="000000"/>
          <w:sz w:val="24"/>
          <w:szCs w:val="24"/>
        </w:rPr>
        <w:t>.</w:t>
      </w:r>
      <w:r w:rsidR="000B41B9" w:rsidRPr="00C958F1">
        <w:rPr>
          <w:rFonts w:ascii="Times New Roman" w:hAnsi="Times New Roman" w:cs="Times New Roman"/>
          <w:color w:val="000000"/>
          <w:sz w:val="24"/>
          <w:szCs w:val="24"/>
        </w:rPr>
        <w:t xml:space="preserve"> </w:t>
      </w:r>
      <w:r w:rsidR="004521D3" w:rsidRPr="00C958F1">
        <w:rPr>
          <w:rFonts w:ascii="Times New Roman" w:hAnsi="Times New Roman" w:cs="Times New Roman"/>
          <w:color w:val="000000"/>
          <w:sz w:val="24"/>
          <w:szCs w:val="24"/>
        </w:rPr>
        <w:t xml:space="preserve">Potrivit </w:t>
      </w:r>
      <w:hyperlink r:id="rId9" w:history="1">
        <w:r w:rsidR="004521D3" w:rsidRPr="00C958F1">
          <w:rPr>
            <w:rStyle w:val="Hyperlink"/>
            <w:rFonts w:ascii="Times New Roman" w:hAnsi="Times New Roman" w:cs="Times New Roman"/>
            <w:sz w:val="24"/>
            <w:szCs w:val="24"/>
          </w:rPr>
          <w:t>Raportului</w:t>
        </w:r>
        <w:r w:rsidR="00E45C1A" w:rsidRPr="00C958F1">
          <w:rPr>
            <w:rStyle w:val="FootnoteReference"/>
            <w:rFonts w:ascii="Times New Roman" w:hAnsi="Times New Roman" w:cs="Times New Roman"/>
            <w:color w:val="0000FF"/>
            <w:sz w:val="24"/>
            <w:szCs w:val="24"/>
            <w:u w:val="single"/>
          </w:rPr>
          <w:footnoteReference w:id="2"/>
        </w:r>
        <w:r w:rsidR="004521D3" w:rsidRPr="00C958F1">
          <w:rPr>
            <w:rStyle w:val="Hyperlink"/>
            <w:rFonts w:ascii="Times New Roman" w:hAnsi="Times New Roman" w:cs="Times New Roman"/>
            <w:sz w:val="24"/>
            <w:szCs w:val="24"/>
          </w:rPr>
          <w:t xml:space="preserve"> Agenției Internaționale pentru Energie (AIE) privind piața gazelor naturale</w:t>
        </w:r>
      </w:hyperlink>
      <w:r w:rsidR="004521D3" w:rsidRPr="00C958F1">
        <w:rPr>
          <w:rFonts w:ascii="Times New Roman" w:hAnsi="Times New Roman" w:cs="Times New Roman"/>
          <w:sz w:val="24"/>
          <w:szCs w:val="24"/>
        </w:rPr>
        <w:t xml:space="preserve">, </w:t>
      </w:r>
      <w:r w:rsidR="004521D3" w:rsidRPr="00C958F1">
        <w:rPr>
          <w:rFonts w:ascii="Times New Roman" w:hAnsi="Times New Roman" w:cs="Times New Roman"/>
          <w:color w:val="000000"/>
          <w:sz w:val="24"/>
          <w:szCs w:val="24"/>
        </w:rPr>
        <w:t>după scăderea bruscă din 2024</w:t>
      </w:r>
      <w:r w:rsidR="00E45C1A" w:rsidRPr="00C958F1">
        <w:rPr>
          <w:rFonts w:ascii="Times New Roman" w:hAnsi="Times New Roman" w:cs="Times New Roman"/>
          <w:color w:val="000000"/>
          <w:sz w:val="24"/>
          <w:szCs w:val="24"/>
        </w:rPr>
        <w:t xml:space="preserve"> a</w:t>
      </w:r>
      <w:r w:rsidR="004521D3" w:rsidRPr="00C958F1">
        <w:rPr>
          <w:rFonts w:ascii="Times New Roman" w:hAnsi="Times New Roman" w:cs="Times New Roman"/>
          <w:color w:val="000000"/>
          <w:sz w:val="24"/>
          <w:szCs w:val="24"/>
        </w:rPr>
        <w:t xml:space="preserve"> importuril</w:t>
      </w:r>
      <w:r w:rsidR="00E45C1A" w:rsidRPr="00C958F1">
        <w:rPr>
          <w:rFonts w:ascii="Times New Roman" w:hAnsi="Times New Roman" w:cs="Times New Roman"/>
          <w:color w:val="000000"/>
          <w:sz w:val="24"/>
          <w:szCs w:val="24"/>
        </w:rPr>
        <w:t>or</w:t>
      </w:r>
      <w:r w:rsidR="004521D3" w:rsidRPr="00C958F1">
        <w:rPr>
          <w:rFonts w:ascii="Times New Roman" w:hAnsi="Times New Roman" w:cs="Times New Roman"/>
          <w:color w:val="000000"/>
          <w:sz w:val="24"/>
          <w:szCs w:val="24"/>
        </w:rPr>
        <w:t xml:space="preserve"> de GNL ale Europei</w:t>
      </w:r>
      <w:r w:rsidR="00E45C1A" w:rsidRPr="00C958F1">
        <w:rPr>
          <w:rFonts w:ascii="Times New Roman" w:hAnsi="Times New Roman" w:cs="Times New Roman"/>
          <w:color w:val="000000"/>
          <w:sz w:val="24"/>
          <w:szCs w:val="24"/>
        </w:rPr>
        <w:t>, acestea</w:t>
      </w:r>
      <w:r w:rsidR="004521D3" w:rsidRPr="00C958F1">
        <w:rPr>
          <w:rFonts w:ascii="Times New Roman" w:hAnsi="Times New Roman" w:cs="Times New Roman"/>
          <w:color w:val="000000"/>
          <w:sz w:val="24"/>
          <w:szCs w:val="24"/>
        </w:rPr>
        <w:t xml:space="preserve"> ar trebui să se redreseze în 2025. Importurile de GNL ale Europei au scăzut cu 18% (sau aproape 30 mlrd. m</w:t>
      </w:r>
      <w:r w:rsidR="004521D3" w:rsidRPr="00C958F1">
        <w:rPr>
          <w:rFonts w:ascii="Times New Roman" w:hAnsi="Times New Roman" w:cs="Times New Roman"/>
          <w:color w:val="000000"/>
          <w:sz w:val="24"/>
          <w:szCs w:val="24"/>
          <w:vertAlign w:val="superscript"/>
        </w:rPr>
        <w:t>3</w:t>
      </w:r>
      <w:r w:rsidR="004521D3" w:rsidRPr="00C958F1">
        <w:rPr>
          <w:rFonts w:ascii="Times New Roman" w:hAnsi="Times New Roman" w:cs="Times New Roman"/>
          <w:color w:val="000000"/>
          <w:sz w:val="24"/>
          <w:szCs w:val="24"/>
        </w:rPr>
        <w:t>) în 2024. Această tendință a fost inversată în primul trimestru al anului 2025, când Europa și-a majorat importurile de GNL cu peste 20% (sau peste 9 mlrd. m</w:t>
      </w:r>
      <w:r w:rsidR="004521D3" w:rsidRPr="00C958F1">
        <w:rPr>
          <w:rFonts w:ascii="Times New Roman" w:hAnsi="Times New Roman" w:cs="Times New Roman"/>
          <w:color w:val="000000"/>
          <w:sz w:val="24"/>
          <w:szCs w:val="24"/>
          <w:vertAlign w:val="superscript"/>
        </w:rPr>
        <w:t>3</w:t>
      </w:r>
      <w:r w:rsidR="004521D3" w:rsidRPr="00C958F1">
        <w:rPr>
          <w:rFonts w:ascii="Times New Roman" w:hAnsi="Times New Roman" w:cs="Times New Roman"/>
          <w:color w:val="000000"/>
          <w:sz w:val="24"/>
          <w:szCs w:val="24"/>
        </w:rPr>
        <w:t xml:space="preserve">) în ritm anual, pe fondul scăderii importurilor de gaze </w:t>
      </w:r>
      <w:r w:rsidR="00AB2DCF" w:rsidRPr="00C958F1">
        <w:rPr>
          <w:rFonts w:ascii="Times New Roman" w:hAnsi="Times New Roman" w:cs="Times New Roman"/>
          <w:color w:val="000000"/>
          <w:sz w:val="24"/>
          <w:szCs w:val="24"/>
        </w:rPr>
        <w:t xml:space="preserve">naturale </w:t>
      </w:r>
      <w:r w:rsidR="004521D3" w:rsidRPr="00C958F1">
        <w:rPr>
          <w:rFonts w:ascii="Times New Roman" w:hAnsi="Times New Roman" w:cs="Times New Roman"/>
          <w:color w:val="000000"/>
          <w:sz w:val="24"/>
          <w:szCs w:val="24"/>
        </w:rPr>
        <w:t xml:space="preserve">prin conducte și al unei cereri interne mai mari. Se preconizează că necesitățile mai mari de injectare în </w:t>
      </w:r>
      <w:r w:rsidR="00E45C1A" w:rsidRPr="00C958F1">
        <w:rPr>
          <w:rFonts w:ascii="Times New Roman" w:hAnsi="Times New Roman" w:cs="Times New Roman"/>
          <w:color w:val="000000"/>
          <w:sz w:val="24"/>
          <w:szCs w:val="24"/>
        </w:rPr>
        <w:t>instalațiile de stocare a gazelor naturale</w:t>
      </w:r>
      <w:r w:rsidR="004521D3" w:rsidRPr="00C958F1">
        <w:rPr>
          <w:rFonts w:ascii="Times New Roman" w:hAnsi="Times New Roman" w:cs="Times New Roman"/>
          <w:color w:val="000000"/>
          <w:sz w:val="24"/>
          <w:szCs w:val="24"/>
        </w:rPr>
        <w:t>, împreună cu i</w:t>
      </w:r>
      <w:r w:rsidR="00AB2DCF" w:rsidRPr="00C958F1">
        <w:rPr>
          <w:rFonts w:ascii="Times New Roman" w:hAnsi="Times New Roman" w:cs="Times New Roman"/>
          <w:color w:val="000000"/>
          <w:sz w:val="24"/>
          <w:szCs w:val="24"/>
        </w:rPr>
        <w:t>mporturile</w:t>
      </w:r>
      <w:r w:rsidR="004521D3" w:rsidRPr="00C958F1">
        <w:rPr>
          <w:rFonts w:ascii="Times New Roman" w:hAnsi="Times New Roman" w:cs="Times New Roman"/>
          <w:color w:val="000000"/>
          <w:sz w:val="24"/>
          <w:szCs w:val="24"/>
        </w:rPr>
        <w:t xml:space="preserve"> mai mici de gaze </w:t>
      </w:r>
      <w:r w:rsidR="00AB2DCF" w:rsidRPr="00C958F1">
        <w:rPr>
          <w:rFonts w:ascii="Times New Roman" w:hAnsi="Times New Roman" w:cs="Times New Roman"/>
          <w:color w:val="000000"/>
          <w:sz w:val="24"/>
          <w:szCs w:val="24"/>
        </w:rPr>
        <w:t xml:space="preserve">naturale </w:t>
      </w:r>
      <w:r w:rsidR="004521D3" w:rsidRPr="00C958F1">
        <w:rPr>
          <w:rFonts w:ascii="Times New Roman" w:hAnsi="Times New Roman" w:cs="Times New Roman"/>
          <w:color w:val="000000"/>
          <w:sz w:val="24"/>
          <w:szCs w:val="24"/>
        </w:rPr>
        <w:t xml:space="preserve">prin conducte, vor </w:t>
      </w:r>
      <w:r w:rsidR="00E45C1A" w:rsidRPr="00C958F1">
        <w:rPr>
          <w:rFonts w:ascii="Times New Roman" w:hAnsi="Times New Roman" w:cs="Times New Roman"/>
          <w:color w:val="000000"/>
          <w:sz w:val="24"/>
          <w:szCs w:val="24"/>
        </w:rPr>
        <w:t>facilita</w:t>
      </w:r>
      <w:r w:rsidR="004521D3" w:rsidRPr="00C958F1">
        <w:rPr>
          <w:rFonts w:ascii="Times New Roman" w:hAnsi="Times New Roman" w:cs="Times New Roman"/>
          <w:color w:val="000000"/>
          <w:sz w:val="24"/>
          <w:szCs w:val="24"/>
        </w:rPr>
        <w:t xml:space="preserve"> creșterea importurilor de GNL pe parcursul sezonului de </w:t>
      </w:r>
      <w:r w:rsidR="00B873B3" w:rsidRPr="00C958F1">
        <w:rPr>
          <w:rFonts w:ascii="Times New Roman" w:hAnsi="Times New Roman" w:cs="Times New Roman"/>
          <w:color w:val="000000"/>
          <w:sz w:val="24"/>
          <w:szCs w:val="24"/>
        </w:rPr>
        <w:t>stocare</w:t>
      </w:r>
      <w:r w:rsidR="004521D3" w:rsidRPr="00C958F1">
        <w:rPr>
          <w:rFonts w:ascii="Times New Roman" w:hAnsi="Times New Roman" w:cs="Times New Roman"/>
          <w:color w:val="000000"/>
          <w:sz w:val="24"/>
          <w:szCs w:val="24"/>
        </w:rPr>
        <w:t xml:space="preserve">. </w:t>
      </w:r>
    </w:p>
    <w:p w14:paraId="39EDFED6" w14:textId="2C8FAEC5" w:rsidR="004C7DEB" w:rsidRPr="00C958F1" w:rsidRDefault="004521D3" w:rsidP="00C958F1">
      <w:pPr>
        <w:spacing w:after="60" w:line="276" w:lineRule="auto"/>
        <w:jc w:val="both"/>
        <w:rPr>
          <w:rFonts w:ascii="Times New Roman" w:hAnsi="Times New Roman" w:cs="Times New Roman"/>
          <w:color w:val="000000"/>
          <w:sz w:val="24"/>
          <w:szCs w:val="24"/>
          <w:highlight w:val="yellow"/>
        </w:rPr>
      </w:pPr>
      <w:r w:rsidRPr="00C958F1">
        <w:rPr>
          <w:rFonts w:ascii="Times New Roman" w:hAnsi="Times New Roman" w:cs="Times New Roman"/>
          <w:color w:val="000000"/>
          <w:sz w:val="24"/>
          <w:szCs w:val="24"/>
        </w:rPr>
        <w:t xml:space="preserve">Importurile de GNL ale Chinei au scăzut cu aproximativ 25% în primul trimestru din 2025, cea mai abruptă scădere de la criza mondială a gazelor </w:t>
      </w:r>
      <w:r w:rsidR="00B873B3" w:rsidRPr="00C958F1">
        <w:rPr>
          <w:rFonts w:ascii="Times New Roman" w:hAnsi="Times New Roman" w:cs="Times New Roman"/>
          <w:color w:val="000000"/>
          <w:sz w:val="24"/>
          <w:szCs w:val="24"/>
        </w:rPr>
        <w:t xml:space="preserve">naturale </w:t>
      </w:r>
      <w:r w:rsidRPr="00C958F1">
        <w:rPr>
          <w:rFonts w:ascii="Times New Roman" w:hAnsi="Times New Roman" w:cs="Times New Roman"/>
          <w:color w:val="000000"/>
          <w:sz w:val="24"/>
          <w:szCs w:val="24"/>
        </w:rPr>
        <w:t>din 2022. Acest lucru evidențiază rolul din ce în ce mai echilibrat al Chinei pe piața mondială a gazelor</w:t>
      </w:r>
      <w:r w:rsidR="00B873B3" w:rsidRPr="00C958F1">
        <w:rPr>
          <w:rFonts w:ascii="Times New Roman" w:hAnsi="Times New Roman" w:cs="Times New Roman"/>
          <w:color w:val="000000"/>
          <w:sz w:val="24"/>
          <w:szCs w:val="24"/>
        </w:rPr>
        <w:t xml:space="preserve"> naturale</w:t>
      </w:r>
      <w:r w:rsidRPr="00C958F1">
        <w:rPr>
          <w:rFonts w:ascii="Times New Roman" w:hAnsi="Times New Roman" w:cs="Times New Roman"/>
          <w:color w:val="000000"/>
          <w:sz w:val="24"/>
          <w:szCs w:val="24"/>
        </w:rPr>
        <w:t>, susținut de capacitatea sa de trecere de la gaz</w:t>
      </w:r>
      <w:r w:rsidR="00B873B3" w:rsidRPr="00C958F1">
        <w:rPr>
          <w:rFonts w:ascii="Times New Roman" w:hAnsi="Times New Roman" w:cs="Times New Roman"/>
          <w:color w:val="000000"/>
          <w:sz w:val="24"/>
          <w:szCs w:val="24"/>
        </w:rPr>
        <w:t xml:space="preserve">ele naturale </w:t>
      </w:r>
      <w:r w:rsidRPr="00C958F1">
        <w:rPr>
          <w:rFonts w:ascii="Times New Roman" w:hAnsi="Times New Roman" w:cs="Times New Roman"/>
          <w:color w:val="000000"/>
          <w:sz w:val="24"/>
          <w:szCs w:val="24"/>
        </w:rPr>
        <w:t>la cărbune și de opțiunile de flexibilitate încorporate în vastul său portofoliu de contracte pe termen lung pentru GNL.</w:t>
      </w:r>
    </w:p>
    <w:p w14:paraId="53CDC499" w14:textId="6CCBEF66" w:rsidR="006A1540" w:rsidRPr="00C958F1" w:rsidRDefault="00A94902" w:rsidP="00C958F1">
      <w:pPr>
        <w:spacing w:after="120" w:line="276" w:lineRule="auto"/>
        <w:ind w:firstLine="540"/>
        <w:jc w:val="both"/>
        <w:rPr>
          <w:rFonts w:ascii="Times New Roman" w:hAnsi="Times New Roman" w:cs="Times New Roman"/>
          <w:color w:val="000000"/>
          <w:sz w:val="24"/>
          <w:szCs w:val="24"/>
        </w:rPr>
      </w:pPr>
      <w:r w:rsidRPr="00C958F1">
        <w:rPr>
          <w:rFonts w:ascii="Times New Roman" w:hAnsi="Times New Roman" w:cs="Times New Roman"/>
          <w:b/>
          <w:bCs/>
          <w:color w:val="000000"/>
          <w:sz w:val="24"/>
          <w:szCs w:val="24"/>
        </w:rPr>
        <w:t>7</w:t>
      </w:r>
      <w:r w:rsidR="000B41B9" w:rsidRPr="00C958F1">
        <w:rPr>
          <w:rFonts w:ascii="Times New Roman" w:hAnsi="Times New Roman" w:cs="Times New Roman"/>
          <w:b/>
          <w:bCs/>
          <w:color w:val="000000"/>
          <w:sz w:val="24"/>
          <w:szCs w:val="24"/>
        </w:rPr>
        <w:t>.</w:t>
      </w:r>
      <w:r w:rsidR="000B41B9" w:rsidRPr="00C958F1">
        <w:rPr>
          <w:rFonts w:ascii="Times New Roman" w:hAnsi="Times New Roman" w:cs="Times New Roman"/>
          <w:color w:val="000000"/>
          <w:sz w:val="24"/>
          <w:szCs w:val="24"/>
        </w:rPr>
        <w:t xml:space="preserve"> </w:t>
      </w:r>
      <w:r w:rsidR="004521D3" w:rsidRPr="00C958F1">
        <w:rPr>
          <w:rFonts w:ascii="Times New Roman" w:hAnsi="Times New Roman" w:cs="Times New Roman"/>
          <w:color w:val="000000"/>
          <w:sz w:val="24"/>
          <w:szCs w:val="24"/>
        </w:rPr>
        <w:t xml:space="preserve">Măsurile luate în primii 3 ani de la adoptarea Planului REPowerEU în mai 2022 au </w:t>
      </w:r>
      <w:r w:rsidR="0011177B" w:rsidRPr="00C958F1">
        <w:rPr>
          <w:rFonts w:ascii="Times New Roman" w:hAnsi="Times New Roman" w:cs="Times New Roman"/>
          <w:color w:val="000000"/>
          <w:sz w:val="24"/>
          <w:szCs w:val="24"/>
        </w:rPr>
        <w:t xml:space="preserve">condus la reducerea </w:t>
      </w:r>
      <w:r w:rsidR="004521D3" w:rsidRPr="00C958F1">
        <w:rPr>
          <w:rFonts w:ascii="Times New Roman" w:hAnsi="Times New Roman" w:cs="Times New Roman"/>
          <w:color w:val="000000"/>
          <w:sz w:val="24"/>
          <w:szCs w:val="24"/>
        </w:rPr>
        <w:t>volumel</w:t>
      </w:r>
      <w:r w:rsidR="0011177B" w:rsidRPr="00C958F1">
        <w:rPr>
          <w:rFonts w:ascii="Times New Roman" w:hAnsi="Times New Roman" w:cs="Times New Roman"/>
          <w:color w:val="000000"/>
          <w:sz w:val="24"/>
          <w:szCs w:val="24"/>
        </w:rPr>
        <w:t>or</w:t>
      </w:r>
      <w:r w:rsidR="004521D3" w:rsidRPr="00C958F1">
        <w:rPr>
          <w:rFonts w:ascii="Times New Roman" w:hAnsi="Times New Roman" w:cs="Times New Roman"/>
          <w:color w:val="000000"/>
          <w:sz w:val="24"/>
          <w:szCs w:val="24"/>
        </w:rPr>
        <w:t xml:space="preserve"> de gaze </w:t>
      </w:r>
      <w:r w:rsidR="00BA012D" w:rsidRPr="00C958F1">
        <w:rPr>
          <w:rFonts w:ascii="Times New Roman" w:hAnsi="Times New Roman" w:cs="Times New Roman"/>
          <w:color w:val="000000"/>
          <w:sz w:val="24"/>
          <w:szCs w:val="24"/>
        </w:rPr>
        <w:t>naturale</w:t>
      </w:r>
      <w:r w:rsidR="004521D3" w:rsidRPr="00C958F1">
        <w:rPr>
          <w:rFonts w:ascii="Times New Roman" w:hAnsi="Times New Roman" w:cs="Times New Roman"/>
          <w:color w:val="000000"/>
          <w:sz w:val="24"/>
          <w:szCs w:val="24"/>
        </w:rPr>
        <w:t xml:space="preserve"> importate </w:t>
      </w:r>
      <w:r w:rsidR="00BA012D" w:rsidRPr="00C958F1">
        <w:rPr>
          <w:rFonts w:ascii="Times New Roman" w:hAnsi="Times New Roman" w:cs="Times New Roman"/>
          <w:color w:val="000000"/>
          <w:sz w:val="24"/>
          <w:szCs w:val="24"/>
        </w:rPr>
        <w:t xml:space="preserve">din Rusia, </w:t>
      </w:r>
      <w:r w:rsidR="004521D3" w:rsidRPr="00C958F1">
        <w:rPr>
          <w:rFonts w:ascii="Times New Roman" w:hAnsi="Times New Roman" w:cs="Times New Roman"/>
          <w:color w:val="000000"/>
          <w:sz w:val="24"/>
          <w:szCs w:val="24"/>
        </w:rPr>
        <w:t xml:space="preserve">de la 150 </w:t>
      </w:r>
      <w:r w:rsidR="0011177B" w:rsidRPr="00C958F1">
        <w:rPr>
          <w:rFonts w:ascii="Times New Roman" w:hAnsi="Times New Roman" w:cs="Times New Roman"/>
          <w:color w:val="000000"/>
          <w:sz w:val="24"/>
          <w:szCs w:val="24"/>
        </w:rPr>
        <w:t>mlrd. m</w:t>
      </w:r>
      <w:r w:rsidR="0011177B" w:rsidRPr="00C958F1">
        <w:rPr>
          <w:rFonts w:ascii="Times New Roman" w:hAnsi="Times New Roman" w:cs="Times New Roman"/>
          <w:color w:val="000000"/>
          <w:sz w:val="24"/>
          <w:szCs w:val="24"/>
          <w:vertAlign w:val="superscript"/>
        </w:rPr>
        <w:t>3</w:t>
      </w:r>
      <w:r w:rsidR="004521D3" w:rsidRPr="00C958F1">
        <w:rPr>
          <w:rFonts w:ascii="Times New Roman" w:hAnsi="Times New Roman" w:cs="Times New Roman"/>
          <w:color w:val="000000"/>
          <w:sz w:val="24"/>
          <w:szCs w:val="24"/>
        </w:rPr>
        <w:t xml:space="preserve"> </w:t>
      </w:r>
      <w:r w:rsidR="002B29FA" w:rsidRPr="00C958F1">
        <w:rPr>
          <w:rFonts w:ascii="Times New Roman" w:hAnsi="Times New Roman" w:cs="Times New Roman"/>
          <w:color w:val="000000"/>
          <w:sz w:val="24"/>
          <w:szCs w:val="24"/>
        </w:rPr>
        <w:t xml:space="preserve">sau 45% din total importat </w:t>
      </w:r>
      <w:r w:rsidR="004521D3" w:rsidRPr="00C958F1">
        <w:rPr>
          <w:rFonts w:ascii="Times New Roman" w:hAnsi="Times New Roman" w:cs="Times New Roman"/>
          <w:color w:val="000000"/>
          <w:sz w:val="24"/>
          <w:szCs w:val="24"/>
        </w:rPr>
        <w:t xml:space="preserve">în 2021 la 52 </w:t>
      </w:r>
      <w:r w:rsidR="0011177B" w:rsidRPr="00C958F1">
        <w:rPr>
          <w:rFonts w:ascii="Times New Roman" w:hAnsi="Times New Roman" w:cs="Times New Roman"/>
          <w:color w:val="000000"/>
          <w:sz w:val="24"/>
          <w:szCs w:val="24"/>
        </w:rPr>
        <w:t>mlrd. m</w:t>
      </w:r>
      <w:r w:rsidR="0011177B" w:rsidRPr="00C958F1">
        <w:rPr>
          <w:rFonts w:ascii="Times New Roman" w:hAnsi="Times New Roman" w:cs="Times New Roman"/>
          <w:color w:val="000000"/>
          <w:sz w:val="24"/>
          <w:szCs w:val="24"/>
          <w:vertAlign w:val="superscript"/>
        </w:rPr>
        <w:t>3</w:t>
      </w:r>
      <w:r w:rsidR="004521D3" w:rsidRPr="00C958F1">
        <w:rPr>
          <w:rFonts w:ascii="Times New Roman" w:hAnsi="Times New Roman" w:cs="Times New Roman"/>
          <w:color w:val="000000"/>
          <w:sz w:val="24"/>
          <w:szCs w:val="24"/>
        </w:rPr>
        <w:t xml:space="preserve"> </w:t>
      </w:r>
      <w:r w:rsidR="002B29FA" w:rsidRPr="00C958F1">
        <w:rPr>
          <w:rFonts w:ascii="Times New Roman" w:hAnsi="Times New Roman" w:cs="Times New Roman"/>
          <w:color w:val="000000"/>
          <w:sz w:val="24"/>
          <w:szCs w:val="24"/>
        </w:rPr>
        <w:t xml:space="preserve">sau 19% din total importat </w:t>
      </w:r>
      <w:r w:rsidR="004521D3" w:rsidRPr="00C958F1">
        <w:rPr>
          <w:rFonts w:ascii="Times New Roman" w:hAnsi="Times New Roman" w:cs="Times New Roman"/>
          <w:color w:val="000000"/>
          <w:sz w:val="24"/>
          <w:szCs w:val="24"/>
        </w:rPr>
        <w:t>în 2024.</w:t>
      </w:r>
      <w:r w:rsidR="00E46FDD" w:rsidRPr="00C958F1">
        <w:rPr>
          <w:rFonts w:ascii="Times New Roman" w:hAnsi="Times New Roman" w:cs="Times New Roman"/>
          <w:color w:val="000000"/>
          <w:sz w:val="24"/>
          <w:szCs w:val="24"/>
        </w:rPr>
        <w:t xml:space="preserve"> </w:t>
      </w:r>
      <w:r w:rsidR="006A1540" w:rsidRPr="00C958F1">
        <w:rPr>
          <w:rFonts w:ascii="Times New Roman" w:hAnsi="Times New Roman" w:cs="Times New Roman"/>
          <w:color w:val="000000"/>
          <w:sz w:val="24"/>
          <w:szCs w:val="24"/>
        </w:rPr>
        <w:t xml:space="preserve">Importurile totale de gaze </w:t>
      </w:r>
      <w:r w:rsidR="00B873B3" w:rsidRPr="00C958F1">
        <w:rPr>
          <w:rFonts w:ascii="Times New Roman" w:hAnsi="Times New Roman" w:cs="Times New Roman"/>
          <w:color w:val="000000"/>
          <w:sz w:val="24"/>
          <w:szCs w:val="24"/>
        </w:rPr>
        <w:t xml:space="preserve">naturale </w:t>
      </w:r>
      <w:r w:rsidR="006A1540" w:rsidRPr="00C958F1">
        <w:rPr>
          <w:rFonts w:ascii="Times New Roman" w:hAnsi="Times New Roman" w:cs="Times New Roman"/>
          <w:color w:val="000000"/>
          <w:sz w:val="24"/>
          <w:szCs w:val="24"/>
        </w:rPr>
        <w:t xml:space="preserve">ale UE </w:t>
      </w:r>
      <w:r w:rsidR="00E46FDD" w:rsidRPr="00C958F1">
        <w:rPr>
          <w:rFonts w:ascii="Times New Roman" w:hAnsi="Times New Roman" w:cs="Times New Roman"/>
          <w:color w:val="000000"/>
          <w:sz w:val="24"/>
          <w:szCs w:val="24"/>
        </w:rPr>
        <w:t>au fost de</w:t>
      </w:r>
      <w:r w:rsidR="006A1540" w:rsidRPr="00C958F1">
        <w:rPr>
          <w:rFonts w:ascii="Times New Roman" w:hAnsi="Times New Roman" w:cs="Times New Roman"/>
          <w:color w:val="000000"/>
          <w:sz w:val="24"/>
          <w:szCs w:val="24"/>
        </w:rPr>
        <w:t xml:space="preserve"> 273 mlrd. m</w:t>
      </w:r>
      <w:r w:rsidR="006A1540" w:rsidRPr="00C958F1">
        <w:rPr>
          <w:rFonts w:ascii="Times New Roman" w:hAnsi="Times New Roman" w:cs="Times New Roman"/>
          <w:color w:val="000000"/>
          <w:sz w:val="24"/>
          <w:szCs w:val="24"/>
          <w:vertAlign w:val="superscript"/>
        </w:rPr>
        <w:t>3</w:t>
      </w:r>
      <w:r w:rsidR="006A1540" w:rsidRPr="00C958F1">
        <w:rPr>
          <w:rFonts w:ascii="Times New Roman" w:hAnsi="Times New Roman" w:cs="Times New Roman"/>
          <w:color w:val="000000"/>
          <w:sz w:val="24"/>
          <w:szCs w:val="24"/>
        </w:rPr>
        <w:t xml:space="preserve"> în anul 2024, o scădere</w:t>
      </w:r>
      <w:r w:rsidR="00D96CDD" w:rsidRPr="00C958F1">
        <w:rPr>
          <w:rFonts w:ascii="Times New Roman" w:hAnsi="Times New Roman" w:cs="Times New Roman"/>
          <w:color w:val="000000"/>
          <w:sz w:val="24"/>
          <w:szCs w:val="24"/>
        </w:rPr>
        <w:t xml:space="preserve"> </w:t>
      </w:r>
      <w:r w:rsidR="006A1540" w:rsidRPr="00C958F1">
        <w:rPr>
          <w:rFonts w:ascii="Times New Roman" w:hAnsi="Times New Roman" w:cs="Times New Roman"/>
          <w:color w:val="000000"/>
          <w:sz w:val="24"/>
          <w:szCs w:val="24"/>
        </w:rPr>
        <w:t xml:space="preserve">cu 18% </w:t>
      </w:r>
      <w:r w:rsidR="00E46FDD" w:rsidRPr="00C958F1">
        <w:rPr>
          <w:rFonts w:ascii="Times New Roman" w:hAnsi="Times New Roman" w:cs="Times New Roman"/>
          <w:color w:val="000000"/>
          <w:sz w:val="24"/>
          <w:szCs w:val="24"/>
        </w:rPr>
        <w:t>comparativ cu volumul importat</w:t>
      </w:r>
      <w:r w:rsidR="006A1540" w:rsidRPr="00C958F1">
        <w:rPr>
          <w:rFonts w:ascii="Times New Roman" w:hAnsi="Times New Roman" w:cs="Times New Roman"/>
          <w:color w:val="000000"/>
          <w:sz w:val="24"/>
          <w:szCs w:val="24"/>
        </w:rPr>
        <w:t xml:space="preserve"> în 202</w:t>
      </w:r>
      <w:r w:rsidR="00E46FDD" w:rsidRPr="00C958F1">
        <w:rPr>
          <w:rFonts w:ascii="Times New Roman" w:hAnsi="Times New Roman" w:cs="Times New Roman"/>
          <w:color w:val="000000"/>
          <w:sz w:val="24"/>
          <w:szCs w:val="24"/>
        </w:rPr>
        <w:t>1</w:t>
      </w:r>
      <w:r w:rsidR="006A1540" w:rsidRPr="00C958F1">
        <w:rPr>
          <w:rFonts w:ascii="Times New Roman" w:hAnsi="Times New Roman" w:cs="Times New Roman"/>
          <w:color w:val="000000"/>
          <w:sz w:val="24"/>
          <w:szCs w:val="24"/>
        </w:rPr>
        <w:t xml:space="preserve"> (33</w:t>
      </w:r>
      <w:r w:rsidR="00E46FDD" w:rsidRPr="00C958F1">
        <w:rPr>
          <w:rFonts w:ascii="Times New Roman" w:hAnsi="Times New Roman" w:cs="Times New Roman"/>
          <w:color w:val="000000"/>
          <w:sz w:val="24"/>
          <w:szCs w:val="24"/>
        </w:rPr>
        <w:t>4</w:t>
      </w:r>
      <w:r w:rsidR="006A1540" w:rsidRPr="00C958F1">
        <w:rPr>
          <w:rFonts w:ascii="Times New Roman" w:hAnsi="Times New Roman" w:cs="Times New Roman"/>
          <w:color w:val="000000"/>
          <w:sz w:val="24"/>
          <w:szCs w:val="24"/>
        </w:rPr>
        <w:t xml:space="preserve"> mlrd. m</w:t>
      </w:r>
      <w:r w:rsidR="006A1540" w:rsidRPr="00C958F1">
        <w:rPr>
          <w:rFonts w:ascii="Times New Roman" w:hAnsi="Times New Roman" w:cs="Times New Roman"/>
          <w:color w:val="000000"/>
          <w:sz w:val="24"/>
          <w:szCs w:val="24"/>
          <w:vertAlign w:val="superscript"/>
        </w:rPr>
        <w:t>3</w:t>
      </w:r>
      <w:r w:rsidR="006A1540" w:rsidRPr="00C958F1">
        <w:rPr>
          <w:rFonts w:ascii="Times New Roman" w:hAnsi="Times New Roman" w:cs="Times New Roman"/>
          <w:color w:val="000000"/>
          <w:sz w:val="24"/>
          <w:szCs w:val="24"/>
        </w:rPr>
        <w:t>)</w:t>
      </w:r>
      <w:r w:rsidR="00812E47" w:rsidRPr="00C958F1">
        <w:rPr>
          <w:rStyle w:val="FootnoteReference"/>
          <w:rFonts w:ascii="Times New Roman" w:hAnsi="Times New Roman" w:cs="Times New Roman"/>
          <w:color w:val="000000"/>
          <w:sz w:val="24"/>
          <w:szCs w:val="24"/>
        </w:rPr>
        <w:footnoteReference w:id="3"/>
      </w:r>
      <w:r w:rsidR="00E46FDD" w:rsidRPr="00C958F1">
        <w:rPr>
          <w:rFonts w:ascii="Times New Roman" w:hAnsi="Times New Roman" w:cs="Times New Roman"/>
          <w:color w:val="000000"/>
          <w:sz w:val="24"/>
          <w:szCs w:val="24"/>
        </w:rPr>
        <w:t xml:space="preserve">. </w:t>
      </w:r>
      <w:r w:rsidR="00765A31" w:rsidRPr="00C958F1">
        <w:rPr>
          <w:rFonts w:ascii="Times New Roman" w:hAnsi="Times New Roman" w:cs="Times New Roman"/>
          <w:color w:val="000000"/>
          <w:sz w:val="24"/>
          <w:szCs w:val="24"/>
        </w:rPr>
        <w:t xml:space="preserve">În anul 2024, </w:t>
      </w:r>
      <w:r w:rsidR="006A1540" w:rsidRPr="00C958F1">
        <w:rPr>
          <w:rFonts w:ascii="Times New Roman" w:hAnsi="Times New Roman" w:cs="Times New Roman"/>
          <w:color w:val="000000"/>
          <w:sz w:val="24"/>
          <w:szCs w:val="24"/>
        </w:rPr>
        <w:t>Norvegia a furnizat 34%, Rusia 19%, Statele Unite 17%, Africa de Nord 14%, Regatul Unit 4%, Qatar 4%, Azerbaidjan 4%, și alți furnizori de gaze naturale 4%.</w:t>
      </w:r>
    </w:p>
    <w:p w14:paraId="627DD61F" w14:textId="1EC1AF78" w:rsidR="005E54AA" w:rsidRPr="00C43E6D" w:rsidRDefault="005E54AA" w:rsidP="005A62E5">
      <w:pPr>
        <w:spacing w:after="120"/>
        <w:jc w:val="both"/>
        <w:rPr>
          <w:rFonts w:ascii="Times New Roman" w:hAnsi="Times New Roman" w:cs="Times New Roman"/>
          <w:color w:val="000000"/>
        </w:rPr>
      </w:pPr>
      <w:r w:rsidRPr="00C43E6D">
        <w:rPr>
          <w:noProof/>
        </w:rPr>
        <w:drawing>
          <wp:inline distT="0" distB="0" distL="0" distR="0" wp14:anchorId="56F6B6AD" wp14:editId="403C7894">
            <wp:extent cx="3079115" cy="3100705"/>
            <wp:effectExtent l="0" t="0" r="6985" b="4445"/>
            <wp:docPr id="11" name="Chart 11">
              <a:extLst xmlns:a="http://schemas.openxmlformats.org/drawingml/2006/main">
                <a:ext uri="{FF2B5EF4-FFF2-40B4-BE49-F238E27FC236}">
                  <a16:creationId xmlns:a16="http://schemas.microsoft.com/office/drawing/2014/main" id="{5CA177EA-E618-4540-A904-F116D4643F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C43E6D">
        <w:rPr>
          <w:noProof/>
        </w:rPr>
        <w:drawing>
          <wp:inline distT="0" distB="0" distL="0" distR="0" wp14:anchorId="23E467F4" wp14:editId="3E04FE2A">
            <wp:extent cx="3349066" cy="3100705"/>
            <wp:effectExtent l="0" t="0" r="3810" b="4445"/>
            <wp:docPr id="10" name="Chart 10">
              <a:extLst xmlns:a="http://schemas.openxmlformats.org/drawingml/2006/main">
                <a:ext uri="{FF2B5EF4-FFF2-40B4-BE49-F238E27FC236}">
                  <a16:creationId xmlns:a16="http://schemas.microsoft.com/office/drawing/2014/main" id="{B72E80B4-429D-4B86-BAE9-8E886C26B2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78B5951" w14:textId="5A7B374F" w:rsidR="00C318CF" w:rsidRPr="00C43E6D" w:rsidRDefault="00C318CF" w:rsidP="00C318CF">
      <w:pPr>
        <w:spacing w:after="0"/>
        <w:jc w:val="center"/>
        <w:rPr>
          <w:rFonts w:ascii="Times New Roman" w:hAnsi="Times New Roman" w:cs="Times New Roman"/>
          <w:color w:val="000000"/>
        </w:rPr>
      </w:pPr>
      <w:r w:rsidRPr="00C43E6D">
        <w:rPr>
          <w:rFonts w:ascii="Times New Roman" w:hAnsi="Times New Roman" w:cs="Times New Roman"/>
          <w:b/>
          <w:bCs/>
          <w:color w:val="000000"/>
        </w:rPr>
        <w:t>Figura 1.</w:t>
      </w:r>
      <w:r w:rsidRPr="00C43E6D">
        <w:rPr>
          <w:rFonts w:ascii="Times New Roman" w:hAnsi="Times New Roman" w:cs="Times New Roman"/>
          <w:color w:val="000000"/>
        </w:rPr>
        <w:t xml:space="preserve"> Dependența de importuri gaze naturale ale UE în 20</w:t>
      </w:r>
      <w:r w:rsidR="0011177B" w:rsidRPr="00C43E6D">
        <w:rPr>
          <w:rFonts w:ascii="Times New Roman" w:hAnsi="Times New Roman" w:cs="Times New Roman"/>
          <w:color w:val="000000"/>
        </w:rPr>
        <w:t>21</w:t>
      </w:r>
      <w:r w:rsidR="005B6859" w:rsidRPr="00C43E6D">
        <w:rPr>
          <w:rFonts w:ascii="Times New Roman" w:hAnsi="Times New Roman" w:cs="Times New Roman"/>
          <w:color w:val="000000"/>
        </w:rPr>
        <w:t xml:space="preserve"> și </w:t>
      </w:r>
      <w:r w:rsidRPr="00C43E6D">
        <w:rPr>
          <w:rFonts w:ascii="Times New Roman" w:hAnsi="Times New Roman" w:cs="Times New Roman"/>
          <w:color w:val="000000"/>
        </w:rPr>
        <w:t>202</w:t>
      </w:r>
      <w:r w:rsidR="0011177B" w:rsidRPr="00C43E6D">
        <w:rPr>
          <w:rFonts w:ascii="Times New Roman" w:hAnsi="Times New Roman" w:cs="Times New Roman"/>
          <w:color w:val="000000"/>
        </w:rPr>
        <w:t>4</w:t>
      </w:r>
      <w:r w:rsidRPr="00C43E6D">
        <w:rPr>
          <w:rFonts w:ascii="Times New Roman" w:hAnsi="Times New Roman" w:cs="Times New Roman"/>
          <w:color w:val="000000"/>
        </w:rPr>
        <w:t>, %</w:t>
      </w:r>
    </w:p>
    <w:p w14:paraId="182FF3F7" w14:textId="5854C09C" w:rsidR="002212E3" w:rsidRPr="00C43E6D" w:rsidRDefault="00C318CF" w:rsidP="002B29FA">
      <w:pPr>
        <w:spacing w:after="120"/>
        <w:jc w:val="center"/>
        <w:rPr>
          <w:rFonts w:ascii="Times New Roman" w:hAnsi="Times New Roman" w:cs="Times New Roman"/>
          <w:color w:val="000000"/>
          <w:sz w:val="20"/>
          <w:szCs w:val="20"/>
        </w:rPr>
      </w:pPr>
      <w:r w:rsidRPr="00C43E6D">
        <w:rPr>
          <w:rFonts w:ascii="Times New Roman" w:hAnsi="Times New Roman" w:cs="Times New Roman"/>
          <w:color w:val="000000"/>
          <w:sz w:val="20"/>
          <w:szCs w:val="20"/>
        </w:rPr>
        <w:t xml:space="preserve">Sursa: </w:t>
      </w:r>
      <w:hyperlink r:id="rId12" w:anchor=":~:text=In%202024%2C%20the%20EU's%20total%20gas%20consumption,when%20EU%20gas%20consumption%20did%20not%20decline" w:history="1">
        <w:r w:rsidR="002B29FA" w:rsidRPr="00C43E6D">
          <w:rPr>
            <w:rStyle w:val="Hyperlink"/>
            <w:rFonts w:ascii="Times New Roman" w:hAnsi="Times New Roman" w:cs="Times New Roman"/>
            <w:sz w:val="20"/>
            <w:szCs w:val="20"/>
          </w:rPr>
          <w:t>energy.ec.europa.eu</w:t>
        </w:r>
      </w:hyperlink>
      <w:r w:rsidR="002B29FA" w:rsidRPr="00C43E6D">
        <w:rPr>
          <w:rFonts w:ascii="Times New Roman" w:hAnsi="Times New Roman" w:cs="Times New Roman"/>
          <w:color w:val="000000"/>
          <w:sz w:val="20"/>
          <w:szCs w:val="20"/>
        </w:rPr>
        <w:t xml:space="preserve"> </w:t>
      </w:r>
      <w:bookmarkStart w:id="3" w:name="_Hlk135731311"/>
    </w:p>
    <w:p w14:paraId="4862CCB1" w14:textId="74013EEE" w:rsidR="006A1540" w:rsidRPr="00C958F1" w:rsidRDefault="00A94902" w:rsidP="00C958F1">
      <w:pPr>
        <w:spacing w:after="60" w:line="276" w:lineRule="auto"/>
        <w:ind w:firstLine="540"/>
        <w:jc w:val="both"/>
        <w:rPr>
          <w:rFonts w:ascii="Times New Roman" w:hAnsi="Times New Roman" w:cs="Times New Roman"/>
          <w:color w:val="000000"/>
          <w:sz w:val="24"/>
          <w:szCs w:val="24"/>
        </w:rPr>
      </w:pPr>
      <w:r>
        <w:rPr>
          <w:rFonts w:ascii="Times New Roman" w:hAnsi="Times New Roman" w:cs="Times New Roman"/>
          <w:b/>
          <w:bCs/>
          <w:color w:val="000000"/>
          <w:sz w:val="24"/>
          <w:szCs w:val="24"/>
        </w:rPr>
        <w:t>8</w:t>
      </w:r>
      <w:r w:rsidR="006A1540" w:rsidRPr="00C43E6D">
        <w:rPr>
          <w:rFonts w:ascii="Times New Roman" w:hAnsi="Times New Roman" w:cs="Times New Roman"/>
          <w:b/>
          <w:bCs/>
          <w:color w:val="000000"/>
          <w:sz w:val="24"/>
          <w:szCs w:val="24"/>
        </w:rPr>
        <w:t>.</w:t>
      </w:r>
      <w:r w:rsidR="006A1540" w:rsidRPr="00C43E6D">
        <w:rPr>
          <w:rFonts w:ascii="Times New Roman" w:hAnsi="Times New Roman" w:cs="Times New Roman"/>
          <w:color w:val="000000"/>
          <w:sz w:val="24"/>
          <w:szCs w:val="24"/>
        </w:rPr>
        <w:t xml:space="preserve"> </w:t>
      </w:r>
      <w:r w:rsidR="00C278D7" w:rsidRPr="00C958F1">
        <w:rPr>
          <w:rFonts w:ascii="Times New Roman" w:hAnsi="Times New Roman" w:cs="Times New Roman"/>
          <w:color w:val="000000"/>
          <w:sz w:val="24"/>
          <w:szCs w:val="24"/>
        </w:rPr>
        <w:t xml:space="preserve">Conform </w:t>
      </w:r>
      <w:hyperlink r:id="rId13" w:anchor=":~:text=In%202024%2C%20the%20EU's%20total%20gas%20consumption,when%20EU%20gas%20consumption%20did%20not%20decline" w:history="1">
        <w:r w:rsidR="00C278D7" w:rsidRPr="00C958F1">
          <w:rPr>
            <w:rStyle w:val="Hyperlink"/>
            <w:rFonts w:ascii="Times New Roman" w:hAnsi="Times New Roman" w:cs="Times New Roman"/>
            <w:sz w:val="24"/>
            <w:szCs w:val="24"/>
          </w:rPr>
          <w:t>Raportului</w:t>
        </w:r>
        <w:r w:rsidR="00C278D7" w:rsidRPr="00C958F1">
          <w:rPr>
            <w:rStyle w:val="FootnoteReference"/>
            <w:rFonts w:ascii="Times New Roman" w:hAnsi="Times New Roman" w:cs="Times New Roman"/>
            <w:color w:val="0000FF"/>
            <w:sz w:val="24"/>
            <w:szCs w:val="24"/>
            <w:u w:val="single"/>
          </w:rPr>
          <w:footnoteReference w:id="4"/>
        </w:r>
        <w:r w:rsidR="00C278D7" w:rsidRPr="00C958F1">
          <w:rPr>
            <w:rStyle w:val="Hyperlink"/>
            <w:rFonts w:ascii="Times New Roman" w:hAnsi="Times New Roman" w:cs="Times New Roman"/>
            <w:sz w:val="24"/>
            <w:szCs w:val="24"/>
          </w:rPr>
          <w:t xml:space="preserve"> trimestrial privind piețele europene de gaze publicat de Comisia Europeană</w:t>
        </w:r>
      </w:hyperlink>
      <w:r w:rsidR="00C278D7" w:rsidRPr="00C958F1">
        <w:rPr>
          <w:rFonts w:ascii="Times New Roman" w:hAnsi="Times New Roman" w:cs="Times New Roman"/>
          <w:color w:val="000000"/>
          <w:sz w:val="24"/>
          <w:szCs w:val="24"/>
        </w:rPr>
        <w:t>, î</w:t>
      </w:r>
      <w:r w:rsidR="006A1540" w:rsidRPr="00C958F1">
        <w:rPr>
          <w:rFonts w:ascii="Times New Roman" w:hAnsi="Times New Roman" w:cs="Times New Roman"/>
          <w:color w:val="000000"/>
          <w:sz w:val="24"/>
          <w:szCs w:val="24"/>
        </w:rPr>
        <w:t xml:space="preserve">n 2024, consumul total de gaze </w:t>
      </w:r>
      <w:r w:rsidR="00B873B3" w:rsidRPr="00C958F1">
        <w:rPr>
          <w:rFonts w:ascii="Times New Roman" w:hAnsi="Times New Roman" w:cs="Times New Roman"/>
          <w:color w:val="000000"/>
          <w:sz w:val="24"/>
          <w:szCs w:val="24"/>
        </w:rPr>
        <w:t xml:space="preserve">naturale </w:t>
      </w:r>
      <w:r w:rsidR="006A1540" w:rsidRPr="00C958F1">
        <w:rPr>
          <w:rFonts w:ascii="Times New Roman" w:hAnsi="Times New Roman" w:cs="Times New Roman"/>
          <w:color w:val="000000"/>
          <w:sz w:val="24"/>
          <w:szCs w:val="24"/>
        </w:rPr>
        <w:t>al UE a fost de 332 mlrd. m</w:t>
      </w:r>
      <w:r w:rsidR="006A1540" w:rsidRPr="00C958F1">
        <w:rPr>
          <w:rFonts w:ascii="Times New Roman" w:hAnsi="Times New Roman" w:cs="Times New Roman"/>
          <w:color w:val="000000"/>
          <w:sz w:val="24"/>
          <w:szCs w:val="24"/>
          <w:vertAlign w:val="superscript"/>
        </w:rPr>
        <w:t>3</w:t>
      </w:r>
      <w:r w:rsidR="006A1540" w:rsidRPr="00C958F1">
        <w:rPr>
          <w:rFonts w:ascii="Times New Roman" w:hAnsi="Times New Roman" w:cs="Times New Roman"/>
          <w:color w:val="000000"/>
          <w:sz w:val="24"/>
          <w:szCs w:val="24"/>
        </w:rPr>
        <w:t xml:space="preserve">, cu o ușoară creștere de </w:t>
      </w:r>
      <w:r w:rsidR="00BA012D" w:rsidRPr="00C958F1">
        <w:rPr>
          <w:rFonts w:ascii="Times New Roman" w:hAnsi="Times New Roman" w:cs="Times New Roman"/>
          <w:color w:val="000000"/>
          <w:sz w:val="24"/>
          <w:szCs w:val="24"/>
        </w:rPr>
        <w:t xml:space="preserve">aproximativ </w:t>
      </w:r>
      <w:r w:rsidR="006A1540" w:rsidRPr="00C958F1">
        <w:rPr>
          <w:rFonts w:ascii="Times New Roman" w:hAnsi="Times New Roman" w:cs="Times New Roman"/>
          <w:color w:val="000000"/>
          <w:sz w:val="24"/>
          <w:szCs w:val="24"/>
        </w:rPr>
        <w:t>1% față de 2023 (330 mlrd. m</w:t>
      </w:r>
      <w:r w:rsidR="006A1540" w:rsidRPr="00C958F1">
        <w:rPr>
          <w:rFonts w:ascii="Times New Roman" w:hAnsi="Times New Roman" w:cs="Times New Roman"/>
          <w:color w:val="000000"/>
          <w:sz w:val="24"/>
          <w:szCs w:val="24"/>
          <w:vertAlign w:val="superscript"/>
        </w:rPr>
        <w:t>3</w:t>
      </w:r>
      <w:r w:rsidR="006A1540" w:rsidRPr="00C958F1">
        <w:rPr>
          <w:rFonts w:ascii="Times New Roman" w:hAnsi="Times New Roman" w:cs="Times New Roman"/>
          <w:color w:val="000000"/>
          <w:sz w:val="24"/>
          <w:szCs w:val="24"/>
        </w:rPr>
        <w:t>) și o scădere de 7% față de 2022 (356 mlrd. m</w:t>
      </w:r>
      <w:r w:rsidR="006A1540" w:rsidRPr="00C958F1">
        <w:rPr>
          <w:rFonts w:ascii="Times New Roman" w:hAnsi="Times New Roman" w:cs="Times New Roman"/>
          <w:color w:val="000000"/>
          <w:sz w:val="24"/>
          <w:szCs w:val="24"/>
          <w:vertAlign w:val="superscript"/>
        </w:rPr>
        <w:t>3</w:t>
      </w:r>
      <w:r w:rsidR="006A1540" w:rsidRPr="00C958F1">
        <w:rPr>
          <w:rFonts w:ascii="Times New Roman" w:hAnsi="Times New Roman" w:cs="Times New Roman"/>
          <w:color w:val="000000"/>
          <w:sz w:val="24"/>
          <w:szCs w:val="24"/>
        </w:rPr>
        <w:t>). Comparativ cu 2021 (înainte de criză), consumul de gaze</w:t>
      </w:r>
      <w:r w:rsidR="00B873B3" w:rsidRPr="00C958F1">
        <w:rPr>
          <w:rFonts w:ascii="Times New Roman" w:hAnsi="Times New Roman" w:cs="Times New Roman"/>
          <w:color w:val="000000"/>
          <w:sz w:val="24"/>
          <w:szCs w:val="24"/>
        </w:rPr>
        <w:t xml:space="preserve"> naturale</w:t>
      </w:r>
      <w:r w:rsidR="006A1540" w:rsidRPr="00C958F1">
        <w:rPr>
          <w:rFonts w:ascii="Times New Roman" w:hAnsi="Times New Roman" w:cs="Times New Roman"/>
          <w:color w:val="000000"/>
          <w:sz w:val="24"/>
          <w:szCs w:val="24"/>
        </w:rPr>
        <w:t xml:space="preserve"> al UE </w:t>
      </w:r>
      <w:r w:rsidR="00622CC0" w:rsidRPr="00C958F1">
        <w:rPr>
          <w:rFonts w:ascii="Times New Roman" w:hAnsi="Times New Roman" w:cs="Times New Roman"/>
          <w:color w:val="000000"/>
          <w:sz w:val="24"/>
          <w:szCs w:val="24"/>
        </w:rPr>
        <w:t xml:space="preserve">în 2024 </w:t>
      </w:r>
      <w:r w:rsidR="006A1540" w:rsidRPr="00C958F1">
        <w:rPr>
          <w:rFonts w:ascii="Times New Roman" w:hAnsi="Times New Roman" w:cs="Times New Roman"/>
          <w:color w:val="000000"/>
          <w:sz w:val="24"/>
          <w:szCs w:val="24"/>
        </w:rPr>
        <w:t>a scăzut cu 20%</w:t>
      </w:r>
      <w:r w:rsidR="00622CC0" w:rsidRPr="00C958F1">
        <w:rPr>
          <w:rFonts w:ascii="Times New Roman" w:hAnsi="Times New Roman" w:cs="Times New Roman"/>
          <w:color w:val="000000"/>
          <w:sz w:val="24"/>
          <w:szCs w:val="24"/>
        </w:rPr>
        <w:t xml:space="preserve">, de la </w:t>
      </w:r>
      <w:r w:rsidR="006A1540" w:rsidRPr="00C958F1">
        <w:rPr>
          <w:rFonts w:ascii="Times New Roman" w:hAnsi="Times New Roman" w:cs="Times New Roman"/>
          <w:color w:val="000000"/>
          <w:sz w:val="24"/>
          <w:szCs w:val="24"/>
        </w:rPr>
        <w:t>412 mlrd. m</w:t>
      </w:r>
      <w:r w:rsidR="006A1540" w:rsidRPr="00C958F1">
        <w:rPr>
          <w:rFonts w:ascii="Times New Roman" w:hAnsi="Times New Roman" w:cs="Times New Roman"/>
          <w:color w:val="000000"/>
          <w:sz w:val="24"/>
          <w:szCs w:val="24"/>
          <w:vertAlign w:val="superscript"/>
        </w:rPr>
        <w:t>3</w:t>
      </w:r>
      <w:r w:rsidR="00622CC0" w:rsidRPr="00C958F1">
        <w:rPr>
          <w:rFonts w:ascii="Times New Roman" w:hAnsi="Times New Roman" w:cs="Times New Roman"/>
          <w:color w:val="000000"/>
          <w:sz w:val="24"/>
          <w:szCs w:val="24"/>
        </w:rPr>
        <w:t xml:space="preserve"> la 332 </w:t>
      </w:r>
      <w:r w:rsidR="00622CC0" w:rsidRPr="00C958F1">
        <w:rPr>
          <w:rFonts w:ascii="Times New Roman" w:hAnsi="Times New Roman" w:cs="Times New Roman"/>
          <w:color w:val="000000"/>
          <w:sz w:val="24"/>
          <w:szCs w:val="24"/>
        </w:rPr>
        <w:lastRenderedPageBreak/>
        <w:t>mlrd. m</w:t>
      </w:r>
      <w:r w:rsidR="00622CC0" w:rsidRPr="00C958F1">
        <w:rPr>
          <w:rFonts w:ascii="Times New Roman" w:hAnsi="Times New Roman" w:cs="Times New Roman"/>
          <w:color w:val="000000"/>
          <w:sz w:val="24"/>
          <w:szCs w:val="24"/>
          <w:vertAlign w:val="superscript"/>
        </w:rPr>
        <w:t>3</w:t>
      </w:r>
      <w:r w:rsidR="006A1540" w:rsidRPr="00C958F1">
        <w:rPr>
          <w:rFonts w:ascii="Times New Roman" w:hAnsi="Times New Roman" w:cs="Times New Roman"/>
          <w:color w:val="000000"/>
          <w:sz w:val="24"/>
          <w:szCs w:val="24"/>
        </w:rPr>
        <w:t xml:space="preserve">. </w:t>
      </w:r>
      <w:r w:rsidR="00622CC0" w:rsidRPr="00C958F1">
        <w:rPr>
          <w:rFonts w:ascii="Times New Roman" w:hAnsi="Times New Roman" w:cs="Times New Roman"/>
          <w:color w:val="000000"/>
          <w:sz w:val="24"/>
          <w:szCs w:val="24"/>
        </w:rPr>
        <w:t>În perioada 2021-</w:t>
      </w:r>
      <w:r w:rsidR="006A1540" w:rsidRPr="00C958F1">
        <w:rPr>
          <w:rFonts w:ascii="Times New Roman" w:hAnsi="Times New Roman" w:cs="Times New Roman"/>
          <w:color w:val="000000"/>
          <w:sz w:val="24"/>
          <w:szCs w:val="24"/>
        </w:rPr>
        <w:t>2024</w:t>
      </w:r>
      <w:r w:rsidR="00622CC0" w:rsidRPr="00C958F1">
        <w:rPr>
          <w:rFonts w:ascii="Times New Roman" w:hAnsi="Times New Roman" w:cs="Times New Roman"/>
          <w:color w:val="000000"/>
          <w:sz w:val="24"/>
          <w:szCs w:val="24"/>
        </w:rPr>
        <w:t>,</w:t>
      </w:r>
      <w:r w:rsidR="006A1540" w:rsidRPr="00C958F1">
        <w:rPr>
          <w:rFonts w:ascii="Times New Roman" w:hAnsi="Times New Roman" w:cs="Times New Roman"/>
          <w:color w:val="000000"/>
          <w:sz w:val="24"/>
          <w:szCs w:val="24"/>
        </w:rPr>
        <w:t xml:space="preserve"> consumul de gaze </w:t>
      </w:r>
      <w:r w:rsidR="00B873B3" w:rsidRPr="00C958F1">
        <w:rPr>
          <w:rFonts w:ascii="Times New Roman" w:hAnsi="Times New Roman" w:cs="Times New Roman"/>
          <w:color w:val="000000"/>
          <w:sz w:val="24"/>
          <w:szCs w:val="24"/>
        </w:rPr>
        <w:t xml:space="preserve">naturale </w:t>
      </w:r>
      <w:r w:rsidR="006A1540" w:rsidRPr="00C958F1">
        <w:rPr>
          <w:rFonts w:ascii="Times New Roman" w:hAnsi="Times New Roman" w:cs="Times New Roman"/>
          <w:color w:val="000000"/>
          <w:sz w:val="24"/>
          <w:szCs w:val="24"/>
        </w:rPr>
        <w:t xml:space="preserve">al UE </w:t>
      </w:r>
      <w:r w:rsidR="00BB430E" w:rsidRPr="00C958F1">
        <w:rPr>
          <w:rFonts w:ascii="Times New Roman" w:hAnsi="Times New Roman" w:cs="Times New Roman"/>
          <w:color w:val="000000"/>
          <w:sz w:val="24"/>
          <w:szCs w:val="24"/>
        </w:rPr>
        <w:t>a înregistrat o creștere doar în anul 2024</w:t>
      </w:r>
      <w:r w:rsidR="006A1540" w:rsidRPr="00C958F1">
        <w:rPr>
          <w:rFonts w:ascii="Times New Roman" w:hAnsi="Times New Roman" w:cs="Times New Roman"/>
          <w:color w:val="000000"/>
          <w:sz w:val="24"/>
          <w:szCs w:val="24"/>
        </w:rPr>
        <w:t>.</w:t>
      </w:r>
    </w:p>
    <w:p w14:paraId="03CBA9CB" w14:textId="7545ED4B" w:rsidR="002B29FA" w:rsidRPr="00C958F1" w:rsidRDefault="00A94902" w:rsidP="00C958F1">
      <w:pPr>
        <w:spacing w:after="60" w:line="276" w:lineRule="auto"/>
        <w:ind w:firstLine="540"/>
        <w:jc w:val="both"/>
        <w:rPr>
          <w:rFonts w:ascii="Times New Roman" w:hAnsi="Times New Roman" w:cs="Times New Roman"/>
          <w:sz w:val="24"/>
          <w:szCs w:val="24"/>
          <w:shd w:val="clear" w:color="auto" w:fill="FFFFFF" w:themeFill="background1"/>
        </w:rPr>
      </w:pPr>
      <w:r w:rsidRPr="00C958F1">
        <w:rPr>
          <w:rFonts w:ascii="Times New Roman" w:hAnsi="Times New Roman" w:cs="Times New Roman"/>
          <w:b/>
          <w:bCs/>
          <w:sz w:val="24"/>
          <w:szCs w:val="24"/>
          <w:shd w:val="clear" w:color="auto" w:fill="FFFFFF" w:themeFill="background1"/>
        </w:rPr>
        <w:t>9</w:t>
      </w:r>
      <w:r w:rsidR="002B29FA" w:rsidRPr="00C958F1">
        <w:rPr>
          <w:rFonts w:ascii="Times New Roman" w:hAnsi="Times New Roman" w:cs="Times New Roman"/>
          <w:b/>
          <w:bCs/>
          <w:sz w:val="24"/>
          <w:szCs w:val="24"/>
          <w:shd w:val="clear" w:color="auto" w:fill="FFFFFF" w:themeFill="background1"/>
        </w:rPr>
        <w:t>.</w:t>
      </w:r>
      <w:r w:rsidR="002B29FA" w:rsidRPr="00C958F1">
        <w:rPr>
          <w:rFonts w:ascii="Times New Roman" w:hAnsi="Times New Roman" w:cs="Times New Roman"/>
          <w:sz w:val="24"/>
          <w:szCs w:val="24"/>
          <w:shd w:val="clear" w:color="auto" w:fill="FFFFFF" w:themeFill="background1"/>
        </w:rPr>
        <w:t xml:space="preserve"> Ponderea GNL în 2024 a fost de 37%, în timp ce ponderea gaz</w:t>
      </w:r>
      <w:r w:rsidR="00B873B3" w:rsidRPr="00C958F1">
        <w:rPr>
          <w:rFonts w:ascii="Times New Roman" w:hAnsi="Times New Roman" w:cs="Times New Roman"/>
          <w:sz w:val="24"/>
          <w:szCs w:val="24"/>
          <w:shd w:val="clear" w:color="auto" w:fill="FFFFFF" w:themeFill="background1"/>
        </w:rPr>
        <w:t xml:space="preserve">elor naturale </w:t>
      </w:r>
      <w:r w:rsidR="006A1540" w:rsidRPr="00C958F1">
        <w:rPr>
          <w:rFonts w:ascii="Times New Roman" w:hAnsi="Times New Roman" w:cs="Times New Roman"/>
          <w:sz w:val="24"/>
          <w:szCs w:val="24"/>
          <w:shd w:val="clear" w:color="auto" w:fill="FFFFFF" w:themeFill="background1"/>
        </w:rPr>
        <w:t>prin</w:t>
      </w:r>
      <w:r w:rsidR="002B29FA" w:rsidRPr="00C958F1">
        <w:rPr>
          <w:rFonts w:ascii="Times New Roman" w:hAnsi="Times New Roman" w:cs="Times New Roman"/>
          <w:sz w:val="24"/>
          <w:szCs w:val="24"/>
          <w:shd w:val="clear" w:color="auto" w:fill="FFFFFF" w:themeFill="background1"/>
        </w:rPr>
        <w:t xml:space="preserve"> conducte a fost de 63%. Importurile totale de GNL ale UE au fost de 101 </w:t>
      </w:r>
      <w:r w:rsidR="002B29FA" w:rsidRPr="00C958F1">
        <w:rPr>
          <w:rFonts w:ascii="Times New Roman" w:hAnsi="Times New Roman" w:cs="Times New Roman"/>
          <w:color w:val="000000"/>
          <w:sz w:val="24"/>
          <w:szCs w:val="24"/>
        </w:rPr>
        <w:t>mlrd. m</w:t>
      </w:r>
      <w:r w:rsidR="002B29FA" w:rsidRPr="00C958F1">
        <w:rPr>
          <w:rFonts w:ascii="Times New Roman" w:hAnsi="Times New Roman" w:cs="Times New Roman"/>
          <w:color w:val="000000"/>
          <w:sz w:val="24"/>
          <w:szCs w:val="24"/>
          <w:vertAlign w:val="superscript"/>
        </w:rPr>
        <w:t>3</w:t>
      </w:r>
      <w:r w:rsidR="002B29FA" w:rsidRPr="00C958F1">
        <w:rPr>
          <w:rFonts w:ascii="Times New Roman" w:hAnsi="Times New Roman" w:cs="Times New Roman"/>
          <w:sz w:val="24"/>
          <w:szCs w:val="24"/>
          <w:shd w:val="clear" w:color="auto" w:fill="FFFFFF" w:themeFill="background1"/>
        </w:rPr>
        <w:t xml:space="preserve">, o scădere de 16% față de 2023 (121 </w:t>
      </w:r>
      <w:r w:rsidR="006A1540" w:rsidRPr="00C958F1">
        <w:rPr>
          <w:rFonts w:ascii="Times New Roman" w:hAnsi="Times New Roman" w:cs="Times New Roman"/>
          <w:color w:val="000000"/>
          <w:sz w:val="24"/>
          <w:szCs w:val="24"/>
        </w:rPr>
        <w:t>mlrd. m</w:t>
      </w:r>
      <w:r w:rsidR="006A1540" w:rsidRPr="00C958F1">
        <w:rPr>
          <w:rFonts w:ascii="Times New Roman" w:hAnsi="Times New Roman" w:cs="Times New Roman"/>
          <w:color w:val="000000"/>
          <w:sz w:val="24"/>
          <w:szCs w:val="24"/>
          <w:vertAlign w:val="superscript"/>
        </w:rPr>
        <w:t>3</w:t>
      </w:r>
      <w:r w:rsidR="002B29FA" w:rsidRPr="00C958F1">
        <w:rPr>
          <w:rFonts w:ascii="Times New Roman" w:hAnsi="Times New Roman" w:cs="Times New Roman"/>
          <w:sz w:val="24"/>
          <w:szCs w:val="24"/>
          <w:shd w:val="clear" w:color="auto" w:fill="FFFFFF" w:themeFill="background1"/>
        </w:rPr>
        <w:t xml:space="preserve">) și o scădere de 14% față de 2022 (118 </w:t>
      </w:r>
      <w:r w:rsidR="006A1540" w:rsidRPr="00C958F1">
        <w:rPr>
          <w:rFonts w:ascii="Times New Roman" w:hAnsi="Times New Roman" w:cs="Times New Roman"/>
          <w:color w:val="000000"/>
          <w:sz w:val="24"/>
          <w:szCs w:val="24"/>
        </w:rPr>
        <w:t>mlrd. m</w:t>
      </w:r>
      <w:r w:rsidR="006A1540" w:rsidRPr="00C958F1">
        <w:rPr>
          <w:rFonts w:ascii="Times New Roman" w:hAnsi="Times New Roman" w:cs="Times New Roman"/>
          <w:color w:val="000000"/>
          <w:sz w:val="24"/>
          <w:szCs w:val="24"/>
          <w:vertAlign w:val="superscript"/>
        </w:rPr>
        <w:t>3</w:t>
      </w:r>
      <w:r w:rsidR="002B29FA" w:rsidRPr="00C958F1">
        <w:rPr>
          <w:rFonts w:ascii="Times New Roman" w:hAnsi="Times New Roman" w:cs="Times New Roman"/>
          <w:sz w:val="24"/>
          <w:szCs w:val="24"/>
          <w:shd w:val="clear" w:color="auto" w:fill="FFFFFF" w:themeFill="background1"/>
        </w:rPr>
        <w:t>). SUA a rămas cel mai mare furnizor de GNL al UE, cu o cotă de 45%. Acesta a fost urmat de Rusia (20%), Qatar (12%), Algeria (8%), Nigeria (5%) și Norvegia (5%).</w:t>
      </w:r>
      <w:r w:rsidR="00B7677B" w:rsidRPr="00C958F1">
        <w:rPr>
          <w:rFonts w:ascii="Times New Roman" w:hAnsi="Times New Roman" w:cs="Times New Roman"/>
          <w:sz w:val="24"/>
          <w:szCs w:val="24"/>
          <w:shd w:val="clear" w:color="auto" w:fill="FFFFFF" w:themeFill="background1"/>
        </w:rPr>
        <w:t xml:space="preserve"> </w:t>
      </w:r>
    </w:p>
    <w:p w14:paraId="5F8BD5C8" w14:textId="1341C6DF" w:rsidR="006A1540" w:rsidRPr="00C958F1" w:rsidRDefault="006A1540" w:rsidP="00C958F1">
      <w:pPr>
        <w:spacing w:after="60" w:line="276" w:lineRule="auto"/>
        <w:ind w:firstLine="540"/>
        <w:jc w:val="both"/>
        <w:rPr>
          <w:rFonts w:ascii="Times New Roman" w:hAnsi="Times New Roman" w:cs="Times New Roman"/>
          <w:sz w:val="24"/>
          <w:szCs w:val="24"/>
          <w:shd w:val="clear" w:color="auto" w:fill="FFFFFF" w:themeFill="background1"/>
        </w:rPr>
      </w:pPr>
      <w:r w:rsidRPr="00C958F1">
        <w:rPr>
          <w:rFonts w:ascii="Times New Roman" w:hAnsi="Times New Roman" w:cs="Times New Roman"/>
          <w:b/>
          <w:bCs/>
          <w:sz w:val="24"/>
          <w:szCs w:val="24"/>
          <w:shd w:val="clear" w:color="auto" w:fill="FFFFFF" w:themeFill="background1"/>
        </w:rPr>
        <w:t>1</w:t>
      </w:r>
      <w:r w:rsidR="00A94902" w:rsidRPr="00C958F1">
        <w:rPr>
          <w:rFonts w:ascii="Times New Roman" w:hAnsi="Times New Roman" w:cs="Times New Roman"/>
          <w:b/>
          <w:bCs/>
          <w:sz w:val="24"/>
          <w:szCs w:val="24"/>
          <w:shd w:val="clear" w:color="auto" w:fill="FFFFFF" w:themeFill="background1"/>
        </w:rPr>
        <w:t>0</w:t>
      </w:r>
      <w:r w:rsidRPr="00C958F1">
        <w:rPr>
          <w:rFonts w:ascii="Times New Roman" w:hAnsi="Times New Roman" w:cs="Times New Roman"/>
          <w:b/>
          <w:bCs/>
          <w:sz w:val="24"/>
          <w:szCs w:val="24"/>
          <w:shd w:val="clear" w:color="auto" w:fill="FFFFFF" w:themeFill="background1"/>
        </w:rPr>
        <w:t>.</w:t>
      </w:r>
      <w:r w:rsidRPr="00C958F1">
        <w:rPr>
          <w:rFonts w:ascii="Times New Roman" w:hAnsi="Times New Roman" w:cs="Times New Roman"/>
          <w:sz w:val="24"/>
          <w:szCs w:val="24"/>
          <w:shd w:val="clear" w:color="auto" w:fill="FFFFFF" w:themeFill="background1"/>
        </w:rPr>
        <w:t xml:space="preserve"> Importurile totale de gaze naturale prin conducte ale UE au fost de 172 </w:t>
      </w:r>
      <w:r w:rsidRPr="00C958F1">
        <w:rPr>
          <w:rFonts w:ascii="Times New Roman" w:hAnsi="Times New Roman" w:cs="Times New Roman"/>
          <w:color w:val="000000"/>
          <w:sz w:val="24"/>
          <w:szCs w:val="24"/>
        </w:rPr>
        <w:t>mlrd. m</w:t>
      </w:r>
      <w:r w:rsidRPr="00C958F1">
        <w:rPr>
          <w:rFonts w:ascii="Times New Roman" w:hAnsi="Times New Roman" w:cs="Times New Roman"/>
          <w:color w:val="000000"/>
          <w:sz w:val="24"/>
          <w:szCs w:val="24"/>
          <w:vertAlign w:val="superscript"/>
        </w:rPr>
        <w:t>3</w:t>
      </w:r>
      <w:r w:rsidRPr="00C958F1">
        <w:rPr>
          <w:rFonts w:ascii="Times New Roman" w:hAnsi="Times New Roman" w:cs="Times New Roman"/>
          <w:color w:val="000000"/>
          <w:sz w:val="24"/>
          <w:szCs w:val="24"/>
        </w:rPr>
        <w:t xml:space="preserve"> </w:t>
      </w:r>
      <w:r w:rsidRPr="00C958F1">
        <w:rPr>
          <w:rFonts w:ascii="Times New Roman" w:hAnsi="Times New Roman" w:cs="Times New Roman"/>
          <w:sz w:val="24"/>
          <w:szCs w:val="24"/>
          <w:shd w:val="clear" w:color="auto" w:fill="FFFFFF" w:themeFill="background1"/>
        </w:rPr>
        <w:t xml:space="preserve">în 2024, în scădere cu 2% față de 2023 (169 </w:t>
      </w:r>
      <w:r w:rsidRPr="00C958F1">
        <w:rPr>
          <w:rFonts w:ascii="Times New Roman" w:hAnsi="Times New Roman" w:cs="Times New Roman"/>
          <w:color w:val="000000"/>
          <w:sz w:val="24"/>
          <w:szCs w:val="24"/>
        </w:rPr>
        <w:t>mlrd. m</w:t>
      </w:r>
      <w:r w:rsidRPr="00C958F1">
        <w:rPr>
          <w:rFonts w:ascii="Times New Roman" w:hAnsi="Times New Roman" w:cs="Times New Roman"/>
          <w:color w:val="000000"/>
          <w:sz w:val="24"/>
          <w:szCs w:val="24"/>
          <w:vertAlign w:val="superscript"/>
        </w:rPr>
        <w:t>3</w:t>
      </w:r>
      <w:r w:rsidRPr="00C958F1">
        <w:rPr>
          <w:rFonts w:ascii="Times New Roman" w:hAnsi="Times New Roman" w:cs="Times New Roman"/>
          <w:sz w:val="24"/>
          <w:szCs w:val="24"/>
          <w:shd w:val="clear" w:color="auto" w:fill="FFFFFF" w:themeFill="background1"/>
        </w:rPr>
        <w:t xml:space="preserve">) și cu 21% față de 2022 (216 </w:t>
      </w:r>
      <w:r w:rsidRPr="00C958F1">
        <w:rPr>
          <w:rFonts w:ascii="Times New Roman" w:hAnsi="Times New Roman" w:cs="Times New Roman"/>
          <w:color w:val="000000"/>
          <w:sz w:val="24"/>
          <w:szCs w:val="24"/>
        </w:rPr>
        <w:t>mlrd. m</w:t>
      </w:r>
      <w:r w:rsidRPr="00C958F1">
        <w:rPr>
          <w:rFonts w:ascii="Times New Roman" w:hAnsi="Times New Roman" w:cs="Times New Roman"/>
          <w:color w:val="000000"/>
          <w:sz w:val="24"/>
          <w:szCs w:val="24"/>
          <w:vertAlign w:val="superscript"/>
        </w:rPr>
        <w:t>3</w:t>
      </w:r>
      <w:r w:rsidRPr="00C958F1">
        <w:rPr>
          <w:rFonts w:ascii="Times New Roman" w:hAnsi="Times New Roman" w:cs="Times New Roman"/>
          <w:sz w:val="24"/>
          <w:szCs w:val="24"/>
          <w:shd w:val="clear" w:color="auto" w:fill="FFFFFF" w:themeFill="background1"/>
        </w:rPr>
        <w:t xml:space="preserve">). Norvegia a furnizat jumătate (50%) din importurile de gaze </w:t>
      </w:r>
      <w:r w:rsidR="00B873B3" w:rsidRPr="00C958F1">
        <w:rPr>
          <w:rFonts w:ascii="Times New Roman" w:hAnsi="Times New Roman" w:cs="Times New Roman"/>
          <w:sz w:val="24"/>
          <w:szCs w:val="24"/>
          <w:shd w:val="clear" w:color="auto" w:fill="FFFFFF" w:themeFill="background1"/>
        </w:rPr>
        <w:t xml:space="preserve">naturale </w:t>
      </w:r>
      <w:r w:rsidRPr="00C958F1">
        <w:rPr>
          <w:rFonts w:ascii="Times New Roman" w:hAnsi="Times New Roman" w:cs="Times New Roman"/>
          <w:sz w:val="24"/>
          <w:szCs w:val="24"/>
          <w:shd w:val="clear" w:color="auto" w:fill="FFFFFF" w:themeFill="background1"/>
        </w:rPr>
        <w:t>prin conducte ale UE. Aceasta a fost urmată de Rusia (1</w:t>
      </w:r>
      <w:r w:rsidR="004F5981" w:rsidRPr="00C958F1">
        <w:rPr>
          <w:rFonts w:ascii="Times New Roman" w:hAnsi="Times New Roman" w:cs="Times New Roman"/>
          <w:sz w:val="24"/>
          <w:szCs w:val="24"/>
          <w:shd w:val="clear" w:color="auto" w:fill="FFFFFF" w:themeFill="background1"/>
        </w:rPr>
        <w:t>8</w:t>
      </w:r>
      <w:r w:rsidRPr="00C958F1">
        <w:rPr>
          <w:rFonts w:ascii="Times New Roman" w:hAnsi="Times New Roman" w:cs="Times New Roman"/>
          <w:sz w:val="24"/>
          <w:szCs w:val="24"/>
          <w:shd w:val="clear" w:color="auto" w:fill="FFFFFF" w:themeFill="background1"/>
        </w:rPr>
        <w:t>%), Africa de Nord (1</w:t>
      </w:r>
      <w:r w:rsidR="004F5981" w:rsidRPr="00C958F1">
        <w:rPr>
          <w:rFonts w:ascii="Times New Roman" w:hAnsi="Times New Roman" w:cs="Times New Roman"/>
          <w:sz w:val="24"/>
          <w:szCs w:val="24"/>
          <w:shd w:val="clear" w:color="auto" w:fill="FFFFFF" w:themeFill="background1"/>
        </w:rPr>
        <w:t>8</w:t>
      </w:r>
      <w:r w:rsidRPr="00C958F1">
        <w:rPr>
          <w:rFonts w:ascii="Times New Roman" w:hAnsi="Times New Roman" w:cs="Times New Roman"/>
          <w:sz w:val="24"/>
          <w:szCs w:val="24"/>
          <w:shd w:val="clear" w:color="auto" w:fill="FFFFFF" w:themeFill="background1"/>
        </w:rPr>
        <w:t>%), Azerbaidjan (7%) și Regatul Unit (7%).</w:t>
      </w:r>
    </w:p>
    <w:p w14:paraId="437FB31E" w14:textId="3CE47509" w:rsidR="006A1540" w:rsidRPr="00C958F1" w:rsidRDefault="006A1540" w:rsidP="00C958F1">
      <w:pPr>
        <w:spacing w:after="60" w:line="276" w:lineRule="auto"/>
        <w:ind w:firstLine="540"/>
        <w:jc w:val="both"/>
        <w:rPr>
          <w:rFonts w:ascii="Times New Roman" w:hAnsi="Times New Roman" w:cs="Times New Roman"/>
          <w:b/>
          <w:bCs/>
          <w:sz w:val="24"/>
          <w:szCs w:val="24"/>
          <w:shd w:val="clear" w:color="auto" w:fill="FFFFFF" w:themeFill="background1"/>
        </w:rPr>
      </w:pPr>
      <w:r w:rsidRPr="00C958F1">
        <w:rPr>
          <w:rFonts w:ascii="Times New Roman" w:hAnsi="Times New Roman" w:cs="Times New Roman"/>
          <w:b/>
          <w:bCs/>
          <w:sz w:val="24"/>
          <w:szCs w:val="24"/>
          <w:shd w:val="clear" w:color="auto" w:fill="FFFFFF" w:themeFill="background1"/>
        </w:rPr>
        <w:t>1</w:t>
      </w:r>
      <w:r w:rsidR="00A94902" w:rsidRPr="00C958F1">
        <w:rPr>
          <w:rFonts w:ascii="Times New Roman" w:hAnsi="Times New Roman" w:cs="Times New Roman"/>
          <w:b/>
          <w:bCs/>
          <w:sz w:val="24"/>
          <w:szCs w:val="24"/>
          <w:shd w:val="clear" w:color="auto" w:fill="FFFFFF" w:themeFill="background1"/>
        </w:rPr>
        <w:t>1</w:t>
      </w:r>
      <w:r w:rsidRPr="00C958F1">
        <w:rPr>
          <w:rFonts w:ascii="Times New Roman" w:hAnsi="Times New Roman" w:cs="Times New Roman"/>
          <w:b/>
          <w:bCs/>
          <w:sz w:val="24"/>
          <w:szCs w:val="24"/>
          <w:shd w:val="clear" w:color="auto" w:fill="FFFFFF" w:themeFill="background1"/>
        </w:rPr>
        <w:t>.</w:t>
      </w:r>
      <w:r w:rsidRPr="00C958F1">
        <w:rPr>
          <w:rFonts w:ascii="Times New Roman" w:hAnsi="Times New Roman" w:cs="Times New Roman"/>
          <w:sz w:val="24"/>
          <w:szCs w:val="24"/>
          <w:shd w:val="clear" w:color="auto" w:fill="FFFFFF" w:themeFill="background1"/>
        </w:rPr>
        <w:t xml:space="preserve"> Totalul comerțului mondial cu GNL a fost de 564 </w:t>
      </w:r>
      <w:r w:rsidRPr="00C958F1">
        <w:rPr>
          <w:rFonts w:ascii="Times New Roman" w:hAnsi="Times New Roman" w:cs="Times New Roman"/>
          <w:color w:val="000000"/>
          <w:sz w:val="24"/>
          <w:szCs w:val="24"/>
        </w:rPr>
        <w:t>mlrd. m</w:t>
      </w:r>
      <w:r w:rsidRPr="00C958F1">
        <w:rPr>
          <w:rFonts w:ascii="Times New Roman" w:hAnsi="Times New Roman" w:cs="Times New Roman"/>
          <w:color w:val="000000"/>
          <w:sz w:val="24"/>
          <w:szCs w:val="24"/>
          <w:vertAlign w:val="superscript"/>
        </w:rPr>
        <w:t>3</w:t>
      </w:r>
      <w:r w:rsidRPr="00C958F1">
        <w:rPr>
          <w:rFonts w:ascii="Times New Roman" w:hAnsi="Times New Roman" w:cs="Times New Roman"/>
          <w:sz w:val="24"/>
          <w:szCs w:val="24"/>
          <w:shd w:val="clear" w:color="auto" w:fill="FFFFFF" w:themeFill="background1"/>
        </w:rPr>
        <w:t xml:space="preserve"> în 2024, aproape neschimbat (+2 </w:t>
      </w:r>
      <w:r w:rsidRPr="00C958F1">
        <w:rPr>
          <w:rFonts w:ascii="Times New Roman" w:hAnsi="Times New Roman" w:cs="Times New Roman"/>
          <w:color w:val="000000"/>
          <w:sz w:val="24"/>
          <w:szCs w:val="24"/>
        </w:rPr>
        <w:t>mlrd. m</w:t>
      </w:r>
      <w:r w:rsidRPr="00C958F1">
        <w:rPr>
          <w:rFonts w:ascii="Times New Roman" w:hAnsi="Times New Roman" w:cs="Times New Roman"/>
          <w:color w:val="000000"/>
          <w:sz w:val="24"/>
          <w:szCs w:val="24"/>
          <w:vertAlign w:val="superscript"/>
        </w:rPr>
        <w:t>3</w:t>
      </w:r>
      <w:r w:rsidRPr="00C958F1">
        <w:rPr>
          <w:rFonts w:ascii="Times New Roman" w:hAnsi="Times New Roman" w:cs="Times New Roman"/>
          <w:sz w:val="24"/>
          <w:szCs w:val="24"/>
          <w:shd w:val="clear" w:color="auto" w:fill="FFFFFF" w:themeFill="background1"/>
        </w:rPr>
        <w:t xml:space="preserve">) față de 2023 (562 </w:t>
      </w:r>
      <w:r w:rsidRPr="00C958F1">
        <w:rPr>
          <w:rFonts w:ascii="Times New Roman" w:hAnsi="Times New Roman" w:cs="Times New Roman"/>
          <w:color w:val="000000"/>
          <w:sz w:val="24"/>
          <w:szCs w:val="24"/>
        </w:rPr>
        <w:t>mlrd. m</w:t>
      </w:r>
      <w:r w:rsidRPr="00C958F1">
        <w:rPr>
          <w:rFonts w:ascii="Times New Roman" w:hAnsi="Times New Roman" w:cs="Times New Roman"/>
          <w:color w:val="000000"/>
          <w:sz w:val="24"/>
          <w:szCs w:val="24"/>
          <w:vertAlign w:val="superscript"/>
        </w:rPr>
        <w:t>3</w:t>
      </w:r>
      <w:r w:rsidRPr="00C958F1">
        <w:rPr>
          <w:rFonts w:ascii="Times New Roman" w:hAnsi="Times New Roman" w:cs="Times New Roman"/>
          <w:sz w:val="24"/>
          <w:szCs w:val="24"/>
          <w:shd w:val="clear" w:color="auto" w:fill="FFFFFF" w:themeFill="background1"/>
        </w:rPr>
        <w:t xml:space="preserve">) și în creștere cu 2% față de 2022 (556 </w:t>
      </w:r>
      <w:r w:rsidRPr="00C958F1">
        <w:rPr>
          <w:rFonts w:ascii="Times New Roman" w:hAnsi="Times New Roman" w:cs="Times New Roman"/>
          <w:color w:val="000000"/>
          <w:sz w:val="24"/>
          <w:szCs w:val="24"/>
        </w:rPr>
        <w:t>mlrd. m</w:t>
      </w:r>
      <w:r w:rsidRPr="00C958F1">
        <w:rPr>
          <w:rFonts w:ascii="Times New Roman" w:hAnsi="Times New Roman" w:cs="Times New Roman"/>
          <w:color w:val="000000"/>
          <w:sz w:val="24"/>
          <w:szCs w:val="24"/>
          <w:vertAlign w:val="superscript"/>
        </w:rPr>
        <w:t>3</w:t>
      </w:r>
      <w:r w:rsidRPr="00C958F1">
        <w:rPr>
          <w:rFonts w:ascii="Times New Roman" w:hAnsi="Times New Roman" w:cs="Times New Roman"/>
          <w:sz w:val="24"/>
          <w:szCs w:val="24"/>
          <w:shd w:val="clear" w:color="auto" w:fill="FFFFFF" w:themeFill="background1"/>
        </w:rPr>
        <w:t>). În 2024, cei mai mari exportatori de GNL din lume au rămas aceiași, cu Statele Unite pe primul loc (22%), urmat de Australia (20%) și Qatar (19%) pe locurile doi și trei. Rusia (8%), Malaysia (7%) și Indonezia (4%) au ocupat locurile patru, cinci și șase. Cel mai mare importator mondial de GNL a fost UE (20%), urmată de China (19%) și Japonia (16%).</w:t>
      </w:r>
    </w:p>
    <w:p w14:paraId="0A8A0887" w14:textId="517DB178" w:rsidR="002212E3" w:rsidRPr="00C958F1" w:rsidRDefault="005362F5" w:rsidP="00C958F1">
      <w:pPr>
        <w:spacing w:after="60" w:line="276" w:lineRule="auto"/>
        <w:ind w:firstLine="540"/>
        <w:jc w:val="both"/>
        <w:rPr>
          <w:rFonts w:ascii="Times New Roman" w:hAnsi="Times New Roman" w:cs="Times New Roman"/>
          <w:sz w:val="24"/>
          <w:szCs w:val="24"/>
        </w:rPr>
      </w:pPr>
      <w:r w:rsidRPr="00C958F1">
        <w:rPr>
          <w:rFonts w:ascii="Times New Roman" w:hAnsi="Times New Roman" w:cs="Times New Roman"/>
          <w:b/>
          <w:bCs/>
          <w:sz w:val="24"/>
          <w:szCs w:val="24"/>
          <w:shd w:val="clear" w:color="auto" w:fill="FFFFFF" w:themeFill="background1"/>
        </w:rPr>
        <w:t>1</w:t>
      </w:r>
      <w:r w:rsidR="00A94902" w:rsidRPr="00C958F1">
        <w:rPr>
          <w:rFonts w:ascii="Times New Roman" w:hAnsi="Times New Roman" w:cs="Times New Roman"/>
          <w:b/>
          <w:bCs/>
          <w:sz w:val="24"/>
          <w:szCs w:val="24"/>
          <w:shd w:val="clear" w:color="auto" w:fill="FFFFFF" w:themeFill="background1"/>
        </w:rPr>
        <w:t>2</w:t>
      </w:r>
      <w:r w:rsidRPr="00C958F1">
        <w:rPr>
          <w:rFonts w:ascii="Times New Roman" w:hAnsi="Times New Roman" w:cs="Times New Roman"/>
          <w:b/>
          <w:bCs/>
          <w:sz w:val="24"/>
          <w:szCs w:val="24"/>
          <w:shd w:val="clear" w:color="auto" w:fill="FFFFFF" w:themeFill="background1"/>
        </w:rPr>
        <w:t>.</w:t>
      </w:r>
      <w:r w:rsidRPr="00C958F1">
        <w:rPr>
          <w:rFonts w:ascii="Times New Roman" w:hAnsi="Times New Roman" w:cs="Times New Roman"/>
          <w:sz w:val="24"/>
          <w:szCs w:val="24"/>
          <w:shd w:val="clear" w:color="auto" w:fill="FFFFFF" w:themeFill="background1"/>
        </w:rPr>
        <w:t xml:space="preserve"> </w:t>
      </w:r>
      <w:r w:rsidR="002212E3" w:rsidRPr="00C958F1">
        <w:rPr>
          <w:rFonts w:ascii="Times New Roman" w:hAnsi="Times New Roman" w:cs="Times New Roman"/>
          <w:sz w:val="24"/>
          <w:szCs w:val="24"/>
        </w:rPr>
        <w:t xml:space="preserve">Ca răspuns la </w:t>
      </w:r>
      <w:r w:rsidR="000B5466" w:rsidRPr="00C958F1">
        <w:rPr>
          <w:rFonts w:ascii="Times New Roman" w:hAnsi="Times New Roman" w:cs="Times New Roman"/>
          <w:sz w:val="24"/>
          <w:szCs w:val="24"/>
        </w:rPr>
        <w:t xml:space="preserve">războiul de agresiune al Rusiei împotriva Ucrainei </w:t>
      </w:r>
      <w:r w:rsidR="002212E3" w:rsidRPr="00C958F1">
        <w:rPr>
          <w:rFonts w:ascii="Times New Roman" w:hAnsi="Times New Roman" w:cs="Times New Roman"/>
          <w:sz w:val="24"/>
          <w:szCs w:val="24"/>
        </w:rPr>
        <w:t>și în conformitate cu Declarația de la Versailles a șefilor de stat și de guvern, Comisia</w:t>
      </w:r>
      <w:r w:rsidR="00BF54B4" w:rsidRPr="00C958F1">
        <w:rPr>
          <w:rFonts w:ascii="Times New Roman" w:hAnsi="Times New Roman" w:cs="Times New Roman"/>
          <w:sz w:val="24"/>
          <w:szCs w:val="24"/>
        </w:rPr>
        <w:t xml:space="preserve"> Europeană</w:t>
      </w:r>
      <w:r w:rsidR="002212E3" w:rsidRPr="00C958F1">
        <w:rPr>
          <w:rFonts w:ascii="Times New Roman" w:hAnsi="Times New Roman" w:cs="Times New Roman"/>
          <w:sz w:val="24"/>
          <w:szCs w:val="24"/>
        </w:rPr>
        <w:t xml:space="preserve"> a lansat </w:t>
      </w:r>
      <w:hyperlink r:id="rId14" w:history="1">
        <w:r w:rsidR="002212E3" w:rsidRPr="00C958F1">
          <w:rPr>
            <w:rStyle w:val="Hyperlink"/>
            <w:rFonts w:ascii="Times New Roman" w:hAnsi="Times New Roman" w:cs="Times New Roman"/>
            <w:sz w:val="24"/>
            <w:szCs w:val="24"/>
          </w:rPr>
          <w:t>Planul REPowerEU</w:t>
        </w:r>
      </w:hyperlink>
      <w:r w:rsidR="004F5981" w:rsidRPr="00C958F1">
        <w:rPr>
          <w:rStyle w:val="FootnoteReference"/>
          <w:rFonts w:ascii="Times New Roman" w:hAnsi="Times New Roman" w:cs="Times New Roman"/>
          <w:color w:val="0000FF"/>
          <w:sz w:val="24"/>
          <w:szCs w:val="24"/>
          <w:u w:val="single"/>
        </w:rPr>
        <w:footnoteReference w:id="5"/>
      </w:r>
      <w:r w:rsidR="002212E3" w:rsidRPr="00C958F1">
        <w:rPr>
          <w:rFonts w:ascii="Times New Roman" w:hAnsi="Times New Roman" w:cs="Times New Roman"/>
          <w:sz w:val="24"/>
          <w:szCs w:val="24"/>
        </w:rPr>
        <w:t xml:space="preserve"> în mai 2022. Planul prevedea încetarea dependenței Europei de energia </w:t>
      </w:r>
      <w:r w:rsidR="00BA012D" w:rsidRPr="00C958F1">
        <w:rPr>
          <w:rFonts w:ascii="Times New Roman" w:hAnsi="Times New Roman" w:cs="Times New Roman"/>
          <w:sz w:val="24"/>
          <w:szCs w:val="24"/>
        </w:rPr>
        <w:t>importată din Rusia</w:t>
      </w:r>
      <w:r w:rsidR="002212E3" w:rsidRPr="00C958F1">
        <w:rPr>
          <w:rFonts w:ascii="Times New Roman" w:hAnsi="Times New Roman" w:cs="Times New Roman"/>
          <w:sz w:val="24"/>
          <w:szCs w:val="24"/>
        </w:rPr>
        <w:t xml:space="preserve"> prin creșterea eficienței energetice și accelerarea utilizării energiei regenerabile și diversificarea </w:t>
      </w:r>
      <w:r w:rsidR="00BA012D" w:rsidRPr="00C958F1">
        <w:rPr>
          <w:rFonts w:ascii="Times New Roman" w:hAnsi="Times New Roman" w:cs="Times New Roman"/>
          <w:sz w:val="24"/>
          <w:szCs w:val="24"/>
        </w:rPr>
        <w:t xml:space="preserve">surselor de </w:t>
      </w:r>
      <w:r w:rsidR="002212E3" w:rsidRPr="00C958F1">
        <w:rPr>
          <w:rFonts w:ascii="Times New Roman" w:hAnsi="Times New Roman" w:cs="Times New Roman"/>
          <w:sz w:val="24"/>
          <w:szCs w:val="24"/>
        </w:rPr>
        <w:t>aprovizion</w:t>
      </w:r>
      <w:r w:rsidR="00BA012D" w:rsidRPr="00C958F1">
        <w:rPr>
          <w:rFonts w:ascii="Times New Roman" w:hAnsi="Times New Roman" w:cs="Times New Roman"/>
          <w:sz w:val="24"/>
          <w:szCs w:val="24"/>
        </w:rPr>
        <w:t>are</w:t>
      </w:r>
      <w:r w:rsidR="002212E3" w:rsidRPr="00C958F1">
        <w:rPr>
          <w:rFonts w:ascii="Times New Roman" w:hAnsi="Times New Roman" w:cs="Times New Roman"/>
          <w:sz w:val="24"/>
          <w:szCs w:val="24"/>
        </w:rPr>
        <w:t xml:space="preserve">. De atunci, dezvoltarea suplimentară a energiei regenerabile și economiile de energie au permis o reducere </w:t>
      </w:r>
      <w:r w:rsidR="00BF54B4" w:rsidRPr="00C958F1">
        <w:rPr>
          <w:rFonts w:ascii="Times New Roman" w:hAnsi="Times New Roman" w:cs="Times New Roman"/>
          <w:sz w:val="24"/>
          <w:szCs w:val="24"/>
        </w:rPr>
        <w:t xml:space="preserve">anuală </w:t>
      </w:r>
      <w:r w:rsidR="002212E3" w:rsidRPr="00C958F1">
        <w:rPr>
          <w:rFonts w:ascii="Times New Roman" w:hAnsi="Times New Roman" w:cs="Times New Roman"/>
          <w:sz w:val="24"/>
          <w:szCs w:val="24"/>
        </w:rPr>
        <w:t>cu peste 60 mlrd. m</w:t>
      </w:r>
      <w:r w:rsidR="002212E3" w:rsidRPr="00C958F1">
        <w:rPr>
          <w:rFonts w:ascii="Times New Roman" w:hAnsi="Times New Roman" w:cs="Times New Roman"/>
          <w:sz w:val="24"/>
          <w:szCs w:val="24"/>
          <w:vertAlign w:val="superscript"/>
        </w:rPr>
        <w:t>3</w:t>
      </w:r>
      <w:r w:rsidR="002212E3" w:rsidRPr="00C958F1">
        <w:rPr>
          <w:rFonts w:ascii="Times New Roman" w:hAnsi="Times New Roman" w:cs="Times New Roman"/>
          <w:sz w:val="24"/>
          <w:szCs w:val="24"/>
        </w:rPr>
        <w:t xml:space="preserve"> a importurilor de gaze </w:t>
      </w:r>
      <w:r w:rsidR="00A145B1" w:rsidRPr="00C958F1">
        <w:rPr>
          <w:rFonts w:ascii="Times New Roman" w:hAnsi="Times New Roman" w:cs="Times New Roman"/>
          <w:sz w:val="24"/>
          <w:szCs w:val="24"/>
        </w:rPr>
        <w:t xml:space="preserve">naturale </w:t>
      </w:r>
      <w:r w:rsidR="002212E3" w:rsidRPr="00C958F1">
        <w:rPr>
          <w:rFonts w:ascii="Times New Roman" w:hAnsi="Times New Roman" w:cs="Times New Roman"/>
          <w:sz w:val="24"/>
          <w:szCs w:val="24"/>
        </w:rPr>
        <w:t>între 2022 și 2024, ceea ce contribuie la renunțarea importurilor de gaze naturale din Rus</w:t>
      </w:r>
      <w:r w:rsidR="006416D6" w:rsidRPr="00C958F1">
        <w:rPr>
          <w:rFonts w:ascii="Times New Roman" w:hAnsi="Times New Roman" w:cs="Times New Roman"/>
          <w:sz w:val="24"/>
          <w:szCs w:val="24"/>
        </w:rPr>
        <w:t>ia</w:t>
      </w:r>
      <w:r w:rsidR="002212E3" w:rsidRPr="00C958F1">
        <w:rPr>
          <w:rFonts w:ascii="Times New Roman" w:hAnsi="Times New Roman" w:cs="Times New Roman"/>
          <w:sz w:val="24"/>
          <w:szCs w:val="24"/>
        </w:rPr>
        <w:t>.</w:t>
      </w:r>
    </w:p>
    <w:p w14:paraId="01A985D4" w14:textId="48C6F49D" w:rsidR="005F70A3" w:rsidRPr="00C958F1" w:rsidRDefault="005F70A3" w:rsidP="00C958F1">
      <w:pPr>
        <w:spacing w:after="60" w:line="276" w:lineRule="auto"/>
        <w:ind w:firstLine="540"/>
        <w:jc w:val="both"/>
        <w:rPr>
          <w:rFonts w:ascii="Times New Roman" w:hAnsi="Times New Roman" w:cs="Times New Roman"/>
          <w:sz w:val="24"/>
          <w:szCs w:val="24"/>
        </w:rPr>
      </w:pPr>
      <w:r w:rsidRPr="00C958F1">
        <w:rPr>
          <w:rFonts w:ascii="Times New Roman" w:hAnsi="Times New Roman" w:cs="Times New Roman"/>
          <w:sz w:val="24"/>
          <w:szCs w:val="24"/>
        </w:rPr>
        <w:t xml:space="preserve">Dependența de importurile de energie din </w:t>
      </w:r>
      <w:r w:rsidR="004F5981" w:rsidRPr="00C958F1">
        <w:rPr>
          <w:rFonts w:ascii="Times New Roman" w:hAnsi="Times New Roman" w:cs="Times New Roman"/>
          <w:sz w:val="24"/>
          <w:szCs w:val="24"/>
        </w:rPr>
        <w:t>Rusia</w:t>
      </w:r>
      <w:r w:rsidRPr="00C958F1">
        <w:rPr>
          <w:rFonts w:ascii="Times New Roman" w:hAnsi="Times New Roman" w:cs="Times New Roman"/>
          <w:sz w:val="24"/>
          <w:szCs w:val="24"/>
        </w:rPr>
        <w:t xml:space="preserve"> conduce la riscuri economice și de securitate grave pentru Uniune și statele sale membre, deoarece </w:t>
      </w:r>
      <w:r w:rsidR="004F5981" w:rsidRPr="00C958F1">
        <w:rPr>
          <w:rFonts w:ascii="Times New Roman" w:hAnsi="Times New Roman" w:cs="Times New Roman"/>
          <w:sz w:val="24"/>
          <w:szCs w:val="24"/>
        </w:rPr>
        <w:t>Rusia</w:t>
      </w:r>
      <w:r w:rsidRPr="00C958F1">
        <w:rPr>
          <w:rFonts w:ascii="Times New Roman" w:hAnsi="Times New Roman" w:cs="Times New Roman"/>
          <w:sz w:val="24"/>
          <w:szCs w:val="24"/>
        </w:rPr>
        <w:t xml:space="preserve"> a utilizat în mod constant aprovizionarea cu energie ca armă pentru a amenința stabilitatea și prosperitatea U</w:t>
      </w:r>
      <w:r w:rsidR="00A145B1" w:rsidRPr="00C958F1">
        <w:rPr>
          <w:rFonts w:ascii="Times New Roman" w:hAnsi="Times New Roman" w:cs="Times New Roman"/>
          <w:sz w:val="24"/>
          <w:szCs w:val="24"/>
        </w:rPr>
        <w:t>E</w:t>
      </w:r>
      <w:r w:rsidRPr="00C958F1">
        <w:rPr>
          <w:rFonts w:ascii="Times New Roman" w:hAnsi="Times New Roman" w:cs="Times New Roman"/>
          <w:sz w:val="24"/>
          <w:szCs w:val="24"/>
        </w:rPr>
        <w:t>.</w:t>
      </w:r>
    </w:p>
    <w:p w14:paraId="589247ED" w14:textId="4CD0E2EE" w:rsidR="005F70A3" w:rsidRPr="00C958F1" w:rsidRDefault="005F70A3" w:rsidP="00C958F1">
      <w:pPr>
        <w:spacing w:after="60" w:line="276" w:lineRule="auto"/>
        <w:ind w:firstLine="540"/>
        <w:jc w:val="both"/>
        <w:rPr>
          <w:rFonts w:ascii="Times New Roman" w:hAnsi="Times New Roman" w:cs="Times New Roman"/>
          <w:sz w:val="24"/>
          <w:szCs w:val="24"/>
        </w:rPr>
      </w:pPr>
      <w:r w:rsidRPr="00C958F1">
        <w:rPr>
          <w:rFonts w:ascii="Times New Roman" w:hAnsi="Times New Roman" w:cs="Times New Roman"/>
          <w:color w:val="000000"/>
          <w:sz w:val="24"/>
          <w:szCs w:val="24"/>
        </w:rPr>
        <w:t xml:space="preserve">În ciuda progreselor semnificative realizate în cadrul planului REPowerEU și prin intermediul sancțiunilor aplicate de la </w:t>
      </w:r>
      <w:r w:rsidR="00A145B1" w:rsidRPr="00C958F1">
        <w:rPr>
          <w:rFonts w:ascii="Times New Roman" w:hAnsi="Times New Roman" w:cs="Times New Roman"/>
          <w:sz w:val="24"/>
          <w:szCs w:val="24"/>
        </w:rPr>
        <w:t>începutul războiului de agresiune al Rusiei împotriva Ucrainei</w:t>
      </w:r>
      <w:r w:rsidRPr="00C958F1">
        <w:rPr>
          <w:rFonts w:ascii="Times New Roman" w:hAnsi="Times New Roman" w:cs="Times New Roman"/>
          <w:color w:val="000000"/>
          <w:sz w:val="24"/>
          <w:szCs w:val="24"/>
        </w:rPr>
        <w:t xml:space="preserve">, UE a înregistrat o revenire a importurilor de gaze </w:t>
      </w:r>
      <w:r w:rsidR="00BA012D" w:rsidRPr="00C958F1">
        <w:rPr>
          <w:rFonts w:ascii="Times New Roman" w:hAnsi="Times New Roman" w:cs="Times New Roman"/>
          <w:color w:val="000000"/>
          <w:sz w:val="24"/>
          <w:szCs w:val="24"/>
        </w:rPr>
        <w:t>importate din Rusia</w:t>
      </w:r>
      <w:r w:rsidR="00A145B1" w:rsidRPr="00C958F1">
        <w:rPr>
          <w:rFonts w:ascii="Times New Roman" w:hAnsi="Times New Roman" w:cs="Times New Roman"/>
          <w:color w:val="000000"/>
          <w:sz w:val="24"/>
          <w:szCs w:val="24"/>
        </w:rPr>
        <w:t xml:space="preserve"> în anul 2024</w:t>
      </w:r>
      <w:r w:rsidR="004F5981" w:rsidRPr="00C958F1">
        <w:rPr>
          <w:rStyle w:val="FootnoteReference"/>
          <w:rFonts w:ascii="Times New Roman" w:hAnsi="Times New Roman" w:cs="Times New Roman"/>
          <w:color w:val="000000"/>
          <w:sz w:val="24"/>
          <w:szCs w:val="24"/>
        </w:rPr>
        <w:footnoteReference w:id="6"/>
      </w:r>
      <w:r w:rsidRPr="00C958F1">
        <w:rPr>
          <w:rFonts w:ascii="Times New Roman" w:hAnsi="Times New Roman" w:cs="Times New Roman"/>
          <w:color w:val="000000"/>
          <w:sz w:val="24"/>
          <w:szCs w:val="24"/>
        </w:rPr>
        <w:t xml:space="preserve">. </w:t>
      </w:r>
      <w:r w:rsidR="00BF54B4" w:rsidRPr="00C958F1">
        <w:rPr>
          <w:rFonts w:ascii="Times New Roman" w:hAnsi="Times New Roman" w:cs="Times New Roman"/>
          <w:color w:val="000000"/>
          <w:sz w:val="24"/>
          <w:szCs w:val="24"/>
        </w:rPr>
        <w:t xml:space="preserve">Astfel, </w:t>
      </w:r>
      <w:r w:rsidR="00BF54B4" w:rsidRPr="00C958F1">
        <w:rPr>
          <w:rFonts w:ascii="Times New Roman" w:hAnsi="Times New Roman" w:cs="Times New Roman"/>
          <w:sz w:val="24"/>
          <w:szCs w:val="24"/>
        </w:rPr>
        <w:t>în anul 2024, UE a importat în continuare 52 mlrd. m</w:t>
      </w:r>
      <w:r w:rsidR="00BF54B4" w:rsidRPr="00C958F1">
        <w:rPr>
          <w:rFonts w:ascii="Times New Roman" w:hAnsi="Times New Roman" w:cs="Times New Roman"/>
          <w:sz w:val="24"/>
          <w:szCs w:val="24"/>
          <w:vertAlign w:val="superscript"/>
        </w:rPr>
        <w:t>3</w:t>
      </w:r>
      <w:r w:rsidR="00BF54B4" w:rsidRPr="00C958F1">
        <w:rPr>
          <w:rFonts w:ascii="Times New Roman" w:hAnsi="Times New Roman" w:cs="Times New Roman"/>
          <w:sz w:val="24"/>
          <w:szCs w:val="24"/>
        </w:rPr>
        <w:t xml:space="preserve"> de gaz</w:t>
      </w:r>
      <w:r w:rsidR="00BA012D" w:rsidRPr="00C958F1">
        <w:rPr>
          <w:rFonts w:ascii="Times New Roman" w:hAnsi="Times New Roman" w:cs="Times New Roman"/>
          <w:sz w:val="24"/>
          <w:szCs w:val="24"/>
        </w:rPr>
        <w:t>e</w:t>
      </w:r>
      <w:r w:rsidR="00BF54B4" w:rsidRPr="00C958F1">
        <w:rPr>
          <w:rFonts w:ascii="Times New Roman" w:hAnsi="Times New Roman" w:cs="Times New Roman"/>
          <w:sz w:val="24"/>
          <w:szCs w:val="24"/>
        </w:rPr>
        <w:t xml:space="preserve"> </w:t>
      </w:r>
      <w:r w:rsidR="00BA012D" w:rsidRPr="00C958F1">
        <w:rPr>
          <w:rFonts w:ascii="Times New Roman" w:hAnsi="Times New Roman" w:cs="Times New Roman"/>
          <w:sz w:val="24"/>
          <w:szCs w:val="24"/>
        </w:rPr>
        <w:t xml:space="preserve">din Rusia </w:t>
      </w:r>
      <w:r w:rsidR="00BF54B4" w:rsidRPr="00C958F1">
        <w:rPr>
          <w:rFonts w:ascii="Times New Roman" w:hAnsi="Times New Roman" w:cs="Times New Roman"/>
          <w:sz w:val="24"/>
          <w:szCs w:val="24"/>
        </w:rPr>
        <w:t>(32 mlrd. m</w:t>
      </w:r>
      <w:r w:rsidR="00BF54B4" w:rsidRPr="00C958F1">
        <w:rPr>
          <w:rFonts w:ascii="Times New Roman" w:hAnsi="Times New Roman" w:cs="Times New Roman"/>
          <w:sz w:val="24"/>
          <w:szCs w:val="24"/>
          <w:vertAlign w:val="superscript"/>
        </w:rPr>
        <w:t xml:space="preserve">3 </w:t>
      </w:r>
      <w:r w:rsidR="00BF54B4" w:rsidRPr="00C958F1">
        <w:rPr>
          <w:rFonts w:ascii="Times New Roman" w:hAnsi="Times New Roman" w:cs="Times New Roman"/>
          <w:sz w:val="24"/>
          <w:szCs w:val="24"/>
        </w:rPr>
        <w:t>prin conducte și 20 mlrd. m</w:t>
      </w:r>
      <w:r w:rsidR="00BF54B4" w:rsidRPr="00C958F1">
        <w:rPr>
          <w:rFonts w:ascii="Times New Roman" w:hAnsi="Times New Roman" w:cs="Times New Roman"/>
          <w:sz w:val="24"/>
          <w:szCs w:val="24"/>
          <w:vertAlign w:val="superscript"/>
        </w:rPr>
        <w:t xml:space="preserve">3 </w:t>
      </w:r>
      <w:r w:rsidR="00BF54B4" w:rsidRPr="00C958F1">
        <w:rPr>
          <w:rFonts w:ascii="Times New Roman" w:hAnsi="Times New Roman" w:cs="Times New Roman"/>
          <w:sz w:val="24"/>
          <w:szCs w:val="24"/>
        </w:rPr>
        <w:t>GNL, sau aproximativ 19% din importurile totale de gaz</w:t>
      </w:r>
      <w:r w:rsidR="00A145B1" w:rsidRPr="00C958F1">
        <w:rPr>
          <w:rFonts w:ascii="Times New Roman" w:hAnsi="Times New Roman" w:cs="Times New Roman"/>
          <w:sz w:val="24"/>
          <w:szCs w:val="24"/>
        </w:rPr>
        <w:t>e naturale</w:t>
      </w:r>
      <w:r w:rsidR="00BF54B4" w:rsidRPr="00C958F1">
        <w:rPr>
          <w:rFonts w:ascii="Times New Roman" w:hAnsi="Times New Roman" w:cs="Times New Roman"/>
          <w:sz w:val="24"/>
          <w:szCs w:val="24"/>
        </w:rPr>
        <w:t xml:space="preserve"> ale UE), precum și 13 milioane de tone de țiței și peste 2 800 de tone de uraniu îmbogățit sau sub formă de combustibil</w:t>
      </w:r>
      <w:r w:rsidR="00BA012D" w:rsidRPr="00C958F1">
        <w:rPr>
          <w:rFonts w:ascii="Times New Roman" w:hAnsi="Times New Roman" w:cs="Times New Roman"/>
          <w:sz w:val="24"/>
          <w:szCs w:val="24"/>
        </w:rPr>
        <w:t xml:space="preserve"> pentru centrale nucleare</w:t>
      </w:r>
      <w:r w:rsidR="00BF54B4" w:rsidRPr="00C958F1">
        <w:rPr>
          <w:rFonts w:ascii="Times New Roman" w:hAnsi="Times New Roman" w:cs="Times New Roman"/>
          <w:sz w:val="24"/>
          <w:szCs w:val="24"/>
        </w:rPr>
        <w:t xml:space="preserve">. </w:t>
      </w:r>
      <w:r w:rsidRPr="00C958F1">
        <w:rPr>
          <w:rFonts w:ascii="Times New Roman" w:hAnsi="Times New Roman" w:cs="Times New Roman"/>
          <w:color w:val="000000"/>
          <w:sz w:val="24"/>
          <w:szCs w:val="24"/>
        </w:rPr>
        <w:t>Prin urmare, sunt necesare acțiuni mai coordonate, deoarece dependența excesivă a UE de importurile de energie din Rusia reprezintă o amenințare la adresa securității.</w:t>
      </w:r>
    </w:p>
    <w:p w14:paraId="1E4143A5" w14:textId="619ED339" w:rsidR="005F70A3" w:rsidRPr="00C958F1" w:rsidRDefault="006A1540" w:rsidP="00C958F1">
      <w:pPr>
        <w:spacing w:after="60" w:line="276" w:lineRule="auto"/>
        <w:ind w:firstLine="540"/>
        <w:jc w:val="both"/>
        <w:rPr>
          <w:rFonts w:ascii="Times New Roman" w:hAnsi="Times New Roman" w:cs="Times New Roman"/>
          <w:color w:val="000000"/>
          <w:sz w:val="24"/>
          <w:szCs w:val="24"/>
        </w:rPr>
      </w:pPr>
      <w:r w:rsidRPr="00C958F1">
        <w:rPr>
          <w:rFonts w:ascii="Times New Roman" w:hAnsi="Times New Roman" w:cs="Times New Roman"/>
          <w:b/>
          <w:bCs/>
          <w:color w:val="000000"/>
          <w:sz w:val="24"/>
          <w:szCs w:val="24"/>
        </w:rPr>
        <w:t>1</w:t>
      </w:r>
      <w:r w:rsidR="00A94902" w:rsidRPr="00C958F1">
        <w:rPr>
          <w:rFonts w:ascii="Times New Roman" w:hAnsi="Times New Roman" w:cs="Times New Roman"/>
          <w:b/>
          <w:bCs/>
          <w:color w:val="000000"/>
          <w:sz w:val="24"/>
          <w:szCs w:val="24"/>
        </w:rPr>
        <w:t>3</w:t>
      </w:r>
      <w:r w:rsidRPr="00C958F1">
        <w:rPr>
          <w:rFonts w:ascii="Times New Roman" w:hAnsi="Times New Roman" w:cs="Times New Roman"/>
          <w:b/>
          <w:bCs/>
          <w:color w:val="000000"/>
          <w:sz w:val="24"/>
          <w:szCs w:val="24"/>
        </w:rPr>
        <w:t>.</w:t>
      </w:r>
      <w:r w:rsidRPr="00C958F1">
        <w:rPr>
          <w:rFonts w:ascii="Times New Roman" w:hAnsi="Times New Roman" w:cs="Times New Roman"/>
          <w:color w:val="000000"/>
          <w:sz w:val="24"/>
          <w:szCs w:val="24"/>
        </w:rPr>
        <w:t xml:space="preserve"> </w:t>
      </w:r>
      <w:r w:rsidR="005F70A3" w:rsidRPr="00C958F1">
        <w:rPr>
          <w:rFonts w:ascii="Times New Roman" w:hAnsi="Times New Roman" w:cs="Times New Roman"/>
          <w:color w:val="000000"/>
          <w:sz w:val="24"/>
          <w:szCs w:val="24"/>
        </w:rPr>
        <w:t xml:space="preserve">UE planifică să pună capăt dependenței sale de </w:t>
      </w:r>
      <w:r w:rsidR="00BF54B4" w:rsidRPr="00C958F1">
        <w:rPr>
          <w:rFonts w:ascii="Times New Roman" w:hAnsi="Times New Roman" w:cs="Times New Roman"/>
          <w:color w:val="000000"/>
          <w:sz w:val="24"/>
          <w:szCs w:val="24"/>
        </w:rPr>
        <w:t xml:space="preserve">resursele energetice </w:t>
      </w:r>
      <w:r w:rsidR="002F33BA" w:rsidRPr="00C958F1">
        <w:rPr>
          <w:rFonts w:ascii="Times New Roman" w:hAnsi="Times New Roman" w:cs="Times New Roman"/>
          <w:color w:val="000000"/>
          <w:sz w:val="24"/>
          <w:szCs w:val="24"/>
        </w:rPr>
        <w:t>importate din Rusia</w:t>
      </w:r>
      <w:r w:rsidR="005F70A3" w:rsidRPr="00C958F1">
        <w:rPr>
          <w:rFonts w:ascii="Times New Roman" w:hAnsi="Times New Roman" w:cs="Times New Roman"/>
          <w:color w:val="000000"/>
          <w:sz w:val="24"/>
          <w:szCs w:val="24"/>
        </w:rPr>
        <w:t xml:space="preserve"> prin oprirea importului de gaz</w:t>
      </w:r>
      <w:r w:rsidR="00B3766F" w:rsidRPr="00C958F1">
        <w:rPr>
          <w:rFonts w:ascii="Times New Roman" w:hAnsi="Times New Roman" w:cs="Times New Roman"/>
          <w:color w:val="000000"/>
          <w:sz w:val="24"/>
          <w:szCs w:val="24"/>
        </w:rPr>
        <w:t xml:space="preserve">e naturale, produse </w:t>
      </w:r>
      <w:r w:rsidR="005F70A3" w:rsidRPr="00C958F1">
        <w:rPr>
          <w:rFonts w:ascii="Times New Roman" w:hAnsi="Times New Roman" w:cs="Times New Roman"/>
          <w:color w:val="000000"/>
          <w:sz w:val="24"/>
          <w:szCs w:val="24"/>
        </w:rPr>
        <w:t>petrol</w:t>
      </w:r>
      <w:r w:rsidR="00B3766F" w:rsidRPr="00C958F1">
        <w:rPr>
          <w:rFonts w:ascii="Times New Roman" w:hAnsi="Times New Roman" w:cs="Times New Roman"/>
          <w:color w:val="000000"/>
          <w:sz w:val="24"/>
          <w:szCs w:val="24"/>
        </w:rPr>
        <w:t>iere</w:t>
      </w:r>
      <w:r w:rsidR="005F70A3" w:rsidRPr="00C958F1">
        <w:rPr>
          <w:rFonts w:ascii="Times New Roman" w:hAnsi="Times New Roman" w:cs="Times New Roman"/>
          <w:color w:val="000000"/>
          <w:sz w:val="24"/>
          <w:szCs w:val="24"/>
        </w:rPr>
        <w:t xml:space="preserve"> și prin eliminarea treptată a energiei nucleare. </w:t>
      </w:r>
      <w:hyperlink r:id="rId15" w:history="1">
        <w:r w:rsidR="005F70A3" w:rsidRPr="00C958F1">
          <w:rPr>
            <w:rStyle w:val="Hyperlink"/>
            <w:rFonts w:ascii="Times New Roman" w:hAnsi="Times New Roman" w:cs="Times New Roman"/>
            <w:sz w:val="24"/>
            <w:szCs w:val="24"/>
          </w:rPr>
          <w:t>Foaia de parcurs REPowerEU, prezentată la 6 mai 2025 de Comisia Europeană</w:t>
        </w:r>
      </w:hyperlink>
      <w:r w:rsidR="005F70A3" w:rsidRPr="00C958F1">
        <w:rPr>
          <w:rFonts w:ascii="Times New Roman" w:hAnsi="Times New Roman" w:cs="Times New Roman"/>
          <w:color w:val="000000"/>
          <w:sz w:val="24"/>
          <w:szCs w:val="24"/>
        </w:rPr>
        <w:t>, pregătește terenul pentru a asigura independența energetică deplină a UE față de Rusia.</w:t>
      </w:r>
      <w:r w:rsidR="00BF54B4" w:rsidRPr="00C958F1">
        <w:rPr>
          <w:rFonts w:ascii="Times New Roman" w:hAnsi="Times New Roman" w:cs="Times New Roman"/>
          <w:color w:val="000000"/>
          <w:sz w:val="24"/>
          <w:szCs w:val="24"/>
        </w:rPr>
        <w:t xml:space="preserve"> </w:t>
      </w:r>
      <w:hyperlink r:id="rId16" w:anchor="footnote4" w:history="1">
        <w:r w:rsidR="005F70A3" w:rsidRPr="00C958F1">
          <w:rPr>
            <w:rStyle w:val="Hyperlink"/>
            <w:rFonts w:ascii="Times New Roman" w:hAnsi="Times New Roman" w:cs="Times New Roman"/>
            <w:sz w:val="24"/>
            <w:szCs w:val="24"/>
          </w:rPr>
          <w:t xml:space="preserve">Foaia de parcurs stabilește o eliminare treptată a </w:t>
        </w:r>
        <w:r w:rsidR="00B3766F" w:rsidRPr="00C958F1">
          <w:rPr>
            <w:rStyle w:val="Hyperlink"/>
            <w:rFonts w:ascii="Times New Roman" w:hAnsi="Times New Roman" w:cs="Times New Roman"/>
            <w:sz w:val="24"/>
            <w:szCs w:val="24"/>
          </w:rPr>
          <w:t xml:space="preserve">produselor </w:t>
        </w:r>
        <w:r w:rsidR="005F70A3" w:rsidRPr="00C958F1">
          <w:rPr>
            <w:rStyle w:val="Hyperlink"/>
            <w:rFonts w:ascii="Times New Roman" w:hAnsi="Times New Roman" w:cs="Times New Roman"/>
            <w:sz w:val="24"/>
            <w:szCs w:val="24"/>
          </w:rPr>
          <w:t>petrol</w:t>
        </w:r>
        <w:r w:rsidR="00B3766F" w:rsidRPr="00C958F1">
          <w:rPr>
            <w:rStyle w:val="Hyperlink"/>
            <w:rFonts w:ascii="Times New Roman" w:hAnsi="Times New Roman" w:cs="Times New Roman"/>
            <w:sz w:val="24"/>
            <w:szCs w:val="24"/>
          </w:rPr>
          <w:t>iere</w:t>
        </w:r>
        <w:r w:rsidR="005F70A3" w:rsidRPr="00C958F1">
          <w:rPr>
            <w:rStyle w:val="Hyperlink"/>
            <w:rFonts w:ascii="Times New Roman" w:hAnsi="Times New Roman" w:cs="Times New Roman"/>
            <w:sz w:val="24"/>
            <w:szCs w:val="24"/>
          </w:rPr>
          <w:t xml:space="preserve">, gazelor </w:t>
        </w:r>
        <w:r w:rsidR="00B3766F" w:rsidRPr="00C958F1">
          <w:rPr>
            <w:rStyle w:val="Hyperlink"/>
            <w:rFonts w:ascii="Times New Roman" w:hAnsi="Times New Roman" w:cs="Times New Roman"/>
            <w:sz w:val="24"/>
            <w:szCs w:val="24"/>
          </w:rPr>
          <w:t xml:space="preserve">naturale </w:t>
        </w:r>
        <w:r w:rsidR="005F70A3" w:rsidRPr="00C958F1">
          <w:rPr>
            <w:rStyle w:val="Hyperlink"/>
            <w:rFonts w:ascii="Times New Roman" w:hAnsi="Times New Roman" w:cs="Times New Roman"/>
            <w:sz w:val="24"/>
            <w:szCs w:val="24"/>
          </w:rPr>
          <w:t>și energiei nucleare rusești de pe piețele UE</w:t>
        </w:r>
      </w:hyperlink>
      <w:r w:rsidR="005F70A3" w:rsidRPr="00C958F1">
        <w:rPr>
          <w:rFonts w:ascii="Times New Roman" w:hAnsi="Times New Roman" w:cs="Times New Roman"/>
          <w:color w:val="000000"/>
          <w:sz w:val="24"/>
          <w:szCs w:val="24"/>
        </w:rPr>
        <w:t xml:space="preserve">, care va avea loc într-un mod coordonat și sigur, pe măsură ce se va avansa în tranziția </w:t>
      </w:r>
      <w:r w:rsidR="00B3766F" w:rsidRPr="00C958F1">
        <w:rPr>
          <w:rFonts w:ascii="Times New Roman" w:hAnsi="Times New Roman" w:cs="Times New Roman"/>
          <w:color w:val="000000"/>
          <w:sz w:val="24"/>
          <w:szCs w:val="24"/>
        </w:rPr>
        <w:t xml:space="preserve">energetică a </w:t>
      </w:r>
      <w:r w:rsidR="005F70A3" w:rsidRPr="00C958F1">
        <w:rPr>
          <w:rFonts w:ascii="Times New Roman" w:hAnsi="Times New Roman" w:cs="Times New Roman"/>
          <w:color w:val="000000"/>
          <w:sz w:val="24"/>
          <w:szCs w:val="24"/>
        </w:rPr>
        <w:t>UE. Măsurile au fost concepute pentru a menține securitatea aprovizionării cu energie a UE, limitând în același timp orice impact asupra prețurilor și piețelor.</w:t>
      </w:r>
    </w:p>
    <w:p w14:paraId="1392B634" w14:textId="537F5096" w:rsidR="005F70A3" w:rsidRPr="00C958F1" w:rsidRDefault="005F70A3" w:rsidP="00C958F1">
      <w:pPr>
        <w:spacing w:after="60" w:line="276" w:lineRule="auto"/>
        <w:ind w:firstLine="540"/>
        <w:jc w:val="both"/>
        <w:rPr>
          <w:rFonts w:ascii="Times New Roman" w:hAnsi="Times New Roman" w:cs="Times New Roman"/>
          <w:color w:val="000000"/>
          <w:sz w:val="24"/>
          <w:szCs w:val="24"/>
        </w:rPr>
      </w:pPr>
      <w:r w:rsidRPr="00C958F1">
        <w:rPr>
          <w:rFonts w:ascii="Times New Roman" w:hAnsi="Times New Roman" w:cs="Times New Roman"/>
          <w:color w:val="000000"/>
          <w:sz w:val="24"/>
          <w:szCs w:val="24"/>
        </w:rPr>
        <w:lastRenderedPageBreak/>
        <w:t xml:space="preserve">Începând cu 2025, se preconizează o creștere rapidă a ofertei globale de GNL, în timp ce cererea de gaze </w:t>
      </w:r>
      <w:r w:rsidR="00B3766F" w:rsidRPr="00C958F1">
        <w:rPr>
          <w:rFonts w:ascii="Times New Roman" w:hAnsi="Times New Roman" w:cs="Times New Roman"/>
          <w:color w:val="000000"/>
          <w:sz w:val="24"/>
          <w:szCs w:val="24"/>
        </w:rPr>
        <w:t xml:space="preserve">naturale </w:t>
      </w:r>
      <w:r w:rsidR="00BF54B4" w:rsidRPr="00C958F1">
        <w:rPr>
          <w:rFonts w:ascii="Times New Roman" w:hAnsi="Times New Roman" w:cs="Times New Roman"/>
          <w:color w:val="000000"/>
          <w:sz w:val="24"/>
          <w:szCs w:val="24"/>
        </w:rPr>
        <w:t xml:space="preserve">se estimează că </w:t>
      </w:r>
      <w:r w:rsidRPr="00C958F1">
        <w:rPr>
          <w:rFonts w:ascii="Times New Roman" w:hAnsi="Times New Roman" w:cs="Times New Roman"/>
          <w:color w:val="000000"/>
          <w:sz w:val="24"/>
          <w:szCs w:val="24"/>
        </w:rPr>
        <w:t>va scădea</w:t>
      </w:r>
      <w:r w:rsidR="00BF54B4" w:rsidRPr="00C958F1">
        <w:rPr>
          <w:rFonts w:ascii="Times New Roman" w:hAnsi="Times New Roman" w:cs="Times New Roman"/>
          <w:color w:val="000000"/>
          <w:sz w:val="24"/>
          <w:szCs w:val="24"/>
        </w:rPr>
        <w:t xml:space="preserve"> la nivel UE</w:t>
      </w:r>
      <w:r w:rsidRPr="00C958F1">
        <w:rPr>
          <w:rFonts w:ascii="Times New Roman" w:hAnsi="Times New Roman" w:cs="Times New Roman"/>
          <w:color w:val="000000"/>
          <w:sz w:val="24"/>
          <w:szCs w:val="24"/>
        </w:rPr>
        <w:t xml:space="preserve">. Odată cu punerea integrală în aplicare a cadrului de tranziție energetică și a Planului de acțiune pentru o energie accesibilă, se preconizează că UE va înlocui până la 100 </w:t>
      </w:r>
      <w:r w:rsidRPr="00C958F1">
        <w:rPr>
          <w:rFonts w:ascii="Times New Roman" w:hAnsi="Times New Roman" w:cs="Times New Roman"/>
          <w:sz w:val="24"/>
          <w:szCs w:val="24"/>
        </w:rPr>
        <w:t>mlrd. m</w:t>
      </w:r>
      <w:r w:rsidRPr="00C958F1">
        <w:rPr>
          <w:rFonts w:ascii="Times New Roman" w:hAnsi="Times New Roman" w:cs="Times New Roman"/>
          <w:sz w:val="24"/>
          <w:szCs w:val="24"/>
          <w:vertAlign w:val="superscript"/>
        </w:rPr>
        <w:t xml:space="preserve">3 </w:t>
      </w:r>
      <w:r w:rsidRPr="00C958F1">
        <w:rPr>
          <w:rFonts w:ascii="Times New Roman" w:hAnsi="Times New Roman" w:cs="Times New Roman"/>
          <w:color w:val="000000"/>
          <w:sz w:val="24"/>
          <w:szCs w:val="24"/>
        </w:rPr>
        <w:t xml:space="preserve">de gaze naturale până în 2030, ceea ce înseamnă o scădere a cererii cu </w:t>
      </w:r>
      <w:r w:rsidR="00C8159C" w:rsidRPr="00C958F1">
        <w:rPr>
          <w:rFonts w:ascii="Times New Roman" w:hAnsi="Times New Roman" w:cs="Times New Roman"/>
          <w:color w:val="000000"/>
          <w:sz w:val="24"/>
          <w:szCs w:val="24"/>
        </w:rPr>
        <w:br/>
      </w:r>
      <w:r w:rsidRPr="00C958F1">
        <w:rPr>
          <w:rFonts w:ascii="Times New Roman" w:hAnsi="Times New Roman" w:cs="Times New Roman"/>
          <w:color w:val="000000"/>
          <w:sz w:val="24"/>
          <w:szCs w:val="24"/>
        </w:rPr>
        <w:t xml:space="preserve">40-50 </w:t>
      </w:r>
      <w:r w:rsidRPr="00C958F1">
        <w:rPr>
          <w:rFonts w:ascii="Times New Roman" w:hAnsi="Times New Roman" w:cs="Times New Roman"/>
          <w:sz w:val="24"/>
          <w:szCs w:val="24"/>
        </w:rPr>
        <w:t>mlrd. m</w:t>
      </w:r>
      <w:r w:rsidRPr="00C958F1">
        <w:rPr>
          <w:rFonts w:ascii="Times New Roman" w:hAnsi="Times New Roman" w:cs="Times New Roman"/>
          <w:sz w:val="24"/>
          <w:szCs w:val="24"/>
          <w:vertAlign w:val="superscript"/>
        </w:rPr>
        <w:t xml:space="preserve">3 </w:t>
      </w:r>
      <w:r w:rsidRPr="00C958F1">
        <w:rPr>
          <w:rFonts w:ascii="Times New Roman" w:hAnsi="Times New Roman" w:cs="Times New Roman"/>
          <w:color w:val="000000"/>
          <w:sz w:val="24"/>
          <w:szCs w:val="24"/>
        </w:rPr>
        <w:t xml:space="preserve">până în 2027. </w:t>
      </w:r>
    </w:p>
    <w:p w14:paraId="07AAE8F9" w14:textId="778C79BD" w:rsidR="005F70A3" w:rsidRPr="00C958F1" w:rsidRDefault="005F70A3" w:rsidP="00C958F1">
      <w:pPr>
        <w:spacing w:after="60" w:line="276" w:lineRule="auto"/>
        <w:ind w:firstLine="540"/>
        <w:jc w:val="both"/>
        <w:rPr>
          <w:rFonts w:ascii="Times New Roman" w:hAnsi="Times New Roman" w:cs="Times New Roman"/>
          <w:color w:val="000000"/>
          <w:sz w:val="24"/>
          <w:szCs w:val="24"/>
        </w:rPr>
      </w:pPr>
      <w:r w:rsidRPr="00C958F1">
        <w:rPr>
          <w:rFonts w:ascii="Times New Roman" w:hAnsi="Times New Roman" w:cs="Times New Roman"/>
          <w:b/>
          <w:bCs/>
          <w:color w:val="000000"/>
          <w:sz w:val="24"/>
          <w:szCs w:val="24"/>
        </w:rPr>
        <w:t>1</w:t>
      </w:r>
      <w:r w:rsidR="00A94902" w:rsidRPr="00C958F1">
        <w:rPr>
          <w:rFonts w:ascii="Times New Roman" w:hAnsi="Times New Roman" w:cs="Times New Roman"/>
          <w:b/>
          <w:bCs/>
          <w:color w:val="000000"/>
          <w:sz w:val="24"/>
          <w:szCs w:val="24"/>
        </w:rPr>
        <w:t>4</w:t>
      </w:r>
      <w:r w:rsidRPr="00C958F1">
        <w:rPr>
          <w:rFonts w:ascii="Times New Roman" w:hAnsi="Times New Roman" w:cs="Times New Roman"/>
          <w:b/>
          <w:bCs/>
          <w:color w:val="000000"/>
          <w:sz w:val="24"/>
          <w:szCs w:val="24"/>
        </w:rPr>
        <w:t>.</w:t>
      </w:r>
      <w:r w:rsidRPr="00C958F1">
        <w:rPr>
          <w:rFonts w:ascii="Times New Roman" w:hAnsi="Times New Roman" w:cs="Times New Roman"/>
          <w:color w:val="000000"/>
          <w:sz w:val="24"/>
          <w:szCs w:val="24"/>
        </w:rPr>
        <w:t xml:space="preserve"> Similar politicii UE de </w:t>
      </w:r>
      <w:r w:rsidR="00411014" w:rsidRPr="00C958F1">
        <w:rPr>
          <w:rFonts w:ascii="Times New Roman" w:hAnsi="Times New Roman" w:cs="Times New Roman"/>
          <w:color w:val="000000"/>
          <w:sz w:val="24"/>
          <w:szCs w:val="24"/>
        </w:rPr>
        <w:t>eliminare treptată a dependenței de importul de resurse energetice din Rus</w:t>
      </w:r>
      <w:r w:rsidR="006416D6" w:rsidRPr="00C958F1">
        <w:rPr>
          <w:rFonts w:ascii="Times New Roman" w:hAnsi="Times New Roman" w:cs="Times New Roman"/>
          <w:color w:val="000000"/>
          <w:sz w:val="24"/>
          <w:szCs w:val="24"/>
        </w:rPr>
        <w:t>ia</w:t>
      </w:r>
      <w:r w:rsidR="00411014" w:rsidRPr="00C958F1">
        <w:rPr>
          <w:rFonts w:ascii="Times New Roman" w:hAnsi="Times New Roman" w:cs="Times New Roman"/>
          <w:color w:val="000000"/>
          <w:sz w:val="24"/>
          <w:szCs w:val="24"/>
        </w:rPr>
        <w:t xml:space="preserve">, Guvernul Republicii Moldova </w:t>
      </w:r>
      <w:r w:rsidR="00314F0A" w:rsidRPr="00C958F1">
        <w:rPr>
          <w:rFonts w:ascii="Times New Roman" w:hAnsi="Times New Roman" w:cs="Times New Roman"/>
          <w:color w:val="000000"/>
          <w:sz w:val="24"/>
          <w:szCs w:val="24"/>
        </w:rPr>
        <w:t xml:space="preserve">prin Hotărârea nr. 119/2025 </w:t>
      </w:r>
      <w:r w:rsidR="00411014" w:rsidRPr="00C958F1">
        <w:rPr>
          <w:rFonts w:ascii="Times New Roman" w:hAnsi="Times New Roman" w:cs="Times New Roman"/>
          <w:color w:val="000000"/>
          <w:sz w:val="24"/>
          <w:szCs w:val="24"/>
        </w:rPr>
        <w:t>a aprobat Planul de măsuri privind consolidarea independenței energetice a Republicii Moldova, care servește drept temei juridic pentru implementarea obiectivului de eliminare completă a dependenței de livrările de resurse energetice din Rus</w:t>
      </w:r>
      <w:r w:rsidR="006416D6" w:rsidRPr="00C958F1">
        <w:rPr>
          <w:rFonts w:ascii="Times New Roman" w:hAnsi="Times New Roman" w:cs="Times New Roman"/>
          <w:color w:val="000000"/>
          <w:sz w:val="24"/>
          <w:szCs w:val="24"/>
        </w:rPr>
        <w:t>ia</w:t>
      </w:r>
      <w:r w:rsidR="00411014" w:rsidRPr="00C958F1">
        <w:rPr>
          <w:rFonts w:ascii="Times New Roman" w:hAnsi="Times New Roman" w:cs="Times New Roman"/>
          <w:color w:val="000000"/>
          <w:sz w:val="24"/>
          <w:szCs w:val="24"/>
        </w:rPr>
        <w:t>, atât în sectorul electroenergetic, cât și în sectorul gazelor naturale și al produselor petroliere.</w:t>
      </w:r>
    </w:p>
    <w:p w14:paraId="37F5BB0A" w14:textId="72DD738C" w:rsidR="00DC23BA" w:rsidRPr="00C958F1" w:rsidRDefault="005362F5" w:rsidP="00C958F1">
      <w:pPr>
        <w:spacing w:after="60" w:line="276" w:lineRule="auto"/>
        <w:ind w:firstLine="540"/>
        <w:jc w:val="both"/>
        <w:rPr>
          <w:rFonts w:ascii="Times New Roman" w:hAnsi="Times New Roman" w:cs="Times New Roman"/>
          <w:color w:val="000000"/>
          <w:sz w:val="24"/>
          <w:szCs w:val="24"/>
          <w:highlight w:val="yellow"/>
        </w:rPr>
      </w:pPr>
      <w:r w:rsidRPr="00C958F1">
        <w:rPr>
          <w:rFonts w:ascii="Times New Roman" w:hAnsi="Times New Roman" w:cs="Times New Roman"/>
          <w:b/>
          <w:bCs/>
          <w:color w:val="000000"/>
          <w:sz w:val="24"/>
          <w:szCs w:val="24"/>
        </w:rPr>
        <w:t>1</w:t>
      </w:r>
      <w:r w:rsidR="00A94902" w:rsidRPr="00C958F1">
        <w:rPr>
          <w:rFonts w:ascii="Times New Roman" w:hAnsi="Times New Roman" w:cs="Times New Roman"/>
          <w:b/>
          <w:bCs/>
          <w:color w:val="000000"/>
          <w:sz w:val="24"/>
          <w:szCs w:val="24"/>
        </w:rPr>
        <w:t>5</w:t>
      </w:r>
      <w:r w:rsidRPr="00C958F1">
        <w:rPr>
          <w:rFonts w:ascii="Times New Roman" w:hAnsi="Times New Roman" w:cs="Times New Roman"/>
          <w:b/>
          <w:bCs/>
          <w:color w:val="000000"/>
          <w:sz w:val="24"/>
          <w:szCs w:val="24"/>
        </w:rPr>
        <w:t>.</w:t>
      </w:r>
      <w:r w:rsidRPr="00C958F1">
        <w:rPr>
          <w:rFonts w:ascii="Times New Roman" w:hAnsi="Times New Roman" w:cs="Times New Roman"/>
          <w:color w:val="000000"/>
          <w:sz w:val="24"/>
          <w:szCs w:val="24"/>
        </w:rPr>
        <w:t xml:space="preserve"> </w:t>
      </w:r>
      <w:r w:rsidR="00002CD9" w:rsidRPr="00C958F1">
        <w:rPr>
          <w:rFonts w:ascii="Times New Roman" w:hAnsi="Times New Roman" w:cs="Times New Roman"/>
          <w:color w:val="000000"/>
          <w:sz w:val="24"/>
          <w:szCs w:val="24"/>
        </w:rPr>
        <w:t>Republica Moldova s</w:t>
      </w:r>
      <w:r w:rsidR="005F70A3" w:rsidRPr="00C958F1">
        <w:rPr>
          <w:rFonts w:ascii="Times New Roman" w:hAnsi="Times New Roman" w:cs="Times New Roman"/>
          <w:color w:val="000000"/>
          <w:sz w:val="24"/>
          <w:szCs w:val="24"/>
        </w:rPr>
        <w:t>-a</w:t>
      </w:r>
      <w:r w:rsidR="00002CD9" w:rsidRPr="00C958F1">
        <w:rPr>
          <w:rFonts w:ascii="Times New Roman" w:hAnsi="Times New Roman" w:cs="Times New Roman"/>
          <w:color w:val="000000"/>
          <w:sz w:val="24"/>
          <w:szCs w:val="24"/>
        </w:rPr>
        <w:t xml:space="preserve"> confrunt</w:t>
      </w:r>
      <w:r w:rsidR="005F70A3" w:rsidRPr="00C958F1">
        <w:rPr>
          <w:rFonts w:ascii="Times New Roman" w:hAnsi="Times New Roman" w:cs="Times New Roman"/>
          <w:color w:val="000000"/>
          <w:sz w:val="24"/>
          <w:szCs w:val="24"/>
        </w:rPr>
        <w:t>at</w:t>
      </w:r>
      <w:r w:rsidR="00002CD9" w:rsidRPr="00C958F1">
        <w:rPr>
          <w:rFonts w:ascii="Times New Roman" w:hAnsi="Times New Roman" w:cs="Times New Roman"/>
          <w:color w:val="000000"/>
          <w:sz w:val="24"/>
          <w:szCs w:val="24"/>
        </w:rPr>
        <w:t xml:space="preserve"> cu mai multe provocări critice în sectorul energetic, care au fost accentuate </w:t>
      </w:r>
      <w:bookmarkStart w:id="4" w:name="_Hlk133926064"/>
      <w:r w:rsidR="00002CD9" w:rsidRPr="00C958F1">
        <w:rPr>
          <w:rFonts w:ascii="Times New Roman" w:hAnsi="Times New Roman" w:cs="Times New Roman"/>
          <w:color w:val="000000"/>
          <w:sz w:val="24"/>
          <w:szCs w:val="24"/>
        </w:rPr>
        <w:t xml:space="preserve">de </w:t>
      </w:r>
      <w:r w:rsidR="00B3766F" w:rsidRPr="00C958F1">
        <w:rPr>
          <w:rFonts w:ascii="Times New Roman" w:hAnsi="Times New Roman" w:cs="Times New Roman"/>
          <w:sz w:val="24"/>
          <w:szCs w:val="24"/>
        </w:rPr>
        <w:t>războiul de agresiune al Rusiei împotriva Ucrainei</w:t>
      </w:r>
      <w:bookmarkEnd w:id="4"/>
      <w:r w:rsidR="00002CD9" w:rsidRPr="00C958F1">
        <w:rPr>
          <w:rFonts w:ascii="Times New Roman" w:hAnsi="Times New Roman" w:cs="Times New Roman"/>
          <w:color w:val="000000"/>
          <w:sz w:val="24"/>
          <w:szCs w:val="24"/>
        </w:rPr>
        <w:t xml:space="preserve">. </w:t>
      </w:r>
      <w:bookmarkEnd w:id="3"/>
      <w:r w:rsidR="00002CD9" w:rsidRPr="00C958F1">
        <w:rPr>
          <w:rFonts w:ascii="Times New Roman" w:hAnsi="Times New Roman" w:cs="Times New Roman"/>
          <w:color w:val="000000"/>
          <w:sz w:val="24"/>
          <w:szCs w:val="24"/>
        </w:rPr>
        <w:t>Creșterea economică a țării nu poate fi atinsă dacă aprovizionarea cu resurse energetice principale este supusă unor întreruperi</w:t>
      </w:r>
      <w:r w:rsidR="00391B9D" w:rsidRPr="00C958F1">
        <w:rPr>
          <w:rFonts w:ascii="Times New Roman" w:hAnsi="Times New Roman" w:cs="Times New Roman"/>
          <w:color w:val="000000"/>
          <w:sz w:val="24"/>
          <w:szCs w:val="24"/>
        </w:rPr>
        <w:t>/limitări</w:t>
      </w:r>
      <w:r w:rsidR="00002CD9" w:rsidRPr="00C958F1">
        <w:rPr>
          <w:rFonts w:ascii="Times New Roman" w:hAnsi="Times New Roman" w:cs="Times New Roman"/>
          <w:color w:val="000000"/>
          <w:sz w:val="24"/>
          <w:szCs w:val="24"/>
        </w:rPr>
        <w:t xml:space="preserve"> permanente și dacă prețurile energiei sunt instabile și inaccesibile. </w:t>
      </w:r>
      <w:r w:rsidR="00D97864" w:rsidRPr="00C958F1">
        <w:rPr>
          <w:rFonts w:ascii="Times New Roman" w:hAnsi="Times New Roman" w:cs="Times New Roman"/>
          <w:color w:val="000000"/>
          <w:sz w:val="24"/>
          <w:szCs w:val="24"/>
        </w:rPr>
        <w:t>Această instabilitate conduce la înrăutățirea substanțială a climatului investițional și la scăderea încrederii în economia națională, întrucât predictibilitatea este un factor esențial în luarea deciziilor de investiții. Situația privind aprovizionarea cu resurse energetice a Republicii Moldova este marcată de o dependență semnificativă față de importuri, ceea ce o face vulnerabilă la fluctuațiile pieței energetice internaționale și la evenimentele geopolitice din regiune.</w:t>
      </w:r>
      <w:r w:rsidR="00002CD9" w:rsidRPr="00C958F1">
        <w:rPr>
          <w:rFonts w:ascii="Times New Roman" w:hAnsi="Times New Roman" w:cs="Times New Roman"/>
          <w:color w:val="000000"/>
          <w:sz w:val="24"/>
          <w:szCs w:val="24"/>
          <w:highlight w:val="yellow"/>
        </w:rPr>
        <w:t xml:space="preserve"> </w:t>
      </w:r>
    </w:p>
    <w:p w14:paraId="7124D397" w14:textId="7A72E886" w:rsidR="002B0A68" w:rsidRPr="00C958F1" w:rsidRDefault="005362F5" w:rsidP="00C958F1">
      <w:pPr>
        <w:spacing w:after="60" w:line="276" w:lineRule="auto"/>
        <w:ind w:firstLine="540"/>
        <w:jc w:val="both"/>
        <w:rPr>
          <w:rFonts w:ascii="Times New Roman" w:hAnsi="Times New Roman" w:cs="Times New Roman"/>
          <w:color w:val="000000"/>
          <w:sz w:val="24"/>
          <w:szCs w:val="24"/>
        </w:rPr>
      </w:pPr>
      <w:r w:rsidRPr="00C958F1">
        <w:rPr>
          <w:rFonts w:ascii="Times New Roman" w:hAnsi="Times New Roman" w:cs="Times New Roman"/>
          <w:b/>
          <w:bCs/>
          <w:color w:val="000000"/>
          <w:sz w:val="24"/>
          <w:szCs w:val="24"/>
        </w:rPr>
        <w:t>1</w:t>
      </w:r>
      <w:r w:rsidR="00A94902" w:rsidRPr="00C958F1">
        <w:rPr>
          <w:rFonts w:ascii="Times New Roman" w:hAnsi="Times New Roman" w:cs="Times New Roman"/>
          <w:b/>
          <w:bCs/>
          <w:color w:val="000000"/>
          <w:sz w:val="24"/>
          <w:szCs w:val="24"/>
        </w:rPr>
        <w:t>6</w:t>
      </w:r>
      <w:r w:rsidRPr="00C958F1">
        <w:rPr>
          <w:rFonts w:ascii="Times New Roman" w:hAnsi="Times New Roman" w:cs="Times New Roman"/>
          <w:b/>
          <w:bCs/>
          <w:color w:val="000000"/>
          <w:sz w:val="24"/>
          <w:szCs w:val="24"/>
        </w:rPr>
        <w:t>.</w:t>
      </w:r>
      <w:r w:rsidRPr="00C958F1">
        <w:rPr>
          <w:rFonts w:ascii="Times New Roman" w:hAnsi="Times New Roman" w:cs="Times New Roman"/>
          <w:color w:val="000000"/>
          <w:sz w:val="24"/>
          <w:szCs w:val="24"/>
        </w:rPr>
        <w:t xml:space="preserve"> </w:t>
      </w:r>
      <w:r w:rsidR="00A42EBB" w:rsidRPr="00C958F1">
        <w:rPr>
          <w:rFonts w:ascii="Times New Roman" w:hAnsi="Times New Roman" w:cs="Times New Roman"/>
          <w:color w:val="000000"/>
          <w:sz w:val="24"/>
          <w:szCs w:val="24"/>
        </w:rPr>
        <w:t xml:space="preserve">Republica Moldova este dependentă </w:t>
      </w:r>
      <w:r w:rsidR="00DC23BA" w:rsidRPr="00C958F1">
        <w:rPr>
          <w:rFonts w:ascii="Times New Roman" w:hAnsi="Times New Roman" w:cs="Times New Roman"/>
          <w:color w:val="000000"/>
          <w:sz w:val="24"/>
          <w:szCs w:val="24"/>
        </w:rPr>
        <w:t xml:space="preserve">practic 100% </w:t>
      </w:r>
      <w:r w:rsidR="00A42EBB" w:rsidRPr="00C958F1">
        <w:rPr>
          <w:rFonts w:ascii="Times New Roman" w:hAnsi="Times New Roman" w:cs="Times New Roman"/>
          <w:color w:val="000000"/>
          <w:sz w:val="24"/>
          <w:szCs w:val="24"/>
        </w:rPr>
        <w:t>de importurile de gaze</w:t>
      </w:r>
      <w:r w:rsidR="0009473A" w:rsidRPr="00C958F1">
        <w:rPr>
          <w:rFonts w:ascii="Times New Roman" w:hAnsi="Times New Roman" w:cs="Times New Roman"/>
          <w:color w:val="000000"/>
          <w:sz w:val="24"/>
          <w:szCs w:val="24"/>
        </w:rPr>
        <w:t xml:space="preserve"> naturale</w:t>
      </w:r>
      <w:r w:rsidR="00A42EBB" w:rsidRPr="00C958F1">
        <w:rPr>
          <w:rFonts w:ascii="Times New Roman" w:hAnsi="Times New Roman" w:cs="Times New Roman"/>
          <w:color w:val="000000"/>
          <w:sz w:val="24"/>
          <w:szCs w:val="24"/>
        </w:rPr>
        <w:t xml:space="preserve">. În același timp, Republica Moldova nu dispune de </w:t>
      </w:r>
      <w:r w:rsidR="00244A15" w:rsidRPr="00C958F1">
        <w:rPr>
          <w:rFonts w:ascii="Times New Roman" w:hAnsi="Times New Roman" w:cs="Times New Roman"/>
          <w:color w:val="000000"/>
          <w:sz w:val="24"/>
          <w:szCs w:val="24"/>
        </w:rPr>
        <w:t xml:space="preserve">capacități </w:t>
      </w:r>
      <w:r w:rsidR="00A42EBB" w:rsidRPr="00C958F1">
        <w:rPr>
          <w:rFonts w:ascii="Times New Roman" w:hAnsi="Times New Roman" w:cs="Times New Roman"/>
          <w:color w:val="000000"/>
          <w:sz w:val="24"/>
          <w:szCs w:val="24"/>
        </w:rPr>
        <w:t xml:space="preserve">de stocare a gazelor naturale, </w:t>
      </w:r>
      <w:r w:rsidR="00D85E3C" w:rsidRPr="00C958F1">
        <w:rPr>
          <w:rFonts w:ascii="Times New Roman" w:hAnsi="Times New Roman" w:cs="Times New Roman"/>
          <w:color w:val="000000"/>
          <w:sz w:val="24"/>
          <w:szCs w:val="24"/>
        </w:rPr>
        <w:t>acestea</w:t>
      </w:r>
      <w:r w:rsidR="00A42EBB" w:rsidRPr="00C958F1">
        <w:rPr>
          <w:rFonts w:ascii="Times New Roman" w:hAnsi="Times New Roman" w:cs="Times New Roman"/>
          <w:color w:val="000000"/>
          <w:sz w:val="24"/>
          <w:szCs w:val="24"/>
        </w:rPr>
        <w:t xml:space="preserve"> </w:t>
      </w:r>
      <w:r w:rsidR="0009473A" w:rsidRPr="00C958F1">
        <w:rPr>
          <w:rFonts w:ascii="Times New Roman" w:hAnsi="Times New Roman" w:cs="Times New Roman"/>
          <w:color w:val="000000"/>
          <w:sz w:val="24"/>
          <w:szCs w:val="24"/>
        </w:rPr>
        <w:t>fiind posibil a fi</w:t>
      </w:r>
      <w:r w:rsidR="00A42EBB" w:rsidRPr="00C958F1">
        <w:rPr>
          <w:rFonts w:ascii="Times New Roman" w:hAnsi="Times New Roman" w:cs="Times New Roman"/>
          <w:color w:val="000000"/>
          <w:sz w:val="24"/>
          <w:szCs w:val="24"/>
        </w:rPr>
        <w:t xml:space="preserve"> stocate în statele vecine</w:t>
      </w:r>
      <w:r w:rsidR="0009473A" w:rsidRPr="00C958F1">
        <w:rPr>
          <w:rFonts w:ascii="Times New Roman" w:hAnsi="Times New Roman" w:cs="Times New Roman"/>
          <w:color w:val="000000"/>
          <w:sz w:val="24"/>
          <w:szCs w:val="24"/>
        </w:rPr>
        <w:t xml:space="preserve"> sau în alte țări ce dispun de </w:t>
      </w:r>
      <w:r w:rsidR="00DC23BA" w:rsidRPr="00C958F1">
        <w:rPr>
          <w:rFonts w:ascii="Times New Roman" w:hAnsi="Times New Roman" w:cs="Times New Roman"/>
          <w:color w:val="000000"/>
          <w:sz w:val="24"/>
          <w:szCs w:val="24"/>
        </w:rPr>
        <w:t>instalații</w:t>
      </w:r>
      <w:r w:rsidR="0009473A" w:rsidRPr="00C958F1">
        <w:rPr>
          <w:rFonts w:ascii="Times New Roman" w:hAnsi="Times New Roman" w:cs="Times New Roman"/>
          <w:color w:val="000000"/>
          <w:sz w:val="24"/>
          <w:szCs w:val="24"/>
        </w:rPr>
        <w:t xml:space="preserve"> de stocare</w:t>
      </w:r>
      <w:r w:rsidR="00A42EBB" w:rsidRPr="00C958F1">
        <w:rPr>
          <w:rFonts w:ascii="Times New Roman" w:hAnsi="Times New Roman" w:cs="Times New Roman"/>
          <w:color w:val="000000"/>
          <w:sz w:val="24"/>
          <w:szCs w:val="24"/>
        </w:rPr>
        <w:t xml:space="preserve">. Aprovizionarea și infrastructura de gaze naturale din regiunea transnistreană nu se află sub controlul Guvernului Republicii Moldova. Gazele naturale sunt principala resursă utilizată pentru producerea energiei electrice și termice - ceea ce </w:t>
      </w:r>
      <w:r w:rsidR="00A94AB7" w:rsidRPr="00C958F1">
        <w:rPr>
          <w:rFonts w:ascii="Times New Roman" w:hAnsi="Times New Roman" w:cs="Times New Roman"/>
          <w:color w:val="000000"/>
          <w:sz w:val="24"/>
          <w:szCs w:val="24"/>
        </w:rPr>
        <w:t>amplifică</w:t>
      </w:r>
      <w:r w:rsidR="00A42EBB" w:rsidRPr="00C958F1">
        <w:rPr>
          <w:rFonts w:ascii="Times New Roman" w:hAnsi="Times New Roman" w:cs="Times New Roman"/>
          <w:color w:val="000000"/>
          <w:sz w:val="24"/>
          <w:szCs w:val="24"/>
        </w:rPr>
        <w:t xml:space="preserve"> </w:t>
      </w:r>
      <w:r w:rsidR="00A94AB7" w:rsidRPr="00C958F1">
        <w:rPr>
          <w:rFonts w:ascii="Times New Roman" w:hAnsi="Times New Roman" w:cs="Times New Roman"/>
          <w:color w:val="000000"/>
          <w:sz w:val="24"/>
          <w:szCs w:val="24"/>
        </w:rPr>
        <w:t xml:space="preserve">fluctuația </w:t>
      </w:r>
      <w:r w:rsidR="00A42EBB" w:rsidRPr="00C958F1">
        <w:rPr>
          <w:rFonts w:ascii="Times New Roman" w:hAnsi="Times New Roman" w:cs="Times New Roman"/>
          <w:color w:val="000000"/>
          <w:sz w:val="24"/>
          <w:szCs w:val="24"/>
        </w:rPr>
        <w:t>sezonieră a cererii la nivel de țară.</w:t>
      </w:r>
      <w:bookmarkStart w:id="5" w:name="_Hlk108708477"/>
    </w:p>
    <w:p w14:paraId="7584CC5D" w14:textId="6D04E5F4" w:rsidR="002B0A68" w:rsidRPr="00C958F1" w:rsidRDefault="002B0A68" w:rsidP="00C958F1">
      <w:pPr>
        <w:spacing w:after="60" w:line="276" w:lineRule="auto"/>
        <w:ind w:firstLine="540"/>
        <w:jc w:val="both"/>
        <w:rPr>
          <w:rFonts w:ascii="Times New Roman" w:hAnsi="Times New Roman" w:cs="Times New Roman"/>
          <w:color w:val="000000"/>
          <w:sz w:val="24"/>
          <w:szCs w:val="24"/>
        </w:rPr>
      </w:pPr>
      <w:r w:rsidRPr="00C958F1">
        <w:rPr>
          <w:rFonts w:ascii="Times New Roman" w:hAnsi="Times New Roman" w:cs="Times New Roman"/>
          <w:b/>
          <w:bCs/>
          <w:color w:val="000000"/>
          <w:sz w:val="24"/>
          <w:szCs w:val="24"/>
        </w:rPr>
        <w:t>1</w:t>
      </w:r>
      <w:r w:rsidR="00A94902" w:rsidRPr="00C958F1">
        <w:rPr>
          <w:rFonts w:ascii="Times New Roman" w:hAnsi="Times New Roman" w:cs="Times New Roman"/>
          <w:b/>
          <w:bCs/>
          <w:color w:val="000000"/>
          <w:sz w:val="24"/>
          <w:szCs w:val="24"/>
        </w:rPr>
        <w:t>7</w:t>
      </w:r>
      <w:r w:rsidRPr="00C958F1">
        <w:rPr>
          <w:rFonts w:ascii="Times New Roman" w:hAnsi="Times New Roman" w:cs="Times New Roman"/>
          <w:b/>
          <w:bCs/>
          <w:color w:val="000000"/>
          <w:sz w:val="24"/>
          <w:szCs w:val="24"/>
        </w:rPr>
        <w:t>.</w:t>
      </w:r>
      <w:r w:rsidRPr="00C958F1">
        <w:rPr>
          <w:rFonts w:ascii="Times New Roman" w:hAnsi="Times New Roman" w:cs="Times New Roman"/>
          <w:color w:val="000000"/>
          <w:sz w:val="24"/>
          <w:szCs w:val="24"/>
        </w:rPr>
        <w:t xml:space="preserve"> </w:t>
      </w:r>
      <w:r w:rsidRPr="00C958F1">
        <w:rPr>
          <w:rFonts w:ascii="Times New Roman" w:hAnsi="Times New Roman" w:cs="Times New Roman"/>
          <w:sz w:val="24"/>
          <w:szCs w:val="24"/>
          <w:lang w:eastAsia="ru-RU"/>
        </w:rPr>
        <w:t xml:space="preserve">Consumul de gaze naturale în Republica Moldova este caracterizat de o sezonalitate semnificativă, </w:t>
      </w:r>
      <w:r w:rsidR="00314F0A" w:rsidRPr="00C958F1">
        <w:rPr>
          <w:rFonts w:ascii="Times New Roman" w:hAnsi="Times New Roman" w:cs="Times New Roman"/>
          <w:sz w:val="24"/>
          <w:szCs w:val="24"/>
          <w:lang w:eastAsia="ru-RU"/>
        </w:rPr>
        <w:t xml:space="preserve">acesta </w:t>
      </w:r>
      <w:r w:rsidRPr="00C958F1">
        <w:rPr>
          <w:rFonts w:ascii="Times New Roman" w:hAnsi="Times New Roman" w:cs="Times New Roman"/>
          <w:sz w:val="24"/>
          <w:szCs w:val="24"/>
          <w:lang w:eastAsia="ru-RU"/>
        </w:rPr>
        <w:t xml:space="preserve">în perioada </w:t>
      </w:r>
      <w:r w:rsidR="00314F0A" w:rsidRPr="00C958F1">
        <w:rPr>
          <w:rFonts w:ascii="Times New Roman" w:hAnsi="Times New Roman" w:cs="Times New Roman"/>
          <w:sz w:val="24"/>
          <w:szCs w:val="24"/>
          <w:lang w:eastAsia="ru-RU"/>
        </w:rPr>
        <w:t>rece a anului</w:t>
      </w:r>
      <w:r w:rsidRPr="00C958F1">
        <w:rPr>
          <w:rFonts w:ascii="Times New Roman" w:hAnsi="Times New Roman" w:cs="Times New Roman"/>
          <w:sz w:val="24"/>
          <w:szCs w:val="24"/>
          <w:lang w:eastAsia="ru-RU"/>
        </w:rPr>
        <w:t xml:space="preserve"> (octombrie-aprilie) fiind de câteva ori mai mare față de cel din perioada de vară (mai – septembrie), aproximativ 85% din consumul de gaze </w:t>
      </w:r>
      <w:r w:rsidR="00DE6F9C" w:rsidRPr="00C958F1">
        <w:rPr>
          <w:rFonts w:ascii="Times New Roman" w:hAnsi="Times New Roman" w:cs="Times New Roman"/>
          <w:sz w:val="24"/>
          <w:szCs w:val="24"/>
          <w:lang w:eastAsia="ru-RU"/>
        </w:rPr>
        <w:t xml:space="preserve">naturale </w:t>
      </w:r>
      <w:r w:rsidRPr="00C958F1">
        <w:rPr>
          <w:rFonts w:ascii="Times New Roman" w:hAnsi="Times New Roman" w:cs="Times New Roman"/>
          <w:sz w:val="24"/>
          <w:szCs w:val="24"/>
          <w:lang w:eastAsia="ru-RU"/>
        </w:rPr>
        <w:t xml:space="preserve">fiind înregistrat în perioada </w:t>
      </w:r>
      <w:r w:rsidR="001F0FAD" w:rsidRPr="00C958F1">
        <w:rPr>
          <w:rFonts w:ascii="Times New Roman" w:hAnsi="Times New Roman" w:cs="Times New Roman"/>
          <w:sz w:val="24"/>
          <w:szCs w:val="24"/>
          <w:lang w:eastAsia="ru-RU"/>
        </w:rPr>
        <w:t>rece a anului</w:t>
      </w:r>
      <w:r w:rsidRPr="00C958F1">
        <w:rPr>
          <w:rFonts w:ascii="Times New Roman" w:hAnsi="Times New Roman" w:cs="Times New Roman"/>
          <w:sz w:val="24"/>
          <w:szCs w:val="24"/>
          <w:lang w:eastAsia="ru-RU"/>
        </w:rPr>
        <w:t>.</w:t>
      </w:r>
    </w:p>
    <w:p w14:paraId="08675FDB" w14:textId="643B9E0B" w:rsidR="002B0A68" w:rsidRPr="00C958F1" w:rsidRDefault="002B0A68" w:rsidP="00C958F1">
      <w:pPr>
        <w:autoSpaceDE w:val="0"/>
        <w:autoSpaceDN w:val="0"/>
        <w:adjustRightInd w:val="0"/>
        <w:spacing w:after="60" w:line="276" w:lineRule="auto"/>
        <w:ind w:firstLine="567"/>
        <w:jc w:val="both"/>
        <w:rPr>
          <w:rFonts w:ascii="Times New Roman" w:hAnsi="Times New Roman" w:cs="Times New Roman"/>
          <w:bCs/>
          <w:iCs/>
          <w:sz w:val="24"/>
          <w:szCs w:val="24"/>
          <w:lang w:eastAsia="ru-RU"/>
        </w:rPr>
      </w:pPr>
      <w:r w:rsidRPr="00C958F1">
        <w:rPr>
          <w:rFonts w:ascii="Times New Roman" w:hAnsi="Times New Roman" w:cs="Times New Roman"/>
          <w:b/>
          <w:bCs/>
          <w:iCs/>
          <w:sz w:val="24"/>
          <w:szCs w:val="24"/>
          <w:lang w:eastAsia="ru-RU"/>
        </w:rPr>
        <w:t>1</w:t>
      </w:r>
      <w:r w:rsidR="00A94902" w:rsidRPr="00C958F1">
        <w:rPr>
          <w:rFonts w:ascii="Times New Roman" w:hAnsi="Times New Roman" w:cs="Times New Roman"/>
          <w:b/>
          <w:bCs/>
          <w:iCs/>
          <w:sz w:val="24"/>
          <w:szCs w:val="24"/>
          <w:lang w:eastAsia="ru-RU"/>
        </w:rPr>
        <w:t>8</w:t>
      </w:r>
      <w:r w:rsidRPr="00C958F1">
        <w:rPr>
          <w:rFonts w:ascii="Times New Roman" w:hAnsi="Times New Roman" w:cs="Times New Roman"/>
          <w:b/>
          <w:bCs/>
          <w:iCs/>
          <w:sz w:val="24"/>
          <w:szCs w:val="24"/>
          <w:lang w:eastAsia="ru-RU"/>
        </w:rPr>
        <w:t>.</w:t>
      </w:r>
      <w:r w:rsidRPr="00C958F1">
        <w:rPr>
          <w:rFonts w:ascii="Times New Roman" w:hAnsi="Times New Roman" w:cs="Times New Roman"/>
          <w:iCs/>
          <w:sz w:val="24"/>
          <w:szCs w:val="24"/>
          <w:lang w:eastAsia="ru-RU"/>
        </w:rPr>
        <w:t xml:space="preserve"> În perioadele de tranziție toamnă-primăvară, cererea de gaze naturale poate crește brusc sau poate scădea în mod imprevizibil, </w:t>
      </w:r>
      <w:r w:rsidR="00DE6F9C" w:rsidRPr="00C958F1">
        <w:rPr>
          <w:rFonts w:ascii="Times New Roman" w:hAnsi="Times New Roman" w:cs="Times New Roman"/>
          <w:iCs/>
          <w:sz w:val="24"/>
          <w:szCs w:val="24"/>
          <w:lang w:eastAsia="ru-RU"/>
        </w:rPr>
        <w:t>în funcție de</w:t>
      </w:r>
      <w:r w:rsidRPr="00C958F1">
        <w:rPr>
          <w:rFonts w:ascii="Times New Roman" w:hAnsi="Times New Roman" w:cs="Times New Roman"/>
          <w:iCs/>
          <w:sz w:val="24"/>
          <w:szCs w:val="24"/>
          <w:lang w:eastAsia="ru-RU"/>
        </w:rPr>
        <w:t xml:space="preserve"> temperatura aerului</w:t>
      </w:r>
      <w:r w:rsidR="00DE6F9C" w:rsidRPr="00C958F1">
        <w:rPr>
          <w:rFonts w:ascii="Times New Roman" w:hAnsi="Times New Roman" w:cs="Times New Roman"/>
          <w:iCs/>
          <w:sz w:val="24"/>
          <w:szCs w:val="24"/>
          <w:lang w:eastAsia="ru-RU"/>
        </w:rPr>
        <w:t xml:space="preserve"> atmosferic</w:t>
      </w:r>
      <w:r w:rsidRPr="00C958F1">
        <w:rPr>
          <w:rFonts w:ascii="Times New Roman" w:hAnsi="Times New Roman" w:cs="Times New Roman"/>
          <w:iCs/>
          <w:sz w:val="24"/>
          <w:szCs w:val="24"/>
          <w:lang w:eastAsia="ru-RU"/>
        </w:rPr>
        <w:t xml:space="preserve">, ceea ce </w:t>
      </w:r>
      <w:r w:rsidR="000F61E2" w:rsidRPr="00C958F1">
        <w:rPr>
          <w:rFonts w:ascii="Times New Roman" w:hAnsi="Times New Roman" w:cs="Times New Roman"/>
          <w:iCs/>
          <w:sz w:val="24"/>
          <w:szCs w:val="24"/>
          <w:lang w:eastAsia="ru-RU"/>
        </w:rPr>
        <w:t>con</w:t>
      </w:r>
      <w:r w:rsidRPr="00C958F1">
        <w:rPr>
          <w:rFonts w:ascii="Times New Roman" w:hAnsi="Times New Roman" w:cs="Times New Roman"/>
          <w:iCs/>
          <w:sz w:val="24"/>
          <w:szCs w:val="24"/>
          <w:lang w:eastAsia="ru-RU"/>
        </w:rPr>
        <w:t>duce la fluctuații bruște ale consumului pe parcursul lunii.</w:t>
      </w:r>
    </w:p>
    <w:p w14:paraId="00D4F6F4" w14:textId="738F6C2A" w:rsidR="002B0A68" w:rsidRPr="00C958F1" w:rsidRDefault="002B0A68" w:rsidP="00C958F1">
      <w:pPr>
        <w:autoSpaceDE w:val="0"/>
        <w:autoSpaceDN w:val="0"/>
        <w:adjustRightInd w:val="0"/>
        <w:spacing w:after="60" w:line="276" w:lineRule="auto"/>
        <w:jc w:val="both"/>
        <w:rPr>
          <w:rFonts w:ascii="Times New Roman" w:hAnsi="Times New Roman" w:cs="Times New Roman"/>
          <w:iCs/>
          <w:sz w:val="24"/>
          <w:szCs w:val="24"/>
          <w:lang w:eastAsia="ru-RU"/>
        </w:rPr>
      </w:pPr>
      <w:r w:rsidRPr="00C958F1">
        <w:rPr>
          <w:rFonts w:ascii="Times New Roman" w:hAnsi="Times New Roman" w:cs="Times New Roman"/>
          <w:iCs/>
          <w:sz w:val="24"/>
          <w:szCs w:val="24"/>
          <w:lang w:eastAsia="ru-RU"/>
        </w:rPr>
        <w:t xml:space="preserve">Prin urmare, mecanismul oportun de echilibrare a consumului de gaze </w:t>
      </w:r>
      <w:r w:rsidR="00DE6F9C" w:rsidRPr="00C958F1">
        <w:rPr>
          <w:rFonts w:ascii="Times New Roman" w:hAnsi="Times New Roman" w:cs="Times New Roman"/>
          <w:iCs/>
          <w:sz w:val="24"/>
          <w:szCs w:val="24"/>
          <w:lang w:eastAsia="ru-RU"/>
        </w:rPr>
        <w:t xml:space="preserve">naturale </w:t>
      </w:r>
      <w:r w:rsidRPr="00C958F1">
        <w:rPr>
          <w:rFonts w:ascii="Times New Roman" w:hAnsi="Times New Roman" w:cs="Times New Roman"/>
          <w:iCs/>
          <w:sz w:val="24"/>
          <w:szCs w:val="24"/>
          <w:lang w:eastAsia="ru-RU"/>
        </w:rPr>
        <w:t xml:space="preserve">pentru furnizorii de gaze naturale îl constituie dispunerea de cantități de gaze naturale </w:t>
      </w:r>
      <w:r w:rsidR="00DA771E" w:rsidRPr="00C958F1">
        <w:rPr>
          <w:rFonts w:ascii="Times New Roman" w:hAnsi="Times New Roman" w:cs="Times New Roman"/>
          <w:iCs/>
          <w:sz w:val="24"/>
          <w:szCs w:val="24"/>
          <w:lang w:eastAsia="ru-RU"/>
        </w:rPr>
        <w:t>stocate</w:t>
      </w:r>
      <w:r w:rsidRPr="00C958F1">
        <w:rPr>
          <w:rFonts w:ascii="Times New Roman" w:hAnsi="Times New Roman" w:cs="Times New Roman"/>
          <w:iCs/>
          <w:sz w:val="24"/>
          <w:szCs w:val="24"/>
          <w:lang w:eastAsia="ru-RU"/>
        </w:rPr>
        <w:t xml:space="preserve"> în instalații de stocare din regiune, care ar permite acoperirea vârfurilor de consum prin prelevarea volumelor necesare zilnic.</w:t>
      </w:r>
    </w:p>
    <w:p w14:paraId="0512B06E" w14:textId="5ACDA310" w:rsidR="002B0A68" w:rsidRPr="00C958F1" w:rsidRDefault="0035326F" w:rsidP="00C958F1">
      <w:pPr>
        <w:autoSpaceDE w:val="0"/>
        <w:autoSpaceDN w:val="0"/>
        <w:adjustRightInd w:val="0"/>
        <w:spacing w:after="60" w:line="276" w:lineRule="auto"/>
        <w:jc w:val="both"/>
        <w:rPr>
          <w:rFonts w:ascii="Times New Roman" w:hAnsi="Times New Roman" w:cs="Times New Roman"/>
          <w:iCs/>
          <w:sz w:val="24"/>
          <w:szCs w:val="24"/>
          <w:lang w:eastAsia="ru-RU"/>
        </w:rPr>
      </w:pPr>
      <w:r w:rsidRPr="00C958F1">
        <w:rPr>
          <w:rFonts w:ascii="Times New Roman" w:hAnsi="Times New Roman" w:cs="Times New Roman"/>
          <w:iCs/>
          <w:sz w:val="24"/>
          <w:szCs w:val="24"/>
          <w:lang w:eastAsia="ru-RU"/>
        </w:rPr>
        <w:t>În contextul tensiunilor crescute din Orientul Mijlociu</w:t>
      </w:r>
      <w:r w:rsidR="006B7A1A" w:rsidRPr="00C958F1">
        <w:rPr>
          <w:rFonts w:ascii="Times New Roman" w:hAnsi="Times New Roman" w:cs="Times New Roman"/>
          <w:iCs/>
          <w:sz w:val="24"/>
          <w:szCs w:val="24"/>
          <w:lang w:eastAsia="ru-RU"/>
        </w:rPr>
        <w:t xml:space="preserve">, </w:t>
      </w:r>
      <w:r w:rsidR="002B0A68" w:rsidRPr="00C958F1">
        <w:rPr>
          <w:rFonts w:ascii="Times New Roman" w:hAnsi="Times New Roman" w:cs="Times New Roman"/>
          <w:iCs/>
          <w:sz w:val="24"/>
          <w:szCs w:val="24"/>
          <w:lang w:eastAsia="ru-RU"/>
        </w:rPr>
        <w:t>instabilității geopolitice în regiune, conflictul</w:t>
      </w:r>
      <w:r w:rsidR="00921354" w:rsidRPr="00C958F1">
        <w:rPr>
          <w:rFonts w:ascii="Times New Roman" w:hAnsi="Times New Roman" w:cs="Times New Roman"/>
          <w:iCs/>
          <w:sz w:val="24"/>
          <w:szCs w:val="24"/>
          <w:lang w:eastAsia="ru-RU"/>
        </w:rPr>
        <w:t>ui</w:t>
      </w:r>
      <w:r w:rsidR="002B0A68" w:rsidRPr="00C958F1">
        <w:rPr>
          <w:rFonts w:ascii="Times New Roman" w:hAnsi="Times New Roman" w:cs="Times New Roman"/>
          <w:iCs/>
          <w:sz w:val="24"/>
          <w:szCs w:val="24"/>
          <w:lang w:eastAsia="ru-RU"/>
        </w:rPr>
        <w:t xml:space="preserve"> din Ucraina și posibilele restricții asupra exporturilor de gaze naturale </w:t>
      </w:r>
      <w:r w:rsidR="002F33BA" w:rsidRPr="00C958F1">
        <w:rPr>
          <w:rFonts w:ascii="Times New Roman" w:hAnsi="Times New Roman" w:cs="Times New Roman"/>
          <w:iCs/>
          <w:sz w:val="24"/>
          <w:szCs w:val="24"/>
          <w:lang w:eastAsia="ru-RU"/>
        </w:rPr>
        <w:t>importate din Rusia</w:t>
      </w:r>
      <w:r w:rsidR="002B0A68" w:rsidRPr="00C958F1">
        <w:rPr>
          <w:rFonts w:ascii="Times New Roman" w:hAnsi="Times New Roman" w:cs="Times New Roman"/>
          <w:iCs/>
          <w:sz w:val="24"/>
          <w:szCs w:val="24"/>
          <w:lang w:eastAsia="ru-RU"/>
        </w:rPr>
        <w:t xml:space="preserve"> ce contribuie la o volatilitate ridicată a pieței, strategia de achiziție și gestionare a stocurilor furnizorilor de gaze naturale devine crucială pentru atenuarea impactului creșterilor de preț.</w:t>
      </w:r>
    </w:p>
    <w:p w14:paraId="76A3F729" w14:textId="6670ACA7" w:rsidR="00E85DC6" w:rsidRPr="00C958F1" w:rsidRDefault="00A94902" w:rsidP="00C958F1">
      <w:pPr>
        <w:spacing w:after="60" w:line="276" w:lineRule="auto"/>
        <w:ind w:firstLine="540"/>
        <w:jc w:val="both"/>
        <w:rPr>
          <w:rFonts w:ascii="Times New Roman" w:hAnsi="Times New Roman" w:cs="Times New Roman"/>
          <w:sz w:val="24"/>
          <w:szCs w:val="24"/>
        </w:rPr>
      </w:pPr>
      <w:r w:rsidRPr="00C958F1">
        <w:rPr>
          <w:rFonts w:ascii="Times New Roman" w:hAnsi="Times New Roman" w:cs="Times New Roman"/>
          <w:b/>
          <w:bCs/>
          <w:sz w:val="24"/>
          <w:szCs w:val="24"/>
        </w:rPr>
        <w:t>19</w:t>
      </w:r>
      <w:r w:rsidR="005362F5" w:rsidRPr="00C958F1">
        <w:rPr>
          <w:rFonts w:ascii="Times New Roman" w:hAnsi="Times New Roman" w:cs="Times New Roman"/>
          <w:b/>
          <w:bCs/>
          <w:sz w:val="24"/>
          <w:szCs w:val="24"/>
        </w:rPr>
        <w:t>.</w:t>
      </w:r>
      <w:r w:rsidR="005362F5" w:rsidRPr="00C958F1">
        <w:rPr>
          <w:rFonts w:ascii="Times New Roman" w:hAnsi="Times New Roman" w:cs="Times New Roman"/>
          <w:sz w:val="24"/>
          <w:szCs w:val="24"/>
        </w:rPr>
        <w:t xml:space="preserve"> </w:t>
      </w:r>
      <w:r w:rsidR="00E85DC6" w:rsidRPr="00C958F1">
        <w:rPr>
          <w:rFonts w:ascii="Times New Roman" w:hAnsi="Times New Roman" w:cs="Times New Roman"/>
          <w:sz w:val="24"/>
          <w:szCs w:val="24"/>
        </w:rPr>
        <w:t>La data de 29 octombrie 2021, printr-un acord adițional, Contractul privind furnizarea gazelor naturale nr. 1ГM-07-11 din 29 decembrie 2006 încheiat între SA „Moldovagaz” și SAP „Gazprom” a fost prelungit pentru o perioadă de 5 ani, până la 30 septembrie 2026</w:t>
      </w:r>
      <w:r w:rsidR="00A42EBB" w:rsidRPr="00C958F1">
        <w:rPr>
          <w:rFonts w:ascii="Times New Roman" w:hAnsi="Times New Roman" w:cs="Times New Roman"/>
          <w:sz w:val="24"/>
          <w:szCs w:val="24"/>
        </w:rPr>
        <w:t>.</w:t>
      </w:r>
      <w:r w:rsidR="00A42EBB" w:rsidRPr="00C958F1">
        <w:rPr>
          <w:rFonts w:ascii="Times New Roman" w:hAnsi="Times New Roman" w:cs="Times New Roman"/>
          <w:color w:val="000000"/>
          <w:sz w:val="24"/>
          <w:szCs w:val="24"/>
        </w:rPr>
        <w:t xml:space="preserve"> </w:t>
      </w:r>
      <w:bookmarkEnd w:id="5"/>
      <w:r w:rsidR="00371427" w:rsidRPr="00C958F1">
        <w:rPr>
          <w:rFonts w:ascii="Times New Roman" w:hAnsi="Times New Roman" w:cs="Times New Roman"/>
          <w:color w:val="000000"/>
          <w:sz w:val="24"/>
          <w:szCs w:val="24"/>
        </w:rPr>
        <w:t xml:space="preserve">Cantitatea livrată prin acest contract a fost limitată de </w:t>
      </w:r>
      <w:r w:rsidR="00371427" w:rsidRPr="00C958F1">
        <w:rPr>
          <w:rFonts w:ascii="Times New Roman" w:hAnsi="Times New Roman" w:cs="Times New Roman"/>
          <w:sz w:val="24"/>
          <w:szCs w:val="24"/>
        </w:rPr>
        <w:t>SAP „Gazprom”</w:t>
      </w:r>
      <w:r w:rsidR="00371427" w:rsidRPr="00C958F1">
        <w:rPr>
          <w:rFonts w:ascii="Times New Roman" w:hAnsi="Times New Roman" w:cs="Times New Roman"/>
          <w:color w:val="000000"/>
          <w:sz w:val="24"/>
          <w:szCs w:val="24"/>
        </w:rPr>
        <w:t xml:space="preserve"> la 5,7 mil. m</w:t>
      </w:r>
      <w:r w:rsidR="00371427" w:rsidRPr="00C958F1">
        <w:rPr>
          <w:rFonts w:ascii="Times New Roman" w:hAnsi="Times New Roman" w:cs="Times New Roman"/>
          <w:color w:val="000000"/>
          <w:sz w:val="24"/>
          <w:szCs w:val="24"/>
          <w:vertAlign w:val="superscript"/>
        </w:rPr>
        <w:t>3</w:t>
      </w:r>
      <w:r w:rsidR="00371427" w:rsidRPr="00C958F1">
        <w:rPr>
          <w:rFonts w:ascii="Times New Roman" w:hAnsi="Times New Roman" w:cs="Times New Roman"/>
          <w:color w:val="000000"/>
          <w:sz w:val="24"/>
          <w:szCs w:val="24"/>
        </w:rPr>
        <w:t>/zi începând cu octombrie 2022. Începând cu luna decembrie 2022, întreg volumul de gaze naturale, de 5,7 mil. m</w:t>
      </w:r>
      <w:r w:rsidR="00371427" w:rsidRPr="00C958F1">
        <w:rPr>
          <w:rFonts w:ascii="Times New Roman" w:hAnsi="Times New Roman" w:cs="Times New Roman"/>
          <w:color w:val="000000"/>
          <w:sz w:val="24"/>
          <w:szCs w:val="24"/>
          <w:vertAlign w:val="superscript"/>
        </w:rPr>
        <w:t>3</w:t>
      </w:r>
      <w:r w:rsidR="00371427" w:rsidRPr="00C958F1">
        <w:rPr>
          <w:rFonts w:ascii="Times New Roman" w:hAnsi="Times New Roman" w:cs="Times New Roman"/>
          <w:color w:val="000000"/>
          <w:sz w:val="24"/>
          <w:szCs w:val="24"/>
        </w:rPr>
        <w:t xml:space="preserve">/zi, livrat către Republica Moldova de SAP „Gazprom” a fost alocat pentru acoperirea consumului </w:t>
      </w:r>
      <w:r w:rsidR="00523288">
        <w:rPr>
          <w:rFonts w:ascii="Times New Roman" w:hAnsi="Times New Roman" w:cs="Times New Roman"/>
          <w:color w:val="000000"/>
          <w:sz w:val="24"/>
          <w:szCs w:val="24"/>
        </w:rPr>
        <w:t xml:space="preserve">regiunii transnistrene </w:t>
      </w:r>
      <w:r w:rsidR="00371427" w:rsidRPr="00C958F1">
        <w:rPr>
          <w:rFonts w:ascii="Times New Roman" w:hAnsi="Times New Roman" w:cs="Times New Roman"/>
          <w:color w:val="000000"/>
          <w:sz w:val="24"/>
          <w:szCs w:val="24"/>
        </w:rPr>
        <w:t>și pentru producerea energiei electrice de către Centrala Termoelectrică de la Cuciurgan (în continuare – MGRES) pentru malul drept</w:t>
      </w:r>
      <w:r w:rsidR="00E85DC6" w:rsidRPr="00C958F1">
        <w:rPr>
          <w:rFonts w:ascii="Times New Roman" w:hAnsi="Times New Roman" w:cs="Times New Roman"/>
          <w:sz w:val="24"/>
          <w:szCs w:val="24"/>
        </w:rPr>
        <w:t xml:space="preserve"> al râului Nistru</w:t>
      </w:r>
      <w:r w:rsidR="00371427" w:rsidRPr="00C958F1">
        <w:rPr>
          <w:rFonts w:ascii="Times New Roman" w:hAnsi="Times New Roman" w:cs="Times New Roman"/>
          <w:color w:val="000000"/>
          <w:sz w:val="24"/>
          <w:szCs w:val="24"/>
        </w:rPr>
        <w:t>.</w:t>
      </w:r>
    </w:p>
    <w:p w14:paraId="30D982A0" w14:textId="4381D94A" w:rsidR="001F0FAD" w:rsidRPr="00C958F1" w:rsidRDefault="006A1540" w:rsidP="00C958F1">
      <w:pPr>
        <w:spacing w:after="60" w:line="276" w:lineRule="auto"/>
        <w:ind w:firstLine="540"/>
        <w:jc w:val="both"/>
        <w:rPr>
          <w:rFonts w:ascii="Times New Roman" w:hAnsi="Times New Roman" w:cs="Times New Roman"/>
          <w:sz w:val="24"/>
          <w:szCs w:val="24"/>
        </w:rPr>
      </w:pPr>
      <w:r w:rsidRPr="00C958F1">
        <w:rPr>
          <w:rFonts w:ascii="Times New Roman" w:hAnsi="Times New Roman" w:cs="Times New Roman"/>
          <w:b/>
          <w:bCs/>
          <w:sz w:val="24"/>
          <w:szCs w:val="24"/>
        </w:rPr>
        <w:lastRenderedPageBreak/>
        <w:t>2</w:t>
      </w:r>
      <w:r w:rsidR="00A94902" w:rsidRPr="00C958F1">
        <w:rPr>
          <w:rFonts w:ascii="Times New Roman" w:hAnsi="Times New Roman" w:cs="Times New Roman"/>
          <w:b/>
          <w:bCs/>
          <w:sz w:val="24"/>
          <w:szCs w:val="24"/>
        </w:rPr>
        <w:t>0</w:t>
      </w:r>
      <w:r w:rsidR="00E85DC6" w:rsidRPr="00C958F1">
        <w:rPr>
          <w:rFonts w:ascii="Times New Roman" w:hAnsi="Times New Roman" w:cs="Times New Roman"/>
          <w:b/>
          <w:bCs/>
          <w:sz w:val="24"/>
          <w:szCs w:val="24"/>
        </w:rPr>
        <w:t>.</w:t>
      </w:r>
      <w:r w:rsidR="00E85DC6" w:rsidRPr="00C958F1">
        <w:rPr>
          <w:rFonts w:ascii="Times New Roman" w:hAnsi="Times New Roman" w:cs="Times New Roman"/>
          <w:sz w:val="24"/>
          <w:szCs w:val="24"/>
        </w:rPr>
        <w:t xml:space="preserve"> Începând cu luna aprilie 2024, SA ,,Moldovagaz” organiz</w:t>
      </w:r>
      <w:r w:rsidR="00314F0A" w:rsidRPr="00C958F1">
        <w:rPr>
          <w:rFonts w:ascii="Times New Roman" w:hAnsi="Times New Roman" w:cs="Times New Roman"/>
          <w:sz w:val="24"/>
          <w:szCs w:val="24"/>
        </w:rPr>
        <w:t>a</w:t>
      </w:r>
      <w:r w:rsidR="00E85DC6" w:rsidRPr="00C958F1">
        <w:rPr>
          <w:rFonts w:ascii="Times New Roman" w:hAnsi="Times New Roman" w:cs="Times New Roman"/>
          <w:sz w:val="24"/>
          <w:szCs w:val="24"/>
        </w:rPr>
        <w:t xml:space="preserve"> licitații lunare pentru a cumpăra volumele de gaze naturale necesare consumatorilor săi. SA ,,Energocom” este unul dintre participanții la licitațiile organizate pe piața angro a gazelor naturale din Republica Moldova. </w:t>
      </w:r>
    </w:p>
    <w:p w14:paraId="6CFE00CC" w14:textId="0B9C7829" w:rsidR="00A61DDB" w:rsidRPr="00C958F1" w:rsidRDefault="00E85DC6" w:rsidP="00C958F1">
      <w:pPr>
        <w:spacing w:after="60" w:line="276" w:lineRule="auto"/>
        <w:jc w:val="both"/>
        <w:rPr>
          <w:rFonts w:ascii="Times New Roman" w:hAnsi="Times New Roman" w:cs="Times New Roman"/>
          <w:sz w:val="24"/>
          <w:szCs w:val="24"/>
        </w:rPr>
      </w:pPr>
      <w:r w:rsidRPr="00C958F1">
        <w:rPr>
          <w:rFonts w:ascii="Times New Roman" w:hAnsi="Times New Roman" w:cs="Times New Roman"/>
          <w:sz w:val="24"/>
          <w:szCs w:val="24"/>
        </w:rPr>
        <w:t>În timp ce malul drept</w:t>
      </w:r>
      <w:r w:rsidR="00DE6DA3" w:rsidRPr="00C958F1">
        <w:rPr>
          <w:rFonts w:ascii="Times New Roman" w:hAnsi="Times New Roman" w:cs="Times New Roman"/>
          <w:sz w:val="24"/>
          <w:szCs w:val="24"/>
        </w:rPr>
        <w:t xml:space="preserve"> </w:t>
      </w:r>
      <w:r w:rsidR="00523288" w:rsidRPr="00C958F1">
        <w:rPr>
          <w:rFonts w:ascii="Times New Roman" w:hAnsi="Times New Roman" w:cs="Times New Roman"/>
          <w:sz w:val="24"/>
          <w:szCs w:val="24"/>
        </w:rPr>
        <w:t>al râului Nistru</w:t>
      </w:r>
      <w:r w:rsidR="00523288">
        <w:rPr>
          <w:rFonts w:ascii="Times New Roman" w:hAnsi="Times New Roman" w:cs="Times New Roman"/>
          <w:sz w:val="24"/>
          <w:szCs w:val="24"/>
        </w:rPr>
        <w:t xml:space="preserve"> </w:t>
      </w:r>
      <w:r w:rsidRPr="00C958F1">
        <w:rPr>
          <w:rFonts w:ascii="Times New Roman" w:hAnsi="Times New Roman" w:cs="Times New Roman"/>
          <w:sz w:val="24"/>
          <w:szCs w:val="24"/>
        </w:rPr>
        <w:t xml:space="preserve">și-a asigurat securitatea aprovizionării cu gaze naturale și liberalizarea treptată a pieței, consumatorii </w:t>
      </w:r>
      <w:r w:rsidR="00523288">
        <w:rPr>
          <w:rFonts w:ascii="Times New Roman" w:hAnsi="Times New Roman" w:cs="Times New Roman"/>
          <w:sz w:val="24"/>
          <w:szCs w:val="24"/>
        </w:rPr>
        <w:t>din regiunea transnistreană</w:t>
      </w:r>
      <w:r w:rsidRPr="00C958F1">
        <w:rPr>
          <w:rFonts w:ascii="Times New Roman" w:hAnsi="Times New Roman" w:cs="Times New Roman"/>
          <w:sz w:val="24"/>
          <w:szCs w:val="24"/>
        </w:rPr>
        <w:t xml:space="preserve">, până la data de 1 ianuarie 2025 erau dependenți de o singură sursă de import – SAP „Gazprom”, care se baza strict pe Contractul privind furnizarea gazelor naturale încheiat între SA „Moldovagaz” și SAP „Gazprom”. </w:t>
      </w:r>
      <w:r w:rsidR="00A61DDB" w:rsidRPr="00C958F1">
        <w:rPr>
          <w:rFonts w:ascii="Times New Roman" w:hAnsi="Times New Roman" w:cs="Times New Roman"/>
          <w:color w:val="000000"/>
          <w:sz w:val="24"/>
          <w:szCs w:val="24"/>
        </w:rPr>
        <w:t xml:space="preserve">Cu toate că, </w:t>
      </w:r>
      <w:r w:rsidRPr="00C958F1">
        <w:rPr>
          <w:rFonts w:ascii="Times New Roman" w:hAnsi="Times New Roman" w:cs="Times New Roman"/>
          <w:color w:val="000000"/>
          <w:sz w:val="24"/>
          <w:szCs w:val="24"/>
        </w:rPr>
        <w:t>C</w:t>
      </w:r>
      <w:r w:rsidR="00A61DDB" w:rsidRPr="00C958F1">
        <w:rPr>
          <w:rFonts w:ascii="Times New Roman" w:hAnsi="Times New Roman" w:cs="Times New Roman"/>
          <w:color w:val="000000"/>
          <w:sz w:val="24"/>
          <w:szCs w:val="24"/>
        </w:rPr>
        <w:t xml:space="preserve">ontractul </w:t>
      </w:r>
      <w:r w:rsidR="001F0FAD" w:rsidRPr="00C958F1">
        <w:rPr>
          <w:rFonts w:ascii="Times New Roman" w:hAnsi="Times New Roman" w:cs="Times New Roman"/>
          <w:color w:val="000000"/>
          <w:sz w:val="24"/>
          <w:szCs w:val="24"/>
        </w:rPr>
        <w:t xml:space="preserve">respectiv </w:t>
      </w:r>
      <w:r w:rsidR="00A61DDB" w:rsidRPr="00C958F1">
        <w:rPr>
          <w:rFonts w:ascii="Times New Roman" w:hAnsi="Times New Roman" w:cs="Times New Roman"/>
          <w:color w:val="000000"/>
          <w:sz w:val="24"/>
          <w:szCs w:val="24"/>
        </w:rPr>
        <w:t xml:space="preserve">privind furnizarea gazelor naturale este în vigoare până la 30 septembrie 2026, </w:t>
      </w:r>
      <w:r w:rsidRPr="00C958F1">
        <w:rPr>
          <w:rFonts w:ascii="Times New Roman" w:hAnsi="Times New Roman" w:cs="Times New Roman"/>
          <w:color w:val="000000"/>
          <w:sz w:val="24"/>
          <w:szCs w:val="24"/>
        </w:rPr>
        <w:t xml:space="preserve">la 28 decembrie 2024 </w:t>
      </w:r>
      <w:r w:rsidR="00314F0A" w:rsidRPr="00C958F1">
        <w:rPr>
          <w:rFonts w:ascii="Times New Roman" w:hAnsi="Times New Roman" w:cs="Times New Roman"/>
          <w:color w:val="000000"/>
          <w:sz w:val="24"/>
          <w:szCs w:val="24"/>
        </w:rPr>
        <w:br/>
      </w:r>
      <w:r w:rsidR="00A61DDB" w:rsidRPr="00C958F1">
        <w:rPr>
          <w:rFonts w:ascii="Times New Roman" w:hAnsi="Times New Roman" w:cs="Times New Roman"/>
          <w:color w:val="000000"/>
          <w:sz w:val="24"/>
          <w:szCs w:val="24"/>
        </w:rPr>
        <w:t>SAP „Gazprom” a informat SA „Moldovagaz” despre decizia sa de a sista livrarea gazelor naturale către regiunea transnistreană începând cu 1 ianuarie 2025 până la o notificare contrară a SAP „Gazprom” aferentă reluării livrărilor, fără a specifica expres orice intenții de a relua ulterior livrările de gaze naturale sau de a rezilia Contractul respectiv privind furnizarea gazelor naturale.</w:t>
      </w:r>
    </w:p>
    <w:p w14:paraId="1BD0DA1A" w14:textId="48469D7D" w:rsidR="00DC23BA" w:rsidRPr="00C958F1" w:rsidRDefault="006A1540" w:rsidP="00C958F1">
      <w:pPr>
        <w:spacing w:after="60" w:line="276" w:lineRule="auto"/>
        <w:ind w:firstLine="567"/>
        <w:jc w:val="both"/>
        <w:rPr>
          <w:rFonts w:ascii="Times New Roman" w:hAnsi="Times New Roman" w:cs="Times New Roman"/>
          <w:sz w:val="24"/>
          <w:szCs w:val="24"/>
        </w:rPr>
      </w:pPr>
      <w:bookmarkStart w:id="6" w:name="_Hlk108708435"/>
      <w:r w:rsidRPr="00C958F1">
        <w:rPr>
          <w:rFonts w:ascii="Times New Roman" w:hAnsi="Times New Roman" w:cs="Times New Roman"/>
          <w:b/>
          <w:bCs/>
          <w:color w:val="000000"/>
          <w:sz w:val="24"/>
          <w:szCs w:val="24"/>
        </w:rPr>
        <w:t>2</w:t>
      </w:r>
      <w:r w:rsidR="00A94902" w:rsidRPr="00C958F1">
        <w:rPr>
          <w:rFonts w:ascii="Times New Roman" w:hAnsi="Times New Roman" w:cs="Times New Roman"/>
          <w:b/>
          <w:bCs/>
          <w:color w:val="000000"/>
          <w:sz w:val="24"/>
          <w:szCs w:val="24"/>
        </w:rPr>
        <w:t>1</w:t>
      </w:r>
      <w:r w:rsidR="005362F5" w:rsidRPr="00C958F1">
        <w:rPr>
          <w:rFonts w:ascii="Times New Roman" w:hAnsi="Times New Roman" w:cs="Times New Roman"/>
          <w:b/>
          <w:bCs/>
          <w:color w:val="000000"/>
          <w:sz w:val="24"/>
          <w:szCs w:val="24"/>
        </w:rPr>
        <w:t>.</w:t>
      </w:r>
      <w:r w:rsidR="005362F5" w:rsidRPr="00C958F1">
        <w:rPr>
          <w:rFonts w:ascii="Times New Roman" w:hAnsi="Times New Roman" w:cs="Times New Roman"/>
          <w:color w:val="000000"/>
          <w:sz w:val="24"/>
          <w:szCs w:val="24"/>
        </w:rPr>
        <w:t xml:space="preserve"> </w:t>
      </w:r>
      <w:r w:rsidR="007053A5" w:rsidRPr="00C958F1">
        <w:rPr>
          <w:rFonts w:ascii="Times New Roman" w:hAnsi="Times New Roman" w:cs="Times New Roman"/>
          <w:sz w:val="24"/>
          <w:szCs w:val="24"/>
        </w:rPr>
        <w:t xml:space="preserve">Începând cu anul 2022, pentru a reduce riscurile la adresa securității aprovizionării cu energie a Republicii Moldova și pentru a asigura o mai bună pregătire pentru sezonul de încălzire, Guvernul aprobă anual Planul de măsuri pentru pregătirea </w:t>
      </w:r>
      <w:r w:rsidR="00982093" w:rsidRPr="00C958F1">
        <w:rPr>
          <w:rFonts w:ascii="Times New Roman" w:hAnsi="Times New Roman" w:cs="Times New Roman"/>
          <w:sz w:val="24"/>
          <w:szCs w:val="24"/>
        </w:rPr>
        <w:t xml:space="preserve">de </w:t>
      </w:r>
      <w:r w:rsidR="007053A5" w:rsidRPr="00C958F1">
        <w:rPr>
          <w:rFonts w:ascii="Times New Roman" w:hAnsi="Times New Roman" w:cs="Times New Roman"/>
          <w:sz w:val="24"/>
          <w:szCs w:val="24"/>
        </w:rPr>
        <w:t>sezonul de încălzire. Prin urmare, în anii precedenți, Guvernul Republicii Moldova a asigurat monitorizarea și punerea în aplicare a mai multor măsuri de pregătire pentru sezonul de încălzire, stabilite prin Hotărâr</w:t>
      </w:r>
      <w:r w:rsidR="00DE6DA3" w:rsidRPr="00C958F1">
        <w:rPr>
          <w:rFonts w:ascii="Times New Roman" w:hAnsi="Times New Roman" w:cs="Times New Roman"/>
          <w:sz w:val="24"/>
          <w:szCs w:val="24"/>
        </w:rPr>
        <w:t>ile</w:t>
      </w:r>
      <w:r w:rsidR="007053A5" w:rsidRPr="00C958F1">
        <w:rPr>
          <w:rFonts w:ascii="Times New Roman" w:hAnsi="Times New Roman" w:cs="Times New Roman"/>
          <w:sz w:val="24"/>
          <w:szCs w:val="24"/>
        </w:rPr>
        <w:t xml:space="preserve"> Guvernului nr. 606/2022, nr. 566/2023 și nr. 677/2024.</w:t>
      </w:r>
      <w:bookmarkEnd w:id="6"/>
    </w:p>
    <w:p w14:paraId="0C04B127" w14:textId="288F3FDE" w:rsidR="00F54DFE" w:rsidRPr="00C958F1" w:rsidRDefault="006A1540" w:rsidP="00C958F1">
      <w:pPr>
        <w:spacing w:after="60" w:line="276" w:lineRule="auto"/>
        <w:ind w:firstLine="567"/>
        <w:jc w:val="both"/>
        <w:rPr>
          <w:rFonts w:ascii="Times New Roman" w:hAnsi="Times New Roman" w:cs="Times New Roman"/>
          <w:sz w:val="24"/>
          <w:szCs w:val="24"/>
        </w:rPr>
      </w:pPr>
      <w:r w:rsidRPr="00C958F1">
        <w:rPr>
          <w:rFonts w:ascii="Times New Roman" w:hAnsi="Times New Roman" w:cs="Times New Roman"/>
          <w:b/>
          <w:bCs/>
          <w:sz w:val="24"/>
          <w:szCs w:val="24"/>
        </w:rPr>
        <w:t>2</w:t>
      </w:r>
      <w:r w:rsidR="00A94902" w:rsidRPr="00C958F1">
        <w:rPr>
          <w:rFonts w:ascii="Times New Roman" w:hAnsi="Times New Roman" w:cs="Times New Roman"/>
          <w:b/>
          <w:bCs/>
          <w:sz w:val="24"/>
          <w:szCs w:val="24"/>
        </w:rPr>
        <w:t>2</w:t>
      </w:r>
      <w:r w:rsidR="005362F5" w:rsidRPr="00C958F1">
        <w:rPr>
          <w:rFonts w:ascii="Times New Roman" w:hAnsi="Times New Roman" w:cs="Times New Roman"/>
          <w:b/>
          <w:bCs/>
          <w:sz w:val="24"/>
          <w:szCs w:val="24"/>
        </w:rPr>
        <w:t>.</w:t>
      </w:r>
      <w:r w:rsidR="005362F5" w:rsidRPr="00C958F1">
        <w:rPr>
          <w:rFonts w:ascii="Times New Roman" w:hAnsi="Times New Roman" w:cs="Times New Roman"/>
          <w:sz w:val="24"/>
          <w:szCs w:val="24"/>
        </w:rPr>
        <w:t xml:space="preserve"> </w:t>
      </w:r>
      <w:r w:rsidR="007053A5" w:rsidRPr="00C958F1">
        <w:rPr>
          <w:rFonts w:ascii="Times New Roman" w:hAnsi="Times New Roman" w:cs="Times New Roman"/>
          <w:color w:val="000000"/>
          <w:sz w:val="24"/>
          <w:szCs w:val="24"/>
        </w:rPr>
        <w:t xml:space="preserve">Întru asigurarea securității aprovizionării Republicii Moldova cu resurse energetice, Guvernul Republicii Moldova prin prezenta </w:t>
      </w:r>
      <w:r w:rsidR="00DE6DA3" w:rsidRPr="00C958F1">
        <w:rPr>
          <w:rFonts w:ascii="Times New Roman" w:hAnsi="Times New Roman" w:cs="Times New Roman"/>
          <w:color w:val="000000"/>
          <w:sz w:val="24"/>
          <w:szCs w:val="24"/>
        </w:rPr>
        <w:t>H</w:t>
      </w:r>
      <w:r w:rsidR="007053A5" w:rsidRPr="00C958F1">
        <w:rPr>
          <w:rFonts w:ascii="Times New Roman" w:hAnsi="Times New Roman" w:cs="Times New Roman"/>
          <w:color w:val="000000"/>
          <w:sz w:val="24"/>
          <w:szCs w:val="24"/>
        </w:rPr>
        <w:t xml:space="preserve">otărâre vine cu mai multe măsuri de pregătire pentru sezonul de încălzire 2025-2026 și măsuri de eficientizare a consumului de resurse energetice, </w:t>
      </w:r>
      <w:r w:rsidR="007053A5" w:rsidRPr="00C958F1">
        <w:rPr>
          <w:rFonts w:ascii="Times New Roman" w:hAnsi="Times New Roman" w:cs="Times New Roman"/>
          <w:color w:val="000000"/>
          <w:sz w:val="24"/>
          <w:szCs w:val="24"/>
          <w:shd w:val="clear" w:color="auto" w:fill="FFFFFF" w:themeFill="background1"/>
        </w:rPr>
        <w:t>în număr de 4</w:t>
      </w:r>
      <w:r w:rsidR="003F5255" w:rsidRPr="00C958F1">
        <w:rPr>
          <w:rFonts w:ascii="Times New Roman" w:hAnsi="Times New Roman" w:cs="Times New Roman"/>
          <w:color w:val="000000"/>
          <w:sz w:val="24"/>
          <w:szCs w:val="24"/>
          <w:shd w:val="clear" w:color="auto" w:fill="FFFFFF" w:themeFill="background1"/>
        </w:rPr>
        <w:t>8</w:t>
      </w:r>
      <w:r w:rsidR="007053A5" w:rsidRPr="00C958F1">
        <w:rPr>
          <w:rFonts w:ascii="Times New Roman" w:hAnsi="Times New Roman" w:cs="Times New Roman"/>
          <w:color w:val="000000"/>
          <w:sz w:val="24"/>
          <w:szCs w:val="24"/>
          <w:shd w:val="clear" w:color="auto" w:fill="FFFFFF" w:themeFill="background1"/>
        </w:rPr>
        <w:t xml:space="preserve"> măsuri</w:t>
      </w:r>
      <w:r w:rsidR="007053A5" w:rsidRPr="00C958F1">
        <w:rPr>
          <w:rFonts w:ascii="Times New Roman" w:hAnsi="Times New Roman" w:cs="Times New Roman"/>
          <w:sz w:val="24"/>
          <w:szCs w:val="24"/>
        </w:rPr>
        <w:t>.</w:t>
      </w:r>
    </w:p>
    <w:p w14:paraId="3581E839" w14:textId="68E94849" w:rsidR="00CE7A70" w:rsidRPr="00C958F1" w:rsidRDefault="00CE7A70" w:rsidP="00C958F1">
      <w:pPr>
        <w:spacing w:after="60" w:line="276" w:lineRule="auto"/>
        <w:ind w:firstLine="567"/>
        <w:jc w:val="both"/>
        <w:rPr>
          <w:rFonts w:ascii="Times New Roman" w:hAnsi="Times New Roman" w:cs="Times New Roman"/>
          <w:sz w:val="24"/>
          <w:szCs w:val="24"/>
        </w:rPr>
      </w:pPr>
      <w:r w:rsidRPr="00C958F1">
        <w:rPr>
          <w:rFonts w:ascii="Times New Roman" w:hAnsi="Times New Roman" w:cs="Times New Roman"/>
          <w:b/>
          <w:bCs/>
          <w:sz w:val="24"/>
          <w:szCs w:val="24"/>
        </w:rPr>
        <w:t>2</w:t>
      </w:r>
      <w:r w:rsidR="00A94902" w:rsidRPr="00C958F1">
        <w:rPr>
          <w:rFonts w:ascii="Times New Roman" w:hAnsi="Times New Roman" w:cs="Times New Roman"/>
          <w:b/>
          <w:bCs/>
          <w:sz w:val="24"/>
          <w:szCs w:val="24"/>
        </w:rPr>
        <w:t>3</w:t>
      </w:r>
      <w:r w:rsidRPr="00C958F1">
        <w:rPr>
          <w:rFonts w:ascii="Times New Roman" w:hAnsi="Times New Roman" w:cs="Times New Roman"/>
          <w:b/>
          <w:bCs/>
          <w:sz w:val="24"/>
          <w:szCs w:val="24"/>
        </w:rPr>
        <w:t>.</w:t>
      </w:r>
      <w:r w:rsidRPr="00C958F1">
        <w:rPr>
          <w:rFonts w:ascii="Times New Roman" w:hAnsi="Times New Roman" w:cs="Times New Roman"/>
          <w:sz w:val="24"/>
          <w:szCs w:val="24"/>
        </w:rPr>
        <w:t xml:space="preserve"> În figurile de mai jos este prezentat istoricul </w:t>
      </w:r>
      <w:r w:rsidR="005B41D4" w:rsidRPr="00C958F1">
        <w:rPr>
          <w:rFonts w:ascii="Times New Roman" w:hAnsi="Times New Roman" w:cs="Times New Roman"/>
          <w:sz w:val="24"/>
          <w:szCs w:val="24"/>
        </w:rPr>
        <w:t xml:space="preserve">consumului </w:t>
      </w:r>
      <w:r w:rsidRPr="00C958F1">
        <w:rPr>
          <w:rFonts w:ascii="Times New Roman" w:hAnsi="Times New Roman" w:cs="Times New Roman"/>
          <w:sz w:val="24"/>
          <w:szCs w:val="24"/>
        </w:rPr>
        <w:t xml:space="preserve">lunar de energie electrică și gaze naturale în perioadele reci </w:t>
      </w:r>
      <w:r w:rsidR="00982093" w:rsidRPr="00C958F1">
        <w:rPr>
          <w:rFonts w:ascii="Times New Roman" w:hAnsi="Times New Roman" w:cs="Times New Roman"/>
          <w:sz w:val="24"/>
          <w:szCs w:val="24"/>
        </w:rPr>
        <w:t xml:space="preserve">(octombrie-aprilie) </w:t>
      </w:r>
      <w:r w:rsidRPr="00C958F1">
        <w:rPr>
          <w:rFonts w:ascii="Times New Roman" w:hAnsi="Times New Roman" w:cs="Times New Roman"/>
          <w:sz w:val="24"/>
          <w:szCs w:val="24"/>
        </w:rPr>
        <w:t>a anilor precedenți. Reieșind din consumul mediu lunar de gaze naturale din ultimii 7 ani în perioadele reci octombrie 2018 –</w:t>
      </w:r>
      <w:r w:rsidR="00982093" w:rsidRPr="00C958F1">
        <w:rPr>
          <w:rFonts w:ascii="Times New Roman" w:hAnsi="Times New Roman" w:cs="Times New Roman"/>
          <w:sz w:val="24"/>
          <w:szCs w:val="24"/>
        </w:rPr>
        <w:t xml:space="preserve"> aprilie </w:t>
      </w:r>
      <w:r w:rsidRPr="00C958F1">
        <w:rPr>
          <w:rFonts w:ascii="Times New Roman" w:hAnsi="Times New Roman" w:cs="Times New Roman"/>
          <w:sz w:val="24"/>
          <w:szCs w:val="24"/>
        </w:rPr>
        <w:t xml:space="preserve">2025, se estimează că în următorul sezon de încălzire octombrie 2025 – aprilie 2026 consumul de gaze naturale va fi de aproximativ </w:t>
      </w:r>
      <w:r w:rsidR="00982093" w:rsidRPr="00C958F1">
        <w:rPr>
          <w:rFonts w:ascii="Times New Roman" w:hAnsi="Times New Roman" w:cs="Times New Roman"/>
          <w:sz w:val="24"/>
          <w:szCs w:val="24"/>
        </w:rPr>
        <w:br/>
      </w:r>
      <w:r w:rsidRPr="00C958F1">
        <w:rPr>
          <w:rFonts w:ascii="Times New Roman" w:hAnsi="Times New Roman" w:cs="Times New Roman"/>
          <w:sz w:val="24"/>
          <w:szCs w:val="24"/>
        </w:rPr>
        <w:t>837 mil. m</w:t>
      </w:r>
      <w:r w:rsidRPr="00C958F1">
        <w:rPr>
          <w:rFonts w:ascii="Times New Roman" w:hAnsi="Times New Roman" w:cs="Times New Roman"/>
          <w:sz w:val="24"/>
          <w:szCs w:val="24"/>
          <w:vertAlign w:val="superscript"/>
        </w:rPr>
        <w:t>3</w:t>
      </w:r>
      <w:r w:rsidRPr="00C958F1">
        <w:rPr>
          <w:rFonts w:ascii="Times New Roman" w:hAnsi="Times New Roman" w:cs="Times New Roman"/>
          <w:sz w:val="24"/>
          <w:szCs w:val="24"/>
        </w:rPr>
        <w:t>, în creștere cu 27 mil. m</w:t>
      </w:r>
      <w:r w:rsidRPr="00C958F1">
        <w:rPr>
          <w:rFonts w:ascii="Times New Roman" w:hAnsi="Times New Roman" w:cs="Times New Roman"/>
          <w:sz w:val="24"/>
          <w:szCs w:val="24"/>
          <w:vertAlign w:val="superscript"/>
        </w:rPr>
        <w:t>3</w:t>
      </w:r>
      <w:r w:rsidRPr="00C958F1">
        <w:rPr>
          <w:rFonts w:ascii="Times New Roman" w:hAnsi="Times New Roman" w:cs="Times New Roman"/>
          <w:sz w:val="24"/>
          <w:szCs w:val="24"/>
        </w:rPr>
        <w:t xml:space="preserve"> comparativ cu cel înregistrat în perioada precedentă </w:t>
      </w:r>
      <w:r w:rsidR="00982093" w:rsidRPr="00C958F1">
        <w:rPr>
          <w:rFonts w:ascii="Times New Roman" w:hAnsi="Times New Roman" w:cs="Times New Roman"/>
          <w:sz w:val="24"/>
          <w:szCs w:val="24"/>
        </w:rPr>
        <w:br/>
      </w:r>
      <w:r w:rsidRPr="00C958F1">
        <w:rPr>
          <w:rFonts w:ascii="Times New Roman" w:hAnsi="Times New Roman" w:cs="Times New Roman"/>
          <w:sz w:val="24"/>
          <w:szCs w:val="24"/>
        </w:rPr>
        <w:t>octombrie 2024 – aprilie 2025.</w:t>
      </w:r>
    </w:p>
    <w:p w14:paraId="060B412D" w14:textId="43A4E660" w:rsidR="00B06CF2" w:rsidRPr="00C43E6D" w:rsidRDefault="00B06CF2" w:rsidP="00371427">
      <w:pPr>
        <w:spacing w:after="0"/>
        <w:jc w:val="center"/>
        <w:rPr>
          <w:rFonts w:ascii="Times New Roman" w:hAnsi="Times New Roman" w:cs="Times New Roman"/>
        </w:rPr>
      </w:pPr>
      <w:r w:rsidRPr="00C43E6D">
        <w:rPr>
          <w:noProof/>
        </w:rPr>
        <w:drawing>
          <wp:inline distT="0" distB="0" distL="0" distR="0" wp14:anchorId="2826D462" wp14:editId="47402467">
            <wp:extent cx="6491054" cy="3806327"/>
            <wp:effectExtent l="0" t="0" r="5080" b="3810"/>
            <wp:docPr id="12" name="Chart 12">
              <a:extLst xmlns:a="http://schemas.openxmlformats.org/drawingml/2006/main">
                <a:ext uri="{FF2B5EF4-FFF2-40B4-BE49-F238E27FC236}">
                  <a16:creationId xmlns:a16="http://schemas.microsoft.com/office/drawing/2014/main" id="{6E261DB0-51F5-4915-B0C0-2BC65E023F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6D5D484" w14:textId="456D9D26" w:rsidR="00C813D2" w:rsidRPr="00C43E6D" w:rsidRDefault="00C813D2" w:rsidP="006A1540">
      <w:pPr>
        <w:spacing w:after="0"/>
        <w:ind w:left="1901" w:hanging="1267"/>
        <w:jc w:val="center"/>
        <w:rPr>
          <w:rFonts w:ascii="Times New Roman" w:hAnsi="Times New Roman" w:cs="Times New Roman"/>
        </w:rPr>
      </w:pPr>
      <w:r w:rsidRPr="00C43E6D">
        <w:rPr>
          <w:rFonts w:ascii="Times New Roman" w:hAnsi="Times New Roman" w:cs="Times New Roman"/>
          <w:b/>
          <w:bCs/>
          <w:sz w:val="24"/>
          <w:szCs w:val="24"/>
        </w:rPr>
        <w:t xml:space="preserve">Figura </w:t>
      </w:r>
      <w:r w:rsidR="00EC3E7B" w:rsidRPr="00C43E6D">
        <w:rPr>
          <w:rFonts w:ascii="Times New Roman" w:hAnsi="Times New Roman" w:cs="Times New Roman"/>
          <w:b/>
          <w:bCs/>
          <w:sz w:val="24"/>
          <w:szCs w:val="24"/>
        </w:rPr>
        <w:t>2</w:t>
      </w:r>
      <w:r w:rsidRPr="00C43E6D">
        <w:rPr>
          <w:rFonts w:ascii="Times New Roman" w:hAnsi="Times New Roman" w:cs="Times New Roman"/>
          <w:b/>
          <w:bCs/>
          <w:sz w:val="24"/>
          <w:szCs w:val="24"/>
        </w:rPr>
        <w:t>.</w:t>
      </w:r>
      <w:r w:rsidRPr="00C43E6D">
        <w:rPr>
          <w:rFonts w:ascii="Times New Roman" w:hAnsi="Times New Roman" w:cs="Times New Roman"/>
        </w:rPr>
        <w:t xml:space="preserve"> Consumul lunar de gaze naturale </w:t>
      </w:r>
      <w:r w:rsidR="00371427" w:rsidRPr="00C43E6D">
        <w:rPr>
          <w:rFonts w:ascii="Times New Roman" w:hAnsi="Times New Roman" w:cs="Times New Roman"/>
        </w:rPr>
        <w:t>înregistrat</w:t>
      </w:r>
      <w:r w:rsidRPr="00C43E6D">
        <w:rPr>
          <w:rFonts w:ascii="Times New Roman" w:hAnsi="Times New Roman" w:cs="Times New Roman"/>
        </w:rPr>
        <w:t xml:space="preserve"> în perioada octombrie </w:t>
      </w:r>
      <w:r w:rsidR="0042340B" w:rsidRPr="00C43E6D">
        <w:rPr>
          <w:rFonts w:ascii="Times New Roman" w:hAnsi="Times New Roman" w:cs="Times New Roman"/>
        </w:rPr>
        <w:t>201</w:t>
      </w:r>
      <w:r w:rsidR="00A61DDB" w:rsidRPr="00C43E6D">
        <w:rPr>
          <w:rFonts w:ascii="Times New Roman" w:hAnsi="Times New Roman" w:cs="Times New Roman"/>
        </w:rPr>
        <w:t>8</w:t>
      </w:r>
      <w:r w:rsidR="0042340B" w:rsidRPr="00C43E6D">
        <w:rPr>
          <w:rFonts w:ascii="Times New Roman" w:hAnsi="Times New Roman" w:cs="Times New Roman"/>
        </w:rPr>
        <w:t xml:space="preserve"> – aprilie </w:t>
      </w:r>
      <w:r w:rsidRPr="00C43E6D">
        <w:rPr>
          <w:rFonts w:ascii="Times New Roman" w:hAnsi="Times New Roman" w:cs="Times New Roman"/>
        </w:rPr>
        <w:t>202</w:t>
      </w:r>
      <w:r w:rsidR="00A61DDB" w:rsidRPr="00C43E6D">
        <w:rPr>
          <w:rFonts w:ascii="Times New Roman" w:hAnsi="Times New Roman" w:cs="Times New Roman"/>
        </w:rPr>
        <w:t>5</w:t>
      </w:r>
      <w:r w:rsidRPr="00C43E6D">
        <w:rPr>
          <w:rFonts w:ascii="Times New Roman" w:hAnsi="Times New Roman" w:cs="Times New Roman"/>
        </w:rPr>
        <w:t>, mil. m</w:t>
      </w:r>
      <w:r w:rsidRPr="00C43E6D">
        <w:rPr>
          <w:rFonts w:ascii="Times New Roman" w:hAnsi="Times New Roman" w:cs="Times New Roman"/>
          <w:vertAlign w:val="superscript"/>
        </w:rPr>
        <w:t>3</w:t>
      </w:r>
    </w:p>
    <w:p w14:paraId="5BA0F4BC" w14:textId="521823FD" w:rsidR="00E864DC" w:rsidRPr="00C43E6D" w:rsidRDefault="00C813D2" w:rsidP="00AA0660">
      <w:pPr>
        <w:spacing w:after="240"/>
        <w:ind w:firstLine="567"/>
        <w:jc w:val="center"/>
        <w:rPr>
          <w:rFonts w:ascii="Times New Roman" w:hAnsi="Times New Roman" w:cs="Times New Roman"/>
          <w:i/>
          <w:iCs/>
          <w:sz w:val="20"/>
          <w:szCs w:val="20"/>
        </w:rPr>
      </w:pPr>
      <w:r w:rsidRPr="00C43E6D">
        <w:rPr>
          <w:rFonts w:ascii="Times New Roman" w:hAnsi="Times New Roman" w:cs="Times New Roman"/>
          <w:i/>
          <w:iCs/>
          <w:sz w:val="20"/>
          <w:szCs w:val="20"/>
        </w:rPr>
        <w:lastRenderedPageBreak/>
        <w:t xml:space="preserve">Sursa: </w:t>
      </w:r>
      <w:r w:rsidR="00B24982" w:rsidRPr="00C43E6D">
        <w:rPr>
          <w:rFonts w:ascii="Times New Roman" w:hAnsi="Times New Roman" w:cs="Times New Roman"/>
          <w:i/>
          <w:iCs/>
          <w:sz w:val="20"/>
          <w:szCs w:val="20"/>
        </w:rPr>
        <w:t>ANRE</w:t>
      </w:r>
      <w:r w:rsidR="00927CC1" w:rsidRPr="00C43E6D">
        <w:rPr>
          <w:rFonts w:ascii="Times New Roman" w:hAnsi="Times New Roman" w:cs="Times New Roman"/>
          <w:i/>
          <w:iCs/>
          <w:sz w:val="20"/>
          <w:szCs w:val="20"/>
        </w:rPr>
        <w:t xml:space="preserve"> și SRL „Vestmoldtransgaz”</w:t>
      </w:r>
    </w:p>
    <w:p w14:paraId="68A08262" w14:textId="2B99777F" w:rsidR="00EE3A6F" w:rsidRPr="00C43E6D" w:rsidRDefault="00EE3A6F" w:rsidP="00EE3A6F">
      <w:pPr>
        <w:spacing w:after="0"/>
        <w:jc w:val="center"/>
        <w:rPr>
          <w:rFonts w:ascii="Times New Roman" w:hAnsi="Times New Roman" w:cs="Times New Roman"/>
          <w:sz w:val="20"/>
          <w:szCs w:val="20"/>
        </w:rPr>
      </w:pPr>
      <w:r w:rsidRPr="00C43E6D">
        <w:rPr>
          <w:noProof/>
        </w:rPr>
        <w:drawing>
          <wp:inline distT="0" distB="0" distL="0" distR="0" wp14:anchorId="398A0A22" wp14:editId="063EF608">
            <wp:extent cx="6505521" cy="3194892"/>
            <wp:effectExtent l="0" t="0" r="10160" b="5715"/>
            <wp:docPr id="2" name="Chart 2">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C435000" w14:textId="7EE1751C" w:rsidR="00E864DC" w:rsidRPr="00C43E6D" w:rsidRDefault="00E864DC" w:rsidP="00982093">
      <w:pPr>
        <w:spacing w:after="0"/>
        <w:ind w:left="851" w:hanging="624"/>
        <w:jc w:val="center"/>
        <w:rPr>
          <w:rFonts w:ascii="Times New Roman" w:hAnsi="Times New Roman" w:cs="Times New Roman"/>
        </w:rPr>
      </w:pPr>
      <w:r w:rsidRPr="00C43E6D">
        <w:rPr>
          <w:rFonts w:ascii="Times New Roman" w:hAnsi="Times New Roman" w:cs="Times New Roman"/>
          <w:b/>
          <w:bCs/>
          <w:sz w:val="24"/>
          <w:szCs w:val="24"/>
        </w:rPr>
        <w:t xml:space="preserve">Figura </w:t>
      </w:r>
      <w:r w:rsidR="00EC3E7B" w:rsidRPr="00C43E6D">
        <w:rPr>
          <w:rFonts w:ascii="Times New Roman" w:hAnsi="Times New Roman" w:cs="Times New Roman"/>
          <w:b/>
          <w:bCs/>
          <w:sz w:val="24"/>
          <w:szCs w:val="24"/>
        </w:rPr>
        <w:t>3</w:t>
      </w:r>
      <w:r w:rsidRPr="00C43E6D">
        <w:rPr>
          <w:rFonts w:ascii="Times New Roman" w:hAnsi="Times New Roman" w:cs="Times New Roman"/>
          <w:b/>
          <w:bCs/>
          <w:sz w:val="24"/>
          <w:szCs w:val="24"/>
        </w:rPr>
        <w:t>.</w:t>
      </w:r>
      <w:r w:rsidRPr="00C43E6D">
        <w:rPr>
          <w:rFonts w:ascii="Times New Roman" w:hAnsi="Times New Roman" w:cs="Times New Roman"/>
        </w:rPr>
        <w:t xml:space="preserve"> Consumul de gaze naturale înregistrat în perioad</w:t>
      </w:r>
      <w:r w:rsidR="00707063" w:rsidRPr="00C43E6D">
        <w:rPr>
          <w:rFonts w:ascii="Times New Roman" w:hAnsi="Times New Roman" w:cs="Times New Roman"/>
        </w:rPr>
        <w:t>ele</w:t>
      </w:r>
      <w:r w:rsidRPr="00C43E6D">
        <w:rPr>
          <w:rFonts w:ascii="Times New Roman" w:hAnsi="Times New Roman" w:cs="Times New Roman"/>
        </w:rPr>
        <w:t xml:space="preserve"> sezonului de încălzire </w:t>
      </w:r>
      <w:r w:rsidR="00542AA6" w:rsidRPr="00C43E6D">
        <w:rPr>
          <w:rFonts w:ascii="Times New Roman" w:hAnsi="Times New Roman" w:cs="Times New Roman"/>
        </w:rPr>
        <w:t xml:space="preserve">octombrie </w:t>
      </w:r>
      <w:r w:rsidRPr="00C43E6D">
        <w:rPr>
          <w:rFonts w:ascii="Times New Roman" w:hAnsi="Times New Roman" w:cs="Times New Roman"/>
        </w:rPr>
        <w:t>201</w:t>
      </w:r>
      <w:r w:rsidR="00EE3A6F" w:rsidRPr="00C43E6D">
        <w:rPr>
          <w:rFonts w:ascii="Times New Roman" w:hAnsi="Times New Roman" w:cs="Times New Roman"/>
        </w:rPr>
        <w:t>8</w:t>
      </w:r>
      <w:r w:rsidR="00982093">
        <w:rPr>
          <w:rFonts w:ascii="Times New Roman" w:hAnsi="Times New Roman" w:cs="Times New Roman"/>
        </w:rPr>
        <w:t xml:space="preserve"> – </w:t>
      </w:r>
      <w:r w:rsidR="00982093" w:rsidRPr="00C43E6D">
        <w:rPr>
          <w:rFonts w:ascii="Times New Roman" w:hAnsi="Times New Roman" w:cs="Times New Roman"/>
        </w:rPr>
        <w:t>aprilie</w:t>
      </w:r>
      <w:r w:rsidR="00982093">
        <w:rPr>
          <w:rFonts w:ascii="Times New Roman" w:hAnsi="Times New Roman" w:cs="Times New Roman"/>
        </w:rPr>
        <w:t xml:space="preserve"> </w:t>
      </w:r>
      <w:r w:rsidRPr="00C43E6D">
        <w:rPr>
          <w:rFonts w:ascii="Times New Roman" w:hAnsi="Times New Roman" w:cs="Times New Roman"/>
        </w:rPr>
        <w:t>202</w:t>
      </w:r>
      <w:r w:rsidR="00EE3A6F" w:rsidRPr="00C43E6D">
        <w:rPr>
          <w:rFonts w:ascii="Times New Roman" w:hAnsi="Times New Roman" w:cs="Times New Roman"/>
        </w:rPr>
        <w:t>5</w:t>
      </w:r>
      <w:r w:rsidRPr="00C43E6D">
        <w:rPr>
          <w:rFonts w:ascii="Times New Roman" w:hAnsi="Times New Roman" w:cs="Times New Roman"/>
        </w:rPr>
        <w:t xml:space="preserve"> și consumul estimat pentru sezonul de încălzire </w:t>
      </w:r>
      <w:r w:rsidR="00542AA6" w:rsidRPr="00C43E6D">
        <w:rPr>
          <w:rFonts w:ascii="Times New Roman" w:hAnsi="Times New Roman" w:cs="Times New Roman"/>
        </w:rPr>
        <w:t xml:space="preserve">octombrie </w:t>
      </w:r>
      <w:r w:rsidRPr="00C43E6D">
        <w:rPr>
          <w:rFonts w:ascii="Times New Roman" w:hAnsi="Times New Roman" w:cs="Times New Roman"/>
        </w:rPr>
        <w:t>202</w:t>
      </w:r>
      <w:r w:rsidR="00EE3A6F" w:rsidRPr="00C43E6D">
        <w:rPr>
          <w:rFonts w:ascii="Times New Roman" w:hAnsi="Times New Roman" w:cs="Times New Roman"/>
        </w:rPr>
        <w:t>5</w:t>
      </w:r>
      <w:r w:rsidR="00542AA6" w:rsidRPr="00C43E6D">
        <w:rPr>
          <w:rFonts w:ascii="Times New Roman" w:hAnsi="Times New Roman" w:cs="Times New Roman"/>
        </w:rPr>
        <w:t xml:space="preserve"> – aprilie </w:t>
      </w:r>
      <w:r w:rsidRPr="00C43E6D">
        <w:rPr>
          <w:rFonts w:ascii="Times New Roman" w:hAnsi="Times New Roman" w:cs="Times New Roman"/>
        </w:rPr>
        <w:t>202</w:t>
      </w:r>
      <w:r w:rsidR="00EE3A6F" w:rsidRPr="00C43E6D">
        <w:rPr>
          <w:rFonts w:ascii="Times New Roman" w:hAnsi="Times New Roman" w:cs="Times New Roman"/>
        </w:rPr>
        <w:t>6</w:t>
      </w:r>
      <w:r w:rsidRPr="00C43E6D">
        <w:rPr>
          <w:rFonts w:ascii="Times New Roman" w:hAnsi="Times New Roman" w:cs="Times New Roman"/>
        </w:rPr>
        <w:t>, mi</w:t>
      </w:r>
      <w:r w:rsidR="00982093">
        <w:rPr>
          <w:rFonts w:ascii="Times New Roman" w:hAnsi="Times New Roman" w:cs="Times New Roman"/>
        </w:rPr>
        <w:t>l.</w:t>
      </w:r>
      <w:r w:rsidRPr="00C43E6D">
        <w:rPr>
          <w:rFonts w:ascii="Times New Roman" w:hAnsi="Times New Roman" w:cs="Times New Roman"/>
        </w:rPr>
        <w:t xml:space="preserve"> m</w:t>
      </w:r>
      <w:r w:rsidRPr="00C43E6D">
        <w:rPr>
          <w:rFonts w:ascii="Times New Roman" w:hAnsi="Times New Roman" w:cs="Times New Roman"/>
          <w:vertAlign w:val="superscript"/>
        </w:rPr>
        <w:t>3</w:t>
      </w:r>
    </w:p>
    <w:p w14:paraId="05F6D4C1" w14:textId="20EF3EDD" w:rsidR="00927CC1" w:rsidRPr="00C43E6D" w:rsidRDefault="00927CC1" w:rsidP="00D64AAF">
      <w:pPr>
        <w:spacing w:after="0"/>
        <w:jc w:val="center"/>
        <w:rPr>
          <w:rFonts w:ascii="Times New Roman" w:hAnsi="Times New Roman" w:cs="Times New Roman"/>
        </w:rPr>
      </w:pPr>
    </w:p>
    <w:p w14:paraId="53E091FD" w14:textId="72E999CF" w:rsidR="00B06CF2" w:rsidRPr="00C43E6D" w:rsidRDefault="00B06CF2" w:rsidP="00D64AAF">
      <w:pPr>
        <w:spacing w:after="0"/>
        <w:jc w:val="center"/>
        <w:rPr>
          <w:rFonts w:ascii="Times New Roman" w:hAnsi="Times New Roman" w:cs="Times New Roman"/>
        </w:rPr>
      </w:pPr>
      <w:r w:rsidRPr="00C43E6D">
        <w:rPr>
          <w:noProof/>
        </w:rPr>
        <w:drawing>
          <wp:inline distT="0" distB="0" distL="0" distR="0" wp14:anchorId="06BE8F77" wp14:editId="7A722B15">
            <wp:extent cx="6343474" cy="3409721"/>
            <wp:effectExtent l="0" t="0" r="635" b="635"/>
            <wp:docPr id="8" name="Chart 8">
              <a:extLst xmlns:a="http://schemas.openxmlformats.org/drawingml/2006/main">
                <a:ext uri="{FF2B5EF4-FFF2-40B4-BE49-F238E27FC236}">
                  <a16:creationId xmlns:a16="http://schemas.microsoft.com/office/drawing/2014/main" id="{B558DB22-6825-34EE-91D3-EAD8F5773B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C030C76" w14:textId="7D4AE57F" w:rsidR="00C813D2" w:rsidRPr="00C43E6D" w:rsidRDefault="00C813D2" w:rsidP="00414B41">
      <w:pPr>
        <w:spacing w:after="0"/>
        <w:ind w:left="1890" w:hanging="1530"/>
        <w:jc w:val="center"/>
        <w:rPr>
          <w:rFonts w:ascii="Times New Roman" w:hAnsi="Times New Roman" w:cs="Times New Roman"/>
        </w:rPr>
      </w:pPr>
      <w:r w:rsidRPr="00C43E6D">
        <w:rPr>
          <w:rFonts w:ascii="Times New Roman" w:hAnsi="Times New Roman" w:cs="Times New Roman"/>
          <w:b/>
          <w:bCs/>
        </w:rPr>
        <w:t xml:space="preserve">Figura. </w:t>
      </w:r>
      <w:r w:rsidR="00EC3E7B" w:rsidRPr="00C43E6D">
        <w:rPr>
          <w:rFonts w:ascii="Times New Roman" w:hAnsi="Times New Roman" w:cs="Times New Roman"/>
          <w:b/>
          <w:bCs/>
        </w:rPr>
        <w:t>4</w:t>
      </w:r>
      <w:r w:rsidRPr="00C43E6D">
        <w:rPr>
          <w:rFonts w:ascii="Times New Roman" w:hAnsi="Times New Roman" w:cs="Times New Roman"/>
          <w:b/>
          <w:bCs/>
        </w:rPr>
        <w:t>.</w:t>
      </w:r>
      <w:r w:rsidRPr="00C43E6D">
        <w:rPr>
          <w:rFonts w:ascii="Times New Roman" w:hAnsi="Times New Roman" w:cs="Times New Roman"/>
        </w:rPr>
        <w:t xml:space="preserve"> Consumul lunar de </w:t>
      </w:r>
      <w:r w:rsidR="00090C10" w:rsidRPr="00C43E6D">
        <w:rPr>
          <w:rFonts w:ascii="Times New Roman" w:hAnsi="Times New Roman" w:cs="Times New Roman"/>
        </w:rPr>
        <w:t>energie electrică</w:t>
      </w:r>
      <w:r w:rsidRPr="00C43E6D">
        <w:rPr>
          <w:rFonts w:ascii="Times New Roman" w:hAnsi="Times New Roman" w:cs="Times New Roman"/>
        </w:rPr>
        <w:t xml:space="preserve"> </w:t>
      </w:r>
      <w:r w:rsidR="00D64AAF" w:rsidRPr="00C43E6D">
        <w:rPr>
          <w:rFonts w:ascii="Times New Roman" w:hAnsi="Times New Roman" w:cs="Times New Roman"/>
        </w:rPr>
        <w:t>înregistrat</w:t>
      </w:r>
      <w:r w:rsidRPr="00C43E6D">
        <w:rPr>
          <w:rFonts w:ascii="Times New Roman" w:hAnsi="Times New Roman" w:cs="Times New Roman"/>
        </w:rPr>
        <w:t xml:space="preserve"> în perioada octombrie 20</w:t>
      </w:r>
      <w:r w:rsidR="002D7AC1" w:rsidRPr="00C43E6D">
        <w:rPr>
          <w:rFonts w:ascii="Times New Roman" w:hAnsi="Times New Roman" w:cs="Times New Roman"/>
        </w:rPr>
        <w:t>21</w:t>
      </w:r>
      <w:r w:rsidR="00982093">
        <w:rPr>
          <w:rFonts w:ascii="Times New Roman" w:hAnsi="Times New Roman" w:cs="Times New Roman"/>
        </w:rPr>
        <w:t xml:space="preserve"> </w:t>
      </w:r>
      <w:r w:rsidRPr="00C43E6D">
        <w:rPr>
          <w:rFonts w:ascii="Times New Roman" w:hAnsi="Times New Roman" w:cs="Times New Roman"/>
        </w:rPr>
        <w:t>-</w:t>
      </w:r>
      <w:r w:rsidR="00982093">
        <w:rPr>
          <w:rFonts w:ascii="Times New Roman" w:hAnsi="Times New Roman" w:cs="Times New Roman"/>
        </w:rPr>
        <w:t xml:space="preserve"> </w:t>
      </w:r>
      <w:r w:rsidR="00982093" w:rsidRPr="00C43E6D">
        <w:rPr>
          <w:rFonts w:ascii="Times New Roman" w:hAnsi="Times New Roman" w:cs="Times New Roman"/>
        </w:rPr>
        <w:t xml:space="preserve">aprilie </w:t>
      </w:r>
      <w:r w:rsidRPr="00C43E6D">
        <w:rPr>
          <w:rFonts w:ascii="Times New Roman" w:hAnsi="Times New Roman" w:cs="Times New Roman"/>
        </w:rPr>
        <w:t>202</w:t>
      </w:r>
      <w:r w:rsidR="00883C54" w:rsidRPr="00C43E6D">
        <w:rPr>
          <w:rFonts w:ascii="Times New Roman" w:hAnsi="Times New Roman" w:cs="Times New Roman"/>
        </w:rPr>
        <w:t>5</w:t>
      </w:r>
      <w:r w:rsidRPr="00C43E6D">
        <w:rPr>
          <w:rFonts w:ascii="Times New Roman" w:hAnsi="Times New Roman" w:cs="Times New Roman"/>
        </w:rPr>
        <w:t xml:space="preserve">, mil. </w:t>
      </w:r>
      <w:r w:rsidR="00090C10" w:rsidRPr="00C43E6D">
        <w:rPr>
          <w:rFonts w:ascii="Times New Roman" w:hAnsi="Times New Roman" w:cs="Times New Roman"/>
        </w:rPr>
        <w:t>kWh</w:t>
      </w:r>
    </w:p>
    <w:p w14:paraId="22E01802" w14:textId="3358B370" w:rsidR="00050D35" w:rsidRPr="00C43E6D" w:rsidRDefault="00C813D2" w:rsidP="00D85E3C">
      <w:pPr>
        <w:ind w:firstLine="567"/>
        <w:jc w:val="center"/>
        <w:rPr>
          <w:rFonts w:ascii="Times New Roman" w:hAnsi="Times New Roman" w:cs="Times New Roman"/>
          <w:i/>
          <w:iCs/>
          <w:sz w:val="20"/>
          <w:szCs w:val="20"/>
        </w:rPr>
      </w:pPr>
      <w:r w:rsidRPr="00C43E6D">
        <w:rPr>
          <w:rFonts w:ascii="Times New Roman" w:hAnsi="Times New Roman" w:cs="Times New Roman"/>
          <w:i/>
          <w:iCs/>
          <w:sz w:val="20"/>
          <w:szCs w:val="20"/>
        </w:rPr>
        <w:t xml:space="preserve">Sursa: </w:t>
      </w:r>
      <w:r w:rsidR="00B24982" w:rsidRPr="00C43E6D">
        <w:rPr>
          <w:rFonts w:ascii="Times New Roman" w:hAnsi="Times New Roman" w:cs="Times New Roman"/>
          <w:i/>
          <w:iCs/>
          <w:sz w:val="20"/>
          <w:szCs w:val="20"/>
        </w:rPr>
        <w:t>ÎS</w:t>
      </w:r>
      <w:r w:rsidRPr="00C43E6D">
        <w:rPr>
          <w:rFonts w:ascii="Times New Roman" w:hAnsi="Times New Roman" w:cs="Times New Roman"/>
          <w:i/>
          <w:iCs/>
          <w:sz w:val="20"/>
          <w:szCs w:val="20"/>
        </w:rPr>
        <w:t xml:space="preserve"> „</w:t>
      </w:r>
      <w:r w:rsidR="00B24982" w:rsidRPr="00C43E6D">
        <w:rPr>
          <w:rFonts w:ascii="Times New Roman" w:hAnsi="Times New Roman" w:cs="Times New Roman"/>
          <w:i/>
          <w:iCs/>
          <w:sz w:val="20"/>
          <w:szCs w:val="20"/>
        </w:rPr>
        <w:t>Moldelectrica</w:t>
      </w:r>
      <w:r w:rsidRPr="00C43E6D">
        <w:rPr>
          <w:rFonts w:ascii="Times New Roman" w:hAnsi="Times New Roman" w:cs="Times New Roman"/>
          <w:i/>
          <w:iCs/>
          <w:sz w:val="20"/>
          <w:szCs w:val="20"/>
        </w:rPr>
        <w:t>”</w:t>
      </w:r>
    </w:p>
    <w:p w14:paraId="1F05B316" w14:textId="4FD53983" w:rsidR="00D53CC7" w:rsidRPr="00C43E6D" w:rsidRDefault="006A1540" w:rsidP="00C958F1">
      <w:pPr>
        <w:spacing w:after="60" w:line="276" w:lineRule="auto"/>
        <w:ind w:firstLine="539"/>
        <w:jc w:val="both"/>
        <w:rPr>
          <w:rFonts w:ascii="Times New Roman" w:hAnsi="Times New Roman" w:cs="Times New Roman"/>
          <w:color w:val="000000"/>
          <w:sz w:val="24"/>
          <w:szCs w:val="24"/>
        </w:rPr>
      </w:pPr>
      <w:r w:rsidRPr="00C43E6D">
        <w:rPr>
          <w:rFonts w:ascii="Times New Roman" w:hAnsi="Times New Roman" w:cs="Times New Roman"/>
          <w:b/>
          <w:bCs/>
          <w:sz w:val="24"/>
          <w:szCs w:val="24"/>
        </w:rPr>
        <w:t>2</w:t>
      </w:r>
      <w:r w:rsidR="00A94902">
        <w:rPr>
          <w:rFonts w:ascii="Times New Roman" w:hAnsi="Times New Roman" w:cs="Times New Roman"/>
          <w:b/>
          <w:bCs/>
          <w:sz w:val="24"/>
          <w:szCs w:val="24"/>
        </w:rPr>
        <w:t>4</w:t>
      </w:r>
      <w:r w:rsidR="005362F5" w:rsidRPr="00C43E6D">
        <w:rPr>
          <w:rFonts w:ascii="Times New Roman" w:hAnsi="Times New Roman" w:cs="Times New Roman"/>
          <w:b/>
          <w:bCs/>
          <w:sz w:val="24"/>
          <w:szCs w:val="24"/>
        </w:rPr>
        <w:t>.</w:t>
      </w:r>
      <w:r w:rsidR="005362F5" w:rsidRPr="00C43E6D">
        <w:rPr>
          <w:rFonts w:ascii="Times New Roman" w:hAnsi="Times New Roman" w:cs="Times New Roman"/>
          <w:sz w:val="24"/>
          <w:szCs w:val="24"/>
        </w:rPr>
        <w:t xml:space="preserve"> </w:t>
      </w:r>
      <w:r w:rsidR="00C232AE" w:rsidRPr="00C43E6D">
        <w:rPr>
          <w:rFonts w:ascii="Times New Roman" w:hAnsi="Times New Roman" w:cs="Times New Roman"/>
          <w:sz w:val="24"/>
          <w:szCs w:val="24"/>
        </w:rPr>
        <w:t>În baza datelor disponibile pe platforma AGSI</w:t>
      </w:r>
      <w:r w:rsidR="00982093">
        <w:rPr>
          <w:rStyle w:val="FootnoteReference"/>
          <w:rFonts w:ascii="Times New Roman" w:hAnsi="Times New Roman" w:cs="Times New Roman"/>
          <w:sz w:val="24"/>
          <w:szCs w:val="24"/>
        </w:rPr>
        <w:footnoteReference w:id="7"/>
      </w:r>
      <w:r w:rsidR="00C232AE" w:rsidRPr="00C43E6D">
        <w:rPr>
          <w:rFonts w:ascii="Times New Roman" w:hAnsi="Times New Roman" w:cs="Times New Roman"/>
          <w:sz w:val="24"/>
          <w:szCs w:val="24"/>
        </w:rPr>
        <w:t xml:space="preserve"> (Aggregated Gas Storage Inventory)</w:t>
      </w:r>
      <w:r w:rsidR="00666343" w:rsidRPr="00C43E6D">
        <w:rPr>
          <w:rFonts w:ascii="Times New Roman" w:hAnsi="Times New Roman" w:cs="Times New Roman"/>
          <w:sz w:val="24"/>
          <w:szCs w:val="24"/>
        </w:rPr>
        <w:t>, în</w:t>
      </w:r>
      <w:r w:rsidR="00C232AE" w:rsidRPr="00C43E6D">
        <w:rPr>
          <w:rFonts w:ascii="Times New Roman" w:hAnsi="Times New Roman" w:cs="Times New Roman"/>
          <w:sz w:val="24"/>
          <w:szCs w:val="24"/>
        </w:rPr>
        <w:t xml:space="preserve"> diagramele de mai jos este prezentat </w:t>
      </w:r>
      <w:r w:rsidR="00666343" w:rsidRPr="00C43E6D">
        <w:rPr>
          <w:rFonts w:ascii="Times New Roman" w:hAnsi="Times New Roman" w:cs="Times New Roman"/>
          <w:sz w:val="24"/>
          <w:szCs w:val="24"/>
        </w:rPr>
        <w:t xml:space="preserve">nivelul </w:t>
      </w:r>
      <w:r w:rsidR="00666343" w:rsidRPr="00C43E6D">
        <w:rPr>
          <w:rFonts w:ascii="Times New Roman" w:hAnsi="Times New Roman" w:cs="Times New Roman"/>
          <w:color w:val="000000"/>
          <w:sz w:val="24"/>
          <w:szCs w:val="24"/>
        </w:rPr>
        <w:t>stocurilor de gaze naturale în UE în diferite perioade pe parcursul anilor 2018</w:t>
      </w:r>
      <w:r w:rsidR="00BF4FC6">
        <w:rPr>
          <w:rFonts w:ascii="Times New Roman" w:hAnsi="Times New Roman" w:cs="Times New Roman"/>
          <w:color w:val="000000"/>
          <w:sz w:val="24"/>
          <w:szCs w:val="24"/>
        </w:rPr>
        <w:t xml:space="preserve"> </w:t>
      </w:r>
      <w:r w:rsidR="00666343" w:rsidRPr="00C43E6D">
        <w:rPr>
          <w:rFonts w:ascii="Times New Roman" w:hAnsi="Times New Roman" w:cs="Times New Roman"/>
          <w:color w:val="000000"/>
          <w:sz w:val="24"/>
          <w:szCs w:val="24"/>
        </w:rPr>
        <w:t>-</w:t>
      </w:r>
      <w:r w:rsidR="00BF4FC6">
        <w:rPr>
          <w:rFonts w:ascii="Times New Roman" w:hAnsi="Times New Roman" w:cs="Times New Roman"/>
          <w:color w:val="000000"/>
          <w:sz w:val="24"/>
          <w:szCs w:val="24"/>
        </w:rPr>
        <w:t xml:space="preserve"> </w:t>
      </w:r>
      <w:r w:rsidR="00666343" w:rsidRPr="00C43E6D">
        <w:rPr>
          <w:rFonts w:ascii="Times New Roman" w:hAnsi="Times New Roman" w:cs="Times New Roman"/>
          <w:color w:val="000000"/>
          <w:sz w:val="24"/>
          <w:szCs w:val="24"/>
        </w:rPr>
        <w:t>202</w:t>
      </w:r>
      <w:r w:rsidR="005E54AA" w:rsidRPr="00C43E6D">
        <w:rPr>
          <w:rFonts w:ascii="Times New Roman" w:hAnsi="Times New Roman" w:cs="Times New Roman"/>
          <w:color w:val="000000"/>
          <w:sz w:val="24"/>
          <w:szCs w:val="24"/>
        </w:rPr>
        <w:t>5</w:t>
      </w:r>
      <w:r w:rsidR="00EC3E7B" w:rsidRPr="00C43E6D">
        <w:rPr>
          <w:rFonts w:ascii="Times New Roman" w:hAnsi="Times New Roman" w:cs="Times New Roman"/>
          <w:color w:val="000000"/>
          <w:sz w:val="24"/>
          <w:szCs w:val="24"/>
        </w:rPr>
        <w:t xml:space="preserve"> și evoluția prețurilor gazelor naturale la bursa TTF</w:t>
      </w:r>
      <w:bookmarkStart w:id="7" w:name="_Hlk178010361"/>
      <w:r w:rsidR="008B261F" w:rsidRPr="00C43E6D">
        <w:rPr>
          <w:rFonts w:ascii="Times New Roman" w:hAnsi="Times New Roman" w:cs="Times New Roman"/>
          <w:color w:val="000000"/>
          <w:sz w:val="24"/>
          <w:szCs w:val="24"/>
        </w:rPr>
        <w:t xml:space="preserve"> (Title Transfer Facility)</w:t>
      </w:r>
      <w:bookmarkEnd w:id="7"/>
      <w:r w:rsidR="00666343" w:rsidRPr="00C43E6D">
        <w:rPr>
          <w:rFonts w:ascii="Times New Roman" w:hAnsi="Times New Roman" w:cs="Times New Roman"/>
          <w:color w:val="000000"/>
          <w:sz w:val="24"/>
          <w:szCs w:val="24"/>
        </w:rPr>
        <w:t>.</w:t>
      </w:r>
    </w:p>
    <w:p w14:paraId="54A6A878" w14:textId="48F24DF6" w:rsidR="00CD1D1F" w:rsidRPr="00C43E6D" w:rsidRDefault="00CD1D1F" w:rsidP="00571D9F">
      <w:pPr>
        <w:spacing w:after="0"/>
        <w:jc w:val="center"/>
        <w:rPr>
          <w:rFonts w:ascii="Times New Roman" w:hAnsi="Times New Roman" w:cs="Times New Roman"/>
        </w:rPr>
      </w:pPr>
      <w:r w:rsidRPr="00C43E6D">
        <w:rPr>
          <w:rFonts w:ascii="Times New Roman" w:hAnsi="Times New Roman" w:cs="Times New Roman"/>
          <w:noProof/>
        </w:rPr>
        <w:lastRenderedPageBreak/>
        <w:drawing>
          <wp:inline distT="0" distB="0" distL="0" distR="0" wp14:anchorId="12A5AEEF" wp14:editId="4E78767F">
            <wp:extent cx="6463665" cy="3327400"/>
            <wp:effectExtent l="0" t="0" r="13335" b="6350"/>
            <wp:docPr id="1" name="Chart 1">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BEDF828" w14:textId="0F98E211" w:rsidR="00571D9F" w:rsidRPr="00C43E6D" w:rsidRDefault="00090C10" w:rsidP="00405F11">
      <w:pPr>
        <w:spacing w:after="0" w:line="240" w:lineRule="auto"/>
        <w:ind w:firstLine="720"/>
        <w:jc w:val="center"/>
        <w:rPr>
          <w:rFonts w:ascii="Times New Roman" w:hAnsi="Times New Roman" w:cs="Times New Roman"/>
          <w:color w:val="000000"/>
        </w:rPr>
      </w:pPr>
      <w:r w:rsidRPr="00C43E6D">
        <w:rPr>
          <w:rFonts w:ascii="Times New Roman" w:hAnsi="Times New Roman" w:cs="Times New Roman"/>
          <w:b/>
          <w:bCs/>
          <w:color w:val="000000"/>
          <w:sz w:val="24"/>
          <w:szCs w:val="24"/>
        </w:rPr>
        <w:t xml:space="preserve">Figura </w:t>
      </w:r>
      <w:r w:rsidR="00EC3E7B" w:rsidRPr="00C43E6D">
        <w:rPr>
          <w:rFonts w:ascii="Times New Roman" w:hAnsi="Times New Roman" w:cs="Times New Roman"/>
          <w:b/>
          <w:bCs/>
          <w:color w:val="000000"/>
          <w:sz w:val="24"/>
          <w:szCs w:val="24"/>
        </w:rPr>
        <w:t>5</w:t>
      </w:r>
      <w:r w:rsidRPr="00C43E6D">
        <w:rPr>
          <w:rFonts w:ascii="Times New Roman" w:hAnsi="Times New Roman" w:cs="Times New Roman"/>
          <w:b/>
          <w:bCs/>
          <w:color w:val="000000"/>
          <w:sz w:val="24"/>
          <w:szCs w:val="24"/>
        </w:rPr>
        <w:t>.</w:t>
      </w:r>
      <w:r w:rsidRPr="00C43E6D">
        <w:rPr>
          <w:rFonts w:ascii="Times New Roman" w:hAnsi="Times New Roman" w:cs="Times New Roman"/>
          <w:color w:val="000000"/>
        </w:rPr>
        <w:t xml:space="preserve"> Nivelul stocurilor de gaze naturale în UE </w:t>
      </w:r>
      <w:r w:rsidR="00EB0AD7" w:rsidRPr="00C43E6D">
        <w:rPr>
          <w:rFonts w:ascii="Times New Roman" w:hAnsi="Times New Roman" w:cs="Times New Roman"/>
          <w:color w:val="000000"/>
        </w:rPr>
        <w:t xml:space="preserve">(%) </w:t>
      </w:r>
      <w:r w:rsidRPr="00C43E6D">
        <w:rPr>
          <w:rFonts w:ascii="Times New Roman" w:hAnsi="Times New Roman" w:cs="Times New Roman"/>
          <w:color w:val="000000"/>
        </w:rPr>
        <w:t xml:space="preserve">și evoluția prețurilor </w:t>
      </w:r>
    </w:p>
    <w:p w14:paraId="74BC13C3" w14:textId="754F7C98" w:rsidR="00090C10" w:rsidRPr="00C43E6D" w:rsidRDefault="00090C10" w:rsidP="00405F11">
      <w:pPr>
        <w:spacing w:after="0" w:line="240" w:lineRule="auto"/>
        <w:ind w:firstLine="720"/>
        <w:jc w:val="center"/>
        <w:rPr>
          <w:rFonts w:ascii="Times New Roman" w:hAnsi="Times New Roman" w:cs="Times New Roman"/>
          <w:color w:val="000000"/>
        </w:rPr>
      </w:pPr>
      <w:r w:rsidRPr="00C43E6D">
        <w:rPr>
          <w:rFonts w:ascii="Times New Roman" w:hAnsi="Times New Roman" w:cs="Times New Roman"/>
          <w:color w:val="000000"/>
        </w:rPr>
        <w:t xml:space="preserve">gazelor naturale </w:t>
      </w:r>
      <w:r w:rsidR="009B5F23" w:rsidRPr="00C43E6D">
        <w:rPr>
          <w:rFonts w:ascii="Times New Roman" w:hAnsi="Times New Roman" w:cs="Times New Roman"/>
          <w:color w:val="000000"/>
        </w:rPr>
        <w:t xml:space="preserve">la bursa </w:t>
      </w:r>
      <w:r w:rsidRPr="00C43E6D">
        <w:rPr>
          <w:rFonts w:ascii="Times New Roman" w:hAnsi="Times New Roman" w:cs="Times New Roman"/>
          <w:color w:val="000000"/>
        </w:rPr>
        <w:t>TTF Futures</w:t>
      </w:r>
      <w:r w:rsidR="00EB0AD7" w:rsidRPr="00C43E6D">
        <w:rPr>
          <w:rFonts w:ascii="Times New Roman" w:hAnsi="Times New Roman" w:cs="Times New Roman"/>
          <w:color w:val="000000"/>
        </w:rPr>
        <w:t xml:space="preserve"> (Euro/</w:t>
      </w:r>
      <w:r w:rsidR="009C0396" w:rsidRPr="00C43E6D">
        <w:rPr>
          <w:rFonts w:ascii="Times New Roman" w:hAnsi="Times New Roman" w:cs="Times New Roman"/>
          <w:color w:val="000000"/>
        </w:rPr>
        <w:t>MWh</w:t>
      </w:r>
      <w:r w:rsidR="00EB0AD7" w:rsidRPr="00C43E6D">
        <w:rPr>
          <w:rFonts w:ascii="Times New Roman" w:hAnsi="Times New Roman" w:cs="Times New Roman"/>
          <w:color w:val="000000"/>
        </w:rPr>
        <w:t>)</w:t>
      </w:r>
    </w:p>
    <w:p w14:paraId="42131117" w14:textId="0588C882" w:rsidR="00064333" w:rsidRPr="00C2166D" w:rsidRDefault="00C232AE" w:rsidP="00C2166D">
      <w:pPr>
        <w:spacing w:after="240"/>
        <w:ind w:firstLine="720"/>
        <w:jc w:val="center"/>
        <w:rPr>
          <w:rStyle w:val="Hyperlink"/>
          <w:rFonts w:ascii="Times New Roman" w:hAnsi="Times New Roman" w:cs="Times New Roman"/>
          <w:i/>
          <w:iCs/>
        </w:rPr>
      </w:pPr>
      <w:r w:rsidRPr="00C43E6D">
        <w:rPr>
          <w:rFonts w:ascii="Times New Roman" w:hAnsi="Times New Roman" w:cs="Times New Roman"/>
          <w:i/>
          <w:iCs/>
          <w:color w:val="000000"/>
        </w:rPr>
        <w:t xml:space="preserve">Sursa: </w:t>
      </w:r>
      <w:hyperlink r:id="rId21" w:history="1">
        <w:r w:rsidRPr="00C43E6D">
          <w:rPr>
            <w:rStyle w:val="Hyperlink"/>
            <w:rFonts w:ascii="Times New Roman" w:hAnsi="Times New Roman" w:cs="Times New Roman"/>
            <w:i/>
            <w:iCs/>
          </w:rPr>
          <w:t>https://agsi.gie.eu/</w:t>
        </w:r>
      </w:hyperlink>
    </w:p>
    <w:p w14:paraId="567C6ABC" w14:textId="7D030745" w:rsidR="00C2166D" w:rsidRPr="00C43E6D" w:rsidRDefault="00C2166D" w:rsidP="00D64AAF">
      <w:pPr>
        <w:spacing w:after="120"/>
        <w:jc w:val="center"/>
        <w:rPr>
          <w:rStyle w:val="Hyperlink"/>
          <w:rFonts w:ascii="Times New Roman" w:hAnsi="Times New Roman" w:cs="Times New Roman"/>
        </w:rPr>
      </w:pPr>
      <w:r>
        <w:rPr>
          <w:rStyle w:val="Hyperlink"/>
          <w:rFonts w:ascii="Times New Roman" w:hAnsi="Times New Roman" w:cs="Times New Roman"/>
          <w:noProof/>
        </w:rPr>
        <w:drawing>
          <wp:inline distT="0" distB="0" distL="0" distR="0" wp14:anchorId="3BE1462B" wp14:editId="7BDD89F9">
            <wp:extent cx="6451600" cy="25908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451600" cy="2590800"/>
                    </a:xfrm>
                    <a:prstGeom prst="rect">
                      <a:avLst/>
                    </a:prstGeom>
                    <a:noFill/>
                    <a:ln>
                      <a:noFill/>
                    </a:ln>
                  </pic:spPr>
                </pic:pic>
              </a:graphicData>
            </a:graphic>
          </wp:inline>
        </w:drawing>
      </w:r>
    </w:p>
    <w:p w14:paraId="3AF01421" w14:textId="685C0986" w:rsidR="00790186" w:rsidRPr="00C43E6D" w:rsidRDefault="00790186" w:rsidP="00D64AAF">
      <w:pPr>
        <w:spacing w:after="0" w:line="240" w:lineRule="auto"/>
        <w:jc w:val="center"/>
        <w:rPr>
          <w:rFonts w:ascii="Times New Roman" w:hAnsi="Times New Roman" w:cs="Times New Roman"/>
          <w:color w:val="000000"/>
        </w:rPr>
      </w:pPr>
      <w:r w:rsidRPr="00C43E6D">
        <w:rPr>
          <w:rFonts w:ascii="Times New Roman" w:hAnsi="Times New Roman" w:cs="Times New Roman"/>
          <w:b/>
          <w:bCs/>
          <w:color w:val="000000"/>
          <w:sz w:val="24"/>
          <w:szCs w:val="24"/>
        </w:rPr>
        <w:t xml:space="preserve">Figura </w:t>
      </w:r>
      <w:r w:rsidR="00EC3E7B" w:rsidRPr="00C43E6D">
        <w:rPr>
          <w:rFonts w:ascii="Times New Roman" w:hAnsi="Times New Roman" w:cs="Times New Roman"/>
          <w:b/>
          <w:bCs/>
          <w:color w:val="000000"/>
          <w:sz w:val="24"/>
          <w:szCs w:val="24"/>
        </w:rPr>
        <w:t>6</w:t>
      </w:r>
      <w:r w:rsidRPr="00C43E6D">
        <w:rPr>
          <w:rFonts w:ascii="Times New Roman" w:hAnsi="Times New Roman" w:cs="Times New Roman"/>
          <w:b/>
          <w:bCs/>
          <w:color w:val="000000"/>
          <w:sz w:val="24"/>
          <w:szCs w:val="24"/>
        </w:rPr>
        <w:t>.</w:t>
      </w:r>
      <w:r w:rsidRPr="00C43E6D">
        <w:rPr>
          <w:rFonts w:ascii="Times New Roman" w:hAnsi="Times New Roman" w:cs="Times New Roman"/>
          <w:color w:val="000000"/>
        </w:rPr>
        <w:t xml:space="preserve"> Evoluția lunară a prețurilor gazelor naturale la bursa TTF Futures în perioada 2018-202</w:t>
      </w:r>
      <w:r w:rsidR="00064333" w:rsidRPr="00C43E6D">
        <w:rPr>
          <w:rFonts w:ascii="Times New Roman" w:hAnsi="Times New Roman" w:cs="Times New Roman"/>
          <w:color w:val="000000"/>
        </w:rPr>
        <w:t>5</w:t>
      </w:r>
      <w:r w:rsidRPr="00C43E6D">
        <w:rPr>
          <w:rFonts w:ascii="Times New Roman" w:hAnsi="Times New Roman" w:cs="Times New Roman"/>
          <w:color w:val="000000"/>
        </w:rPr>
        <w:t>, Euro/MWh</w:t>
      </w:r>
    </w:p>
    <w:p w14:paraId="47CE354C" w14:textId="0BFF2DB0" w:rsidR="00790186" w:rsidRDefault="00790186" w:rsidP="00AA0660">
      <w:pPr>
        <w:spacing w:after="240" w:line="240" w:lineRule="auto"/>
        <w:ind w:firstLine="720"/>
        <w:jc w:val="center"/>
        <w:rPr>
          <w:rFonts w:ascii="Times New Roman" w:hAnsi="Times New Roman" w:cs="Times New Roman"/>
          <w:i/>
          <w:iCs/>
          <w:color w:val="000000"/>
        </w:rPr>
      </w:pPr>
      <w:r w:rsidRPr="00C43E6D">
        <w:rPr>
          <w:rFonts w:ascii="Times New Roman" w:hAnsi="Times New Roman" w:cs="Times New Roman"/>
          <w:i/>
          <w:iCs/>
          <w:color w:val="000000"/>
        </w:rPr>
        <w:t xml:space="preserve">Sursa: </w:t>
      </w:r>
      <w:hyperlink r:id="rId23" w:history="1">
        <w:r w:rsidRPr="00C43E6D">
          <w:rPr>
            <w:rStyle w:val="Hyperlink"/>
            <w:rFonts w:ascii="Times New Roman" w:hAnsi="Times New Roman" w:cs="Times New Roman"/>
            <w:i/>
            <w:iCs/>
          </w:rPr>
          <w:t>https://www.investing.com/commodities/dutch-ttf-gas-c1-futures</w:t>
        </w:r>
      </w:hyperlink>
      <w:r w:rsidRPr="00C43E6D">
        <w:rPr>
          <w:rFonts w:ascii="Times New Roman" w:hAnsi="Times New Roman" w:cs="Times New Roman"/>
          <w:i/>
          <w:iCs/>
          <w:color w:val="000000"/>
        </w:rPr>
        <w:t xml:space="preserve"> </w:t>
      </w:r>
    </w:p>
    <w:p w14:paraId="2C24B5C8" w14:textId="77AD27D5" w:rsidR="007E6BC4" w:rsidRPr="00C43E6D" w:rsidRDefault="007E6BC4" w:rsidP="007E6BC4">
      <w:pPr>
        <w:spacing w:after="60" w:line="276" w:lineRule="auto"/>
        <w:ind w:firstLine="540"/>
        <w:jc w:val="both"/>
        <w:rPr>
          <w:rFonts w:ascii="Times New Roman" w:hAnsi="Times New Roman" w:cs="Times New Roman"/>
          <w:color w:val="000000"/>
          <w:sz w:val="24"/>
          <w:szCs w:val="24"/>
        </w:rPr>
      </w:pPr>
      <w:r w:rsidRPr="00C43E6D">
        <w:rPr>
          <w:rFonts w:ascii="Times New Roman" w:hAnsi="Times New Roman" w:cs="Times New Roman"/>
          <w:b/>
          <w:bCs/>
          <w:color w:val="000000"/>
          <w:sz w:val="24"/>
          <w:szCs w:val="24"/>
        </w:rPr>
        <w:t>2</w:t>
      </w:r>
      <w:r>
        <w:rPr>
          <w:rFonts w:ascii="Times New Roman" w:hAnsi="Times New Roman" w:cs="Times New Roman"/>
          <w:b/>
          <w:bCs/>
          <w:color w:val="000000"/>
          <w:sz w:val="24"/>
          <w:szCs w:val="24"/>
        </w:rPr>
        <w:t>5</w:t>
      </w:r>
      <w:r w:rsidRPr="00C43E6D">
        <w:rPr>
          <w:rFonts w:ascii="Times New Roman" w:hAnsi="Times New Roman" w:cs="Times New Roman"/>
          <w:b/>
          <w:bCs/>
          <w:color w:val="000000"/>
          <w:sz w:val="24"/>
          <w:szCs w:val="24"/>
        </w:rPr>
        <w:t>.</w:t>
      </w:r>
      <w:r w:rsidRPr="00C43E6D">
        <w:rPr>
          <w:rFonts w:ascii="Times New Roman" w:hAnsi="Times New Roman" w:cs="Times New Roman"/>
          <w:color w:val="000000"/>
          <w:sz w:val="24"/>
          <w:szCs w:val="24"/>
        </w:rPr>
        <w:t xml:space="preserve"> La 1 aprilie 2025, nivelul de umplere al instalațiilor de stocare a gazelor naturale din UE este de numai 34,3% sau </w:t>
      </w:r>
      <w:r>
        <w:rPr>
          <w:rFonts w:ascii="Times New Roman" w:hAnsi="Times New Roman" w:cs="Times New Roman"/>
          <w:color w:val="000000"/>
          <w:sz w:val="24"/>
          <w:szCs w:val="24"/>
        </w:rPr>
        <w:t xml:space="preserve">aproximativ </w:t>
      </w:r>
      <w:r w:rsidRPr="00C43E6D">
        <w:rPr>
          <w:rFonts w:ascii="Times New Roman" w:hAnsi="Times New Roman" w:cs="Times New Roman"/>
          <w:color w:val="000000"/>
          <w:sz w:val="24"/>
          <w:szCs w:val="24"/>
        </w:rPr>
        <w:t>39,7 mlrd. m</w:t>
      </w:r>
      <w:r w:rsidRPr="00C43E6D">
        <w:rPr>
          <w:rFonts w:ascii="Times New Roman" w:hAnsi="Times New Roman" w:cs="Times New Roman"/>
          <w:color w:val="000000"/>
          <w:sz w:val="24"/>
          <w:szCs w:val="24"/>
          <w:vertAlign w:val="superscript"/>
        </w:rPr>
        <w:t>3</w:t>
      </w:r>
      <w:r w:rsidRPr="00C43E6D">
        <w:rPr>
          <w:rFonts w:ascii="Times New Roman" w:hAnsi="Times New Roman" w:cs="Times New Roman"/>
          <w:color w:val="000000"/>
          <w:sz w:val="24"/>
          <w:szCs w:val="24"/>
        </w:rPr>
        <w:t xml:space="preserve">, fiind cu circa 15% sau </w:t>
      </w:r>
      <w:r w:rsidR="00C2166D">
        <w:rPr>
          <w:rFonts w:ascii="Times New Roman" w:hAnsi="Times New Roman" w:cs="Times New Roman"/>
          <w:color w:val="000000"/>
          <w:sz w:val="24"/>
          <w:szCs w:val="24"/>
        </w:rPr>
        <w:t xml:space="preserve">cu </w:t>
      </w:r>
      <w:r w:rsidRPr="00C43E6D">
        <w:rPr>
          <w:rFonts w:ascii="Times New Roman" w:hAnsi="Times New Roman" w:cs="Times New Roman"/>
          <w:color w:val="000000"/>
          <w:sz w:val="24"/>
          <w:szCs w:val="24"/>
        </w:rPr>
        <w:t>28,8 mlrd. m</w:t>
      </w:r>
      <w:r w:rsidRPr="00C43E6D">
        <w:rPr>
          <w:rFonts w:ascii="Times New Roman" w:hAnsi="Times New Roman" w:cs="Times New Roman"/>
          <w:color w:val="000000"/>
          <w:sz w:val="24"/>
          <w:szCs w:val="24"/>
          <w:vertAlign w:val="superscript"/>
        </w:rPr>
        <w:t>3</w:t>
      </w:r>
      <w:r w:rsidRPr="00C43E6D">
        <w:rPr>
          <w:rFonts w:ascii="Times New Roman" w:hAnsi="Times New Roman" w:cs="Times New Roman"/>
          <w:color w:val="000000"/>
          <w:sz w:val="24"/>
          <w:szCs w:val="24"/>
        </w:rPr>
        <w:t xml:space="preserve"> mai mic comparativ cu nivelul de umplere al instalațiilor de stocare a gazelor naturale înregistrat la 1 aprilie 2024. </w:t>
      </w:r>
    </w:p>
    <w:p w14:paraId="175E8F01" w14:textId="7AB7009A" w:rsidR="007E6BC4" w:rsidRPr="00C43E6D" w:rsidRDefault="007E6BC4" w:rsidP="007E6BC4">
      <w:pPr>
        <w:spacing w:after="60" w:line="276" w:lineRule="auto"/>
        <w:jc w:val="both"/>
        <w:rPr>
          <w:rFonts w:ascii="Times New Roman" w:hAnsi="Times New Roman" w:cs="Times New Roman"/>
          <w:color w:val="000000"/>
          <w:sz w:val="24"/>
          <w:szCs w:val="24"/>
          <w:shd w:val="clear" w:color="auto" w:fill="FFFF00"/>
        </w:rPr>
      </w:pPr>
      <w:r w:rsidRPr="00C43E6D">
        <w:rPr>
          <w:rFonts w:ascii="Times New Roman" w:hAnsi="Times New Roman" w:cs="Times New Roman"/>
          <w:color w:val="000000"/>
          <w:sz w:val="24"/>
          <w:szCs w:val="24"/>
          <w:shd w:val="clear" w:color="auto" w:fill="FFFFFF" w:themeFill="background1"/>
        </w:rPr>
        <w:t xml:space="preserve">Timpul mai rece din sezonul de încălzire 2024-2025, împreună cu expirarea contractului de </w:t>
      </w:r>
      <w:r w:rsidR="00C2166D" w:rsidRPr="00C43E6D">
        <w:rPr>
          <w:rFonts w:ascii="Times New Roman" w:hAnsi="Times New Roman" w:cs="Times New Roman"/>
          <w:color w:val="000000"/>
          <w:sz w:val="24"/>
          <w:szCs w:val="24"/>
          <w:shd w:val="clear" w:color="auto" w:fill="FFFFFF" w:themeFill="background1"/>
        </w:rPr>
        <w:t>tran</w:t>
      </w:r>
      <w:r w:rsidR="00C2166D">
        <w:rPr>
          <w:rFonts w:ascii="Times New Roman" w:hAnsi="Times New Roman" w:cs="Times New Roman"/>
          <w:color w:val="000000"/>
          <w:sz w:val="24"/>
          <w:szCs w:val="24"/>
          <w:shd w:val="clear" w:color="auto" w:fill="FFFFFF" w:themeFill="background1"/>
        </w:rPr>
        <w:t xml:space="preserve">sport al gazelor naturale </w:t>
      </w:r>
      <w:r w:rsidRPr="00C43E6D">
        <w:rPr>
          <w:rFonts w:ascii="Times New Roman" w:hAnsi="Times New Roman" w:cs="Times New Roman"/>
          <w:color w:val="000000"/>
          <w:sz w:val="24"/>
          <w:szCs w:val="24"/>
          <w:shd w:val="clear" w:color="auto" w:fill="FFFFFF" w:themeFill="background1"/>
        </w:rPr>
        <w:t>dintre Ucraina și Rusia în decembrie 2024 și prețurile ridicate la gaze</w:t>
      </w:r>
      <w:r>
        <w:rPr>
          <w:rFonts w:ascii="Times New Roman" w:hAnsi="Times New Roman" w:cs="Times New Roman"/>
          <w:color w:val="000000"/>
          <w:sz w:val="24"/>
          <w:szCs w:val="24"/>
          <w:shd w:val="clear" w:color="auto" w:fill="FFFFFF" w:themeFill="background1"/>
        </w:rPr>
        <w:t>le naturale</w:t>
      </w:r>
      <w:r w:rsidRPr="00C43E6D">
        <w:rPr>
          <w:rFonts w:ascii="Times New Roman" w:hAnsi="Times New Roman" w:cs="Times New Roman"/>
          <w:color w:val="000000"/>
          <w:sz w:val="24"/>
          <w:szCs w:val="24"/>
          <w:shd w:val="clear" w:color="auto" w:fill="FFFFFF" w:themeFill="background1"/>
        </w:rPr>
        <w:t>, au contribuit la utilizarea pe scară largă a instalațiilor de stocare din Europa.</w:t>
      </w:r>
    </w:p>
    <w:p w14:paraId="57885F26" w14:textId="02C32DD8" w:rsidR="007E6BC4" w:rsidRPr="007E6BC4" w:rsidRDefault="007E6BC4" w:rsidP="007E6BC4">
      <w:pPr>
        <w:spacing w:after="60" w:line="276" w:lineRule="auto"/>
        <w:jc w:val="both"/>
        <w:rPr>
          <w:rStyle w:val="Hyperlink"/>
          <w:rFonts w:ascii="Times New Roman" w:hAnsi="Times New Roman" w:cs="Times New Roman"/>
          <w:color w:val="000000"/>
          <w:sz w:val="24"/>
          <w:szCs w:val="24"/>
          <w:u w:val="none"/>
        </w:rPr>
      </w:pPr>
      <w:r w:rsidRPr="00C43E6D">
        <w:rPr>
          <w:rFonts w:ascii="Times New Roman" w:hAnsi="Times New Roman" w:cs="Times New Roman"/>
          <w:color w:val="000000"/>
          <w:sz w:val="24"/>
          <w:szCs w:val="24"/>
        </w:rPr>
        <w:t xml:space="preserve">La situația din 1 </w:t>
      </w:r>
      <w:r w:rsidR="00C2166D" w:rsidRPr="00C43E6D">
        <w:rPr>
          <w:rFonts w:ascii="Times New Roman" w:hAnsi="Times New Roman" w:cs="Times New Roman"/>
          <w:color w:val="000000"/>
          <w:sz w:val="24"/>
          <w:szCs w:val="24"/>
        </w:rPr>
        <w:t>iu</w:t>
      </w:r>
      <w:r w:rsidR="00C2166D">
        <w:rPr>
          <w:rFonts w:ascii="Times New Roman" w:hAnsi="Times New Roman" w:cs="Times New Roman"/>
          <w:color w:val="000000"/>
          <w:sz w:val="24"/>
          <w:szCs w:val="24"/>
        </w:rPr>
        <w:t>l</w:t>
      </w:r>
      <w:r w:rsidR="00C2166D" w:rsidRPr="00C43E6D">
        <w:rPr>
          <w:rFonts w:ascii="Times New Roman" w:hAnsi="Times New Roman" w:cs="Times New Roman"/>
          <w:color w:val="000000"/>
          <w:sz w:val="24"/>
          <w:szCs w:val="24"/>
        </w:rPr>
        <w:t xml:space="preserve">ie </w:t>
      </w:r>
      <w:r w:rsidRPr="00C43E6D">
        <w:rPr>
          <w:rFonts w:ascii="Times New Roman" w:hAnsi="Times New Roman" w:cs="Times New Roman"/>
          <w:color w:val="000000"/>
          <w:sz w:val="24"/>
          <w:szCs w:val="24"/>
        </w:rPr>
        <w:t xml:space="preserve">2025, nivelul de umplere al instalațiilor de stocare a gazelor naturale este de </w:t>
      </w:r>
      <w:r w:rsidR="00C2166D">
        <w:rPr>
          <w:rFonts w:ascii="Times New Roman" w:hAnsi="Times New Roman" w:cs="Times New Roman"/>
          <w:color w:val="000000"/>
          <w:sz w:val="24"/>
          <w:szCs w:val="24"/>
        </w:rPr>
        <w:t>59,15</w:t>
      </w:r>
      <w:r w:rsidRPr="00C43E6D">
        <w:rPr>
          <w:rFonts w:ascii="Times New Roman" w:hAnsi="Times New Roman" w:cs="Times New Roman"/>
          <w:color w:val="000000"/>
          <w:sz w:val="24"/>
          <w:szCs w:val="24"/>
        </w:rPr>
        <w:t xml:space="preserve">%, fiind cu circa </w:t>
      </w:r>
      <w:r w:rsidR="00C2166D">
        <w:rPr>
          <w:rFonts w:ascii="Times New Roman" w:hAnsi="Times New Roman" w:cs="Times New Roman"/>
          <w:color w:val="000000"/>
          <w:sz w:val="24"/>
          <w:szCs w:val="24"/>
        </w:rPr>
        <w:t>18,5</w:t>
      </w:r>
      <w:r w:rsidRPr="00C43E6D">
        <w:rPr>
          <w:rFonts w:ascii="Times New Roman" w:hAnsi="Times New Roman" w:cs="Times New Roman"/>
          <w:color w:val="000000"/>
          <w:sz w:val="24"/>
          <w:szCs w:val="24"/>
        </w:rPr>
        <w:t xml:space="preserve">% mai </w:t>
      </w:r>
      <w:r>
        <w:rPr>
          <w:rFonts w:ascii="Times New Roman" w:hAnsi="Times New Roman" w:cs="Times New Roman"/>
          <w:color w:val="000000"/>
          <w:sz w:val="24"/>
          <w:szCs w:val="24"/>
        </w:rPr>
        <w:t>mic</w:t>
      </w:r>
      <w:r w:rsidRPr="00C43E6D">
        <w:rPr>
          <w:rFonts w:ascii="Times New Roman" w:hAnsi="Times New Roman" w:cs="Times New Roman"/>
          <w:color w:val="000000"/>
          <w:sz w:val="24"/>
          <w:szCs w:val="24"/>
        </w:rPr>
        <w:t xml:space="preserve"> comparativ cu nivelul de umplere al instalațiilor de stocare a gazelor naturale înregistrat la 1 </w:t>
      </w:r>
      <w:r w:rsidR="00C2166D" w:rsidRPr="00C43E6D">
        <w:rPr>
          <w:rFonts w:ascii="Times New Roman" w:hAnsi="Times New Roman" w:cs="Times New Roman"/>
          <w:color w:val="000000"/>
          <w:sz w:val="24"/>
          <w:szCs w:val="24"/>
        </w:rPr>
        <w:t>iu</w:t>
      </w:r>
      <w:r w:rsidR="00C2166D">
        <w:rPr>
          <w:rFonts w:ascii="Times New Roman" w:hAnsi="Times New Roman" w:cs="Times New Roman"/>
          <w:color w:val="000000"/>
          <w:sz w:val="24"/>
          <w:szCs w:val="24"/>
        </w:rPr>
        <w:t>l</w:t>
      </w:r>
      <w:r w:rsidR="00C2166D" w:rsidRPr="00C43E6D">
        <w:rPr>
          <w:rFonts w:ascii="Times New Roman" w:hAnsi="Times New Roman" w:cs="Times New Roman"/>
          <w:color w:val="000000"/>
          <w:sz w:val="24"/>
          <w:szCs w:val="24"/>
        </w:rPr>
        <w:t xml:space="preserve">ie </w:t>
      </w:r>
      <w:r w:rsidRPr="00C43E6D">
        <w:rPr>
          <w:rFonts w:ascii="Times New Roman" w:hAnsi="Times New Roman" w:cs="Times New Roman"/>
          <w:color w:val="000000"/>
          <w:sz w:val="24"/>
          <w:szCs w:val="24"/>
        </w:rPr>
        <w:t>2024.</w:t>
      </w:r>
    </w:p>
    <w:p w14:paraId="588F2C79" w14:textId="01FB2497" w:rsidR="00EA3DF4" w:rsidRPr="00C43E6D" w:rsidRDefault="00EA3DF4" w:rsidP="00D53CC7">
      <w:pPr>
        <w:spacing w:after="0"/>
        <w:jc w:val="center"/>
        <w:rPr>
          <w:rFonts w:ascii="Times New Roman" w:hAnsi="Times New Roman" w:cs="Times New Roman"/>
          <w:b/>
          <w:bCs/>
          <w:color w:val="000000"/>
        </w:rPr>
      </w:pPr>
      <w:r w:rsidRPr="00C43E6D">
        <w:rPr>
          <w:rFonts w:ascii="Times New Roman" w:hAnsi="Times New Roman" w:cs="Times New Roman"/>
          <w:b/>
          <w:bCs/>
          <w:noProof/>
          <w:color w:val="000000"/>
        </w:rPr>
        <w:lastRenderedPageBreak/>
        <w:drawing>
          <wp:inline distT="0" distB="0" distL="0" distR="0" wp14:anchorId="68ECA13A" wp14:editId="5A0835A2">
            <wp:extent cx="6454775" cy="297180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454775" cy="2971800"/>
                    </a:xfrm>
                    <a:prstGeom prst="rect">
                      <a:avLst/>
                    </a:prstGeom>
                    <a:noFill/>
                    <a:ln>
                      <a:noFill/>
                    </a:ln>
                  </pic:spPr>
                </pic:pic>
              </a:graphicData>
            </a:graphic>
          </wp:inline>
        </w:drawing>
      </w:r>
    </w:p>
    <w:p w14:paraId="7FAEACEE" w14:textId="620DDFBA" w:rsidR="00666343" w:rsidRPr="00C43E6D" w:rsidRDefault="00666343" w:rsidP="00666343">
      <w:pPr>
        <w:spacing w:after="0"/>
        <w:ind w:firstLine="720"/>
        <w:jc w:val="center"/>
        <w:rPr>
          <w:rFonts w:ascii="Times New Roman" w:hAnsi="Times New Roman" w:cs="Times New Roman"/>
          <w:color w:val="000000"/>
        </w:rPr>
      </w:pPr>
      <w:r w:rsidRPr="00C43E6D">
        <w:rPr>
          <w:rFonts w:ascii="Times New Roman" w:hAnsi="Times New Roman" w:cs="Times New Roman"/>
          <w:b/>
          <w:bCs/>
          <w:color w:val="000000"/>
          <w:sz w:val="24"/>
          <w:szCs w:val="24"/>
        </w:rPr>
        <w:t xml:space="preserve">Figura </w:t>
      </w:r>
      <w:r w:rsidR="00EC3E7B" w:rsidRPr="00C43E6D">
        <w:rPr>
          <w:rFonts w:ascii="Times New Roman" w:hAnsi="Times New Roman" w:cs="Times New Roman"/>
          <w:b/>
          <w:bCs/>
          <w:color w:val="000000"/>
          <w:sz w:val="24"/>
          <w:szCs w:val="24"/>
        </w:rPr>
        <w:t>7</w:t>
      </w:r>
      <w:r w:rsidRPr="00C43E6D">
        <w:rPr>
          <w:rFonts w:ascii="Times New Roman" w:hAnsi="Times New Roman" w:cs="Times New Roman"/>
          <w:b/>
          <w:bCs/>
          <w:color w:val="000000"/>
          <w:sz w:val="24"/>
          <w:szCs w:val="24"/>
        </w:rPr>
        <w:t>.</w:t>
      </w:r>
      <w:r w:rsidRPr="00C43E6D">
        <w:rPr>
          <w:rFonts w:ascii="Times New Roman" w:hAnsi="Times New Roman" w:cs="Times New Roman"/>
          <w:color w:val="000000"/>
        </w:rPr>
        <w:t xml:space="preserve"> Nivelul stocurilor de gaze naturale în UE la situația din 1 Aprilie 2018-</w:t>
      </w:r>
      <w:r w:rsidR="00B24982" w:rsidRPr="00C43E6D">
        <w:rPr>
          <w:rFonts w:ascii="Times New Roman" w:hAnsi="Times New Roman" w:cs="Times New Roman"/>
          <w:color w:val="000000"/>
        </w:rPr>
        <w:t>202</w:t>
      </w:r>
      <w:r w:rsidR="00EA3DF4" w:rsidRPr="00C43E6D">
        <w:rPr>
          <w:rFonts w:ascii="Times New Roman" w:hAnsi="Times New Roman" w:cs="Times New Roman"/>
          <w:color w:val="000000"/>
        </w:rPr>
        <w:t>5</w:t>
      </w:r>
      <w:r w:rsidRPr="00C43E6D">
        <w:rPr>
          <w:rFonts w:ascii="Times New Roman" w:hAnsi="Times New Roman" w:cs="Times New Roman"/>
          <w:color w:val="000000"/>
        </w:rPr>
        <w:t>, %/mlrd. m</w:t>
      </w:r>
      <w:r w:rsidRPr="00C43E6D">
        <w:rPr>
          <w:rFonts w:ascii="Times New Roman" w:hAnsi="Times New Roman" w:cs="Times New Roman"/>
          <w:color w:val="000000"/>
          <w:vertAlign w:val="superscript"/>
        </w:rPr>
        <w:t>3</w:t>
      </w:r>
      <w:r w:rsidR="00D84B3F" w:rsidRPr="00C43E6D">
        <w:rPr>
          <w:rFonts w:ascii="Times New Roman" w:hAnsi="Times New Roman" w:cs="Times New Roman"/>
          <w:color w:val="000000"/>
        </w:rPr>
        <w:t xml:space="preserve"> </w:t>
      </w:r>
    </w:p>
    <w:p w14:paraId="6B2D2FCD" w14:textId="77777777" w:rsidR="00666343" w:rsidRPr="00C43E6D" w:rsidRDefault="00666343" w:rsidP="007E41F9">
      <w:pPr>
        <w:spacing w:after="60"/>
        <w:ind w:firstLine="720"/>
        <w:jc w:val="center"/>
        <w:rPr>
          <w:rFonts w:ascii="Times New Roman" w:hAnsi="Times New Roman" w:cs="Times New Roman"/>
          <w:i/>
          <w:iCs/>
          <w:color w:val="000000"/>
        </w:rPr>
      </w:pPr>
      <w:r w:rsidRPr="00C43E6D">
        <w:rPr>
          <w:rFonts w:ascii="Times New Roman" w:hAnsi="Times New Roman" w:cs="Times New Roman"/>
          <w:i/>
          <w:iCs/>
          <w:color w:val="000000"/>
        </w:rPr>
        <w:t xml:space="preserve">Sursa: </w:t>
      </w:r>
      <w:hyperlink r:id="rId25" w:history="1">
        <w:r w:rsidRPr="00C43E6D">
          <w:rPr>
            <w:rStyle w:val="Hyperlink"/>
            <w:rFonts w:ascii="Times New Roman" w:hAnsi="Times New Roman" w:cs="Times New Roman"/>
            <w:i/>
            <w:iCs/>
          </w:rPr>
          <w:t>https://agsi.gie.eu/</w:t>
        </w:r>
      </w:hyperlink>
    </w:p>
    <w:p w14:paraId="13F50E24" w14:textId="7B6F1609" w:rsidR="00CE7A70" w:rsidRPr="000B163D" w:rsidRDefault="00CE7A70" w:rsidP="00C958F1">
      <w:pPr>
        <w:spacing w:after="60" w:line="276" w:lineRule="auto"/>
        <w:ind w:firstLine="567"/>
        <w:jc w:val="both"/>
        <w:rPr>
          <w:rFonts w:ascii="Times New Roman" w:hAnsi="Times New Roman" w:cs="Times New Roman"/>
          <w:sz w:val="24"/>
          <w:szCs w:val="24"/>
        </w:rPr>
      </w:pPr>
      <w:bookmarkStart w:id="8" w:name="_Hlk135658389"/>
      <w:r w:rsidRPr="000B163D">
        <w:rPr>
          <w:rFonts w:ascii="Times New Roman" w:hAnsi="Times New Roman" w:cs="Times New Roman"/>
          <w:b/>
          <w:bCs/>
          <w:sz w:val="24"/>
          <w:szCs w:val="24"/>
        </w:rPr>
        <w:t>2</w:t>
      </w:r>
      <w:r w:rsidR="00A94902">
        <w:rPr>
          <w:rFonts w:ascii="Times New Roman" w:hAnsi="Times New Roman" w:cs="Times New Roman"/>
          <w:b/>
          <w:bCs/>
          <w:sz w:val="24"/>
          <w:szCs w:val="24"/>
        </w:rPr>
        <w:t>6</w:t>
      </w:r>
      <w:r w:rsidRPr="000B163D">
        <w:rPr>
          <w:rFonts w:ascii="Times New Roman" w:hAnsi="Times New Roman" w:cs="Times New Roman"/>
          <w:b/>
          <w:bCs/>
          <w:sz w:val="24"/>
          <w:szCs w:val="24"/>
        </w:rPr>
        <w:t>.</w:t>
      </w:r>
      <w:r w:rsidRPr="000B163D">
        <w:rPr>
          <w:rFonts w:ascii="Times New Roman" w:hAnsi="Times New Roman" w:cs="Times New Roman"/>
          <w:sz w:val="24"/>
          <w:szCs w:val="24"/>
        </w:rPr>
        <w:t xml:space="preserve"> Operatorii sistemelor de transport al gazelor naturale (OST) din Grecia (SA „DESFA”), Bulgaria (EAD „Bulgartransgaz”), Republica Moldova (SRL „Vestmoldtransgaz”), România (SA </w:t>
      </w:r>
      <w:r w:rsidR="00DE6DA3" w:rsidRPr="000B163D">
        <w:rPr>
          <w:rFonts w:ascii="Times New Roman" w:hAnsi="Times New Roman" w:cs="Times New Roman"/>
          <w:sz w:val="24"/>
          <w:szCs w:val="24"/>
        </w:rPr>
        <w:t>„</w:t>
      </w:r>
      <w:r w:rsidRPr="000B163D">
        <w:rPr>
          <w:rFonts w:ascii="Times New Roman" w:hAnsi="Times New Roman" w:cs="Times New Roman"/>
          <w:sz w:val="24"/>
          <w:szCs w:val="24"/>
        </w:rPr>
        <w:t>Transgaz</w:t>
      </w:r>
      <w:r w:rsidR="00DE6DA3" w:rsidRPr="000B163D">
        <w:rPr>
          <w:rFonts w:ascii="Times New Roman" w:hAnsi="Times New Roman" w:cs="Times New Roman"/>
          <w:sz w:val="24"/>
          <w:szCs w:val="24"/>
        </w:rPr>
        <w:t>”</w:t>
      </w:r>
      <w:r w:rsidRPr="000B163D">
        <w:rPr>
          <w:rFonts w:ascii="Times New Roman" w:hAnsi="Times New Roman" w:cs="Times New Roman"/>
          <w:sz w:val="24"/>
          <w:szCs w:val="24"/>
        </w:rPr>
        <w:t>) și Ucraina (OST din Ucraina) începând cu luna iunie propun în comun un produs de capacitate lunară fermă grupată pentru perioada iunie-octombrie 2025, care va facilita transportul de gaze naturale din Grecia spre Ucraina.</w:t>
      </w:r>
    </w:p>
    <w:p w14:paraId="231F7D88" w14:textId="02AB702C" w:rsidR="00D3554A" w:rsidRPr="000B163D" w:rsidRDefault="00D3554A" w:rsidP="00C958F1">
      <w:pPr>
        <w:spacing w:after="60" w:line="276" w:lineRule="auto"/>
        <w:jc w:val="both"/>
        <w:rPr>
          <w:rFonts w:ascii="Times New Roman" w:hAnsi="Times New Roman" w:cs="Times New Roman"/>
          <w:sz w:val="24"/>
          <w:szCs w:val="24"/>
        </w:rPr>
      </w:pPr>
      <w:r w:rsidRPr="000B163D">
        <w:rPr>
          <w:rFonts w:ascii="Times New Roman" w:hAnsi="Times New Roman" w:cs="Times New Roman"/>
          <w:sz w:val="24"/>
          <w:szCs w:val="24"/>
        </w:rPr>
        <w:t>Pentru a se asigura că produsul oferit va fi utilizat corect și numai în scopul livrărilor către Ucraina, participanților la licitație nu li se va permite accesul la punctele naționale virtuale de tranzacționare („PVT”) și la punctele naționale de ieșire din țările situate pe ruta respectivă, cu excepția Ucrainei. Ținând cont de aceste restricții, produsul de rută va fi oferit la un preț de rezervă egal cu suma prețurilor de rezervă aplicabile capacității lunare la punctele de import pentru luna respectivă, reduse cu 25% (cu 46% de către OST din Ucraina).</w:t>
      </w:r>
    </w:p>
    <w:p w14:paraId="6B97B626" w14:textId="322785A5" w:rsidR="00CE7A70" w:rsidRPr="000B163D" w:rsidRDefault="00CE7A70" w:rsidP="00C958F1">
      <w:pPr>
        <w:spacing w:after="60" w:line="276" w:lineRule="auto"/>
        <w:jc w:val="both"/>
        <w:rPr>
          <w:rFonts w:ascii="Times New Roman" w:hAnsi="Times New Roman" w:cs="Times New Roman"/>
          <w:sz w:val="24"/>
          <w:szCs w:val="24"/>
        </w:rPr>
      </w:pPr>
      <w:r w:rsidRPr="000B163D">
        <w:rPr>
          <w:rFonts w:ascii="Times New Roman" w:hAnsi="Times New Roman" w:cs="Times New Roman"/>
          <w:sz w:val="24"/>
          <w:szCs w:val="24"/>
        </w:rPr>
        <w:t xml:space="preserve">Până în octombrie 2025, Ucraina urmează să injecteze aproximativ 5 </w:t>
      </w:r>
      <w:r w:rsidR="0035326F">
        <w:rPr>
          <w:rFonts w:ascii="Times New Roman" w:hAnsi="Times New Roman" w:cs="Times New Roman"/>
          <w:sz w:val="24"/>
          <w:szCs w:val="24"/>
        </w:rPr>
        <w:t>mlrd. m</w:t>
      </w:r>
      <w:r w:rsidR="0035326F">
        <w:rPr>
          <w:rFonts w:ascii="Times New Roman" w:hAnsi="Times New Roman" w:cs="Times New Roman"/>
          <w:sz w:val="24"/>
          <w:szCs w:val="24"/>
          <w:vertAlign w:val="superscript"/>
        </w:rPr>
        <w:t>3</w:t>
      </w:r>
      <w:r w:rsidRPr="000B163D">
        <w:rPr>
          <w:rFonts w:ascii="Times New Roman" w:hAnsi="Times New Roman" w:cs="Times New Roman"/>
          <w:sz w:val="24"/>
          <w:szCs w:val="24"/>
        </w:rPr>
        <w:t xml:space="preserve"> de gaze naturale în instalațiile sale de </w:t>
      </w:r>
      <w:r w:rsidR="00DA771E" w:rsidRPr="000B163D">
        <w:rPr>
          <w:rFonts w:ascii="Times New Roman" w:hAnsi="Times New Roman" w:cs="Times New Roman"/>
          <w:sz w:val="24"/>
          <w:szCs w:val="24"/>
        </w:rPr>
        <w:t>stocare</w:t>
      </w:r>
      <w:r w:rsidRPr="000B163D">
        <w:rPr>
          <w:rFonts w:ascii="Times New Roman" w:hAnsi="Times New Roman" w:cs="Times New Roman"/>
          <w:sz w:val="24"/>
          <w:szCs w:val="24"/>
        </w:rPr>
        <w:t xml:space="preserve"> subterană pentru a se pregăti pentru sezonul de iarnă și pentru a garanta securitatea consumatorilor vulnerabili.</w:t>
      </w:r>
      <w:r w:rsidR="007E6BC4">
        <w:rPr>
          <w:rFonts w:ascii="Times New Roman" w:hAnsi="Times New Roman" w:cs="Times New Roman"/>
          <w:sz w:val="24"/>
          <w:szCs w:val="24"/>
        </w:rPr>
        <w:t xml:space="preserve"> </w:t>
      </w:r>
      <w:r w:rsidRPr="000B163D">
        <w:rPr>
          <w:rFonts w:ascii="Times New Roman" w:hAnsi="Times New Roman" w:cs="Times New Roman"/>
          <w:sz w:val="24"/>
          <w:szCs w:val="24"/>
        </w:rPr>
        <w:t>Această acțiune comună de solidaritate a OST vizează satisfacerea nevoilor urgente ale Ucrainei, având în vedere poziția critică în care a fost pusă țara. Aceasta va facilita procurarea de către Ucraina a unei părți din cantitățile necesare prin surse diverse, inclusiv GNL din SUA și alte surse fiabile prin ruta transbalcanică, permițând diversificarea și creșterea siguranței în aprovizionare.</w:t>
      </w:r>
    </w:p>
    <w:bookmarkEnd w:id="8"/>
    <w:p w14:paraId="27BE5E85" w14:textId="31048D17" w:rsidR="0015361E" w:rsidRPr="00C43E6D" w:rsidRDefault="006A1540" w:rsidP="00C958F1">
      <w:pPr>
        <w:shd w:val="clear" w:color="auto" w:fill="FFFFFF" w:themeFill="background1"/>
        <w:spacing w:after="60" w:line="276" w:lineRule="auto"/>
        <w:ind w:firstLine="547"/>
        <w:jc w:val="both"/>
        <w:rPr>
          <w:rFonts w:ascii="Times New Roman" w:hAnsi="Times New Roman" w:cs="Times New Roman"/>
          <w:sz w:val="24"/>
          <w:szCs w:val="24"/>
        </w:rPr>
      </w:pPr>
      <w:r w:rsidRPr="00C43E6D">
        <w:rPr>
          <w:rFonts w:ascii="Times New Roman" w:hAnsi="Times New Roman" w:cs="Times New Roman"/>
          <w:b/>
          <w:bCs/>
          <w:sz w:val="24"/>
          <w:szCs w:val="24"/>
        </w:rPr>
        <w:t>2</w:t>
      </w:r>
      <w:r w:rsidR="00A94902">
        <w:rPr>
          <w:rFonts w:ascii="Times New Roman" w:hAnsi="Times New Roman" w:cs="Times New Roman"/>
          <w:b/>
          <w:bCs/>
          <w:sz w:val="24"/>
          <w:szCs w:val="24"/>
        </w:rPr>
        <w:t>7</w:t>
      </w:r>
      <w:r w:rsidR="008B261F" w:rsidRPr="00C43E6D">
        <w:rPr>
          <w:rFonts w:ascii="Times New Roman" w:hAnsi="Times New Roman" w:cs="Times New Roman"/>
          <w:b/>
          <w:bCs/>
          <w:sz w:val="24"/>
          <w:szCs w:val="24"/>
        </w:rPr>
        <w:t>.</w:t>
      </w:r>
      <w:r w:rsidR="008B261F" w:rsidRPr="00C43E6D">
        <w:rPr>
          <w:rFonts w:ascii="Times New Roman" w:hAnsi="Times New Roman" w:cs="Times New Roman"/>
          <w:sz w:val="24"/>
          <w:szCs w:val="24"/>
        </w:rPr>
        <w:t xml:space="preserve"> </w:t>
      </w:r>
      <w:r w:rsidR="000B163D">
        <w:rPr>
          <w:rFonts w:ascii="Times New Roman" w:hAnsi="Times New Roman" w:cs="Times New Roman"/>
          <w:sz w:val="24"/>
          <w:szCs w:val="24"/>
        </w:rPr>
        <w:t xml:space="preserve">Pentru sezonul de încălzire </w:t>
      </w:r>
      <w:r w:rsidR="0035326F">
        <w:rPr>
          <w:rFonts w:ascii="Times New Roman" w:hAnsi="Times New Roman" w:cs="Times New Roman"/>
          <w:sz w:val="24"/>
          <w:szCs w:val="24"/>
        </w:rPr>
        <w:t xml:space="preserve">2025-2026, </w:t>
      </w:r>
      <w:r w:rsidR="0035326F" w:rsidRPr="005103E9">
        <w:rPr>
          <w:rFonts w:ascii="Times New Roman" w:hAnsi="Times New Roman" w:cs="Times New Roman"/>
          <w:sz w:val="24"/>
          <w:szCs w:val="24"/>
          <w:shd w:val="clear" w:color="auto" w:fill="FFFFFF" w:themeFill="background1"/>
        </w:rPr>
        <w:t xml:space="preserve">SA „Termoelectrica” </w:t>
      </w:r>
      <w:r w:rsidR="00A70455" w:rsidRPr="005103E9">
        <w:rPr>
          <w:rFonts w:ascii="Times New Roman" w:hAnsi="Times New Roman" w:cs="Times New Roman"/>
          <w:sz w:val="24"/>
          <w:szCs w:val="24"/>
          <w:shd w:val="clear" w:color="auto" w:fill="FFFFFF" w:themeFill="background1"/>
        </w:rPr>
        <w:t>are acces la</w:t>
      </w:r>
      <w:r w:rsidR="0035326F" w:rsidRPr="005103E9">
        <w:rPr>
          <w:rFonts w:ascii="Times New Roman" w:hAnsi="Times New Roman" w:cs="Times New Roman"/>
          <w:sz w:val="24"/>
          <w:szCs w:val="24"/>
          <w:shd w:val="clear" w:color="auto" w:fill="FFFFFF" w:themeFill="background1"/>
        </w:rPr>
        <w:t xml:space="preserve"> </w:t>
      </w:r>
      <w:r w:rsidR="0078000B" w:rsidRPr="005103E9">
        <w:rPr>
          <w:rFonts w:ascii="Times New Roman" w:hAnsi="Times New Roman" w:cs="Times New Roman"/>
          <w:sz w:val="24"/>
          <w:szCs w:val="24"/>
          <w:shd w:val="clear" w:color="auto" w:fill="FFFFFF" w:themeFill="background1"/>
        </w:rPr>
        <w:t xml:space="preserve">stocuri de </w:t>
      </w:r>
      <w:r w:rsidR="0035326F" w:rsidRPr="005103E9">
        <w:rPr>
          <w:rFonts w:ascii="Times New Roman" w:hAnsi="Times New Roman" w:cs="Times New Roman"/>
          <w:sz w:val="24"/>
          <w:szCs w:val="24"/>
          <w:shd w:val="clear" w:color="auto" w:fill="FFFFFF" w:themeFill="background1"/>
        </w:rPr>
        <w:t>combustibil de rezervă</w:t>
      </w:r>
      <w:r w:rsidR="0035326F">
        <w:rPr>
          <w:rFonts w:ascii="Times New Roman" w:hAnsi="Times New Roman" w:cs="Times New Roman"/>
          <w:sz w:val="24"/>
          <w:szCs w:val="24"/>
        </w:rPr>
        <w:t xml:space="preserve"> ce ar putea fi utilizat</w:t>
      </w:r>
      <w:r w:rsidR="007E6BC4">
        <w:rPr>
          <w:rFonts w:ascii="Times New Roman" w:hAnsi="Times New Roman" w:cs="Times New Roman"/>
          <w:sz w:val="24"/>
          <w:szCs w:val="24"/>
        </w:rPr>
        <w:t>e</w:t>
      </w:r>
      <w:r w:rsidR="0035326F">
        <w:rPr>
          <w:rFonts w:ascii="Times New Roman" w:hAnsi="Times New Roman" w:cs="Times New Roman"/>
          <w:sz w:val="24"/>
          <w:szCs w:val="24"/>
        </w:rPr>
        <w:t xml:space="preserve"> în cazul unei eventuale situații excepționale în sectorul gazelor naturale. Totoadată, u</w:t>
      </w:r>
      <w:r w:rsidR="0021453F" w:rsidRPr="00C43E6D">
        <w:rPr>
          <w:rFonts w:ascii="Times New Roman" w:hAnsi="Times New Roman" w:cs="Times New Roman"/>
          <w:sz w:val="24"/>
          <w:szCs w:val="24"/>
        </w:rPr>
        <w:t>tilizarea combinată a combustibil</w:t>
      </w:r>
      <w:r w:rsidR="0078000B">
        <w:rPr>
          <w:rFonts w:ascii="Times New Roman" w:hAnsi="Times New Roman" w:cs="Times New Roman"/>
          <w:sz w:val="24"/>
          <w:szCs w:val="24"/>
        </w:rPr>
        <w:t>ilor</w:t>
      </w:r>
      <w:r w:rsidR="0021453F" w:rsidRPr="00C43E6D">
        <w:rPr>
          <w:rFonts w:ascii="Times New Roman" w:hAnsi="Times New Roman" w:cs="Times New Roman"/>
          <w:sz w:val="24"/>
          <w:szCs w:val="24"/>
        </w:rPr>
        <w:t xml:space="preserve"> gaze naturale - </w:t>
      </w:r>
      <w:r w:rsidR="0021453F" w:rsidRPr="0035326F">
        <w:rPr>
          <w:rFonts w:ascii="Times New Roman" w:hAnsi="Times New Roman" w:cs="Times New Roman"/>
          <w:color w:val="000000" w:themeColor="text1"/>
          <w:sz w:val="24"/>
          <w:szCs w:val="24"/>
        </w:rPr>
        <w:t xml:space="preserve">păcură </w:t>
      </w:r>
      <w:r w:rsidR="0035326F" w:rsidRPr="0035326F">
        <w:rPr>
          <w:rFonts w:ascii="Times New Roman" w:hAnsi="Times New Roman" w:cs="Times New Roman"/>
          <w:color w:val="000000" w:themeColor="text1"/>
          <w:sz w:val="24"/>
          <w:szCs w:val="24"/>
        </w:rPr>
        <w:t xml:space="preserve">este puțin probabilă </w:t>
      </w:r>
      <w:r w:rsidR="0021453F" w:rsidRPr="0035326F">
        <w:rPr>
          <w:rFonts w:ascii="Times New Roman" w:hAnsi="Times New Roman" w:cs="Times New Roman"/>
          <w:color w:val="000000" w:themeColor="text1"/>
          <w:sz w:val="24"/>
          <w:szCs w:val="24"/>
        </w:rPr>
        <w:t>în sezonul de încălzire 202</w:t>
      </w:r>
      <w:r w:rsidR="002B6CD1" w:rsidRPr="0035326F">
        <w:rPr>
          <w:rFonts w:ascii="Times New Roman" w:hAnsi="Times New Roman" w:cs="Times New Roman"/>
          <w:color w:val="000000" w:themeColor="text1"/>
          <w:sz w:val="24"/>
          <w:szCs w:val="24"/>
        </w:rPr>
        <w:t>5</w:t>
      </w:r>
      <w:r w:rsidR="0021453F" w:rsidRPr="0035326F">
        <w:rPr>
          <w:rFonts w:ascii="Times New Roman" w:hAnsi="Times New Roman" w:cs="Times New Roman"/>
          <w:color w:val="000000" w:themeColor="text1"/>
          <w:sz w:val="24"/>
          <w:szCs w:val="24"/>
        </w:rPr>
        <w:t>-202</w:t>
      </w:r>
      <w:r w:rsidR="002B6CD1" w:rsidRPr="0035326F">
        <w:rPr>
          <w:rFonts w:ascii="Times New Roman" w:hAnsi="Times New Roman" w:cs="Times New Roman"/>
          <w:color w:val="000000" w:themeColor="text1"/>
          <w:sz w:val="24"/>
          <w:szCs w:val="24"/>
        </w:rPr>
        <w:t>6</w:t>
      </w:r>
      <w:r w:rsidR="0021453F" w:rsidRPr="00C43E6D">
        <w:rPr>
          <w:rFonts w:ascii="Times New Roman" w:hAnsi="Times New Roman" w:cs="Times New Roman"/>
          <w:sz w:val="24"/>
          <w:szCs w:val="24"/>
        </w:rPr>
        <w:t xml:space="preserve">, având în vedere că nu se estimează a fi înregistrate </w:t>
      </w:r>
      <w:r w:rsidR="00706A61" w:rsidRPr="00C43E6D">
        <w:rPr>
          <w:rFonts w:ascii="Times New Roman" w:hAnsi="Times New Roman" w:cs="Times New Roman"/>
          <w:sz w:val="24"/>
          <w:szCs w:val="24"/>
        </w:rPr>
        <w:t xml:space="preserve">în această perioadă </w:t>
      </w:r>
      <w:r w:rsidR="0021453F" w:rsidRPr="00C43E6D">
        <w:rPr>
          <w:rFonts w:ascii="Times New Roman" w:hAnsi="Times New Roman" w:cs="Times New Roman"/>
          <w:sz w:val="24"/>
          <w:szCs w:val="24"/>
        </w:rPr>
        <w:t>deficit de gaze naturale pentru acoperirea consumului</w:t>
      </w:r>
      <w:r w:rsidR="00706A61" w:rsidRPr="00C43E6D">
        <w:rPr>
          <w:rFonts w:ascii="Times New Roman" w:hAnsi="Times New Roman" w:cs="Times New Roman"/>
          <w:sz w:val="24"/>
          <w:szCs w:val="24"/>
        </w:rPr>
        <w:t xml:space="preserve"> de gaze naturale al consumatorilor de pe malul drept</w:t>
      </w:r>
      <w:r w:rsidR="001D0FF7">
        <w:rPr>
          <w:rFonts w:ascii="Times New Roman" w:hAnsi="Times New Roman" w:cs="Times New Roman"/>
          <w:sz w:val="24"/>
          <w:szCs w:val="24"/>
        </w:rPr>
        <w:t xml:space="preserve"> al </w:t>
      </w:r>
      <w:r w:rsidR="00523288">
        <w:rPr>
          <w:rFonts w:ascii="Times New Roman" w:hAnsi="Times New Roman" w:cs="Times New Roman"/>
          <w:sz w:val="24"/>
          <w:szCs w:val="24"/>
        </w:rPr>
        <w:t xml:space="preserve">râului </w:t>
      </w:r>
      <w:r w:rsidR="001D0FF7">
        <w:rPr>
          <w:rFonts w:ascii="Times New Roman" w:hAnsi="Times New Roman" w:cs="Times New Roman"/>
          <w:sz w:val="24"/>
          <w:szCs w:val="24"/>
        </w:rPr>
        <w:t xml:space="preserve">Nistru, precum și ținând cont de stocurile de gaze naturale planificate a fi asigurate în conformitate cu Regulamentul UE </w:t>
      </w:r>
      <w:r w:rsidR="007E6BC4">
        <w:rPr>
          <w:rFonts w:ascii="Times New Roman" w:hAnsi="Times New Roman" w:cs="Times New Roman"/>
          <w:sz w:val="24"/>
          <w:szCs w:val="24"/>
        </w:rPr>
        <w:t xml:space="preserve">nr. </w:t>
      </w:r>
      <w:r w:rsidR="001D0FF7">
        <w:rPr>
          <w:rFonts w:ascii="Times New Roman" w:hAnsi="Times New Roman" w:cs="Times New Roman"/>
          <w:sz w:val="24"/>
          <w:szCs w:val="24"/>
        </w:rPr>
        <w:t>2022/1032</w:t>
      </w:r>
      <w:r w:rsidR="001D0FF7" w:rsidRPr="001D0FF7">
        <w:t xml:space="preserve"> </w:t>
      </w:r>
      <w:r w:rsidR="001D0FF7" w:rsidRPr="001D0FF7">
        <w:rPr>
          <w:rFonts w:ascii="Times New Roman" w:hAnsi="Times New Roman" w:cs="Times New Roman"/>
          <w:sz w:val="24"/>
          <w:szCs w:val="24"/>
        </w:rPr>
        <w:t>în ceea ce privește stocarea gazelor naturale</w:t>
      </w:r>
      <w:r w:rsidR="00706A61" w:rsidRPr="00C43E6D">
        <w:rPr>
          <w:rFonts w:ascii="Times New Roman" w:hAnsi="Times New Roman" w:cs="Times New Roman"/>
          <w:sz w:val="24"/>
          <w:szCs w:val="24"/>
        </w:rPr>
        <w:t>.</w:t>
      </w:r>
    </w:p>
    <w:p w14:paraId="4F46E7FD" w14:textId="07FA0803" w:rsidR="00EC3E7B" w:rsidRPr="00C43E6D" w:rsidRDefault="004E1A83" w:rsidP="00C958F1">
      <w:pPr>
        <w:pStyle w:val="cb"/>
        <w:spacing w:after="60" w:line="276" w:lineRule="auto"/>
        <w:ind w:firstLine="540"/>
        <w:jc w:val="both"/>
      </w:pPr>
      <w:r w:rsidRPr="00C43E6D">
        <w:t>2</w:t>
      </w:r>
      <w:r w:rsidR="00A94902">
        <w:t>8</w:t>
      </w:r>
      <w:r w:rsidR="008B261F" w:rsidRPr="00C43E6D">
        <w:t>.</w:t>
      </w:r>
      <w:r w:rsidR="008B261F" w:rsidRPr="00C43E6D">
        <w:rPr>
          <w:b w:val="0"/>
          <w:bCs w:val="0"/>
        </w:rPr>
        <w:t xml:space="preserve"> </w:t>
      </w:r>
      <w:r w:rsidR="00EC3E7B" w:rsidRPr="000B163D">
        <w:rPr>
          <w:b w:val="0"/>
          <w:bCs w:val="0"/>
        </w:rPr>
        <w:t xml:space="preserve">În tabelul </w:t>
      </w:r>
      <w:r w:rsidR="006B7A1A">
        <w:rPr>
          <w:b w:val="0"/>
          <w:bCs w:val="0"/>
        </w:rPr>
        <w:t>1</w:t>
      </w:r>
      <w:r w:rsidR="00EC3E7B" w:rsidRPr="00C43E6D">
        <w:rPr>
          <w:b w:val="0"/>
          <w:bCs w:val="0"/>
        </w:rPr>
        <w:t xml:space="preserve"> este prezentat </w:t>
      </w:r>
      <w:r w:rsidR="002B6CD1" w:rsidRPr="00C43E6D">
        <w:rPr>
          <w:b w:val="0"/>
          <w:bCs w:val="0"/>
        </w:rPr>
        <w:t>c</w:t>
      </w:r>
      <w:r w:rsidR="00EC3E7B" w:rsidRPr="00C43E6D">
        <w:rPr>
          <w:b w:val="0"/>
          <w:bCs w:val="0"/>
          <w:color w:val="000000"/>
        </w:rPr>
        <w:t>onsumul lunar de gaze naturale estimat al consumatorilor casnici și non-casnici din</w:t>
      </w:r>
      <w:r w:rsidR="00A1145A" w:rsidRPr="00C43E6D">
        <w:rPr>
          <w:b w:val="0"/>
          <w:bCs w:val="0"/>
          <w:color w:val="000000"/>
        </w:rPr>
        <w:t xml:space="preserve"> </w:t>
      </w:r>
      <w:r w:rsidR="00EC3E7B" w:rsidRPr="00C43E6D">
        <w:rPr>
          <w:b w:val="0"/>
          <w:bCs w:val="0"/>
          <w:color w:val="000000"/>
        </w:rPr>
        <w:t xml:space="preserve">Republica Moldova (malul drept al </w:t>
      </w:r>
      <w:r w:rsidR="00523288">
        <w:rPr>
          <w:b w:val="0"/>
          <w:bCs w:val="0"/>
          <w:color w:val="000000"/>
        </w:rPr>
        <w:t xml:space="preserve">râului </w:t>
      </w:r>
      <w:r w:rsidR="00EC3E7B" w:rsidRPr="00C43E6D">
        <w:rPr>
          <w:b w:val="0"/>
          <w:bCs w:val="0"/>
          <w:color w:val="000000"/>
        </w:rPr>
        <w:t>Nistru)</w:t>
      </w:r>
      <w:r w:rsidR="00A1145A" w:rsidRPr="00C43E6D">
        <w:rPr>
          <w:b w:val="0"/>
          <w:bCs w:val="0"/>
          <w:color w:val="000000"/>
        </w:rPr>
        <w:t xml:space="preserve">, inclusiv sectorul energetic, estimat în baza datelor disponibile privind consumul mediu de gaze naturale </w:t>
      </w:r>
      <w:r w:rsidR="00270185" w:rsidRPr="00C43E6D">
        <w:rPr>
          <w:b w:val="0"/>
          <w:bCs w:val="0"/>
          <w:color w:val="000000"/>
        </w:rPr>
        <w:t>în</w:t>
      </w:r>
      <w:r w:rsidR="002B6CD1" w:rsidRPr="00C43E6D">
        <w:rPr>
          <w:b w:val="0"/>
          <w:bCs w:val="0"/>
          <w:color w:val="000000"/>
        </w:rPr>
        <w:t>registrat în</w:t>
      </w:r>
      <w:r w:rsidR="00270185" w:rsidRPr="00C43E6D">
        <w:rPr>
          <w:b w:val="0"/>
          <w:bCs w:val="0"/>
          <w:color w:val="000000"/>
        </w:rPr>
        <w:t xml:space="preserve"> anii precedenți</w:t>
      </w:r>
      <w:r w:rsidR="00A1145A" w:rsidRPr="00C43E6D">
        <w:rPr>
          <w:b w:val="0"/>
          <w:bCs w:val="0"/>
          <w:color w:val="000000"/>
        </w:rPr>
        <w:t xml:space="preserve">. Astfel, în </w:t>
      </w:r>
      <w:r w:rsidR="002B6CD1" w:rsidRPr="00C43E6D">
        <w:rPr>
          <w:b w:val="0"/>
          <w:bCs w:val="0"/>
          <w:color w:val="000000"/>
        </w:rPr>
        <w:t>perioada octombrie</w:t>
      </w:r>
      <w:r w:rsidR="00A1145A" w:rsidRPr="00C43E6D">
        <w:rPr>
          <w:b w:val="0"/>
          <w:bCs w:val="0"/>
          <w:color w:val="000000"/>
        </w:rPr>
        <w:t xml:space="preserve"> 202</w:t>
      </w:r>
      <w:r w:rsidR="00270185" w:rsidRPr="00C43E6D">
        <w:rPr>
          <w:b w:val="0"/>
          <w:bCs w:val="0"/>
          <w:color w:val="000000"/>
        </w:rPr>
        <w:t>5</w:t>
      </w:r>
      <w:r w:rsidR="002B6CD1" w:rsidRPr="00C43E6D">
        <w:rPr>
          <w:b w:val="0"/>
          <w:bCs w:val="0"/>
          <w:color w:val="000000"/>
        </w:rPr>
        <w:t xml:space="preserve"> – aprilie </w:t>
      </w:r>
      <w:r w:rsidR="00A1145A" w:rsidRPr="00C43E6D">
        <w:rPr>
          <w:b w:val="0"/>
          <w:bCs w:val="0"/>
          <w:color w:val="000000"/>
        </w:rPr>
        <w:t>202</w:t>
      </w:r>
      <w:r w:rsidR="00270185" w:rsidRPr="00C43E6D">
        <w:rPr>
          <w:b w:val="0"/>
          <w:bCs w:val="0"/>
          <w:color w:val="000000"/>
        </w:rPr>
        <w:t>6</w:t>
      </w:r>
      <w:r w:rsidR="00A1145A" w:rsidRPr="00C43E6D">
        <w:rPr>
          <w:b w:val="0"/>
          <w:bCs w:val="0"/>
          <w:color w:val="000000"/>
        </w:rPr>
        <w:t xml:space="preserve"> se estimează un consum total de gaze naturale de </w:t>
      </w:r>
      <w:r w:rsidR="00270185" w:rsidRPr="00C43E6D">
        <w:rPr>
          <w:b w:val="0"/>
          <w:bCs w:val="0"/>
          <w:color w:val="000000"/>
        </w:rPr>
        <w:t>837,1</w:t>
      </w:r>
      <w:r w:rsidR="00A1145A" w:rsidRPr="00C43E6D">
        <w:rPr>
          <w:b w:val="0"/>
          <w:bCs w:val="0"/>
          <w:color w:val="000000"/>
        </w:rPr>
        <w:t xml:space="preserve"> mil. m</w:t>
      </w:r>
      <w:r w:rsidR="00A1145A" w:rsidRPr="00C43E6D">
        <w:rPr>
          <w:b w:val="0"/>
          <w:bCs w:val="0"/>
          <w:color w:val="000000"/>
          <w:vertAlign w:val="superscript"/>
        </w:rPr>
        <w:t>3</w:t>
      </w:r>
      <w:r w:rsidR="00A1145A" w:rsidRPr="00C43E6D">
        <w:rPr>
          <w:b w:val="0"/>
          <w:bCs w:val="0"/>
          <w:color w:val="000000"/>
        </w:rPr>
        <w:t>, din care consumatorii casnici -</w:t>
      </w:r>
      <w:r w:rsidR="001D0FF7">
        <w:rPr>
          <w:b w:val="0"/>
          <w:bCs w:val="0"/>
          <w:color w:val="000000"/>
        </w:rPr>
        <w:t xml:space="preserve"> </w:t>
      </w:r>
      <w:r w:rsidR="00A1145A" w:rsidRPr="00C43E6D">
        <w:rPr>
          <w:b w:val="0"/>
          <w:bCs w:val="0"/>
          <w:color w:val="000000"/>
        </w:rPr>
        <w:t>3</w:t>
      </w:r>
      <w:r w:rsidR="00270185" w:rsidRPr="00C43E6D">
        <w:rPr>
          <w:b w:val="0"/>
          <w:bCs w:val="0"/>
          <w:color w:val="000000"/>
        </w:rPr>
        <w:t>8</w:t>
      </w:r>
      <w:r w:rsidR="00A1145A" w:rsidRPr="00C43E6D">
        <w:rPr>
          <w:b w:val="0"/>
          <w:bCs w:val="0"/>
          <w:color w:val="000000"/>
        </w:rPr>
        <w:t>%, consumatori non</w:t>
      </w:r>
      <w:r w:rsidR="00DE6DA3">
        <w:rPr>
          <w:b w:val="0"/>
          <w:bCs w:val="0"/>
          <w:color w:val="000000"/>
        </w:rPr>
        <w:t>-</w:t>
      </w:r>
      <w:r w:rsidR="00A1145A" w:rsidRPr="00C43E6D">
        <w:rPr>
          <w:b w:val="0"/>
          <w:bCs w:val="0"/>
          <w:color w:val="000000"/>
        </w:rPr>
        <w:t>casnici – 6</w:t>
      </w:r>
      <w:r w:rsidR="00270185" w:rsidRPr="00C43E6D">
        <w:rPr>
          <w:b w:val="0"/>
          <w:bCs w:val="0"/>
          <w:color w:val="000000"/>
        </w:rPr>
        <w:t>2</w:t>
      </w:r>
      <w:r w:rsidR="00A1145A" w:rsidRPr="00C43E6D">
        <w:rPr>
          <w:b w:val="0"/>
          <w:bCs w:val="0"/>
          <w:color w:val="000000"/>
        </w:rPr>
        <w:t xml:space="preserve">%, sectorul energetic reprezentând circa </w:t>
      </w:r>
      <w:r w:rsidR="00270185" w:rsidRPr="00C43E6D">
        <w:rPr>
          <w:b w:val="0"/>
          <w:bCs w:val="0"/>
          <w:color w:val="000000"/>
        </w:rPr>
        <w:t>aproximativ 40</w:t>
      </w:r>
      <w:r w:rsidR="00A1145A" w:rsidRPr="00C43E6D">
        <w:rPr>
          <w:b w:val="0"/>
          <w:bCs w:val="0"/>
          <w:color w:val="000000"/>
        </w:rPr>
        <w:t>% din consumul total de gaze naturale prognozat.</w:t>
      </w:r>
    </w:p>
    <w:p w14:paraId="72190402" w14:textId="5CFBF62D" w:rsidR="0094214D" w:rsidRPr="00C43E6D" w:rsidRDefault="0094214D" w:rsidP="00441AED">
      <w:pPr>
        <w:pStyle w:val="cb"/>
        <w:spacing w:after="60"/>
        <w:ind w:left="1077" w:hanging="1077"/>
        <w:jc w:val="both"/>
        <w:rPr>
          <w:b w:val="0"/>
          <w:bCs w:val="0"/>
          <w:color w:val="000000"/>
        </w:rPr>
      </w:pPr>
      <w:r w:rsidRPr="000B163D">
        <w:lastRenderedPageBreak/>
        <w:t xml:space="preserve">Tabelul </w:t>
      </w:r>
      <w:r w:rsidR="006B7A1A">
        <w:t>1</w:t>
      </w:r>
      <w:r w:rsidRPr="000B163D">
        <w:t>.</w:t>
      </w:r>
      <w:r w:rsidRPr="00C43E6D">
        <w:t xml:space="preserve"> </w:t>
      </w:r>
      <w:r w:rsidRPr="00C43E6D">
        <w:rPr>
          <w:b w:val="0"/>
          <w:bCs w:val="0"/>
          <w:sz w:val="22"/>
          <w:szCs w:val="22"/>
        </w:rPr>
        <w:t>C</w:t>
      </w:r>
      <w:r w:rsidRPr="00C43E6D">
        <w:rPr>
          <w:b w:val="0"/>
          <w:bCs w:val="0"/>
          <w:color w:val="000000"/>
          <w:sz w:val="22"/>
          <w:szCs w:val="22"/>
        </w:rPr>
        <w:t>onsumul lunar de gaze naturale estimat al consumatorilor casnici și non-casnici din Republica Moldova (malul drept al râului Nistru) pentru perioada octombrie 2025 - aprilie 2026, mil. m</w:t>
      </w:r>
      <w:r w:rsidRPr="00C43E6D">
        <w:rPr>
          <w:b w:val="0"/>
          <w:bCs w:val="0"/>
          <w:color w:val="000000"/>
          <w:sz w:val="22"/>
          <w:szCs w:val="22"/>
          <w:vertAlign w:val="superscript"/>
        </w:rPr>
        <w:t>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704"/>
        <w:gridCol w:w="805"/>
        <w:gridCol w:w="781"/>
        <w:gridCol w:w="779"/>
        <w:gridCol w:w="779"/>
        <w:gridCol w:w="779"/>
        <w:gridCol w:w="730"/>
        <w:gridCol w:w="746"/>
      </w:tblGrid>
      <w:tr w:rsidR="0094214D" w:rsidRPr="00C43E6D" w14:paraId="28BE55BF" w14:textId="77777777" w:rsidTr="002212E3">
        <w:trPr>
          <w:trHeight w:val="238"/>
          <w:jc w:val="center"/>
        </w:trPr>
        <w:tc>
          <w:tcPr>
            <w:tcW w:w="1999" w:type="pct"/>
            <w:vMerge w:val="restart"/>
            <w:shd w:val="clear" w:color="auto" w:fill="DEEAF6" w:themeFill="accent1" w:themeFillTint="33"/>
            <w:noWrap/>
            <w:vAlign w:val="center"/>
          </w:tcPr>
          <w:p w14:paraId="44BBACA0" w14:textId="77777777" w:rsidR="0094214D" w:rsidRPr="00C43E6D" w:rsidRDefault="0094214D" w:rsidP="002212E3">
            <w:pPr>
              <w:spacing w:after="0"/>
              <w:rPr>
                <w:rFonts w:ascii="Times New Roman" w:hAnsi="Times New Roman" w:cs="Times New Roman"/>
                <w:b/>
                <w:bCs/>
                <w:color w:val="000000"/>
                <w:sz w:val="20"/>
                <w:szCs w:val="20"/>
              </w:rPr>
            </w:pPr>
            <w:r w:rsidRPr="00C43E6D">
              <w:rPr>
                <w:rFonts w:ascii="Times New Roman" w:hAnsi="Times New Roman" w:cs="Times New Roman"/>
                <w:b/>
                <w:bCs/>
                <w:color w:val="000000"/>
                <w:sz w:val="20"/>
                <w:szCs w:val="20"/>
              </w:rPr>
              <w:t>Volume estimate</w:t>
            </w:r>
          </w:p>
        </w:tc>
        <w:tc>
          <w:tcPr>
            <w:tcW w:w="1126" w:type="pct"/>
            <w:gridSpan w:val="3"/>
            <w:shd w:val="clear" w:color="auto" w:fill="DEEAF6" w:themeFill="accent1" w:themeFillTint="33"/>
            <w:vAlign w:val="center"/>
          </w:tcPr>
          <w:p w14:paraId="6EDA3F2D" w14:textId="77777777" w:rsidR="0094214D" w:rsidRPr="00C43E6D" w:rsidRDefault="0094214D" w:rsidP="002212E3">
            <w:pPr>
              <w:spacing w:after="0"/>
              <w:jc w:val="center"/>
              <w:rPr>
                <w:rFonts w:ascii="Times New Roman" w:hAnsi="Times New Roman" w:cs="Times New Roman"/>
                <w:b/>
                <w:bCs/>
                <w:color w:val="000000"/>
                <w:sz w:val="20"/>
                <w:szCs w:val="20"/>
              </w:rPr>
            </w:pPr>
            <w:r w:rsidRPr="00C43E6D">
              <w:rPr>
                <w:rFonts w:ascii="Times New Roman" w:hAnsi="Times New Roman" w:cs="Times New Roman"/>
                <w:b/>
                <w:bCs/>
                <w:color w:val="000000"/>
                <w:sz w:val="20"/>
                <w:szCs w:val="20"/>
              </w:rPr>
              <w:t>2025</w:t>
            </w:r>
          </w:p>
        </w:tc>
        <w:tc>
          <w:tcPr>
            <w:tcW w:w="1508" w:type="pct"/>
            <w:gridSpan w:val="4"/>
            <w:shd w:val="clear" w:color="auto" w:fill="DEEAF6" w:themeFill="accent1" w:themeFillTint="33"/>
            <w:noWrap/>
            <w:vAlign w:val="center"/>
          </w:tcPr>
          <w:p w14:paraId="45B6A55F" w14:textId="77777777" w:rsidR="0094214D" w:rsidRPr="00C43E6D" w:rsidRDefault="0094214D" w:rsidP="002212E3">
            <w:pPr>
              <w:spacing w:after="0"/>
              <w:jc w:val="center"/>
              <w:rPr>
                <w:rFonts w:ascii="Times New Roman" w:hAnsi="Times New Roman" w:cs="Times New Roman"/>
                <w:b/>
                <w:bCs/>
                <w:color w:val="000000"/>
                <w:sz w:val="20"/>
                <w:szCs w:val="20"/>
              </w:rPr>
            </w:pPr>
            <w:r w:rsidRPr="00C43E6D">
              <w:rPr>
                <w:rFonts w:ascii="Times New Roman" w:hAnsi="Times New Roman" w:cs="Times New Roman"/>
                <w:b/>
                <w:bCs/>
                <w:color w:val="000000"/>
                <w:sz w:val="20"/>
                <w:szCs w:val="20"/>
              </w:rPr>
              <w:t>2026</w:t>
            </w:r>
          </w:p>
        </w:tc>
        <w:tc>
          <w:tcPr>
            <w:tcW w:w="367" w:type="pct"/>
            <w:vMerge w:val="restart"/>
            <w:shd w:val="clear" w:color="auto" w:fill="DEEAF6" w:themeFill="accent1" w:themeFillTint="33"/>
            <w:vAlign w:val="center"/>
          </w:tcPr>
          <w:p w14:paraId="0AF30974" w14:textId="77777777" w:rsidR="0094214D" w:rsidRPr="00C43E6D" w:rsidRDefault="0094214D" w:rsidP="002212E3">
            <w:pPr>
              <w:spacing w:after="0"/>
              <w:jc w:val="center"/>
              <w:rPr>
                <w:rFonts w:ascii="Times New Roman" w:hAnsi="Times New Roman" w:cs="Times New Roman"/>
                <w:b/>
                <w:bCs/>
                <w:color w:val="000000"/>
                <w:sz w:val="20"/>
                <w:szCs w:val="20"/>
              </w:rPr>
            </w:pPr>
            <w:r w:rsidRPr="00C43E6D">
              <w:rPr>
                <w:rFonts w:ascii="Times New Roman" w:hAnsi="Times New Roman" w:cs="Times New Roman"/>
                <w:b/>
                <w:bCs/>
                <w:color w:val="000000"/>
                <w:sz w:val="20"/>
                <w:szCs w:val="20"/>
              </w:rPr>
              <w:t>Total</w:t>
            </w:r>
          </w:p>
        </w:tc>
      </w:tr>
      <w:tr w:rsidR="0094214D" w:rsidRPr="00C43E6D" w14:paraId="0E8695FD" w14:textId="77777777" w:rsidTr="002212E3">
        <w:trPr>
          <w:trHeight w:val="67"/>
          <w:jc w:val="center"/>
        </w:trPr>
        <w:tc>
          <w:tcPr>
            <w:tcW w:w="1999" w:type="pct"/>
            <w:vMerge/>
            <w:shd w:val="clear" w:color="auto" w:fill="E2EFD9" w:themeFill="accent6" w:themeFillTint="33"/>
            <w:noWrap/>
            <w:vAlign w:val="center"/>
          </w:tcPr>
          <w:p w14:paraId="28EC597A" w14:textId="77777777" w:rsidR="0094214D" w:rsidRPr="00C43E6D" w:rsidRDefault="0094214D" w:rsidP="002212E3">
            <w:pPr>
              <w:spacing w:after="0"/>
              <w:rPr>
                <w:rFonts w:ascii="Times New Roman" w:hAnsi="Times New Roman" w:cs="Times New Roman"/>
                <w:b/>
                <w:bCs/>
                <w:color w:val="000000"/>
                <w:sz w:val="20"/>
                <w:szCs w:val="20"/>
              </w:rPr>
            </w:pPr>
          </w:p>
        </w:tc>
        <w:tc>
          <w:tcPr>
            <w:tcW w:w="346" w:type="pct"/>
            <w:tcBorders>
              <w:bottom w:val="single" w:sz="4" w:space="0" w:color="auto"/>
            </w:tcBorders>
            <w:shd w:val="clear" w:color="auto" w:fill="DEEAF6" w:themeFill="accent1" w:themeFillTint="33"/>
            <w:noWrap/>
            <w:vAlign w:val="center"/>
          </w:tcPr>
          <w:p w14:paraId="0E31760A" w14:textId="77777777" w:rsidR="0094214D" w:rsidRPr="00C43E6D" w:rsidRDefault="0094214D" w:rsidP="002212E3">
            <w:pPr>
              <w:spacing w:after="0"/>
              <w:jc w:val="center"/>
              <w:rPr>
                <w:rFonts w:ascii="Times New Roman" w:hAnsi="Times New Roman" w:cs="Times New Roman"/>
                <w:b/>
                <w:bCs/>
                <w:color w:val="000000"/>
                <w:sz w:val="20"/>
                <w:szCs w:val="20"/>
              </w:rPr>
            </w:pPr>
            <w:r w:rsidRPr="00C43E6D">
              <w:rPr>
                <w:rFonts w:ascii="Times New Roman" w:hAnsi="Times New Roman" w:cs="Times New Roman"/>
                <w:b/>
                <w:bCs/>
                <w:color w:val="000000"/>
                <w:sz w:val="20"/>
                <w:szCs w:val="20"/>
              </w:rPr>
              <w:t>Oct</w:t>
            </w:r>
          </w:p>
        </w:tc>
        <w:tc>
          <w:tcPr>
            <w:tcW w:w="396" w:type="pct"/>
            <w:tcBorders>
              <w:bottom w:val="single" w:sz="4" w:space="0" w:color="auto"/>
            </w:tcBorders>
            <w:shd w:val="clear" w:color="auto" w:fill="DEEAF6" w:themeFill="accent1" w:themeFillTint="33"/>
            <w:noWrap/>
            <w:vAlign w:val="center"/>
          </w:tcPr>
          <w:p w14:paraId="1A8A1382" w14:textId="77777777" w:rsidR="0094214D" w:rsidRPr="00C43E6D" w:rsidRDefault="0094214D" w:rsidP="002212E3">
            <w:pPr>
              <w:spacing w:after="0"/>
              <w:jc w:val="center"/>
              <w:rPr>
                <w:rFonts w:ascii="Times New Roman" w:hAnsi="Times New Roman" w:cs="Times New Roman"/>
                <w:b/>
                <w:bCs/>
                <w:color w:val="000000"/>
                <w:sz w:val="20"/>
                <w:szCs w:val="20"/>
              </w:rPr>
            </w:pPr>
            <w:r w:rsidRPr="00C43E6D">
              <w:rPr>
                <w:rFonts w:ascii="Times New Roman" w:hAnsi="Times New Roman" w:cs="Times New Roman"/>
                <w:b/>
                <w:bCs/>
                <w:color w:val="000000"/>
                <w:sz w:val="20"/>
                <w:szCs w:val="20"/>
              </w:rPr>
              <w:t>Nov</w:t>
            </w:r>
          </w:p>
        </w:tc>
        <w:tc>
          <w:tcPr>
            <w:tcW w:w="384" w:type="pct"/>
            <w:tcBorders>
              <w:bottom w:val="single" w:sz="4" w:space="0" w:color="auto"/>
            </w:tcBorders>
            <w:shd w:val="clear" w:color="auto" w:fill="DEEAF6" w:themeFill="accent1" w:themeFillTint="33"/>
            <w:noWrap/>
            <w:vAlign w:val="center"/>
          </w:tcPr>
          <w:p w14:paraId="3E1B2CB5" w14:textId="77777777" w:rsidR="0094214D" w:rsidRPr="00C43E6D" w:rsidRDefault="0094214D" w:rsidP="002212E3">
            <w:pPr>
              <w:spacing w:after="0"/>
              <w:jc w:val="center"/>
              <w:rPr>
                <w:rFonts w:ascii="Times New Roman" w:hAnsi="Times New Roman" w:cs="Times New Roman"/>
                <w:b/>
                <w:bCs/>
                <w:color w:val="000000"/>
                <w:sz w:val="20"/>
                <w:szCs w:val="20"/>
              </w:rPr>
            </w:pPr>
            <w:r w:rsidRPr="00C43E6D">
              <w:rPr>
                <w:rFonts w:ascii="Times New Roman" w:hAnsi="Times New Roman" w:cs="Times New Roman"/>
                <w:b/>
                <w:bCs/>
                <w:color w:val="000000"/>
                <w:sz w:val="20"/>
                <w:szCs w:val="20"/>
              </w:rPr>
              <w:t>Dec</w:t>
            </w:r>
          </w:p>
        </w:tc>
        <w:tc>
          <w:tcPr>
            <w:tcW w:w="383" w:type="pct"/>
            <w:tcBorders>
              <w:bottom w:val="single" w:sz="4" w:space="0" w:color="auto"/>
            </w:tcBorders>
            <w:shd w:val="clear" w:color="auto" w:fill="DEEAF6" w:themeFill="accent1" w:themeFillTint="33"/>
            <w:noWrap/>
            <w:vAlign w:val="center"/>
          </w:tcPr>
          <w:p w14:paraId="338EE45C" w14:textId="77777777" w:rsidR="0094214D" w:rsidRPr="00C43E6D" w:rsidRDefault="0094214D" w:rsidP="002212E3">
            <w:pPr>
              <w:spacing w:after="0"/>
              <w:jc w:val="center"/>
              <w:rPr>
                <w:rFonts w:ascii="Times New Roman" w:hAnsi="Times New Roman" w:cs="Times New Roman"/>
                <w:b/>
                <w:bCs/>
                <w:color w:val="000000"/>
                <w:sz w:val="20"/>
                <w:szCs w:val="20"/>
              </w:rPr>
            </w:pPr>
            <w:r w:rsidRPr="00C43E6D">
              <w:rPr>
                <w:rFonts w:ascii="Times New Roman" w:hAnsi="Times New Roman" w:cs="Times New Roman"/>
                <w:b/>
                <w:bCs/>
                <w:color w:val="000000"/>
                <w:sz w:val="20"/>
                <w:szCs w:val="20"/>
              </w:rPr>
              <w:t>Ian</w:t>
            </w:r>
          </w:p>
        </w:tc>
        <w:tc>
          <w:tcPr>
            <w:tcW w:w="383" w:type="pct"/>
            <w:tcBorders>
              <w:bottom w:val="single" w:sz="4" w:space="0" w:color="auto"/>
            </w:tcBorders>
            <w:shd w:val="clear" w:color="auto" w:fill="DEEAF6" w:themeFill="accent1" w:themeFillTint="33"/>
            <w:noWrap/>
            <w:vAlign w:val="center"/>
          </w:tcPr>
          <w:p w14:paraId="0BDB77A4" w14:textId="77777777" w:rsidR="0094214D" w:rsidRPr="00C43E6D" w:rsidRDefault="0094214D" w:rsidP="002212E3">
            <w:pPr>
              <w:spacing w:after="0"/>
              <w:jc w:val="center"/>
              <w:rPr>
                <w:rFonts w:ascii="Times New Roman" w:hAnsi="Times New Roman" w:cs="Times New Roman"/>
                <w:b/>
                <w:bCs/>
                <w:color w:val="000000"/>
                <w:sz w:val="20"/>
                <w:szCs w:val="20"/>
              </w:rPr>
            </w:pPr>
            <w:r w:rsidRPr="00C43E6D">
              <w:rPr>
                <w:rFonts w:ascii="Times New Roman" w:hAnsi="Times New Roman" w:cs="Times New Roman"/>
                <w:b/>
                <w:bCs/>
                <w:color w:val="000000"/>
                <w:sz w:val="20"/>
                <w:szCs w:val="20"/>
              </w:rPr>
              <w:t>Feb</w:t>
            </w:r>
          </w:p>
        </w:tc>
        <w:tc>
          <w:tcPr>
            <w:tcW w:w="383" w:type="pct"/>
            <w:tcBorders>
              <w:bottom w:val="single" w:sz="4" w:space="0" w:color="auto"/>
            </w:tcBorders>
            <w:shd w:val="clear" w:color="auto" w:fill="DEEAF6" w:themeFill="accent1" w:themeFillTint="33"/>
            <w:noWrap/>
            <w:vAlign w:val="center"/>
          </w:tcPr>
          <w:p w14:paraId="7D89765D" w14:textId="77777777" w:rsidR="0094214D" w:rsidRPr="00C43E6D" w:rsidRDefault="0094214D" w:rsidP="002212E3">
            <w:pPr>
              <w:spacing w:after="0"/>
              <w:jc w:val="center"/>
              <w:rPr>
                <w:rFonts w:ascii="Times New Roman" w:hAnsi="Times New Roman" w:cs="Times New Roman"/>
                <w:b/>
                <w:bCs/>
                <w:color w:val="000000"/>
                <w:sz w:val="20"/>
                <w:szCs w:val="20"/>
              </w:rPr>
            </w:pPr>
            <w:r w:rsidRPr="00C43E6D">
              <w:rPr>
                <w:rFonts w:ascii="Times New Roman" w:hAnsi="Times New Roman" w:cs="Times New Roman"/>
                <w:b/>
                <w:bCs/>
                <w:color w:val="000000"/>
                <w:sz w:val="20"/>
                <w:szCs w:val="20"/>
              </w:rPr>
              <w:t>Mar</w:t>
            </w:r>
          </w:p>
        </w:tc>
        <w:tc>
          <w:tcPr>
            <w:tcW w:w="359" w:type="pct"/>
            <w:tcBorders>
              <w:bottom w:val="single" w:sz="4" w:space="0" w:color="auto"/>
            </w:tcBorders>
            <w:shd w:val="clear" w:color="auto" w:fill="DEEAF6" w:themeFill="accent1" w:themeFillTint="33"/>
          </w:tcPr>
          <w:p w14:paraId="1D8EB8EF" w14:textId="77777777" w:rsidR="0094214D" w:rsidRPr="00C43E6D" w:rsidRDefault="0094214D" w:rsidP="002212E3">
            <w:pPr>
              <w:spacing w:after="0"/>
              <w:jc w:val="center"/>
              <w:rPr>
                <w:rFonts w:ascii="Times New Roman" w:hAnsi="Times New Roman" w:cs="Times New Roman"/>
                <w:b/>
                <w:bCs/>
                <w:color w:val="000000"/>
                <w:sz w:val="20"/>
                <w:szCs w:val="20"/>
              </w:rPr>
            </w:pPr>
            <w:r w:rsidRPr="00C43E6D">
              <w:rPr>
                <w:rFonts w:ascii="Times New Roman" w:hAnsi="Times New Roman" w:cs="Times New Roman"/>
                <w:b/>
                <w:bCs/>
                <w:color w:val="000000"/>
                <w:sz w:val="20"/>
                <w:szCs w:val="20"/>
              </w:rPr>
              <w:t>Apr</w:t>
            </w:r>
          </w:p>
        </w:tc>
        <w:tc>
          <w:tcPr>
            <w:tcW w:w="367" w:type="pct"/>
            <w:vMerge/>
            <w:tcBorders>
              <w:bottom w:val="single" w:sz="4" w:space="0" w:color="auto"/>
            </w:tcBorders>
            <w:shd w:val="clear" w:color="auto" w:fill="E2EFD9" w:themeFill="accent6" w:themeFillTint="33"/>
          </w:tcPr>
          <w:p w14:paraId="07597914" w14:textId="77777777" w:rsidR="0094214D" w:rsidRPr="00C43E6D" w:rsidRDefault="0094214D" w:rsidP="002212E3">
            <w:pPr>
              <w:spacing w:after="0"/>
              <w:jc w:val="center"/>
              <w:rPr>
                <w:rFonts w:ascii="Times New Roman" w:hAnsi="Times New Roman" w:cs="Times New Roman"/>
                <w:b/>
                <w:bCs/>
                <w:color w:val="000000"/>
                <w:sz w:val="20"/>
                <w:szCs w:val="20"/>
              </w:rPr>
            </w:pPr>
          </w:p>
        </w:tc>
      </w:tr>
      <w:tr w:rsidR="0094214D" w:rsidRPr="00C43E6D" w14:paraId="0D71AEDB" w14:textId="77777777" w:rsidTr="00856328">
        <w:trPr>
          <w:trHeight w:val="229"/>
          <w:jc w:val="center"/>
        </w:trPr>
        <w:tc>
          <w:tcPr>
            <w:tcW w:w="1999" w:type="pct"/>
            <w:shd w:val="clear" w:color="auto" w:fill="FFFFFF" w:themeFill="background1"/>
            <w:noWrap/>
            <w:vAlign w:val="center"/>
          </w:tcPr>
          <w:p w14:paraId="5C34B458" w14:textId="77777777" w:rsidR="0094214D" w:rsidRPr="00C43E6D" w:rsidRDefault="0094214D" w:rsidP="002212E3">
            <w:pPr>
              <w:spacing w:after="0"/>
              <w:rPr>
                <w:rFonts w:ascii="Times New Roman" w:hAnsi="Times New Roman" w:cs="Times New Roman"/>
                <w:color w:val="000000"/>
                <w:sz w:val="20"/>
                <w:szCs w:val="20"/>
              </w:rPr>
            </w:pPr>
            <w:r w:rsidRPr="00C43E6D">
              <w:rPr>
                <w:rFonts w:ascii="Times New Roman" w:hAnsi="Times New Roman" w:cs="Times New Roman"/>
                <w:color w:val="000000"/>
                <w:sz w:val="20"/>
                <w:szCs w:val="20"/>
              </w:rPr>
              <w:t>Consumul de gaze naturale estimat, total</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CF77EF7" w14:textId="77777777" w:rsidR="0094214D" w:rsidRPr="00C43E6D" w:rsidRDefault="0094214D" w:rsidP="002212E3">
            <w:pPr>
              <w:spacing w:after="0"/>
              <w:jc w:val="center"/>
              <w:rPr>
                <w:rFonts w:ascii="Times New Roman" w:hAnsi="Times New Roman" w:cs="Times New Roman"/>
                <w:color w:val="000000"/>
                <w:sz w:val="20"/>
                <w:szCs w:val="20"/>
              </w:rPr>
            </w:pPr>
            <w:r w:rsidRPr="00C43E6D">
              <w:rPr>
                <w:rFonts w:ascii="Times New Roman" w:hAnsi="Times New Roman" w:cs="Times New Roman"/>
                <w:b/>
                <w:bCs/>
                <w:color w:val="000000"/>
                <w:sz w:val="20"/>
                <w:szCs w:val="20"/>
              </w:rPr>
              <w:t>57.6</w:t>
            </w:r>
          </w:p>
        </w:tc>
        <w:tc>
          <w:tcPr>
            <w:tcW w:w="396" w:type="pct"/>
            <w:tcBorders>
              <w:top w:val="single" w:sz="4" w:space="0" w:color="auto"/>
              <w:left w:val="nil"/>
              <w:bottom w:val="single" w:sz="4" w:space="0" w:color="auto"/>
              <w:right w:val="single" w:sz="4" w:space="0" w:color="auto"/>
            </w:tcBorders>
            <w:shd w:val="clear" w:color="auto" w:fill="FFFFFF" w:themeFill="background1"/>
            <w:noWrap/>
            <w:vAlign w:val="bottom"/>
          </w:tcPr>
          <w:p w14:paraId="6DCEB241" w14:textId="77777777" w:rsidR="0094214D" w:rsidRPr="00C43E6D" w:rsidRDefault="0094214D" w:rsidP="002212E3">
            <w:pPr>
              <w:spacing w:after="0"/>
              <w:jc w:val="center"/>
              <w:rPr>
                <w:rFonts w:ascii="Times New Roman" w:hAnsi="Times New Roman" w:cs="Times New Roman"/>
                <w:color w:val="000000"/>
                <w:sz w:val="20"/>
                <w:szCs w:val="20"/>
              </w:rPr>
            </w:pPr>
            <w:r w:rsidRPr="00C43E6D">
              <w:rPr>
                <w:rFonts w:ascii="Times New Roman" w:hAnsi="Times New Roman" w:cs="Times New Roman"/>
                <w:b/>
                <w:bCs/>
                <w:color w:val="000000"/>
                <w:sz w:val="20"/>
                <w:szCs w:val="20"/>
              </w:rPr>
              <w:t>123.8</w:t>
            </w:r>
          </w:p>
        </w:tc>
        <w:tc>
          <w:tcPr>
            <w:tcW w:w="384" w:type="pct"/>
            <w:tcBorders>
              <w:top w:val="single" w:sz="4" w:space="0" w:color="auto"/>
              <w:left w:val="nil"/>
              <w:bottom w:val="single" w:sz="4" w:space="0" w:color="auto"/>
              <w:right w:val="single" w:sz="4" w:space="0" w:color="auto"/>
            </w:tcBorders>
            <w:shd w:val="clear" w:color="auto" w:fill="FFFFFF" w:themeFill="background1"/>
            <w:noWrap/>
            <w:vAlign w:val="bottom"/>
          </w:tcPr>
          <w:p w14:paraId="2D995070" w14:textId="77777777" w:rsidR="0094214D" w:rsidRPr="00C43E6D" w:rsidRDefault="0094214D" w:rsidP="002212E3">
            <w:pPr>
              <w:spacing w:after="0"/>
              <w:jc w:val="center"/>
              <w:rPr>
                <w:rFonts w:ascii="Times New Roman" w:hAnsi="Times New Roman" w:cs="Times New Roman"/>
                <w:color w:val="000000"/>
                <w:sz w:val="20"/>
                <w:szCs w:val="20"/>
              </w:rPr>
            </w:pPr>
            <w:r w:rsidRPr="00C43E6D">
              <w:rPr>
                <w:rFonts w:ascii="Times New Roman" w:hAnsi="Times New Roman" w:cs="Times New Roman"/>
                <w:b/>
                <w:bCs/>
                <w:color w:val="000000"/>
                <w:sz w:val="20"/>
                <w:szCs w:val="20"/>
              </w:rPr>
              <w:t>164.3</w:t>
            </w:r>
          </w:p>
        </w:tc>
        <w:tc>
          <w:tcPr>
            <w:tcW w:w="383" w:type="pct"/>
            <w:tcBorders>
              <w:top w:val="single" w:sz="4" w:space="0" w:color="auto"/>
              <w:left w:val="nil"/>
              <w:bottom w:val="single" w:sz="4" w:space="0" w:color="auto"/>
              <w:right w:val="single" w:sz="4" w:space="0" w:color="auto"/>
            </w:tcBorders>
            <w:shd w:val="clear" w:color="auto" w:fill="FFFFFF" w:themeFill="background1"/>
            <w:noWrap/>
            <w:vAlign w:val="bottom"/>
          </w:tcPr>
          <w:p w14:paraId="6DAFB705" w14:textId="77777777" w:rsidR="0094214D" w:rsidRPr="00C43E6D" w:rsidRDefault="0094214D" w:rsidP="002212E3">
            <w:pPr>
              <w:spacing w:after="0"/>
              <w:jc w:val="center"/>
              <w:rPr>
                <w:rFonts w:ascii="Times New Roman" w:hAnsi="Times New Roman" w:cs="Times New Roman"/>
                <w:color w:val="000000"/>
                <w:sz w:val="20"/>
                <w:szCs w:val="20"/>
              </w:rPr>
            </w:pPr>
            <w:r w:rsidRPr="00C43E6D">
              <w:rPr>
                <w:rFonts w:ascii="Times New Roman" w:hAnsi="Times New Roman" w:cs="Times New Roman"/>
                <w:b/>
                <w:bCs/>
                <w:color w:val="000000"/>
                <w:sz w:val="20"/>
                <w:szCs w:val="20"/>
              </w:rPr>
              <w:t>167.0</w:t>
            </w:r>
          </w:p>
        </w:tc>
        <w:tc>
          <w:tcPr>
            <w:tcW w:w="383" w:type="pct"/>
            <w:tcBorders>
              <w:top w:val="single" w:sz="4" w:space="0" w:color="auto"/>
              <w:left w:val="nil"/>
              <w:bottom w:val="single" w:sz="4" w:space="0" w:color="auto"/>
              <w:right w:val="single" w:sz="4" w:space="0" w:color="auto"/>
            </w:tcBorders>
            <w:shd w:val="clear" w:color="auto" w:fill="FFFFFF" w:themeFill="background1"/>
            <w:noWrap/>
            <w:vAlign w:val="bottom"/>
          </w:tcPr>
          <w:p w14:paraId="090D2EF5" w14:textId="77777777" w:rsidR="0094214D" w:rsidRPr="00C43E6D" w:rsidRDefault="0094214D" w:rsidP="002212E3">
            <w:pPr>
              <w:spacing w:after="0"/>
              <w:jc w:val="center"/>
              <w:rPr>
                <w:rFonts w:ascii="Times New Roman" w:hAnsi="Times New Roman" w:cs="Times New Roman"/>
                <w:color w:val="000000"/>
                <w:sz w:val="20"/>
                <w:szCs w:val="20"/>
              </w:rPr>
            </w:pPr>
            <w:r w:rsidRPr="00C43E6D">
              <w:rPr>
                <w:rFonts w:ascii="Times New Roman" w:hAnsi="Times New Roman" w:cs="Times New Roman"/>
                <w:b/>
                <w:bCs/>
                <w:color w:val="000000"/>
                <w:sz w:val="20"/>
                <w:szCs w:val="20"/>
              </w:rPr>
              <w:t>143.0</w:t>
            </w:r>
          </w:p>
        </w:tc>
        <w:tc>
          <w:tcPr>
            <w:tcW w:w="383" w:type="pct"/>
            <w:tcBorders>
              <w:top w:val="single" w:sz="4" w:space="0" w:color="auto"/>
              <w:left w:val="nil"/>
              <w:bottom w:val="single" w:sz="4" w:space="0" w:color="auto"/>
              <w:right w:val="single" w:sz="4" w:space="0" w:color="auto"/>
            </w:tcBorders>
            <w:shd w:val="clear" w:color="auto" w:fill="FFFFFF" w:themeFill="background1"/>
            <w:noWrap/>
            <w:vAlign w:val="bottom"/>
          </w:tcPr>
          <w:p w14:paraId="59CF3575" w14:textId="77777777" w:rsidR="0094214D" w:rsidRPr="00C43E6D" w:rsidRDefault="0094214D" w:rsidP="002212E3">
            <w:pPr>
              <w:spacing w:after="0"/>
              <w:jc w:val="center"/>
              <w:rPr>
                <w:rFonts w:ascii="Times New Roman" w:hAnsi="Times New Roman" w:cs="Times New Roman"/>
                <w:color w:val="000000"/>
                <w:sz w:val="20"/>
                <w:szCs w:val="20"/>
              </w:rPr>
            </w:pPr>
            <w:r w:rsidRPr="00C43E6D">
              <w:rPr>
                <w:rFonts w:ascii="Times New Roman" w:hAnsi="Times New Roman" w:cs="Times New Roman"/>
                <w:b/>
                <w:bCs/>
                <w:color w:val="000000"/>
                <w:sz w:val="20"/>
                <w:szCs w:val="20"/>
              </w:rPr>
              <w:t>120.7</w:t>
            </w:r>
          </w:p>
        </w:tc>
        <w:tc>
          <w:tcPr>
            <w:tcW w:w="359" w:type="pct"/>
            <w:tcBorders>
              <w:top w:val="single" w:sz="4" w:space="0" w:color="auto"/>
              <w:left w:val="nil"/>
              <w:bottom w:val="single" w:sz="4" w:space="0" w:color="auto"/>
              <w:right w:val="single" w:sz="4" w:space="0" w:color="auto"/>
            </w:tcBorders>
            <w:shd w:val="clear" w:color="auto" w:fill="FFFFFF" w:themeFill="background1"/>
            <w:vAlign w:val="bottom"/>
          </w:tcPr>
          <w:p w14:paraId="7D42BC24" w14:textId="77777777" w:rsidR="0094214D" w:rsidRPr="00C43E6D" w:rsidRDefault="0094214D" w:rsidP="002212E3">
            <w:pPr>
              <w:spacing w:after="0"/>
              <w:jc w:val="center"/>
              <w:rPr>
                <w:rFonts w:ascii="Times New Roman" w:hAnsi="Times New Roman" w:cs="Times New Roman"/>
                <w:color w:val="000000"/>
                <w:sz w:val="20"/>
                <w:szCs w:val="20"/>
              </w:rPr>
            </w:pPr>
            <w:r w:rsidRPr="00C43E6D">
              <w:rPr>
                <w:rFonts w:ascii="Times New Roman" w:hAnsi="Times New Roman" w:cs="Times New Roman"/>
                <w:b/>
                <w:bCs/>
                <w:color w:val="000000"/>
                <w:sz w:val="20"/>
                <w:szCs w:val="20"/>
              </w:rPr>
              <w:t>60.7</w:t>
            </w:r>
          </w:p>
        </w:tc>
        <w:tc>
          <w:tcPr>
            <w:tcW w:w="367" w:type="pct"/>
            <w:tcBorders>
              <w:top w:val="single" w:sz="4" w:space="0" w:color="auto"/>
              <w:left w:val="nil"/>
              <w:bottom w:val="single" w:sz="4" w:space="0" w:color="auto"/>
              <w:right w:val="single" w:sz="4" w:space="0" w:color="auto"/>
            </w:tcBorders>
            <w:shd w:val="clear" w:color="auto" w:fill="FFFFFF" w:themeFill="background1"/>
            <w:vAlign w:val="center"/>
          </w:tcPr>
          <w:p w14:paraId="0438ADD6" w14:textId="77777777" w:rsidR="0094214D" w:rsidRPr="00C43E6D" w:rsidRDefault="0094214D" w:rsidP="002212E3">
            <w:pPr>
              <w:spacing w:after="0"/>
              <w:jc w:val="center"/>
              <w:rPr>
                <w:rFonts w:ascii="Times New Roman" w:hAnsi="Times New Roman" w:cs="Times New Roman"/>
                <w:b/>
                <w:bCs/>
                <w:color w:val="000000"/>
                <w:sz w:val="20"/>
                <w:szCs w:val="20"/>
              </w:rPr>
            </w:pPr>
            <w:r w:rsidRPr="00C43E6D">
              <w:rPr>
                <w:rFonts w:ascii="Times New Roman" w:hAnsi="Times New Roman" w:cs="Times New Roman"/>
                <w:b/>
                <w:bCs/>
                <w:color w:val="000000"/>
                <w:sz w:val="20"/>
                <w:szCs w:val="20"/>
              </w:rPr>
              <w:t>837.1</w:t>
            </w:r>
          </w:p>
        </w:tc>
      </w:tr>
      <w:tr w:rsidR="0094214D" w:rsidRPr="00C43E6D" w14:paraId="0AB0F293" w14:textId="77777777" w:rsidTr="002212E3">
        <w:trPr>
          <w:trHeight w:val="229"/>
          <w:jc w:val="center"/>
        </w:trPr>
        <w:tc>
          <w:tcPr>
            <w:tcW w:w="5000" w:type="pct"/>
            <w:gridSpan w:val="9"/>
            <w:tcBorders>
              <w:right w:val="single" w:sz="4" w:space="0" w:color="auto"/>
            </w:tcBorders>
            <w:shd w:val="clear" w:color="auto" w:fill="FFFFFF" w:themeFill="background1"/>
            <w:noWrap/>
            <w:vAlign w:val="center"/>
          </w:tcPr>
          <w:p w14:paraId="5D4DBF4E" w14:textId="77777777" w:rsidR="0094214D" w:rsidRPr="00C43E6D" w:rsidRDefault="0094214D" w:rsidP="002212E3">
            <w:pPr>
              <w:spacing w:after="0"/>
              <w:rPr>
                <w:rFonts w:ascii="Times New Roman" w:hAnsi="Times New Roman" w:cs="Times New Roman"/>
                <w:b/>
                <w:bCs/>
                <w:color w:val="000000"/>
                <w:sz w:val="20"/>
                <w:szCs w:val="20"/>
              </w:rPr>
            </w:pPr>
            <w:r w:rsidRPr="00C43E6D">
              <w:rPr>
                <w:rFonts w:ascii="Times New Roman" w:hAnsi="Times New Roman" w:cs="Times New Roman"/>
                <w:color w:val="000000"/>
                <w:sz w:val="20"/>
                <w:szCs w:val="20"/>
              </w:rPr>
              <w:t>inclusiv</w:t>
            </w:r>
          </w:p>
        </w:tc>
      </w:tr>
      <w:tr w:rsidR="0094214D" w:rsidRPr="00C43E6D" w14:paraId="347F51BD" w14:textId="77777777" w:rsidTr="002212E3">
        <w:trPr>
          <w:trHeight w:val="229"/>
          <w:jc w:val="center"/>
        </w:trPr>
        <w:tc>
          <w:tcPr>
            <w:tcW w:w="1999" w:type="pct"/>
            <w:shd w:val="clear" w:color="auto" w:fill="FFFFFF" w:themeFill="background1"/>
            <w:noWrap/>
            <w:vAlign w:val="center"/>
            <w:hideMark/>
          </w:tcPr>
          <w:p w14:paraId="41569FB5" w14:textId="77777777" w:rsidR="0094214D" w:rsidRPr="00C43E6D" w:rsidRDefault="0094214D" w:rsidP="002212E3">
            <w:pPr>
              <w:spacing w:after="0"/>
              <w:rPr>
                <w:rFonts w:ascii="Times New Roman" w:hAnsi="Times New Roman" w:cs="Times New Roman"/>
                <w:color w:val="000000"/>
                <w:sz w:val="20"/>
                <w:szCs w:val="20"/>
              </w:rPr>
            </w:pPr>
            <w:r w:rsidRPr="00C43E6D">
              <w:rPr>
                <w:rFonts w:ascii="Times New Roman" w:hAnsi="Times New Roman" w:cs="Times New Roman"/>
                <w:color w:val="000000"/>
                <w:sz w:val="20"/>
                <w:szCs w:val="20"/>
              </w:rPr>
              <w:t>Consumatori casnici</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39C656" w14:textId="77777777" w:rsidR="0094214D" w:rsidRPr="00C43E6D" w:rsidRDefault="0094214D" w:rsidP="002212E3">
            <w:pPr>
              <w:spacing w:after="0"/>
              <w:jc w:val="center"/>
              <w:rPr>
                <w:rFonts w:ascii="Times New Roman" w:hAnsi="Times New Roman" w:cs="Times New Roman"/>
                <w:color w:val="000000"/>
                <w:sz w:val="20"/>
                <w:szCs w:val="20"/>
              </w:rPr>
            </w:pPr>
            <w:r w:rsidRPr="00C43E6D">
              <w:rPr>
                <w:rFonts w:ascii="Times New Roman" w:hAnsi="Times New Roman" w:cs="Times New Roman"/>
                <w:color w:val="000000"/>
                <w:sz w:val="20"/>
                <w:szCs w:val="20"/>
              </w:rPr>
              <w:t>23.5</w:t>
            </w:r>
          </w:p>
        </w:tc>
        <w:tc>
          <w:tcPr>
            <w:tcW w:w="396" w:type="pct"/>
            <w:tcBorders>
              <w:top w:val="single" w:sz="4" w:space="0" w:color="auto"/>
              <w:left w:val="nil"/>
              <w:bottom w:val="single" w:sz="4" w:space="0" w:color="auto"/>
              <w:right w:val="single" w:sz="4" w:space="0" w:color="auto"/>
            </w:tcBorders>
            <w:shd w:val="clear" w:color="auto" w:fill="auto"/>
            <w:noWrap/>
            <w:vAlign w:val="bottom"/>
          </w:tcPr>
          <w:p w14:paraId="4A7A9414" w14:textId="77777777" w:rsidR="0094214D" w:rsidRPr="00C43E6D" w:rsidRDefault="0094214D" w:rsidP="002212E3">
            <w:pPr>
              <w:spacing w:after="0"/>
              <w:jc w:val="center"/>
              <w:rPr>
                <w:rFonts w:ascii="Times New Roman" w:hAnsi="Times New Roman" w:cs="Times New Roman"/>
                <w:color w:val="000000"/>
                <w:sz w:val="20"/>
                <w:szCs w:val="20"/>
              </w:rPr>
            </w:pPr>
            <w:r w:rsidRPr="00C43E6D">
              <w:rPr>
                <w:rFonts w:ascii="Times New Roman" w:hAnsi="Times New Roman" w:cs="Times New Roman"/>
                <w:color w:val="000000"/>
                <w:sz w:val="20"/>
                <w:szCs w:val="20"/>
              </w:rPr>
              <w:t>45.6</w:t>
            </w:r>
          </w:p>
        </w:tc>
        <w:tc>
          <w:tcPr>
            <w:tcW w:w="384" w:type="pct"/>
            <w:tcBorders>
              <w:top w:val="single" w:sz="4" w:space="0" w:color="auto"/>
              <w:left w:val="nil"/>
              <w:bottom w:val="single" w:sz="4" w:space="0" w:color="auto"/>
              <w:right w:val="single" w:sz="4" w:space="0" w:color="auto"/>
            </w:tcBorders>
            <w:shd w:val="clear" w:color="auto" w:fill="auto"/>
            <w:noWrap/>
            <w:vAlign w:val="bottom"/>
          </w:tcPr>
          <w:p w14:paraId="5B8F9E01" w14:textId="77777777" w:rsidR="0094214D" w:rsidRPr="00C43E6D" w:rsidRDefault="0094214D" w:rsidP="002212E3">
            <w:pPr>
              <w:spacing w:after="0"/>
              <w:jc w:val="center"/>
              <w:rPr>
                <w:rFonts w:ascii="Times New Roman" w:hAnsi="Times New Roman" w:cs="Times New Roman"/>
                <w:color w:val="000000"/>
                <w:sz w:val="20"/>
                <w:szCs w:val="20"/>
              </w:rPr>
            </w:pPr>
            <w:r w:rsidRPr="00C43E6D">
              <w:rPr>
                <w:rFonts w:ascii="Times New Roman" w:hAnsi="Times New Roman" w:cs="Times New Roman"/>
                <w:color w:val="000000"/>
                <w:sz w:val="20"/>
                <w:szCs w:val="20"/>
              </w:rPr>
              <w:t>60.6</w:t>
            </w:r>
          </w:p>
        </w:tc>
        <w:tc>
          <w:tcPr>
            <w:tcW w:w="383" w:type="pct"/>
            <w:tcBorders>
              <w:top w:val="single" w:sz="4" w:space="0" w:color="auto"/>
              <w:left w:val="nil"/>
              <w:bottom w:val="single" w:sz="4" w:space="0" w:color="auto"/>
              <w:right w:val="single" w:sz="4" w:space="0" w:color="auto"/>
            </w:tcBorders>
            <w:shd w:val="clear" w:color="auto" w:fill="auto"/>
            <w:noWrap/>
            <w:vAlign w:val="bottom"/>
          </w:tcPr>
          <w:p w14:paraId="2FAD64EE" w14:textId="77777777" w:rsidR="0094214D" w:rsidRPr="00C43E6D" w:rsidRDefault="0094214D" w:rsidP="002212E3">
            <w:pPr>
              <w:spacing w:after="0"/>
              <w:jc w:val="center"/>
              <w:rPr>
                <w:rFonts w:ascii="Times New Roman" w:hAnsi="Times New Roman" w:cs="Times New Roman"/>
                <w:color w:val="000000"/>
                <w:sz w:val="20"/>
                <w:szCs w:val="20"/>
              </w:rPr>
            </w:pPr>
            <w:r w:rsidRPr="00C43E6D">
              <w:rPr>
                <w:rFonts w:ascii="Times New Roman" w:hAnsi="Times New Roman" w:cs="Times New Roman"/>
                <w:color w:val="000000"/>
                <w:sz w:val="20"/>
                <w:szCs w:val="20"/>
              </w:rPr>
              <w:t>64.5</w:t>
            </w:r>
          </w:p>
        </w:tc>
        <w:tc>
          <w:tcPr>
            <w:tcW w:w="383" w:type="pct"/>
            <w:tcBorders>
              <w:top w:val="single" w:sz="4" w:space="0" w:color="auto"/>
              <w:left w:val="nil"/>
              <w:bottom w:val="single" w:sz="4" w:space="0" w:color="auto"/>
              <w:right w:val="single" w:sz="4" w:space="0" w:color="auto"/>
            </w:tcBorders>
            <w:shd w:val="clear" w:color="auto" w:fill="auto"/>
            <w:noWrap/>
            <w:vAlign w:val="bottom"/>
          </w:tcPr>
          <w:p w14:paraId="2A05CCC3" w14:textId="77777777" w:rsidR="0094214D" w:rsidRPr="00C43E6D" w:rsidRDefault="0094214D" w:rsidP="002212E3">
            <w:pPr>
              <w:spacing w:after="0"/>
              <w:jc w:val="center"/>
              <w:rPr>
                <w:rFonts w:ascii="Times New Roman" w:hAnsi="Times New Roman" w:cs="Times New Roman"/>
                <w:color w:val="000000"/>
                <w:sz w:val="20"/>
                <w:szCs w:val="20"/>
              </w:rPr>
            </w:pPr>
            <w:r w:rsidRPr="00C43E6D">
              <w:rPr>
                <w:rFonts w:ascii="Times New Roman" w:hAnsi="Times New Roman" w:cs="Times New Roman"/>
                <w:color w:val="000000"/>
                <w:sz w:val="20"/>
                <w:szCs w:val="20"/>
              </w:rPr>
              <w:t>51.6</w:t>
            </w:r>
          </w:p>
        </w:tc>
        <w:tc>
          <w:tcPr>
            <w:tcW w:w="383" w:type="pct"/>
            <w:tcBorders>
              <w:top w:val="single" w:sz="4" w:space="0" w:color="auto"/>
              <w:left w:val="nil"/>
              <w:bottom w:val="single" w:sz="4" w:space="0" w:color="auto"/>
              <w:right w:val="single" w:sz="4" w:space="0" w:color="auto"/>
            </w:tcBorders>
            <w:shd w:val="clear" w:color="auto" w:fill="auto"/>
            <w:noWrap/>
            <w:vAlign w:val="bottom"/>
          </w:tcPr>
          <w:p w14:paraId="3B8D2790" w14:textId="77777777" w:rsidR="0094214D" w:rsidRPr="00C43E6D" w:rsidRDefault="0094214D" w:rsidP="002212E3">
            <w:pPr>
              <w:spacing w:after="0"/>
              <w:jc w:val="center"/>
              <w:rPr>
                <w:rFonts w:ascii="Times New Roman" w:hAnsi="Times New Roman" w:cs="Times New Roman"/>
                <w:color w:val="000000"/>
                <w:sz w:val="20"/>
                <w:szCs w:val="20"/>
              </w:rPr>
            </w:pPr>
            <w:r w:rsidRPr="00C43E6D">
              <w:rPr>
                <w:rFonts w:ascii="Times New Roman" w:hAnsi="Times New Roman" w:cs="Times New Roman"/>
                <w:color w:val="000000"/>
                <w:sz w:val="20"/>
                <w:szCs w:val="20"/>
              </w:rPr>
              <w:t>46.1</w:t>
            </w:r>
          </w:p>
        </w:tc>
        <w:tc>
          <w:tcPr>
            <w:tcW w:w="359" w:type="pct"/>
            <w:tcBorders>
              <w:top w:val="single" w:sz="4" w:space="0" w:color="auto"/>
              <w:left w:val="nil"/>
              <w:bottom w:val="single" w:sz="4" w:space="0" w:color="auto"/>
              <w:right w:val="single" w:sz="4" w:space="0" w:color="auto"/>
            </w:tcBorders>
            <w:shd w:val="clear" w:color="auto" w:fill="auto"/>
            <w:vAlign w:val="bottom"/>
          </w:tcPr>
          <w:p w14:paraId="3133872C" w14:textId="77777777" w:rsidR="0094214D" w:rsidRPr="00C43E6D" w:rsidRDefault="0094214D" w:rsidP="002212E3">
            <w:pPr>
              <w:spacing w:after="0"/>
              <w:jc w:val="center"/>
              <w:rPr>
                <w:rFonts w:ascii="Times New Roman" w:hAnsi="Times New Roman" w:cs="Times New Roman"/>
                <w:color w:val="000000"/>
                <w:sz w:val="20"/>
                <w:szCs w:val="20"/>
              </w:rPr>
            </w:pPr>
            <w:r w:rsidRPr="00C43E6D">
              <w:rPr>
                <w:rFonts w:ascii="Times New Roman" w:hAnsi="Times New Roman" w:cs="Times New Roman"/>
                <w:color w:val="000000"/>
                <w:sz w:val="20"/>
                <w:szCs w:val="20"/>
              </w:rPr>
              <w:t>27.3</w:t>
            </w:r>
          </w:p>
        </w:tc>
        <w:tc>
          <w:tcPr>
            <w:tcW w:w="367" w:type="pct"/>
            <w:tcBorders>
              <w:top w:val="single" w:sz="4" w:space="0" w:color="auto"/>
              <w:left w:val="nil"/>
              <w:bottom w:val="single" w:sz="4" w:space="0" w:color="auto"/>
              <w:right w:val="single" w:sz="4" w:space="0" w:color="auto"/>
            </w:tcBorders>
            <w:shd w:val="clear" w:color="auto" w:fill="auto"/>
            <w:vAlign w:val="bottom"/>
          </w:tcPr>
          <w:p w14:paraId="20D55DE1" w14:textId="77777777" w:rsidR="0094214D" w:rsidRPr="00C43E6D" w:rsidRDefault="0094214D" w:rsidP="002212E3">
            <w:pPr>
              <w:spacing w:after="0"/>
              <w:jc w:val="center"/>
              <w:rPr>
                <w:rFonts w:ascii="Times New Roman" w:hAnsi="Times New Roman" w:cs="Times New Roman"/>
                <w:b/>
                <w:bCs/>
                <w:color w:val="000000"/>
                <w:sz w:val="20"/>
                <w:szCs w:val="20"/>
              </w:rPr>
            </w:pPr>
            <w:r w:rsidRPr="00C43E6D">
              <w:rPr>
                <w:rFonts w:ascii="Times New Roman" w:hAnsi="Times New Roman" w:cs="Times New Roman"/>
                <w:color w:val="000000"/>
                <w:sz w:val="20"/>
                <w:szCs w:val="20"/>
              </w:rPr>
              <w:t>319.1</w:t>
            </w:r>
          </w:p>
        </w:tc>
      </w:tr>
      <w:tr w:rsidR="0094214D" w:rsidRPr="00C43E6D" w14:paraId="127529B9" w14:textId="77777777" w:rsidTr="002212E3">
        <w:trPr>
          <w:trHeight w:val="229"/>
          <w:jc w:val="center"/>
        </w:trPr>
        <w:tc>
          <w:tcPr>
            <w:tcW w:w="1999" w:type="pct"/>
            <w:shd w:val="clear" w:color="auto" w:fill="FFFFFF" w:themeFill="background1"/>
            <w:noWrap/>
            <w:vAlign w:val="center"/>
          </w:tcPr>
          <w:p w14:paraId="136F80B3" w14:textId="77777777" w:rsidR="0094214D" w:rsidRPr="00C43E6D" w:rsidRDefault="0094214D" w:rsidP="002212E3">
            <w:pPr>
              <w:spacing w:after="0"/>
              <w:rPr>
                <w:rFonts w:ascii="Times New Roman" w:hAnsi="Times New Roman" w:cs="Times New Roman"/>
                <w:color w:val="000000"/>
                <w:sz w:val="20"/>
                <w:szCs w:val="20"/>
              </w:rPr>
            </w:pPr>
            <w:r w:rsidRPr="00C43E6D">
              <w:rPr>
                <w:rFonts w:ascii="Times New Roman" w:hAnsi="Times New Roman" w:cs="Times New Roman"/>
                <w:color w:val="000000"/>
                <w:sz w:val="20"/>
                <w:szCs w:val="20"/>
              </w:rPr>
              <w:t>Consumatori non-casnici, din care</w:t>
            </w:r>
          </w:p>
        </w:tc>
        <w:tc>
          <w:tcPr>
            <w:tcW w:w="346" w:type="pct"/>
            <w:tcBorders>
              <w:top w:val="nil"/>
              <w:left w:val="single" w:sz="4" w:space="0" w:color="auto"/>
              <w:bottom w:val="single" w:sz="4" w:space="0" w:color="auto"/>
              <w:right w:val="single" w:sz="4" w:space="0" w:color="auto"/>
            </w:tcBorders>
            <w:shd w:val="clear" w:color="auto" w:fill="auto"/>
            <w:noWrap/>
            <w:vAlign w:val="bottom"/>
          </w:tcPr>
          <w:p w14:paraId="37A91FFB" w14:textId="77777777" w:rsidR="0094214D" w:rsidRPr="00C43E6D" w:rsidRDefault="0094214D" w:rsidP="002212E3">
            <w:pPr>
              <w:spacing w:after="0"/>
              <w:jc w:val="center"/>
              <w:rPr>
                <w:rFonts w:ascii="Times New Roman" w:hAnsi="Times New Roman" w:cs="Times New Roman"/>
                <w:color w:val="000000"/>
                <w:sz w:val="20"/>
                <w:szCs w:val="20"/>
              </w:rPr>
            </w:pPr>
            <w:r w:rsidRPr="00C43E6D">
              <w:rPr>
                <w:rFonts w:ascii="Times New Roman" w:hAnsi="Times New Roman" w:cs="Times New Roman"/>
                <w:color w:val="000000"/>
                <w:sz w:val="20"/>
                <w:szCs w:val="20"/>
              </w:rPr>
              <w:t>34.1</w:t>
            </w:r>
          </w:p>
        </w:tc>
        <w:tc>
          <w:tcPr>
            <w:tcW w:w="396" w:type="pct"/>
            <w:tcBorders>
              <w:top w:val="nil"/>
              <w:left w:val="nil"/>
              <w:bottom w:val="single" w:sz="4" w:space="0" w:color="auto"/>
              <w:right w:val="single" w:sz="4" w:space="0" w:color="auto"/>
            </w:tcBorders>
            <w:shd w:val="clear" w:color="auto" w:fill="auto"/>
            <w:noWrap/>
            <w:vAlign w:val="bottom"/>
          </w:tcPr>
          <w:p w14:paraId="6E3CA890" w14:textId="77777777" w:rsidR="0094214D" w:rsidRPr="00C43E6D" w:rsidRDefault="0094214D" w:rsidP="002212E3">
            <w:pPr>
              <w:spacing w:after="0"/>
              <w:jc w:val="center"/>
              <w:rPr>
                <w:rFonts w:ascii="Times New Roman" w:hAnsi="Times New Roman" w:cs="Times New Roman"/>
                <w:color w:val="000000"/>
                <w:sz w:val="20"/>
                <w:szCs w:val="20"/>
              </w:rPr>
            </w:pPr>
            <w:r w:rsidRPr="00C43E6D">
              <w:rPr>
                <w:rFonts w:ascii="Times New Roman" w:hAnsi="Times New Roman" w:cs="Times New Roman"/>
                <w:color w:val="000000"/>
                <w:sz w:val="20"/>
                <w:szCs w:val="20"/>
              </w:rPr>
              <w:t>78.2</w:t>
            </w:r>
          </w:p>
        </w:tc>
        <w:tc>
          <w:tcPr>
            <w:tcW w:w="384" w:type="pct"/>
            <w:tcBorders>
              <w:top w:val="nil"/>
              <w:left w:val="nil"/>
              <w:bottom w:val="single" w:sz="4" w:space="0" w:color="auto"/>
              <w:right w:val="single" w:sz="4" w:space="0" w:color="auto"/>
            </w:tcBorders>
            <w:shd w:val="clear" w:color="auto" w:fill="auto"/>
            <w:noWrap/>
            <w:vAlign w:val="bottom"/>
          </w:tcPr>
          <w:p w14:paraId="281B87FC" w14:textId="77777777" w:rsidR="0094214D" w:rsidRPr="00C43E6D" w:rsidRDefault="0094214D" w:rsidP="002212E3">
            <w:pPr>
              <w:spacing w:after="0"/>
              <w:jc w:val="center"/>
              <w:rPr>
                <w:rFonts w:ascii="Times New Roman" w:hAnsi="Times New Roman" w:cs="Times New Roman"/>
                <w:color w:val="000000"/>
                <w:sz w:val="20"/>
                <w:szCs w:val="20"/>
              </w:rPr>
            </w:pPr>
            <w:r w:rsidRPr="00C43E6D">
              <w:rPr>
                <w:rFonts w:ascii="Times New Roman" w:hAnsi="Times New Roman" w:cs="Times New Roman"/>
                <w:color w:val="000000"/>
                <w:sz w:val="20"/>
                <w:szCs w:val="20"/>
              </w:rPr>
              <w:t>103.7</w:t>
            </w:r>
          </w:p>
        </w:tc>
        <w:tc>
          <w:tcPr>
            <w:tcW w:w="383" w:type="pct"/>
            <w:tcBorders>
              <w:top w:val="nil"/>
              <w:left w:val="nil"/>
              <w:bottom w:val="single" w:sz="4" w:space="0" w:color="auto"/>
              <w:right w:val="single" w:sz="4" w:space="0" w:color="auto"/>
            </w:tcBorders>
            <w:shd w:val="clear" w:color="auto" w:fill="auto"/>
            <w:noWrap/>
            <w:vAlign w:val="bottom"/>
          </w:tcPr>
          <w:p w14:paraId="433CA923" w14:textId="77777777" w:rsidR="0094214D" w:rsidRPr="00C43E6D" w:rsidRDefault="0094214D" w:rsidP="002212E3">
            <w:pPr>
              <w:spacing w:after="0"/>
              <w:jc w:val="center"/>
              <w:rPr>
                <w:rFonts w:ascii="Times New Roman" w:hAnsi="Times New Roman" w:cs="Times New Roman"/>
                <w:color w:val="000000"/>
                <w:sz w:val="20"/>
                <w:szCs w:val="20"/>
              </w:rPr>
            </w:pPr>
            <w:r w:rsidRPr="00C43E6D">
              <w:rPr>
                <w:rFonts w:ascii="Times New Roman" w:hAnsi="Times New Roman" w:cs="Times New Roman"/>
                <w:color w:val="000000"/>
                <w:sz w:val="20"/>
                <w:szCs w:val="20"/>
              </w:rPr>
              <w:t>102.5</w:t>
            </w:r>
          </w:p>
        </w:tc>
        <w:tc>
          <w:tcPr>
            <w:tcW w:w="383" w:type="pct"/>
            <w:tcBorders>
              <w:top w:val="nil"/>
              <w:left w:val="nil"/>
              <w:bottom w:val="single" w:sz="4" w:space="0" w:color="auto"/>
              <w:right w:val="single" w:sz="4" w:space="0" w:color="auto"/>
            </w:tcBorders>
            <w:shd w:val="clear" w:color="auto" w:fill="auto"/>
            <w:noWrap/>
            <w:vAlign w:val="bottom"/>
          </w:tcPr>
          <w:p w14:paraId="09316E59" w14:textId="77777777" w:rsidR="0094214D" w:rsidRPr="00C43E6D" w:rsidRDefault="0094214D" w:rsidP="002212E3">
            <w:pPr>
              <w:spacing w:after="0"/>
              <w:jc w:val="center"/>
              <w:rPr>
                <w:rFonts w:ascii="Times New Roman" w:hAnsi="Times New Roman" w:cs="Times New Roman"/>
                <w:color w:val="000000"/>
                <w:sz w:val="20"/>
                <w:szCs w:val="20"/>
              </w:rPr>
            </w:pPr>
            <w:r w:rsidRPr="00C43E6D">
              <w:rPr>
                <w:rFonts w:ascii="Times New Roman" w:hAnsi="Times New Roman" w:cs="Times New Roman"/>
                <w:color w:val="000000"/>
                <w:sz w:val="20"/>
                <w:szCs w:val="20"/>
              </w:rPr>
              <w:t>91.4</w:t>
            </w:r>
          </w:p>
        </w:tc>
        <w:tc>
          <w:tcPr>
            <w:tcW w:w="383" w:type="pct"/>
            <w:tcBorders>
              <w:top w:val="nil"/>
              <w:left w:val="nil"/>
              <w:bottom w:val="single" w:sz="4" w:space="0" w:color="auto"/>
              <w:right w:val="single" w:sz="4" w:space="0" w:color="auto"/>
            </w:tcBorders>
            <w:shd w:val="clear" w:color="auto" w:fill="auto"/>
            <w:noWrap/>
            <w:vAlign w:val="bottom"/>
          </w:tcPr>
          <w:p w14:paraId="4862FC83" w14:textId="77777777" w:rsidR="0094214D" w:rsidRPr="00C43E6D" w:rsidRDefault="0094214D" w:rsidP="002212E3">
            <w:pPr>
              <w:spacing w:after="0"/>
              <w:jc w:val="center"/>
              <w:rPr>
                <w:rFonts w:ascii="Times New Roman" w:hAnsi="Times New Roman" w:cs="Times New Roman"/>
                <w:color w:val="000000"/>
                <w:sz w:val="20"/>
                <w:szCs w:val="20"/>
              </w:rPr>
            </w:pPr>
            <w:r w:rsidRPr="00C43E6D">
              <w:rPr>
                <w:rFonts w:ascii="Times New Roman" w:hAnsi="Times New Roman" w:cs="Times New Roman"/>
                <w:color w:val="000000"/>
                <w:sz w:val="20"/>
                <w:szCs w:val="20"/>
              </w:rPr>
              <w:t>74.6</w:t>
            </w:r>
          </w:p>
        </w:tc>
        <w:tc>
          <w:tcPr>
            <w:tcW w:w="359" w:type="pct"/>
            <w:tcBorders>
              <w:top w:val="nil"/>
              <w:left w:val="nil"/>
              <w:bottom w:val="single" w:sz="4" w:space="0" w:color="auto"/>
              <w:right w:val="single" w:sz="4" w:space="0" w:color="auto"/>
            </w:tcBorders>
            <w:shd w:val="clear" w:color="auto" w:fill="auto"/>
            <w:vAlign w:val="bottom"/>
          </w:tcPr>
          <w:p w14:paraId="187DFF90" w14:textId="77777777" w:rsidR="0094214D" w:rsidRPr="00C43E6D" w:rsidRDefault="0094214D" w:rsidP="002212E3">
            <w:pPr>
              <w:spacing w:after="0"/>
              <w:jc w:val="center"/>
              <w:rPr>
                <w:rFonts w:ascii="Times New Roman" w:hAnsi="Times New Roman" w:cs="Times New Roman"/>
                <w:color w:val="000000"/>
                <w:sz w:val="20"/>
                <w:szCs w:val="20"/>
              </w:rPr>
            </w:pPr>
            <w:r w:rsidRPr="00C43E6D">
              <w:rPr>
                <w:rFonts w:ascii="Times New Roman" w:hAnsi="Times New Roman" w:cs="Times New Roman"/>
                <w:color w:val="000000"/>
                <w:sz w:val="20"/>
                <w:szCs w:val="20"/>
              </w:rPr>
              <w:t>33.4</w:t>
            </w:r>
          </w:p>
        </w:tc>
        <w:tc>
          <w:tcPr>
            <w:tcW w:w="367" w:type="pct"/>
            <w:tcBorders>
              <w:top w:val="nil"/>
              <w:left w:val="nil"/>
              <w:bottom w:val="single" w:sz="4" w:space="0" w:color="auto"/>
              <w:right w:val="single" w:sz="4" w:space="0" w:color="auto"/>
            </w:tcBorders>
            <w:shd w:val="clear" w:color="auto" w:fill="auto"/>
            <w:vAlign w:val="bottom"/>
          </w:tcPr>
          <w:p w14:paraId="34C20637" w14:textId="77777777" w:rsidR="0094214D" w:rsidRPr="00C43E6D" w:rsidRDefault="0094214D" w:rsidP="002212E3">
            <w:pPr>
              <w:spacing w:after="0"/>
              <w:jc w:val="center"/>
              <w:rPr>
                <w:rFonts w:ascii="Times New Roman" w:hAnsi="Times New Roman" w:cs="Times New Roman"/>
                <w:b/>
                <w:bCs/>
                <w:color w:val="000000"/>
                <w:sz w:val="20"/>
                <w:szCs w:val="20"/>
              </w:rPr>
            </w:pPr>
            <w:r w:rsidRPr="00C43E6D">
              <w:rPr>
                <w:rFonts w:ascii="Times New Roman" w:hAnsi="Times New Roman" w:cs="Times New Roman"/>
                <w:color w:val="000000"/>
                <w:sz w:val="20"/>
                <w:szCs w:val="20"/>
              </w:rPr>
              <w:t>518.0</w:t>
            </w:r>
          </w:p>
        </w:tc>
      </w:tr>
      <w:tr w:rsidR="0094214D" w:rsidRPr="00C43E6D" w14:paraId="6D1CBA08" w14:textId="77777777" w:rsidTr="002212E3">
        <w:trPr>
          <w:trHeight w:val="328"/>
          <w:jc w:val="center"/>
        </w:trPr>
        <w:tc>
          <w:tcPr>
            <w:tcW w:w="1999" w:type="pct"/>
            <w:shd w:val="clear" w:color="auto" w:fill="FFFFFF" w:themeFill="background1"/>
            <w:vAlign w:val="center"/>
            <w:hideMark/>
          </w:tcPr>
          <w:p w14:paraId="33CE6B76" w14:textId="77FC953A" w:rsidR="0094214D" w:rsidRPr="00C43E6D" w:rsidRDefault="0094214D" w:rsidP="002212E3">
            <w:pPr>
              <w:spacing w:after="0"/>
              <w:rPr>
                <w:rFonts w:ascii="Times New Roman" w:hAnsi="Times New Roman" w:cs="Times New Roman"/>
                <w:i/>
                <w:iCs/>
                <w:color w:val="000000"/>
                <w:sz w:val="20"/>
                <w:szCs w:val="20"/>
              </w:rPr>
            </w:pPr>
            <w:r w:rsidRPr="00C43E6D">
              <w:rPr>
                <w:rFonts w:ascii="Times New Roman" w:hAnsi="Times New Roman" w:cs="Times New Roman"/>
                <w:i/>
                <w:iCs/>
                <w:color w:val="000000"/>
                <w:sz w:val="20"/>
                <w:szCs w:val="20"/>
              </w:rPr>
              <w:t>Sectorul energetic</w:t>
            </w:r>
          </w:p>
        </w:tc>
        <w:tc>
          <w:tcPr>
            <w:tcW w:w="346" w:type="pct"/>
            <w:tcBorders>
              <w:top w:val="nil"/>
              <w:left w:val="single" w:sz="4" w:space="0" w:color="auto"/>
              <w:bottom w:val="single" w:sz="4" w:space="0" w:color="auto"/>
              <w:right w:val="single" w:sz="4" w:space="0" w:color="auto"/>
            </w:tcBorders>
            <w:shd w:val="clear" w:color="auto" w:fill="auto"/>
            <w:noWrap/>
            <w:vAlign w:val="bottom"/>
          </w:tcPr>
          <w:p w14:paraId="10FD4BC3" w14:textId="77777777" w:rsidR="0094214D" w:rsidRPr="00C43E6D" w:rsidRDefault="0094214D" w:rsidP="002212E3">
            <w:pPr>
              <w:spacing w:after="0"/>
              <w:jc w:val="center"/>
              <w:rPr>
                <w:rFonts w:ascii="Times New Roman" w:hAnsi="Times New Roman" w:cs="Times New Roman"/>
                <w:i/>
                <w:iCs/>
                <w:color w:val="000000"/>
                <w:sz w:val="20"/>
                <w:szCs w:val="20"/>
              </w:rPr>
            </w:pPr>
            <w:r w:rsidRPr="00C43E6D">
              <w:rPr>
                <w:rFonts w:ascii="Times New Roman" w:hAnsi="Times New Roman" w:cs="Times New Roman"/>
                <w:i/>
                <w:iCs/>
                <w:color w:val="000000"/>
                <w:sz w:val="20"/>
                <w:szCs w:val="20"/>
              </w:rPr>
              <w:t>20.2</w:t>
            </w:r>
          </w:p>
        </w:tc>
        <w:tc>
          <w:tcPr>
            <w:tcW w:w="396" w:type="pct"/>
            <w:tcBorders>
              <w:top w:val="nil"/>
              <w:left w:val="nil"/>
              <w:bottom w:val="single" w:sz="4" w:space="0" w:color="auto"/>
              <w:right w:val="single" w:sz="4" w:space="0" w:color="auto"/>
            </w:tcBorders>
            <w:shd w:val="clear" w:color="auto" w:fill="auto"/>
            <w:noWrap/>
            <w:vAlign w:val="bottom"/>
          </w:tcPr>
          <w:p w14:paraId="60502CAA" w14:textId="77777777" w:rsidR="0094214D" w:rsidRPr="00C43E6D" w:rsidRDefault="0094214D" w:rsidP="002212E3">
            <w:pPr>
              <w:spacing w:after="0"/>
              <w:jc w:val="center"/>
              <w:rPr>
                <w:rFonts w:ascii="Times New Roman" w:hAnsi="Times New Roman" w:cs="Times New Roman"/>
                <w:i/>
                <w:iCs/>
                <w:color w:val="000000"/>
                <w:sz w:val="20"/>
                <w:szCs w:val="20"/>
              </w:rPr>
            </w:pPr>
            <w:r w:rsidRPr="00C43E6D">
              <w:rPr>
                <w:rFonts w:ascii="Times New Roman" w:hAnsi="Times New Roman" w:cs="Times New Roman"/>
                <w:i/>
                <w:iCs/>
                <w:color w:val="000000"/>
                <w:sz w:val="20"/>
                <w:szCs w:val="20"/>
              </w:rPr>
              <w:t>49.5</w:t>
            </w:r>
          </w:p>
        </w:tc>
        <w:tc>
          <w:tcPr>
            <w:tcW w:w="384" w:type="pct"/>
            <w:tcBorders>
              <w:top w:val="nil"/>
              <w:left w:val="nil"/>
              <w:bottom w:val="single" w:sz="4" w:space="0" w:color="auto"/>
              <w:right w:val="single" w:sz="4" w:space="0" w:color="auto"/>
            </w:tcBorders>
            <w:shd w:val="clear" w:color="auto" w:fill="auto"/>
            <w:noWrap/>
            <w:vAlign w:val="bottom"/>
          </w:tcPr>
          <w:p w14:paraId="7ECE51C4" w14:textId="77777777" w:rsidR="0094214D" w:rsidRPr="00C43E6D" w:rsidRDefault="0094214D" w:rsidP="002212E3">
            <w:pPr>
              <w:spacing w:after="0"/>
              <w:jc w:val="center"/>
              <w:rPr>
                <w:rFonts w:ascii="Times New Roman" w:hAnsi="Times New Roman" w:cs="Times New Roman"/>
                <w:i/>
                <w:iCs/>
                <w:color w:val="000000"/>
                <w:sz w:val="20"/>
                <w:szCs w:val="20"/>
              </w:rPr>
            </w:pPr>
            <w:r w:rsidRPr="00C43E6D">
              <w:rPr>
                <w:rFonts w:ascii="Times New Roman" w:hAnsi="Times New Roman" w:cs="Times New Roman"/>
                <w:i/>
                <w:iCs/>
                <w:color w:val="000000"/>
                <w:sz w:val="20"/>
                <w:szCs w:val="20"/>
              </w:rPr>
              <w:t>65.7</w:t>
            </w:r>
          </w:p>
        </w:tc>
        <w:tc>
          <w:tcPr>
            <w:tcW w:w="383" w:type="pct"/>
            <w:tcBorders>
              <w:top w:val="nil"/>
              <w:left w:val="nil"/>
              <w:bottom w:val="single" w:sz="4" w:space="0" w:color="auto"/>
              <w:right w:val="single" w:sz="4" w:space="0" w:color="auto"/>
            </w:tcBorders>
            <w:shd w:val="clear" w:color="auto" w:fill="auto"/>
            <w:noWrap/>
            <w:vAlign w:val="bottom"/>
          </w:tcPr>
          <w:p w14:paraId="4C23CE81" w14:textId="77777777" w:rsidR="0094214D" w:rsidRPr="00C43E6D" w:rsidRDefault="0094214D" w:rsidP="002212E3">
            <w:pPr>
              <w:spacing w:after="0"/>
              <w:jc w:val="center"/>
              <w:rPr>
                <w:rFonts w:ascii="Times New Roman" w:hAnsi="Times New Roman" w:cs="Times New Roman"/>
                <w:i/>
                <w:iCs/>
                <w:color w:val="000000"/>
                <w:sz w:val="20"/>
                <w:szCs w:val="20"/>
              </w:rPr>
            </w:pPr>
            <w:r w:rsidRPr="00C43E6D">
              <w:rPr>
                <w:rFonts w:ascii="Times New Roman" w:hAnsi="Times New Roman" w:cs="Times New Roman"/>
                <w:i/>
                <w:iCs/>
                <w:color w:val="000000"/>
                <w:sz w:val="20"/>
                <w:szCs w:val="20"/>
              </w:rPr>
              <w:t>66.8</w:t>
            </w:r>
          </w:p>
        </w:tc>
        <w:tc>
          <w:tcPr>
            <w:tcW w:w="383" w:type="pct"/>
            <w:tcBorders>
              <w:top w:val="nil"/>
              <w:left w:val="nil"/>
              <w:bottom w:val="single" w:sz="4" w:space="0" w:color="auto"/>
              <w:right w:val="single" w:sz="4" w:space="0" w:color="auto"/>
            </w:tcBorders>
            <w:shd w:val="clear" w:color="auto" w:fill="auto"/>
            <w:noWrap/>
            <w:vAlign w:val="bottom"/>
          </w:tcPr>
          <w:p w14:paraId="14B5FFE9" w14:textId="77777777" w:rsidR="0094214D" w:rsidRPr="00C43E6D" w:rsidRDefault="0094214D" w:rsidP="002212E3">
            <w:pPr>
              <w:spacing w:after="0"/>
              <w:jc w:val="center"/>
              <w:rPr>
                <w:rFonts w:ascii="Times New Roman" w:hAnsi="Times New Roman" w:cs="Times New Roman"/>
                <w:i/>
                <w:iCs/>
                <w:color w:val="000000"/>
                <w:sz w:val="20"/>
                <w:szCs w:val="20"/>
              </w:rPr>
            </w:pPr>
            <w:r w:rsidRPr="00C43E6D">
              <w:rPr>
                <w:rFonts w:ascii="Times New Roman" w:hAnsi="Times New Roman" w:cs="Times New Roman"/>
                <w:i/>
                <w:iCs/>
                <w:color w:val="000000"/>
                <w:sz w:val="20"/>
                <w:szCs w:val="20"/>
              </w:rPr>
              <w:t>57.2</w:t>
            </w:r>
          </w:p>
        </w:tc>
        <w:tc>
          <w:tcPr>
            <w:tcW w:w="383" w:type="pct"/>
            <w:tcBorders>
              <w:top w:val="nil"/>
              <w:left w:val="nil"/>
              <w:bottom w:val="single" w:sz="4" w:space="0" w:color="auto"/>
              <w:right w:val="single" w:sz="4" w:space="0" w:color="auto"/>
            </w:tcBorders>
            <w:shd w:val="clear" w:color="auto" w:fill="auto"/>
            <w:noWrap/>
            <w:vAlign w:val="bottom"/>
          </w:tcPr>
          <w:p w14:paraId="25274757" w14:textId="77777777" w:rsidR="0094214D" w:rsidRPr="00C43E6D" w:rsidRDefault="0094214D" w:rsidP="002212E3">
            <w:pPr>
              <w:spacing w:after="0"/>
              <w:jc w:val="center"/>
              <w:rPr>
                <w:rFonts w:ascii="Times New Roman" w:hAnsi="Times New Roman" w:cs="Times New Roman"/>
                <w:i/>
                <w:iCs/>
                <w:color w:val="000000"/>
                <w:sz w:val="20"/>
                <w:szCs w:val="20"/>
              </w:rPr>
            </w:pPr>
            <w:r w:rsidRPr="00C43E6D">
              <w:rPr>
                <w:rFonts w:ascii="Times New Roman" w:hAnsi="Times New Roman" w:cs="Times New Roman"/>
                <w:i/>
                <w:iCs/>
                <w:color w:val="000000"/>
                <w:sz w:val="20"/>
                <w:szCs w:val="20"/>
              </w:rPr>
              <w:t>48.3</w:t>
            </w:r>
          </w:p>
        </w:tc>
        <w:tc>
          <w:tcPr>
            <w:tcW w:w="359" w:type="pct"/>
            <w:tcBorders>
              <w:top w:val="nil"/>
              <w:left w:val="nil"/>
              <w:bottom w:val="single" w:sz="4" w:space="0" w:color="auto"/>
              <w:right w:val="single" w:sz="4" w:space="0" w:color="auto"/>
            </w:tcBorders>
            <w:shd w:val="clear" w:color="auto" w:fill="auto"/>
            <w:vAlign w:val="bottom"/>
          </w:tcPr>
          <w:p w14:paraId="6EE8A932" w14:textId="77777777" w:rsidR="0094214D" w:rsidRPr="00C43E6D" w:rsidRDefault="0094214D" w:rsidP="002212E3">
            <w:pPr>
              <w:spacing w:after="0"/>
              <w:jc w:val="center"/>
              <w:rPr>
                <w:rFonts w:ascii="Times New Roman" w:hAnsi="Times New Roman" w:cs="Times New Roman"/>
                <w:i/>
                <w:iCs/>
                <w:color w:val="000000"/>
                <w:sz w:val="20"/>
                <w:szCs w:val="20"/>
              </w:rPr>
            </w:pPr>
            <w:r w:rsidRPr="00C43E6D">
              <w:rPr>
                <w:rFonts w:ascii="Times New Roman" w:hAnsi="Times New Roman" w:cs="Times New Roman"/>
                <w:i/>
                <w:iCs/>
                <w:color w:val="000000"/>
                <w:sz w:val="20"/>
                <w:szCs w:val="20"/>
              </w:rPr>
              <w:t>21.2</w:t>
            </w:r>
          </w:p>
        </w:tc>
        <w:tc>
          <w:tcPr>
            <w:tcW w:w="367" w:type="pct"/>
            <w:tcBorders>
              <w:top w:val="nil"/>
              <w:left w:val="nil"/>
              <w:bottom w:val="single" w:sz="4" w:space="0" w:color="auto"/>
              <w:right w:val="single" w:sz="4" w:space="0" w:color="auto"/>
            </w:tcBorders>
            <w:shd w:val="clear" w:color="auto" w:fill="auto"/>
            <w:vAlign w:val="bottom"/>
          </w:tcPr>
          <w:p w14:paraId="6EAFE623" w14:textId="77777777" w:rsidR="0094214D" w:rsidRPr="00C43E6D" w:rsidRDefault="0094214D" w:rsidP="002212E3">
            <w:pPr>
              <w:spacing w:after="0"/>
              <w:jc w:val="center"/>
              <w:rPr>
                <w:rFonts w:ascii="Times New Roman" w:hAnsi="Times New Roman" w:cs="Times New Roman"/>
                <w:b/>
                <w:bCs/>
                <w:i/>
                <w:iCs/>
                <w:color w:val="000000"/>
                <w:sz w:val="20"/>
                <w:szCs w:val="20"/>
              </w:rPr>
            </w:pPr>
            <w:r w:rsidRPr="00C43E6D">
              <w:rPr>
                <w:rFonts w:ascii="Times New Roman" w:hAnsi="Times New Roman" w:cs="Times New Roman"/>
                <w:i/>
                <w:iCs/>
                <w:color w:val="000000"/>
                <w:sz w:val="20"/>
                <w:szCs w:val="20"/>
              </w:rPr>
              <w:t>328.9</w:t>
            </w:r>
          </w:p>
        </w:tc>
      </w:tr>
    </w:tbl>
    <w:p w14:paraId="731CA654" w14:textId="137A0EFD" w:rsidR="00EC3E7B" w:rsidRPr="00C43E6D" w:rsidRDefault="00991E97" w:rsidP="007E6BC4">
      <w:pPr>
        <w:pStyle w:val="cb"/>
        <w:spacing w:before="120" w:line="276" w:lineRule="auto"/>
        <w:ind w:firstLine="539"/>
        <w:jc w:val="both"/>
        <w:rPr>
          <w:b w:val="0"/>
          <w:bCs w:val="0"/>
        </w:rPr>
      </w:pPr>
      <w:r w:rsidRPr="00C43E6D">
        <w:t>2</w:t>
      </w:r>
      <w:r w:rsidR="00A94902">
        <w:t>9</w:t>
      </w:r>
      <w:r w:rsidR="008B261F" w:rsidRPr="00C43E6D">
        <w:t>.</w:t>
      </w:r>
      <w:r w:rsidR="008B261F" w:rsidRPr="00C43E6D">
        <w:rPr>
          <w:b w:val="0"/>
          <w:bCs w:val="0"/>
        </w:rPr>
        <w:t xml:space="preserve"> </w:t>
      </w:r>
      <w:r w:rsidR="00EC3E7B" w:rsidRPr="00C43E6D">
        <w:rPr>
          <w:b w:val="0"/>
          <w:bCs w:val="0"/>
        </w:rPr>
        <w:t xml:space="preserve">În tabelul </w:t>
      </w:r>
      <w:r w:rsidR="006B7A1A">
        <w:rPr>
          <w:b w:val="0"/>
          <w:bCs w:val="0"/>
        </w:rPr>
        <w:t>2</w:t>
      </w:r>
      <w:r w:rsidR="00EC3E7B" w:rsidRPr="00C43E6D">
        <w:rPr>
          <w:b w:val="0"/>
          <w:bCs w:val="0"/>
        </w:rPr>
        <w:t xml:space="preserve"> este prezentată cantitatea de energie electrică estimată a fi necesară pentru acoperirea consumului malului drept </w:t>
      </w:r>
      <w:r w:rsidR="00523288" w:rsidRPr="00523288">
        <w:rPr>
          <w:b w:val="0"/>
          <w:bCs w:val="0"/>
        </w:rPr>
        <w:t xml:space="preserve">al râului Nistru </w:t>
      </w:r>
      <w:r w:rsidR="00EC3E7B" w:rsidRPr="00C43E6D">
        <w:rPr>
          <w:b w:val="0"/>
          <w:bCs w:val="0"/>
        </w:rPr>
        <w:t>în perioada octombrie 202</w:t>
      </w:r>
      <w:r w:rsidR="009462F0" w:rsidRPr="00C43E6D">
        <w:rPr>
          <w:b w:val="0"/>
          <w:bCs w:val="0"/>
        </w:rPr>
        <w:t>5</w:t>
      </w:r>
      <w:r w:rsidR="00706A61" w:rsidRPr="00C43E6D">
        <w:rPr>
          <w:b w:val="0"/>
          <w:bCs w:val="0"/>
        </w:rPr>
        <w:t xml:space="preserve"> </w:t>
      </w:r>
      <w:r w:rsidR="00EC3E7B" w:rsidRPr="00C43E6D">
        <w:rPr>
          <w:b w:val="0"/>
          <w:bCs w:val="0"/>
        </w:rPr>
        <w:t>-</w:t>
      </w:r>
      <w:r w:rsidR="00706A61" w:rsidRPr="00C43E6D">
        <w:rPr>
          <w:b w:val="0"/>
          <w:bCs w:val="0"/>
        </w:rPr>
        <w:t xml:space="preserve"> </w:t>
      </w:r>
      <w:r w:rsidR="00EC3E7B" w:rsidRPr="00C43E6D">
        <w:rPr>
          <w:b w:val="0"/>
          <w:bCs w:val="0"/>
        </w:rPr>
        <w:t>aprilie 202</w:t>
      </w:r>
      <w:r w:rsidR="009462F0" w:rsidRPr="00C43E6D">
        <w:rPr>
          <w:b w:val="0"/>
          <w:bCs w:val="0"/>
        </w:rPr>
        <w:t>6</w:t>
      </w:r>
      <w:r w:rsidR="00EC3E7B" w:rsidRPr="00C43E6D">
        <w:rPr>
          <w:b w:val="0"/>
          <w:bCs w:val="0"/>
        </w:rPr>
        <w:t xml:space="preserve">, divizată pe energia electrică produsă local și cea necesară a fi importată din alte surse, reieșind din datele înregistrate de facto în perioada </w:t>
      </w:r>
      <w:r w:rsidR="001D0FF7">
        <w:rPr>
          <w:b w:val="0"/>
          <w:bCs w:val="0"/>
        </w:rPr>
        <w:t xml:space="preserve">similară </w:t>
      </w:r>
      <w:r w:rsidR="00EC3E7B" w:rsidRPr="00C43E6D">
        <w:rPr>
          <w:b w:val="0"/>
          <w:bCs w:val="0"/>
        </w:rPr>
        <w:t>precedentă.</w:t>
      </w:r>
    </w:p>
    <w:p w14:paraId="24514642" w14:textId="304D4F63" w:rsidR="00563E6E" w:rsidRPr="00C43E6D" w:rsidRDefault="00563E6E" w:rsidP="007E41F9">
      <w:pPr>
        <w:pStyle w:val="cb"/>
        <w:spacing w:before="120"/>
        <w:ind w:left="1080" w:hanging="1080"/>
        <w:jc w:val="both"/>
        <w:rPr>
          <w:b w:val="0"/>
          <w:bCs w:val="0"/>
          <w:color w:val="000000"/>
          <w:sz w:val="22"/>
          <w:szCs w:val="22"/>
        </w:rPr>
      </w:pPr>
      <w:r w:rsidRPr="00C43E6D">
        <w:t xml:space="preserve">Tabelul </w:t>
      </w:r>
      <w:r w:rsidR="006B7A1A">
        <w:t>2</w:t>
      </w:r>
      <w:r w:rsidRPr="00C43E6D">
        <w:t xml:space="preserve">. </w:t>
      </w:r>
      <w:r w:rsidRPr="00C43E6D">
        <w:rPr>
          <w:b w:val="0"/>
          <w:bCs w:val="0"/>
          <w:sz w:val="22"/>
          <w:szCs w:val="22"/>
        </w:rPr>
        <w:t>C</w:t>
      </w:r>
      <w:r w:rsidRPr="00C43E6D">
        <w:rPr>
          <w:b w:val="0"/>
          <w:bCs w:val="0"/>
          <w:color w:val="000000"/>
          <w:sz w:val="22"/>
          <w:szCs w:val="22"/>
        </w:rPr>
        <w:t xml:space="preserve">onsumul lunar de </w:t>
      </w:r>
      <w:r w:rsidR="00C45663" w:rsidRPr="00C43E6D">
        <w:rPr>
          <w:b w:val="0"/>
          <w:bCs w:val="0"/>
          <w:color w:val="000000"/>
          <w:sz w:val="22"/>
          <w:szCs w:val="22"/>
        </w:rPr>
        <w:t>energie electrică</w:t>
      </w:r>
      <w:r w:rsidRPr="00C43E6D">
        <w:rPr>
          <w:b w:val="0"/>
          <w:bCs w:val="0"/>
          <w:color w:val="000000"/>
          <w:sz w:val="22"/>
          <w:szCs w:val="22"/>
        </w:rPr>
        <w:t xml:space="preserve"> estimat </w:t>
      </w:r>
      <w:r w:rsidR="00C45663" w:rsidRPr="00C43E6D">
        <w:rPr>
          <w:b w:val="0"/>
          <w:bCs w:val="0"/>
          <w:color w:val="000000"/>
          <w:sz w:val="22"/>
          <w:szCs w:val="22"/>
        </w:rPr>
        <w:t xml:space="preserve">pentru </w:t>
      </w:r>
      <w:r w:rsidR="000537A1" w:rsidRPr="00C43E6D">
        <w:rPr>
          <w:b w:val="0"/>
          <w:bCs w:val="0"/>
          <w:color w:val="000000"/>
          <w:sz w:val="22"/>
          <w:szCs w:val="22"/>
        </w:rPr>
        <w:t>perioada oc</w:t>
      </w:r>
      <w:r w:rsidR="00100DBB" w:rsidRPr="00C43E6D">
        <w:rPr>
          <w:b w:val="0"/>
          <w:bCs w:val="0"/>
          <w:color w:val="000000"/>
          <w:sz w:val="22"/>
          <w:szCs w:val="22"/>
        </w:rPr>
        <w:t>to</w:t>
      </w:r>
      <w:r w:rsidR="000537A1" w:rsidRPr="00C43E6D">
        <w:rPr>
          <w:b w:val="0"/>
          <w:bCs w:val="0"/>
          <w:color w:val="000000"/>
          <w:sz w:val="22"/>
          <w:szCs w:val="22"/>
        </w:rPr>
        <w:t>mbrie 202</w:t>
      </w:r>
      <w:r w:rsidR="002B6CD1" w:rsidRPr="00C43E6D">
        <w:rPr>
          <w:b w:val="0"/>
          <w:bCs w:val="0"/>
          <w:color w:val="000000"/>
          <w:sz w:val="22"/>
          <w:szCs w:val="22"/>
        </w:rPr>
        <w:t>5</w:t>
      </w:r>
      <w:r w:rsidR="000537A1" w:rsidRPr="00C43E6D">
        <w:rPr>
          <w:b w:val="0"/>
          <w:bCs w:val="0"/>
          <w:color w:val="000000"/>
          <w:sz w:val="22"/>
          <w:szCs w:val="22"/>
        </w:rPr>
        <w:t xml:space="preserve"> – aprilie 202</w:t>
      </w:r>
      <w:r w:rsidR="002B6CD1" w:rsidRPr="00C43E6D">
        <w:rPr>
          <w:b w:val="0"/>
          <w:bCs w:val="0"/>
          <w:color w:val="000000"/>
          <w:sz w:val="22"/>
          <w:szCs w:val="22"/>
        </w:rPr>
        <w:t>6</w:t>
      </w:r>
      <w:r w:rsidRPr="00C43E6D">
        <w:rPr>
          <w:b w:val="0"/>
          <w:bCs w:val="0"/>
          <w:color w:val="000000"/>
          <w:sz w:val="22"/>
          <w:szCs w:val="22"/>
        </w:rPr>
        <w:t xml:space="preserve">, mil. </w:t>
      </w:r>
      <w:r w:rsidR="00C45663" w:rsidRPr="00C43E6D">
        <w:rPr>
          <w:b w:val="0"/>
          <w:bCs w:val="0"/>
          <w:color w:val="000000"/>
          <w:sz w:val="22"/>
          <w:szCs w:val="22"/>
        </w:rPr>
        <w:t>kWh</w:t>
      </w:r>
    </w:p>
    <w:tbl>
      <w:tblPr>
        <w:tblpPr w:leftFromText="180" w:rightFromText="180" w:vertAnchor="text" w:horzAnchor="margin" w:tblpXSpec="center" w:tblpY="154"/>
        <w:tblW w:w="48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0"/>
        <w:gridCol w:w="699"/>
        <w:gridCol w:w="699"/>
        <w:gridCol w:w="701"/>
        <w:gridCol w:w="699"/>
        <w:gridCol w:w="730"/>
        <w:gridCol w:w="699"/>
        <w:gridCol w:w="707"/>
        <w:gridCol w:w="871"/>
        <w:gridCol w:w="863"/>
      </w:tblGrid>
      <w:tr w:rsidR="00060E6A" w:rsidRPr="00C43E6D" w14:paraId="7F978449" w14:textId="792F4F5C" w:rsidTr="002E2FAD">
        <w:trPr>
          <w:trHeight w:val="159"/>
        </w:trPr>
        <w:tc>
          <w:tcPr>
            <w:tcW w:w="1485" w:type="pct"/>
            <w:vMerge w:val="restart"/>
            <w:shd w:val="clear" w:color="auto" w:fill="DEEAF6" w:themeFill="accent1" w:themeFillTint="33"/>
            <w:noWrap/>
            <w:vAlign w:val="center"/>
            <w:hideMark/>
          </w:tcPr>
          <w:p w14:paraId="3256583A" w14:textId="77777777" w:rsidR="00060E6A" w:rsidRPr="00C43E6D" w:rsidRDefault="00060E6A" w:rsidP="0003290C">
            <w:pPr>
              <w:spacing w:after="0" w:line="240" w:lineRule="auto"/>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Cantități estimate</w:t>
            </w:r>
          </w:p>
        </w:tc>
        <w:tc>
          <w:tcPr>
            <w:tcW w:w="1108" w:type="pct"/>
            <w:gridSpan w:val="3"/>
            <w:shd w:val="clear" w:color="auto" w:fill="DEEAF6" w:themeFill="accent1" w:themeFillTint="33"/>
            <w:vAlign w:val="center"/>
            <w:hideMark/>
          </w:tcPr>
          <w:p w14:paraId="35836623" w14:textId="3FBC59D9" w:rsidR="00060E6A" w:rsidRPr="00C43E6D" w:rsidRDefault="00060E6A" w:rsidP="0003290C">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202</w:t>
            </w:r>
            <w:r w:rsidR="002E2FAD" w:rsidRPr="00C43E6D">
              <w:rPr>
                <w:rFonts w:ascii="Times New Roman" w:eastAsia="Times New Roman" w:hAnsi="Times New Roman" w:cs="Times New Roman"/>
                <w:b/>
                <w:bCs/>
                <w:color w:val="000000"/>
                <w:sz w:val="20"/>
                <w:szCs w:val="20"/>
              </w:rPr>
              <w:t>5</w:t>
            </w:r>
          </w:p>
        </w:tc>
        <w:tc>
          <w:tcPr>
            <w:tcW w:w="1496" w:type="pct"/>
            <w:gridSpan w:val="4"/>
            <w:shd w:val="clear" w:color="auto" w:fill="DEEAF6" w:themeFill="accent1" w:themeFillTint="33"/>
            <w:noWrap/>
            <w:vAlign w:val="center"/>
            <w:hideMark/>
          </w:tcPr>
          <w:p w14:paraId="0CF227FB" w14:textId="33E2398A" w:rsidR="00060E6A" w:rsidRPr="00C43E6D" w:rsidRDefault="00060E6A" w:rsidP="0003290C">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202</w:t>
            </w:r>
            <w:r w:rsidR="002E2FAD" w:rsidRPr="00C43E6D">
              <w:rPr>
                <w:rFonts w:ascii="Times New Roman" w:eastAsia="Times New Roman" w:hAnsi="Times New Roman" w:cs="Times New Roman"/>
                <w:b/>
                <w:bCs/>
                <w:color w:val="000000"/>
                <w:sz w:val="20"/>
                <w:szCs w:val="20"/>
              </w:rPr>
              <w:t>6</w:t>
            </w:r>
          </w:p>
        </w:tc>
        <w:tc>
          <w:tcPr>
            <w:tcW w:w="910" w:type="pct"/>
            <w:gridSpan w:val="2"/>
            <w:shd w:val="clear" w:color="auto" w:fill="DEEAF6" w:themeFill="accent1" w:themeFillTint="33"/>
            <w:vAlign w:val="center"/>
            <w:hideMark/>
          </w:tcPr>
          <w:p w14:paraId="27047D86" w14:textId="2830A7AC" w:rsidR="00060E6A" w:rsidRPr="00C43E6D" w:rsidRDefault="00060E6A" w:rsidP="0003290C">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Total</w:t>
            </w:r>
          </w:p>
        </w:tc>
      </w:tr>
      <w:tr w:rsidR="00060E6A" w:rsidRPr="00C43E6D" w14:paraId="3D6D3872" w14:textId="72505651" w:rsidTr="002E2FAD">
        <w:trPr>
          <w:trHeight w:val="290"/>
        </w:trPr>
        <w:tc>
          <w:tcPr>
            <w:tcW w:w="1485" w:type="pct"/>
            <w:vMerge/>
            <w:shd w:val="clear" w:color="auto" w:fill="DEEAF6" w:themeFill="accent1" w:themeFillTint="33"/>
            <w:vAlign w:val="center"/>
            <w:hideMark/>
          </w:tcPr>
          <w:p w14:paraId="72BAE039" w14:textId="77777777" w:rsidR="00060E6A" w:rsidRPr="00C43E6D" w:rsidRDefault="00060E6A" w:rsidP="0003290C">
            <w:pPr>
              <w:spacing w:after="0" w:line="240" w:lineRule="auto"/>
              <w:rPr>
                <w:rFonts w:ascii="Times New Roman" w:eastAsia="Times New Roman" w:hAnsi="Times New Roman" w:cs="Times New Roman"/>
                <w:b/>
                <w:bCs/>
                <w:color w:val="000000"/>
                <w:sz w:val="20"/>
                <w:szCs w:val="20"/>
              </w:rPr>
            </w:pPr>
          </w:p>
        </w:tc>
        <w:tc>
          <w:tcPr>
            <w:tcW w:w="369" w:type="pct"/>
            <w:shd w:val="clear" w:color="auto" w:fill="DEEAF6" w:themeFill="accent1" w:themeFillTint="33"/>
            <w:noWrap/>
            <w:vAlign w:val="center"/>
            <w:hideMark/>
          </w:tcPr>
          <w:p w14:paraId="0638E6B8" w14:textId="77777777" w:rsidR="00060E6A" w:rsidRPr="00C43E6D" w:rsidRDefault="00060E6A" w:rsidP="0003290C">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Oct</w:t>
            </w:r>
          </w:p>
        </w:tc>
        <w:tc>
          <w:tcPr>
            <w:tcW w:w="369" w:type="pct"/>
            <w:shd w:val="clear" w:color="auto" w:fill="DEEAF6" w:themeFill="accent1" w:themeFillTint="33"/>
            <w:noWrap/>
            <w:vAlign w:val="center"/>
            <w:hideMark/>
          </w:tcPr>
          <w:p w14:paraId="4FF7C5A2" w14:textId="50F376C7" w:rsidR="00060E6A" w:rsidRPr="00C43E6D" w:rsidRDefault="00060E6A" w:rsidP="0003290C">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Noi</w:t>
            </w:r>
          </w:p>
        </w:tc>
        <w:tc>
          <w:tcPr>
            <w:tcW w:w="370" w:type="pct"/>
            <w:shd w:val="clear" w:color="auto" w:fill="DEEAF6" w:themeFill="accent1" w:themeFillTint="33"/>
            <w:noWrap/>
            <w:vAlign w:val="center"/>
            <w:hideMark/>
          </w:tcPr>
          <w:p w14:paraId="6F65B8CE" w14:textId="77777777" w:rsidR="00060E6A" w:rsidRPr="00C43E6D" w:rsidRDefault="00060E6A" w:rsidP="0003290C">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Dec</w:t>
            </w:r>
          </w:p>
        </w:tc>
        <w:tc>
          <w:tcPr>
            <w:tcW w:w="369" w:type="pct"/>
            <w:shd w:val="clear" w:color="auto" w:fill="DEEAF6" w:themeFill="accent1" w:themeFillTint="33"/>
            <w:noWrap/>
            <w:vAlign w:val="center"/>
            <w:hideMark/>
          </w:tcPr>
          <w:p w14:paraId="2C6FB8B0" w14:textId="77777777" w:rsidR="00060E6A" w:rsidRPr="00C43E6D" w:rsidRDefault="00060E6A" w:rsidP="0003290C">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Ian</w:t>
            </w:r>
          </w:p>
        </w:tc>
        <w:tc>
          <w:tcPr>
            <w:tcW w:w="385" w:type="pct"/>
            <w:shd w:val="clear" w:color="auto" w:fill="DEEAF6" w:themeFill="accent1" w:themeFillTint="33"/>
            <w:noWrap/>
            <w:vAlign w:val="center"/>
            <w:hideMark/>
          </w:tcPr>
          <w:p w14:paraId="550D0989" w14:textId="77777777" w:rsidR="00060E6A" w:rsidRPr="00C43E6D" w:rsidRDefault="00060E6A" w:rsidP="0003290C">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Feb</w:t>
            </w:r>
          </w:p>
        </w:tc>
        <w:tc>
          <w:tcPr>
            <w:tcW w:w="369" w:type="pct"/>
            <w:shd w:val="clear" w:color="auto" w:fill="DEEAF6" w:themeFill="accent1" w:themeFillTint="33"/>
            <w:noWrap/>
            <w:vAlign w:val="center"/>
            <w:hideMark/>
          </w:tcPr>
          <w:p w14:paraId="70339F30" w14:textId="77777777" w:rsidR="00060E6A" w:rsidRPr="00C43E6D" w:rsidRDefault="00060E6A" w:rsidP="0003290C">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Mar</w:t>
            </w:r>
          </w:p>
        </w:tc>
        <w:tc>
          <w:tcPr>
            <w:tcW w:w="373" w:type="pct"/>
            <w:shd w:val="clear" w:color="auto" w:fill="DEEAF6" w:themeFill="accent1" w:themeFillTint="33"/>
            <w:vAlign w:val="center"/>
            <w:hideMark/>
          </w:tcPr>
          <w:p w14:paraId="076EED27" w14:textId="77777777" w:rsidR="00060E6A" w:rsidRPr="00C43E6D" w:rsidRDefault="00060E6A" w:rsidP="0003290C">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Apr</w:t>
            </w:r>
          </w:p>
        </w:tc>
        <w:tc>
          <w:tcPr>
            <w:tcW w:w="457" w:type="pct"/>
            <w:shd w:val="clear" w:color="auto" w:fill="DEEAF6" w:themeFill="accent1" w:themeFillTint="33"/>
            <w:vAlign w:val="center"/>
            <w:hideMark/>
          </w:tcPr>
          <w:p w14:paraId="458C9642" w14:textId="070BF29D" w:rsidR="00060E6A" w:rsidRPr="00C43E6D" w:rsidRDefault="00060E6A" w:rsidP="0003290C">
            <w:pPr>
              <w:spacing w:after="0" w:line="240" w:lineRule="auto"/>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mil. kWh</w:t>
            </w:r>
          </w:p>
        </w:tc>
        <w:tc>
          <w:tcPr>
            <w:tcW w:w="453" w:type="pct"/>
            <w:shd w:val="clear" w:color="auto" w:fill="DEEAF6" w:themeFill="accent1" w:themeFillTint="33"/>
            <w:vAlign w:val="center"/>
          </w:tcPr>
          <w:p w14:paraId="0F0C5D10" w14:textId="603AF949" w:rsidR="00060E6A" w:rsidRPr="00C43E6D" w:rsidRDefault="00060E6A" w:rsidP="000537A1">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w:t>
            </w:r>
          </w:p>
        </w:tc>
      </w:tr>
      <w:tr w:rsidR="002E2FAD" w:rsidRPr="00C43E6D" w14:paraId="45499148" w14:textId="685AD732" w:rsidTr="0032590B">
        <w:trPr>
          <w:trHeight w:val="50"/>
        </w:trPr>
        <w:tc>
          <w:tcPr>
            <w:tcW w:w="1485" w:type="pct"/>
            <w:shd w:val="clear" w:color="auto" w:fill="FFFFFF" w:themeFill="background1"/>
            <w:noWrap/>
            <w:vAlign w:val="center"/>
            <w:hideMark/>
          </w:tcPr>
          <w:p w14:paraId="221B386B" w14:textId="6277182A" w:rsidR="002E2FAD" w:rsidRPr="00C43E6D" w:rsidRDefault="00812E47" w:rsidP="002E2FA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w:t>
            </w:r>
            <w:r w:rsidR="002E2FAD" w:rsidRPr="00C43E6D">
              <w:rPr>
                <w:rFonts w:ascii="Times New Roman" w:eastAsia="Times New Roman" w:hAnsi="Times New Roman" w:cs="Times New Roman"/>
                <w:color w:val="000000"/>
                <w:sz w:val="20"/>
                <w:szCs w:val="20"/>
              </w:rPr>
              <w:t>Total consum, mil. kWh, inclusiv</w:t>
            </w:r>
          </w:p>
        </w:tc>
        <w:tc>
          <w:tcPr>
            <w:tcW w:w="369" w:type="pct"/>
            <w:shd w:val="clear" w:color="auto" w:fill="auto"/>
            <w:noWrap/>
            <w:vAlign w:val="center"/>
            <w:hideMark/>
          </w:tcPr>
          <w:p w14:paraId="095033E5" w14:textId="1232B9D0" w:rsidR="002E2FAD" w:rsidRPr="00C43E6D" w:rsidRDefault="002E2FAD" w:rsidP="002E2FAD">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385.1</w:t>
            </w:r>
          </w:p>
        </w:tc>
        <w:tc>
          <w:tcPr>
            <w:tcW w:w="369" w:type="pct"/>
            <w:shd w:val="clear" w:color="auto" w:fill="auto"/>
            <w:noWrap/>
            <w:vAlign w:val="center"/>
            <w:hideMark/>
          </w:tcPr>
          <w:p w14:paraId="64E3958E" w14:textId="43FE8D16" w:rsidR="002E2FAD" w:rsidRPr="00C43E6D" w:rsidRDefault="002E2FAD" w:rsidP="002E2FAD">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430.5</w:t>
            </w:r>
          </w:p>
        </w:tc>
        <w:tc>
          <w:tcPr>
            <w:tcW w:w="370" w:type="pct"/>
            <w:shd w:val="clear" w:color="auto" w:fill="auto"/>
            <w:noWrap/>
            <w:vAlign w:val="center"/>
            <w:hideMark/>
          </w:tcPr>
          <w:p w14:paraId="09ED5FBA" w14:textId="5713DEDB" w:rsidR="002E2FAD" w:rsidRPr="00C43E6D" w:rsidRDefault="002E2FAD" w:rsidP="002E2FAD">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464.5</w:t>
            </w:r>
          </w:p>
        </w:tc>
        <w:tc>
          <w:tcPr>
            <w:tcW w:w="369" w:type="pct"/>
            <w:shd w:val="clear" w:color="auto" w:fill="auto"/>
            <w:noWrap/>
            <w:vAlign w:val="center"/>
            <w:hideMark/>
          </w:tcPr>
          <w:p w14:paraId="727E0EB3" w14:textId="6E10222A" w:rsidR="002E2FAD" w:rsidRPr="00C43E6D" w:rsidRDefault="002E2FAD" w:rsidP="002E2FAD">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421.0</w:t>
            </w:r>
          </w:p>
        </w:tc>
        <w:tc>
          <w:tcPr>
            <w:tcW w:w="385" w:type="pct"/>
            <w:shd w:val="clear" w:color="auto" w:fill="auto"/>
            <w:noWrap/>
            <w:vAlign w:val="center"/>
            <w:hideMark/>
          </w:tcPr>
          <w:p w14:paraId="6906E8B4" w14:textId="7C66FB4F" w:rsidR="002E2FAD" w:rsidRPr="00C43E6D" w:rsidRDefault="002E2FAD" w:rsidP="002E2FAD">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405.5</w:t>
            </w:r>
          </w:p>
        </w:tc>
        <w:tc>
          <w:tcPr>
            <w:tcW w:w="369" w:type="pct"/>
            <w:shd w:val="clear" w:color="auto" w:fill="auto"/>
            <w:noWrap/>
            <w:vAlign w:val="center"/>
            <w:hideMark/>
          </w:tcPr>
          <w:p w14:paraId="491A2F03" w14:textId="1A57555C" w:rsidR="002E2FAD" w:rsidRPr="00C43E6D" w:rsidRDefault="002E2FAD" w:rsidP="002E2FAD">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389.9</w:t>
            </w:r>
          </w:p>
        </w:tc>
        <w:tc>
          <w:tcPr>
            <w:tcW w:w="373" w:type="pct"/>
            <w:shd w:val="clear" w:color="auto" w:fill="auto"/>
            <w:noWrap/>
            <w:vAlign w:val="center"/>
            <w:hideMark/>
          </w:tcPr>
          <w:p w14:paraId="0C8A55F8" w14:textId="77971A8F" w:rsidR="002E2FAD" w:rsidRPr="00C43E6D" w:rsidRDefault="002E2FAD" w:rsidP="002E2FAD">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310.8</w:t>
            </w:r>
          </w:p>
        </w:tc>
        <w:tc>
          <w:tcPr>
            <w:tcW w:w="457" w:type="pct"/>
            <w:shd w:val="clear" w:color="auto" w:fill="auto"/>
            <w:vAlign w:val="center"/>
            <w:hideMark/>
          </w:tcPr>
          <w:p w14:paraId="3210B056" w14:textId="68E41632" w:rsidR="002E2FAD" w:rsidRPr="00C43E6D" w:rsidRDefault="002E2FAD" w:rsidP="002E2FAD">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2807.3</w:t>
            </w:r>
          </w:p>
        </w:tc>
        <w:tc>
          <w:tcPr>
            <w:tcW w:w="453" w:type="pct"/>
            <w:shd w:val="clear" w:color="auto" w:fill="auto"/>
            <w:vAlign w:val="center"/>
          </w:tcPr>
          <w:p w14:paraId="7FFE95B1" w14:textId="24A27EB0" w:rsidR="002E2FAD" w:rsidRPr="00C43E6D" w:rsidRDefault="002E2FAD" w:rsidP="002E2FAD">
            <w:pPr>
              <w:spacing w:after="0" w:line="240" w:lineRule="auto"/>
              <w:jc w:val="center"/>
              <w:rPr>
                <w:rFonts w:ascii="Times New Roman" w:hAnsi="Times New Roman" w:cs="Times New Roman"/>
                <w:b/>
                <w:bCs/>
                <w:color w:val="000000"/>
                <w:sz w:val="20"/>
                <w:szCs w:val="20"/>
              </w:rPr>
            </w:pPr>
            <w:r w:rsidRPr="00C43E6D">
              <w:rPr>
                <w:rFonts w:ascii="Times New Roman" w:hAnsi="Times New Roman" w:cs="Times New Roman"/>
                <w:b/>
                <w:bCs/>
                <w:color w:val="000000"/>
                <w:sz w:val="20"/>
                <w:szCs w:val="20"/>
              </w:rPr>
              <w:t>100.0</w:t>
            </w:r>
          </w:p>
        </w:tc>
      </w:tr>
      <w:tr w:rsidR="002E2FAD" w:rsidRPr="00C43E6D" w14:paraId="2F343A2C" w14:textId="64C1A328" w:rsidTr="0032590B">
        <w:trPr>
          <w:trHeight w:val="110"/>
        </w:trPr>
        <w:tc>
          <w:tcPr>
            <w:tcW w:w="1485" w:type="pct"/>
            <w:shd w:val="clear" w:color="auto" w:fill="FFFFFF" w:themeFill="background1"/>
            <w:vAlign w:val="center"/>
            <w:hideMark/>
          </w:tcPr>
          <w:p w14:paraId="32576048" w14:textId="6D8865BC" w:rsidR="002E2FAD" w:rsidRPr="00C43E6D" w:rsidRDefault="00812E47" w:rsidP="002E2FA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1.1. </w:t>
            </w:r>
            <w:r w:rsidR="002E2FAD" w:rsidRPr="00C43E6D">
              <w:rPr>
                <w:rFonts w:ascii="Times New Roman" w:eastAsia="Times New Roman" w:hAnsi="Times New Roman" w:cs="Times New Roman"/>
                <w:color w:val="000000"/>
                <w:sz w:val="20"/>
                <w:szCs w:val="20"/>
              </w:rPr>
              <w:t>Producție locală</w:t>
            </w:r>
          </w:p>
        </w:tc>
        <w:tc>
          <w:tcPr>
            <w:tcW w:w="369" w:type="pct"/>
            <w:shd w:val="clear" w:color="auto" w:fill="auto"/>
            <w:noWrap/>
            <w:vAlign w:val="center"/>
            <w:hideMark/>
          </w:tcPr>
          <w:p w14:paraId="5D157DED" w14:textId="01CCC868" w:rsidR="002E2FAD" w:rsidRPr="00C43E6D" w:rsidRDefault="002E2FAD" w:rsidP="002E2FAD">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89.9</w:t>
            </w:r>
          </w:p>
        </w:tc>
        <w:tc>
          <w:tcPr>
            <w:tcW w:w="369" w:type="pct"/>
            <w:shd w:val="clear" w:color="auto" w:fill="auto"/>
            <w:noWrap/>
            <w:vAlign w:val="center"/>
            <w:hideMark/>
          </w:tcPr>
          <w:p w14:paraId="1C8CC9C9" w14:textId="7A9E2BE3" w:rsidR="002E2FAD" w:rsidRPr="00C43E6D" w:rsidRDefault="002E2FAD" w:rsidP="002E2FAD">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153.3</w:t>
            </w:r>
          </w:p>
        </w:tc>
        <w:tc>
          <w:tcPr>
            <w:tcW w:w="370" w:type="pct"/>
            <w:shd w:val="clear" w:color="auto" w:fill="auto"/>
            <w:noWrap/>
            <w:vAlign w:val="center"/>
            <w:hideMark/>
          </w:tcPr>
          <w:p w14:paraId="6025F1F1" w14:textId="14ED1DE0" w:rsidR="002E2FAD" w:rsidRPr="00C43E6D" w:rsidRDefault="002E2FAD" w:rsidP="002E2FAD">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170.6</w:t>
            </w:r>
          </w:p>
        </w:tc>
        <w:tc>
          <w:tcPr>
            <w:tcW w:w="369" w:type="pct"/>
            <w:shd w:val="clear" w:color="auto" w:fill="auto"/>
            <w:noWrap/>
            <w:vAlign w:val="center"/>
            <w:hideMark/>
          </w:tcPr>
          <w:p w14:paraId="2ABFA728" w14:textId="7B85F4E3" w:rsidR="002E2FAD" w:rsidRPr="00C43E6D" w:rsidRDefault="002E2FAD" w:rsidP="002E2FAD">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179.3</w:t>
            </w:r>
          </w:p>
        </w:tc>
        <w:tc>
          <w:tcPr>
            <w:tcW w:w="385" w:type="pct"/>
            <w:shd w:val="clear" w:color="auto" w:fill="auto"/>
            <w:noWrap/>
            <w:vAlign w:val="center"/>
            <w:hideMark/>
          </w:tcPr>
          <w:p w14:paraId="157C85FF" w14:textId="60D07490" w:rsidR="002E2FAD" w:rsidRPr="00C43E6D" w:rsidRDefault="002E2FAD" w:rsidP="002E2FAD">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179.7</w:t>
            </w:r>
          </w:p>
        </w:tc>
        <w:tc>
          <w:tcPr>
            <w:tcW w:w="369" w:type="pct"/>
            <w:shd w:val="clear" w:color="auto" w:fill="auto"/>
            <w:noWrap/>
            <w:vAlign w:val="center"/>
            <w:hideMark/>
          </w:tcPr>
          <w:p w14:paraId="652D40A8" w14:textId="098244F9" w:rsidR="002E2FAD" w:rsidRPr="00C43E6D" w:rsidRDefault="002E2FAD" w:rsidP="002E2FAD">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169.5</w:t>
            </w:r>
          </w:p>
        </w:tc>
        <w:tc>
          <w:tcPr>
            <w:tcW w:w="373" w:type="pct"/>
            <w:shd w:val="clear" w:color="auto" w:fill="auto"/>
            <w:noWrap/>
            <w:vAlign w:val="center"/>
            <w:hideMark/>
          </w:tcPr>
          <w:p w14:paraId="14164FA4" w14:textId="462F95AE" w:rsidR="002E2FAD" w:rsidRPr="00C43E6D" w:rsidRDefault="002E2FAD" w:rsidP="002E2FAD">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82.1</w:t>
            </w:r>
          </w:p>
        </w:tc>
        <w:tc>
          <w:tcPr>
            <w:tcW w:w="457" w:type="pct"/>
            <w:shd w:val="clear" w:color="auto" w:fill="auto"/>
            <w:vAlign w:val="center"/>
            <w:hideMark/>
          </w:tcPr>
          <w:p w14:paraId="36F9FB8E" w14:textId="272DF55A" w:rsidR="002E2FAD" w:rsidRPr="00C43E6D" w:rsidRDefault="002E2FAD" w:rsidP="002E2FAD">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1024.4</w:t>
            </w:r>
          </w:p>
        </w:tc>
        <w:tc>
          <w:tcPr>
            <w:tcW w:w="453" w:type="pct"/>
            <w:shd w:val="clear" w:color="auto" w:fill="auto"/>
            <w:vAlign w:val="center"/>
          </w:tcPr>
          <w:p w14:paraId="739D191C" w14:textId="5744E1C3" w:rsidR="002E2FAD" w:rsidRPr="00C43E6D" w:rsidRDefault="002E2FAD" w:rsidP="002E2FAD">
            <w:pPr>
              <w:spacing w:after="0" w:line="240" w:lineRule="auto"/>
              <w:jc w:val="center"/>
              <w:rPr>
                <w:rFonts w:ascii="Times New Roman" w:hAnsi="Times New Roman" w:cs="Times New Roman"/>
                <w:b/>
                <w:bCs/>
                <w:color w:val="000000"/>
                <w:sz w:val="20"/>
                <w:szCs w:val="20"/>
              </w:rPr>
            </w:pPr>
            <w:r w:rsidRPr="00C43E6D">
              <w:rPr>
                <w:rFonts w:ascii="Times New Roman" w:hAnsi="Times New Roman" w:cs="Times New Roman"/>
                <w:b/>
                <w:bCs/>
                <w:color w:val="000000"/>
                <w:sz w:val="20"/>
                <w:szCs w:val="20"/>
              </w:rPr>
              <w:t>36.5</w:t>
            </w:r>
          </w:p>
        </w:tc>
      </w:tr>
      <w:tr w:rsidR="002E2FAD" w:rsidRPr="00C43E6D" w14:paraId="796C190A" w14:textId="6CD9305E" w:rsidTr="0032590B">
        <w:trPr>
          <w:trHeight w:val="110"/>
        </w:trPr>
        <w:tc>
          <w:tcPr>
            <w:tcW w:w="1485" w:type="pct"/>
            <w:shd w:val="clear" w:color="auto" w:fill="FFFFFF" w:themeFill="background1"/>
            <w:vAlign w:val="center"/>
          </w:tcPr>
          <w:p w14:paraId="71165920" w14:textId="76C4A697" w:rsidR="002E2FAD" w:rsidRPr="00C43E6D" w:rsidRDefault="002E2FAD" w:rsidP="002E2FAD">
            <w:pPr>
              <w:spacing w:after="0" w:line="240" w:lineRule="auto"/>
              <w:rPr>
                <w:rFonts w:ascii="Times New Roman" w:eastAsia="Times New Roman" w:hAnsi="Times New Roman" w:cs="Times New Roman"/>
                <w:i/>
                <w:iCs/>
                <w:color w:val="000000"/>
                <w:sz w:val="20"/>
                <w:szCs w:val="20"/>
              </w:rPr>
            </w:pPr>
            <w:r w:rsidRPr="00C43E6D">
              <w:rPr>
                <w:rFonts w:ascii="Times New Roman" w:eastAsia="Times New Roman" w:hAnsi="Times New Roman" w:cs="Times New Roman"/>
                <w:i/>
                <w:iCs/>
                <w:color w:val="000000"/>
                <w:sz w:val="20"/>
                <w:szCs w:val="20"/>
              </w:rPr>
              <w:t>Din care produsă din</w:t>
            </w:r>
            <w:r w:rsidRPr="00C43E6D">
              <w:rPr>
                <w:rFonts w:ascii="Times New Roman" w:hAnsi="Times New Roman" w:cs="Times New Roman"/>
                <w:i/>
                <w:iCs/>
                <w:sz w:val="20"/>
                <w:szCs w:val="20"/>
              </w:rPr>
              <w:t xml:space="preserve"> </w:t>
            </w:r>
            <w:r w:rsidRPr="00C43E6D">
              <w:rPr>
                <w:rFonts w:ascii="Times New Roman" w:eastAsia="Times New Roman" w:hAnsi="Times New Roman" w:cs="Times New Roman"/>
                <w:i/>
                <w:iCs/>
                <w:color w:val="000000"/>
                <w:sz w:val="20"/>
                <w:szCs w:val="20"/>
              </w:rPr>
              <w:t>surse regenerabile de energie (fără</w:t>
            </w:r>
            <w:r w:rsidRPr="00C43E6D">
              <w:rPr>
                <w:rFonts w:ascii="Times New Roman" w:hAnsi="Times New Roman" w:cs="Times New Roman"/>
                <w:i/>
                <w:iCs/>
                <w:sz w:val="20"/>
                <w:szCs w:val="20"/>
              </w:rPr>
              <w:t xml:space="preserve"> </w:t>
            </w:r>
            <w:r w:rsidRPr="00C43E6D">
              <w:rPr>
                <w:rFonts w:ascii="Times New Roman" w:eastAsia="Times New Roman" w:hAnsi="Times New Roman" w:cs="Times New Roman"/>
                <w:i/>
                <w:iCs/>
                <w:color w:val="000000"/>
                <w:sz w:val="20"/>
                <w:szCs w:val="20"/>
              </w:rPr>
              <w:t>mecanismul contorizării/facturării nete)</w:t>
            </w:r>
          </w:p>
        </w:tc>
        <w:tc>
          <w:tcPr>
            <w:tcW w:w="369" w:type="pct"/>
            <w:shd w:val="clear" w:color="auto" w:fill="auto"/>
            <w:noWrap/>
            <w:vAlign w:val="center"/>
          </w:tcPr>
          <w:p w14:paraId="01661B5D" w14:textId="769AB463" w:rsidR="002E2FAD" w:rsidRPr="00C43E6D" w:rsidRDefault="002E2FAD" w:rsidP="002E2FAD">
            <w:pPr>
              <w:spacing w:after="0" w:line="240" w:lineRule="auto"/>
              <w:jc w:val="center"/>
              <w:rPr>
                <w:rFonts w:ascii="Times New Roman" w:hAnsi="Times New Roman" w:cs="Times New Roman"/>
                <w:i/>
                <w:iCs/>
                <w:color w:val="000000"/>
                <w:sz w:val="20"/>
                <w:szCs w:val="20"/>
              </w:rPr>
            </w:pPr>
            <w:r w:rsidRPr="00C43E6D">
              <w:rPr>
                <w:rFonts w:ascii="Times New Roman" w:hAnsi="Times New Roman" w:cs="Times New Roman"/>
                <w:i/>
                <w:iCs/>
                <w:color w:val="000000"/>
                <w:sz w:val="20"/>
                <w:szCs w:val="20"/>
              </w:rPr>
              <w:t>48.5</w:t>
            </w:r>
          </w:p>
        </w:tc>
        <w:tc>
          <w:tcPr>
            <w:tcW w:w="369" w:type="pct"/>
            <w:shd w:val="clear" w:color="auto" w:fill="auto"/>
            <w:noWrap/>
            <w:vAlign w:val="center"/>
          </w:tcPr>
          <w:p w14:paraId="45346047" w14:textId="38D0AF79" w:rsidR="002E2FAD" w:rsidRPr="00C43E6D" w:rsidRDefault="002E2FAD" w:rsidP="002E2FAD">
            <w:pPr>
              <w:spacing w:after="0" w:line="240" w:lineRule="auto"/>
              <w:jc w:val="center"/>
              <w:rPr>
                <w:rFonts w:ascii="Times New Roman" w:hAnsi="Times New Roman" w:cs="Times New Roman"/>
                <w:i/>
                <w:iCs/>
                <w:color w:val="000000"/>
                <w:sz w:val="20"/>
                <w:szCs w:val="20"/>
              </w:rPr>
            </w:pPr>
            <w:r w:rsidRPr="00C43E6D">
              <w:rPr>
                <w:rFonts w:ascii="Times New Roman" w:hAnsi="Times New Roman" w:cs="Times New Roman"/>
                <w:i/>
                <w:iCs/>
                <w:color w:val="000000"/>
                <w:sz w:val="20"/>
                <w:szCs w:val="20"/>
              </w:rPr>
              <w:t>45.4</w:t>
            </w:r>
          </w:p>
        </w:tc>
        <w:tc>
          <w:tcPr>
            <w:tcW w:w="370" w:type="pct"/>
            <w:shd w:val="clear" w:color="auto" w:fill="auto"/>
            <w:noWrap/>
            <w:vAlign w:val="center"/>
          </w:tcPr>
          <w:p w14:paraId="055E650E" w14:textId="4D9E0F90" w:rsidR="002E2FAD" w:rsidRPr="00C43E6D" w:rsidRDefault="002E2FAD" w:rsidP="002E2FAD">
            <w:pPr>
              <w:spacing w:after="0" w:line="240" w:lineRule="auto"/>
              <w:jc w:val="center"/>
              <w:rPr>
                <w:rFonts w:ascii="Times New Roman" w:hAnsi="Times New Roman" w:cs="Times New Roman"/>
                <w:i/>
                <w:iCs/>
                <w:color w:val="000000"/>
                <w:sz w:val="20"/>
                <w:szCs w:val="20"/>
              </w:rPr>
            </w:pPr>
            <w:r w:rsidRPr="00C43E6D">
              <w:rPr>
                <w:rFonts w:ascii="Times New Roman" w:hAnsi="Times New Roman" w:cs="Times New Roman"/>
                <w:i/>
                <w:iCs/>
                <w:color w:val="000000"/>
                <w:sz w:val="20"/>
                <w:szCs w:val="20"/>
              </w:rPr>
              <w:t>41.8</w:t>
            </w:r>
          </w:p>
        </w:tc>
        <w:tc>
          <w:tcPr>
            <w:tcW w:w="369" w:type="pct"/>
            <w:shd w:val="clear" w:color="auto" w:fill="auto"/>
            <w:noWrap/>
            <w:vAlign w:val="center"/>
          </w:tcPr>
          <w:p w14:paraId="11578030" w14:textId="68F8259A" w:rsidR="002E2FAD" w:rsidRPr="00C43E6D" w:rsidRDefault="002E2FAD" w:rsidP="002E2FAD">
            <w:pPr>
              <w:spacing w:after="0" w:line="240" w:lineRule="auto"/>
              <w:jc w:val="center"/>
              <w:rPr>
                <w:rFonts w:ascii="Times New Roman" w:hAnsi="Times New Roman" w:cs="Times New Roman"/>
                <w:i/>
                <w:iCs/>
                <w:color w:val="000000"/>
                <w:sz w:val="20"/>
                <w:szCs w:val="20"/>
              </w:rPr>
            </w:pPr>
            <w:r w:rsidRPr="00C43E6D">
              <w:rPr>
                <w:rFonts w:ascii="Times New Roman" w:hAnsi="Times New Roman" w:cs="Times New Roman"/>
                <w:i/>
                <w:iCs/>
                <w:color w:val="000000"/>
                <w:sz w:val="20"/>
                <w:szCs w:val="20"/>
              </w:rPr>
              <w:t>52.1</w:t>
            </w:r>
          </w:p>
        </w:tc>
        <w:tc>
          <w:tcPr>
            <w:tcW w:w="385" w:type="pct"/>
            <w:shd w:val="clear" w:color="auto" w:fill="auto"/>
            <w:noWrap/>
            <w:vAlign w:val="center"/>
          </w:tcPr>
          <w:p w14:paraId="64DD6A75" w14:textId="07BC9D7A" w:rsidR="002E2FAD" w:rsidRPr="00C43E6D" w:rsidRDefault="002E2FAD" w:rsidP="002E2FAD">
            <w:pPr>
              <w:spacing w:after="0" w:line="240" w:lineRule="auto"/>
              <w:jc w:val="center"/>
              <w:rPr>
                <w:rFonts w:ascii="Times New Roman" w:hAnsi="Times New Roman" w:cs="Times New Roman"/>
                <w:i/>
                <w:iCs/>
                <w:color w:val="000000"/>
                <w:sz w:val="20"/>
                <w:szCs w:val="20"/>
              </w:rPr>
            </w:pPr>
            <w:r w:rsidRPr="00C43E6D">
              <w:rPr>
                <w:rFonts w:ascii="Times New Roman" w:hAnsi="Times New Roman" w:cs="Times New Roman"/>
                <w:i/>
                <w:iCs/>
                <w:color w:val="000000"/>
                <w:sz w:val="20"/>
                <w:szCs w:val="20"/>
              </w:rPr>
              <w:t>47.3</w:t>
            </w:r>
          </w:p>
        </w:tc>
        <w:tc>
          <w:tcPr>
            <w:tcW w:w="369" w:type="pct"/>
            <w:shd w:val="clear" w:color="auto" w:fill="auto"/>
            <w:noWrap/>
            <w:vAlign w:val="center"/>
          </w:tcPr>
          <w:p w14:paraId="1D49ED1D" w14:textId="04EB3512" w:rsidR="002E2FAD" w:rsidRPr="00C43E6D" w:rsidRDefault="002E2FAD" w:rsidP="002E2FAD">
            <w:pPr>
              <w:spacing w:after="0" w:line="240" w:lineRule="auto"/>
              <w:jc w:val="center"/>
              <w:rPr>
                <w:rFonts w:ascii="Times New Roman" w:hAnsi="Times New Roman" w:cs="Times New Roman"/>
                <w:i/>
                <w:iCs/>
                <w:color w:val="000000"/>
                <w:sz w:val="20"/>
                <w:szCs w:val="20"/>
              </w:rPr>
            </w:pPr>
            <w:r w:rsidRPr="00C43E6D">
              <w:rPr>
                <w:rFonts w:ascii="Times New Roman" w:hAnsi="Times New Roman" w:cs="Times New Roman"/>
                <w:i/>
                <w:iCs/>
                <w:color w:val="000000"/>
                <w:sz w:val="20"/>
                <w:szCs w:val="20"/>
              </w:rPr>
              <w:t>73.5</w:t>
            </w:r>
          </w:p>
        </w:tc>
        <w:tc>
          <w:tcPr>
            <w:tcW w:w="373" w:type="pct"/>
            <w:shd w:val="clear" w:color="auto" w:fill="auto"/>
            <w:noWrap/>
            <w:vAlign w:val="center"/>
          </w:tcPr>
          <w:p w14:paraId="381A2683" w14:textId="450D47D8" w:rsidR="002E2FAD" w:rsidRPr="00C43E6D" w:rsidRDefault="002E2FAD" w:rsidP="002E2FAD">
            <w:pPr>
              <w:spacing w:after="0" w:line="240" w:lineRule="auto"/>
              <w:jc w:val="center"/>
              <w:rPr>
                <w:rFonts w:ascii="Times New Roman" w:hAnsi="Times New Roman" w:cs="Times New Roman"/>
                <w:i/>
                <w:iCs/>
                <w:color w:val="000000"/>
                <w:sz w:val="20"/>
                <w:szCs w:val="20"/>
              </w:rPr>
            </w:pPr>
            <w:r w:rsidRPr="00C43E6D">
              <w:rPr>
                <w:rFonts w:ascii="Times New Roman" w:hAnsi="Times New Roman" w:cs="Times New Roman"/>
                <w:i/>
                <w:iCs/>
                <w:color w:val="000000"/>
                <w:sz w:val="20"/>
                <w:szCs w:val="20"/>
              </w:rPr>
              <w:t>41.5</w:t>
            </w:r>
          </w:p>
        </w:tc>
        <w:tc>
          <w:tcPr>
            <w:tcW w:w="457" w:type="pct"/>
            <w:shd w:val="clear" w:color="auto" w:fill="auto"/>
            <w:vAlign w:val="center"/>
          </w:tcPr>
          <w:p w14:paraId="5E44332C" w14:textId="2CFBB2E7" w:rsidR="002E2FAD" w:rsidRPr="00C43E6D" w:rsidRDefault="002E2FAD" w:rsidP="002E2FAD">
            <w:pPr>
              <w:spacing w:after="0" w:line="240" w:lineRule="auto"/>
              <w:jc w:val="center"/>
              <w:rPr>
                <w:rFonts w:ascii="Times New Roman" w:hAnsi="Times New Roman" w:cs="Times New Roman"/>
                <w:i/>
                <w:iCs/>
                <w:color w:val="000000"/>
                <w:sz w:val="20"/>
                <w:szCs w:val="20"/>
              </w:rPr>
            </w:pPr>
            <w:r w:rsidRPr="00C43E6D">
              <w:rPr>
                <w:rFonts w:ascii="Times New Roman" w:hAnsi="Times New Roman" w:cs="Times New Roman"/>
                <w:i/>
                <w:iCs/>
                <w:color w:val="000000"/>
                <w:sz w:val="20"/>
                <w:szCs w:val="20"/>
              </w:rPr>
              <w:t>350.1</w:t>
            </w:r>
          </w:p>
        </w:tc>
        <w:tc>
          <w:tcPr>
            <w:tcW w:w="453" w:type="pct"/>
            <w:shd w:val="clear" w:color="auto" w:fill="auto"/>
            <w:vAlign w:val="center"/>
          </w:tcPr>
          <w:p w14:paraId="63218740" w14:textId="748EB586" w:rsidR="002E2FAD" w:rsidRPr="00C43E6D" w:rsidRDefault="002E2FAD" w:rsidP="002E2FAD">
            <w:pPr>
              <w:spacing w:after="0" w:line="240" w:lineRule="auto"/>
              <w:jc w:val="center"/>
              <w:rPr>
                <w:rFonts w:ascii="Times New Roman" w:hAnsi="Times New Roman" w:cs="Times New Roman"/>
                <w:b/>
                <w:bCs/>
                <w:i/>
                <w:iCs/>
                <w:color w:val="000000"/>
                <w:sz w:val="20"/>
                <w:szCs w:val="20"/>
              </w:rPr>
            </w:pPr>
            <w:r w:rsidRPr="00C43E6D">
              <w:rPr>
                <w:rFonts w:ascii="Times New Roman" w:hAnsi="Times New Roman" w:cs="Times New Roman"/>
                <w:i/>
                <w:iCs/>
                <w:color w:val="000000"/>
                <w:sz w:val="20"/>
                <w:szCs w:val="20"/>
              </w:rPr>
              <w:t>12.5</w:t>
            </w:r>
          </w:p>
        </w:tc>
      </w:tr>
      <w:tr w:rsidR="002E2FAD" w:rsidRPr="00C43E6D" w14:paraId="16864158" w14:textId="184E7AE5" w:rsidTr="0032590B">
        <w:trPr>
          <w:trHeight w:val="50"/>
        </w:trPr>
        <w:tc>
          <w:tcPr>
            <w:tcW w:w="1485" w:type="pct"/>
            <w:shd w:val="clear" w:color="auto" w:fill="FFFFFF" w:themeFill="background1"/>
            <w:vAlign w:val="center"/>
            <w:hideMark/>
          </w:tcPr>
          <w:p w14:paraId="01A87DAF" w14:textId="07AB2543" w:rsidR="002E2FAD" w:rsidRPr="00C43E6D" w:rsidRDefault="00812E47" w:rsidP="002E2FA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1.2. </w:t>
            </w:r>
            <w:r w:rsidR="002E2FAD" w:rsidRPr="00C43E6D">
              <w:rPr>
                <w:rFonts w:ascii="Times New Roman" w:eastAsia="Times New Roman" w:hAnsi="Times New Roman" w:cs="Times New Roman"/>
                <w:color w:val="000000"/>
                <w:sz w:val="20"/>
                <w:szCs w:val="20"/>
              </w:rPr>
              <w:t>Din alte surse</w:t>
            </w:r>
          </w:p>
        </w:tc>
        <w:tc>
          <w:tcPr>
            <w:tcW w:w="369" w:type="pct"/>
            <w:shd w:val="clear" w:color="auto" w:fill="auto"/>
            <w:noWrap/>
            <w:vAlign w:val="center"/>
            <w:hideMark/>
          </w:tcPr>
          <w:p w14:paraId="37EA51EE" w14:textId="46EF9245" w:rsidR="002E2FAD" w:rsidRPr="00C43E6D" w:rsidRDefault="002E2FAD" w:rsidP="002E2FAD">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295.2</w:t>
            </w:r>
          </w:p>
        </w:tc>
        <w:tc>
          <w:tcPr>
            <w:tcW w:w="369" w:type="pct"/>
            <w:shd w:val="clear" w:color="auto" w:fill="auto"/>
            <w:noWrap/>
            <w:vAlign w:val="center"/>
            <w:hideMark/>
          </w:tcPr>
          <w:p w14:paraId="3355E982" w14:textId="6188D47F" w:rsidR="002E2FAD" w:rsidRPr="00C43E6D" w:rsidRDefault="002E2FAD" w:rsidP="002E2FAD">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277.3</w:t>
            </w:r>
          </w:p>
        </w:tc>
        <w:tc>
          <w:tcPr>
            <w:tcW w:w="370" w:type="pct"/>
            <w:shd w:val="clear" w:color="auto" w:fill="auto"/>
            <w:noWrap/>
            <w:vAlign w:val="center"/>
            <w:hideMark/>
          </w:tcPr>
          <w:p w14:paraId="01EC0190" w14:textId="787B1E55" w:rsidR="002E2FAD" w:rsidRPr="00C43E6D" w:rsidRDefault="002E2FAD" w:rsidP="002E2FAD">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293.8</w:t>
            </w:r>
          </w:p>
        </w:tc>
        <w:tc>
          <w:tcPr>
            <w:tcW w:w="369" w:type="pct"/>
            <w:shd w:val="clear" w:color="auto" w:fill="auto"/>
            <w:noWrap/>
            <w:vAlign w:val="center"/>
            <w:hideMark/>
          </w:tcPr>
          <w:p w14:paraId="5604A2EA" w14:textId="2200D424" w:rsidR="002E2FAD" w:rsidRPr="00C43E6D" w:rsidRDefault="002E2FAD" w:rsidP="002E2FAD">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241.7</w:t>
            </w:r>
          </w:p>
        </w:tc>
        <w:tc>
          <w:tcPr>
            <w:tcW w:w="385" w:type="pct"/>
            <w:shd w:val="clear" w:color="auto" w:fill="auto"/>
            <w:noWrap/>
            <w:vAlign w:val="center"/>
            <w:hideMark/>
          </w:tcPr>
          <w:p w14:paraId="0AEACE4B" w14:textId="1E85C1B2" w:rsidR="002E2FAD" w:rsidRPr="00C43E6D" w:rsidRDefault="002E2FAD" w:rsidP="002E2FAD">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225.8</w:t>
            </w:r>
          </w:p>
        </w:tc>
        <w:tc>
          <w:tcPr>
            <w:tcW w:w="369" w:type="pct"/>
            <w:shd w:val="clear" w:color="auto" w:fill="auto"/>
            <w:noWrap/>
            <w:vAlign w:val="center"/>
            <w:hideMark/>
          </w:tcPr>
          <w:p w14:paraId="6CF8D136" w14:textId="08B3E223" w:rsidR="002E2FAD" w:rsidRPr="00C43E6D" w:rsidRDefault="002E2FAD" w:rsidP="002E2FAD">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220.4</w:t>
            </w:r>
          </w:p>
        </w:tc>
        <w:tc>
          <w:tcPr>
            <w:tcW w:w="373" w:type="pct"/>
            <w:shd w:val="clear" w:color="auto" w:fill="auto"/>
            <w:noWrap/>
            <w:vAlign w:val="center"/>
            <w:hideMark/>
          </w:tcPr>
          <w:p w14:paraId="207EE6C7" w14:textId="5DD78BBC" w:rsidR="002E2FAD" w:rsidRPr="00C43E6D" w:rsidRDefault="002E2FAD" w:rsidP="002E2FAD">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228.7</w:t>
            </w:r>
          </w:p>
        </w:tc>
        <w:tc>
          <w:tcPr>
            <w:tcW w:w="457" w:type="pct"/>
            <w:shd w:val="clear" w:color="auto" w:fill="auto"/>
            <w:vAlign w:val="center"/>
            <w:hideMark/>
          </w:tcPr>
          <w:p w14:paraId="3F6811F9" w14:textId="183EF8C8" w:rsidR="002E2FAD" w:rsidRPr="00C43E6D" w:rsidRDefault="002E2FAD" w:rsidP="002E2FAD">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1782.9</w:t>
            </w:r>
          </w:p>
        </w:tc>
        <w:tc>
          <w:tcPr>
            <w:tcW w:w="453" w:type="pct"/>
            <w:shd w:val="clear" w:color="auto" w:fill="auto"/>
            <w:vAlign w:val="center"/>
          </w:tcPr>
          <w:p w14:paraId="15CD5219" w14:textId="5F1E8CF3" w:rsidR="002E2FAD" w:rsidRPr="00C43E6D" w:rsidRDefault="002E2FAD" w:rsidP="002E2FAD">
            <w:pPr>
              <w:spacing w:after="0" w:line="240" w:lineRule="auto"/>
              <w:jc w:val="center"/>
              <w:rPr>
                <w:rFonts w:ascii="Times New Roman" w:hAnsi="Times New Roman" w:cs="Times New Roman"/>
                <w:b/>
                <w:bCs/>
                <w:color w:val="000000"/>
                <w:sz w:val="20"/>
                <w:szCs w:val="20"/>
              </w:rPr>
            </w:pPr>
            <w:r w:rsidRPr="00C43E6D">
              <w:rPr>
                <w:rFonts w:ascii="Times New Roman" w:hAnsi="Times New Roman" w:cs="Times New Roman"/>
                <w:b/>
                <w:bCs/>
                <w:color w:val="000000"/>
                <w:sz w:val="20"/>
                <w:szCs w:val="20"/>
              </w:rPr>
              <w:t>63.5</w:t>
            </w:r>
          </w:p>
        </w:tc>
      </w:tr>
    </w:tbl>
    <w:p w14:paraId="69D3BE11" w14:textId="700F9E9D" w:rsidR="00E91FD2" w:rsidRPr="00C43E6D" w:rsidRDefault="00586A38" w:rsidP="00C65694">
      <w:pPr>
        <w:pStyle w:val="cb"/>
        <w:spacing w:before="60" w:after="120"/>
        <w:rPr>
          <w:b w:val="0"/>
          <w:bCs w:val="0"/>
          <w:sz w:val="20"/>
          <w:szCs w:val="20"/>
        </w:rPr>
      </w:pPr>
      <w:r w:rsidRPr="00C43E6D">
        <w:rPr>
          <w:sz w:val="20"/>
          <w:szCs w:val="20"/>
        </w:rPr>
        <w:t>Sursa:</w:t>
      </w:r>
      <w:r w:rsidRPr="00C43E6D">
        <w:rPr>
          <w:b w:val="0"/>
          <w:bCs w:val="0"/>
          <w:sz w:val="20"/>
          <w:szCs w:val="20"/>
        </w:rPr>
        <w:t xml:space="preserve"> </w:t>
      </w:r>
      <w:r w:rsidR="000904E2" w:rsidRPr="00C43E6D">
        <w:rPr>
          <w:b w:val="0"/>
          <w:bCs w:val="0"/>
          <w:sz w:val="20"/>
          <w:szCs w:val="20"/>
        </w:rPr>
        <w:t>ÎS „Moldelectrica”</w:t>
      </w:r>
      <w:r w:rsidRPr="00C43E6D">
        <w:rPr>
          <w:b w:val="0"/>
          <w:bCs w:val="0"/>
          <w:sz w:val="20"/>
          <w:szCs w:val="20"/>
        </w:rPr>
        <w:t xml:space="preserve"> </w:t>
      </w:r>
      <w:r w:rsidR="000904E2" w:rsidRPr="00C43E6D">
        <w:rPr>
          <w:b w:val="0"/>
          <w:bCs w:val="0"/>
          <w:sz w:val="20"/>
          <w:szCs w:val="20"/>
        </w:rPr>
        <w:t>(</w:t>
      </w:r>
      <w:r w:rsidRPr="00C43E6D">
        <w:rPr>
          <w:b w:val="0"/>
          <w:bCs w:val="0"/>
          <w:sz w:val="20"/>
          <w:szCs w:val="20"/>
        </w:rPr>
        <w:t>date</w:t>
      </w:r>
      <w:r w:rsidR="000904E2" w:rsidRPr="00C43E6D">
        <w:rPr>
          <w:b w:val="0"/>
          <w:bCs w:val="0"/>
          <w:sz w:val="20"/>
          <w:szCs w:val="20"/>
        </w:rPr>
        <w:t xml:space="preserve"> privind </w:t>
      </w:r>
      <w:r w:rsidR="007E41F9" w:rsidRPr="00C43E6D">
        <w:rPr>
          <w:b w:val="0"/>
          <w:bCs w:val="0"/>
          <w:sz w:val="20"/>
          <w:szCs w:val="20"/>
        </w:rPr>
        <w:t>consum</w:t>
      </w:r>
      <w:r w:rsidR="00812E47">
        <w:rPr>
          <w:b w:val="0"/>
          <w:bCs w:val="0"/>
          <w:sz w:val="20"/>
          <w:szCs w:val="20"/>
        </w:rPr>
        <w:t xml:space="preserve">ul </w:t>
      </w:r>
      <w:r w:rsidR="000904E2" w:rsidRPr="00C43E6D">
        <w:rPr>
          <w:b w:val="0"/>
          <w:bCs w:val="0"/>
          <w:sz w:val="20"/>
          <w:szCs w:val="20"/>
        </w:rPr>
        <w:t>energie</w:t>
      </w:r>
      <w:r w:rsidR="001A5ABE">
        <w:rPr>
          <w:b w:val="0"/>
          <w:bCs w:val="0"/>
          <w:sz w:val="20"/>
          <w:szCs w:val="20"/>
        </w:rPr>
        <w:t>i</w:t>
      </w:r>
      <w:r w:rsidR="000904E2" w:rsidRPr="00C43E6D">
        <w:rPr>
          <w:b w:val="0"/>
          <w:bCs w:val="0"/>
          <w:sz w:val="20"/>
          <w:szCs w:val="20"/>
        </w:rPr>
        <w:t xml:space="preserve"> electric</w:t>
      </w:r>
      <w:r w:rsidR="001A5ABE">
        <w:rPr>
          <w:b w:val="0"/>
          <w:bCs w:val="0"/>
          <w:sz w:val="20"/>
          <w:szCs w:val="20"/>
        </w:rPr>
        <w:t>e</w:t>
      </w:r>
      <w:r w:rsidR="000904E2" w:rsidRPr="00C43E6D">
        <w:rPr>
          <w:b w:val="0"/>
          <w:bCs w:val="0"/>
          <w:sz w:val="20"/>
          <w:szCs w:val="20"/>
        </w:rPr>
        <w:t xml:space="preserve"> </w:t>
      </w:r>
      <w:r w:rsidRPr="00C43E6D">
        <w:rPr>
          <w:b w:val="0"/>
          <w:bCs w:val="0"/>
          <w:sz w:val="20"/>
          <w:szCs w:val="20"/>
        </w:rPr>
        <w:t>înregistrat de facto în anul 202</w:t>
      </w:r>
      <w:r w:rsidR="002E2FAD" w:rsidRPr="00C43E6D">
        <w:rPr>
          <w:b w:val="0"/>
          <w:bCs w:val="0"/>
          <w:sz w:val="20"/>
          <w:szCs w:val="20"/>
        </w:rPr>
        <w:t>4-2025</w:t>
      </w:r>
      <w:r w:rsidR="000904E2" w:rsidRPr="00C43E6D">
        <w:rPr>
          <w:b w:val="0"/>
          <w:bCs w:val="0"/>
          <w:sz w:val="20"/>
          <w:szCs w:val="20"/>
        </w:rPr>
        <w:t>)</w:t>
      </w:r>
    </w:p>
    <w:p w14:paraId="78B08DC0" w14:textId="353EE408" w:rsidR="00C65694" w:rsidRPr="00C43E6D" w:rsidRDefault="00A94902" w:rsidP="00C958F1">
      <w:pPr>
        <w:pStyle w:val="cb"/>
        <w:spacing w:after="60" w:line="276" w:lineRule="auto"/>
        <w:ind w:firstLine="540"/>
        <w:jc w:val="both"/>
        <w:rPr>
          <w:b w:val="0"/>
          <w:bCs w:val="0"/>
        </w:rPr>
      </w:pPr>
      <w:r>
        <w:t>30</w:t>
      </w:r>
      <w:r w:rsidR="008B261F" w:rsidRPr="00C43E6D">
        <w:t>.</w:t>
      </w:r>
      <w:r w:rsidR="008B261F" w:rsidRPr="00C43E6D">
        <w:rPr>
          <w:b w:val="0"/>
          <w:bCs w:val="0"/>
        </w:rPr>
        <w:t xml:space="preserve"> </w:t>
      </w:r>
      <w:r w:rsidR="00A1145A" w:rsidRPr="00C43E6D">
        <w:rPr>
          <w:b w:val="0"/>
          <w:bCs w:val="0"/>
        </w:rPr>
        <w:t xml:space="preserve">Din </w:t>
      </w:r>
      <w:r w:rsidR="00A1145A" w:rsidRPr="00C43E6D">
        <w:rPr>
          <w:b w:val="0"/>
          <w:bCs w:val="0"/>
          <w:shd w:val="clear" w:color="auto" w:fill="FFFFFF" w:themeFill="background1"/>
        </w:rPr>
        <w:t xml:space="preserve">tabelul </w:t>
      </w:r>
      <w:r w:rsidR="006B7A1A">
        <w:rPr>
          <w:b w:val="0"/>
          <w:bCs w:val="0"/>
          <w:shd w:val="clear" w:color="auto" w:fill="FFFFFF" w:themeFill="background1"/>
        </w:rPr>
        <w:t>3</w:t>
      </w:r>
      <w:r w:rsidR="00A1145A" w:rsidRPr="00C43E6D">
        <w:rPr>
          <w:b w:val="0"/>
          <w:bCs w:val="0"/>
          <w:shd w:val="clear" w:color="auto" w:fill="FFFFFF" w:themeFill="background1"/>
        </w:rPr>
        <w:t xml:space="preserve"> și figur</w:t>
      </w:r>
      <w:r w:rsidR="001A5ABE">
        <w:rPr>
          <w:b w:val="0"/>
          <w:bCs w:val="0"/>
          <w:shd w:val="clear" w:color="auto" w:fill="FFFFFF" w:themeFill="background1"/>
        </w:rPr>
        <w:t>ile</w:t>
      </w:r>
      <w:r w:rsidR="00A1145A" w:rsidRPr="00C43E6D">
        <w:rPr>
          <w:b w:val="0"/>
          <w:bCs w:val="0"/>
          <w:shd w:val="clear" w:color="auto" w:fill="FFFFFF" w:themeFill="background1"/>
        </w:rPr>
        <w:t xml:space="preserve"> 8</w:t>
      </w:r>
      <w:r w:rsidR="002D093B" w:rsidRPr="00C43E6D">
        <w:rPr>
          <w:b w:val="0"/>
          <w:bCs w:val="0"/>
          <w:shd w:val="clear" w:color="auto" w:fill="FFFFFF" w:themeFill="background1"/>
        </w:rPr>
        <w:t xml:space="preserve"> și 9</w:t>
      </w:r>
      <w:r w:rsidR="00A1145A" w:rsidRPr="00C43E6D">
        <w:rPr>
          <w:b w:val="0"/>
          <w:bCs w:val="0"/>
        </w:rPr>
        <w:t xml:space="preserve"> se observă că </w:t>
      </w:r>
      <w:bookmarkStart w:id="9" w:name="_Hlk178241781"/>
      <w:r w:rsidR="00A1145A" w:rsidRPr="00C43E6D">
        <w:rPr>
          <w:b w:val="0"/>
          <w:bCs w:val="0"/>
        </w:rPr>
        <w:t>energia electrică produsă din surse regenerabile de energie</w:t>
      </w:r>
      <w:r w:rsidR="00100104" w:rsidRPr="00C43E6D">
        <w:rPr>
          <w:b w:val="0"/>
          <w:bCs w:val="0"/>
        </w:rPr>
        <w:t xml:space="preserve"> (fără a fi considerată energia electrică produsă pentru consum propriu de consumatorii care au beneficiat de mecanismul de suport </w:t>
      </w:r>
      <w:r w:rsidR="00866ABE" w:rsidRPr="00C43E6D">
        <w:rPr>
          <w:b w:val="0"/>
          <w:bCs w:val="0"/>
        </w:rPr>
        <w:t>contorizare</w:t>
      </w:r>
      <w:r w:rsidR="002B6CD1" w:rsidRPr="00C43E6D">
        <w:rPr>
          <w:b w:val="0"/>
          <w:bCs w:val="0"/>
        </w:rPr>
        <w:t>/facturare</w:t>
      </w:r>
      <w:r w:rsidR="00866ABE" w:rsidRPr="00C43E6D">
        <w:rPr>
          <w:b w:val="0"/>
          <w:bCs w:val="0"/>
        </w:rPr>
        <w:t xml:space="preserve"> netă</w:t>
      </w:r>
      <w:r w:rsidR="00100104" w:rsidRPr="00C43E6D">
        <w:rPr>
          <w:b w:val="0"/>
          <w:bCs w:val="0"/>
        </w:rPr>
        <w:t>)</w:t>
      </w:r>
      <w:r w:rsidR="00A1145A" w:rsidRPr="00C43E6D">
        <w:rPr>
          <w:b w:val="0"/>
          <w:bCs w:val="0"/>
        </w:rPr>
        <w:t xml:space="preserve"> în ultimii </w:t>
      </w:r>
      <w:r w:rsidR="00EF77E8" w:rsidRPr="00C43E6D">
        <w:rPr>
          <w:b w:val="0"/>
          <w:bCs w:val="0"/>
          <w:shd w:val="clear" w:color="auto" w:fill="FFFFFF" w:themeFill="background1"/>
        </w:rPr>
        <w:t>4</w:t>
      </w:r>
      <w:r w:rsidR="00A1145A" w:rsidRPr="00C43E6D">
        <w:rPr>
          <w:b w:val="0"/>
          <w:bCs w:val="0"/>
          <w:shd w:val="clear" w:color="auto" w:fill="FFFFFF" w:themeFill="background1"/>
        </w:rPr>
        <w:t xml:space="preserve"> ani</w:t>
      </w:r>
      <w:r w:rsidR="00A1145A" w:rsidRPr="00C43E6D">
        <w:rPr>
          <w:b w:val="0"/>
          <w:bCs w:val="0"/>
        </w:rPr>
        <w:t xml:space="preserve"> </w:t>
      </w:r>
      <w:r w:rsidR="00EF77E8" w:rsidRPr="00C43E6D">
        <w:rPr>
          <w:b w:val="0"/>
          <w:bCs w:val="0"/>
        </w:rPr>
        <w:t>s-a majorat de 2,5 ori</w:t>
      </w:r>
      <w:r w:rsidR="00A1145A" w:rsidRPr="00C43E6D">
        <w:rPr>
          <w:b w:val="0"/>
          <w:bCs w:val="0"/>
        </w:rPr>
        <w:t xml:space="preserve">, majorându-se </w:t>
      </w:r>
      <w:r w:rsidR="00100104" w:rsidRPr="00C43E6D">
        <w:rPr>
          <w:b w:val="0"/>
          <w:bCs w:val="0"/>
        </w:rPr>
        <w:t xml:space="preserve">cu circa </w:t>
      </w:r>
      <w:r w:rsidR="00EF77E8" w:rsidRPr="00C43E6D">
        <w:rPr>
          <w:b w:val="0"/>
          <w:bCs w:val="0"/>
        </w:rPr>
        <w:t>214,5</w:t>
      </w:r>
      <w:r w:rsidR="00100104" w:rsidRPr="00C43E6D">
        <w:rPr>
          <w:b w:val="0"/>
          <w:bCs w:val="0"/>
        </w:rPr>
        <w:t xml:space="preserve"> mil. kWh sau </w:t>
      </w:r>
      <w:r w:rsidR="00EF77E8" w:rsidRPr="00C43E6D">
        <w:rPr>
          <w:b w:val="0"/>
          <w:bCs w:val="0"/>
        </w:rPr>
        <w:t>158</w:t>
      </w:r>
      <w:r w:rsidR="00100104" w:rsidRPr="00C43E6D">
        <w:rPr>
          <w:b w:val="0"/>
          <w:bCs w:val="0"/>
        </w:rPr>
        <w:t xml:space="preserve">%, de la 135,6 mil. kWh în perioada octombrie-aprilie </w:t>
      </w:r>
      <w:r w:rsidR="00441AED" w:rsidRPr="00C43E6D">
        <w:rPr>
          <w:b w:val="0"/>
          <w:bCs w:val="0"/>
        </w:rPr>
        <w:br/>
      </w:r>
      <w:r w:rsidR="00100104" w:rsidRPr="00C43E6D">
        <w:rPr>
          <w:b w:val="0"/>
          <w:bCs w:val="0"/>
        </w:rPr>
        <w:t xml:space="preserve">2021-2022 până la </w:t>
      </w:r>
      <w:r w:rsidR="00EF77E8" w:rsidRPr="00C43E6D">
        <w:rPr>
          <w:b w:val="0"/>
          <w:bCs w:val="0"/>
        </w:rPr>
        <w:t>350,1</w:t>
      </w:r>
      <w:r w:rsidR="00100104" w:rsidRPr="00C43E6D">
        <w:rPr>
          <w:b w:val="0"/>
          <w:bCs w:val="0"/>
        </w:rPr>
        <w:t xml:space="preserve"> mil. kWh în perioada octombrie-aprilie 202</w:t>
      </w:r>
      <w:r w:rsidR="00EF77E8" w:rsidRPr="00C43E6D">
        <w:rPr>
          <w:b w:val="0"/>
          <w:bCs w:val="0"/>
        </w:rPr>
        <w:t>4</w:t>
      </w:r>
      <w:r w:rsidR="00100104" w:rsidRPr="00C43E6D">
        <w:rPr>
          <w:b w:val="0"/>
          <w:bCs w:val="0"/>
        </w:rPr>
        <w:t>-202</w:t>
      </w:r>
      <w:r w:rsidR="00EF77E8" w:rsidRPr="00C43E6D">
        <w:rPr>
          <w:b w:val="0"/>
          <w:bCs w:val="0"/>
        </w:rPr>
        <w:t>5</w:t>
      </w:r>
      <w:r w:rsidR="00100104" w:rsidRPr="00C43E6D">
        <w:rPr>
          <w:b w:val="0"/>
          <w:bCs w:val="0"/>
        </w:rPr>
        <w:t>.</w:t>
      </w:r>
      <w:r w:rsidR="00866ABE" w:rsidRPr="00C43E6D">
        <w:rPr>
          <w:b w:val="0"/>
          <w:bCs w:val="0"/>
        </w:rPr>
        <w:t xml:space="preserve"> Din producția locală de </w:t>
      </w:r>
      <w:r w:rsidR="00EF77E8" w:rsidRPr="00C43E6D">
        <w:rPr>
          <w:b w:val="0"/>
          <w:bCs w:val="0"/>
        </w:rPr>
        <w:t>1024,4</w:t>
      </w:r>
      <w:r w:rsidR="00866ABE" w:rsidRPr="00C43E6D">
        <w:rPr>
          <w:b w:val="0"/>
          <w:bCs w:val="0"/>
        </w:rPr>
        <w:t xml:space="preserve"> mil. kWh înregistrată în sezonul de încălzire 202</w:t>
      </w:r>
      <w:r w:rsidR="00EF77E8" w:rsidRPr="00C43E6D">
        <w:rPr>
          <w:b w:val="0"/>
          <w:bCs w:val="0"/>
        </w:rPr>
        <w:t>4</w:t>
      </w:r>
      <w:r w:rsidR="00866ABE" w:rsidRPr="00C43E6D">
        <w:rPr>
          <w:b w:val="0"/>
          <w:bCs w:val="0"/>
        </w:rPr>
        <w:t>-202</w:t>
      </w:r>
      <w:r w:rsidR="00EF77E8" w:rsidRPr="00C43E6D">
        <w:rPr>
          <w:b w:val="0"/>
          <w:bCs w:val="0"/>
        </w:rPr>
        <w:t>5</w:t>
      </w:r>
      <w:r w:rsidR="00866ABE" w:rsidRPr="00C43E6D">
        <w:rPr>
          <w:b w:val="0"/>
          <w:bCs w:val="0"/>
        </w:rPr>
        <w:t xml:space="preserve">, circa </w:t>
      </w:r>
      <w:r w:rsidR="00EF77E8" w:rsidRPr="00C43E6D">
        <w:rPr>
          <w:b w:val="0"/>
          <w:bCs w:val="0"/>
        </w:rPr>
        <w:t>34,2</w:t>
      </w:r>
      <w:r w:rsidR="00866ABE" w:rsidRPr="00C43E6D">
        <w:rPr>
          <w:b w:val="0"/>
          <w:bCs w:val="0"/>
        </w:rPr>
        <w:t xml:space="preserve">% sau </w:t>
      </w:r>
      <w:r w:rsidR="00EF77E8" w:rsidRPr="00C43E6D">
        <w:rPr>
          <w:b w:val="0"/>
          <w:bCs w:val="0"/>
        </w:rPr>
        <w:t>350,1</w:t>
      </w:r>
      <w:r w:rsidR="00866ABE" w:rsidRPr="00C43E6D">
        <w:rPr>
          <w:b w:val="0"/>
          <w:bCs w:val="0"/>
        </w:rPr>
        <w:t xml:space="preserve"> mil. kWh a reprezentat energie electrică produsă din surse regenerabile de energie</w:t>
      </w:r>
      <w:r w:rsidR="00585AB8" w:rsidRPr="00C43E6D">
        <w:rPr>
          <w:b w:val="0"/>
          <w:bCs w:val="0"/>
        </w:rPr>
        <w:t xml:space="preserve"> (inclu</w:t>
      </w:r>
      <w:r w:rsidR="00E661DD" w:rsidRPr="00C43E6D">
        <w:rPr>
          <w:b w:val="0"/>
          <w:bCs w:val="0"/>
        </w:rPr>
        <w:t xml:space="preserve">siv </w:t>
      </w:r>
      <w:r w:rsidR="00585AB8" w:rsidRPr="00C43E6D">
        <w:rPr>
          <w:b w:val="0"/>
          <w:bCs w:val="0"/>
        </w:rPr>
        <w:t>energia electrică produsă de ÎS ,,Nodul Hidroenergetic Costești”)</w:t>
      </w:r>
      <w:r w:rsidR="00866ABE" w:rsidRPr="00C43E6D">
        <w:rPr>
          <w:b w:val="0"/>
          <w:bCs w:val="0"/>
        </w:rPr>
        <w:t>.</w:t>
      </w:r>
    </w:p>
    <w:p w14:paraId="5EAF0FDC" w14:textId="622A452D" w:rsidR="00060E6A" w:rsidRPr="00C43E6D" w:rsidRDefault="00C65694" w:rsidP="00C958F1">
      <w:pPr>
        <w:pStyle w:val="cb"/>
        <w:spacing w:after="60" w:line="276" w:lineRule="auto"/>
        <w:jc w:val="both"/>
        <w:rPr>
          <w:b w:val="0"/>
          <w:bCs w:val="0"/>
        </w:rPr>
      </w:pPr>
      <w:r w:rsidRPr="00C43E6D">
        <w:rPr>
          <w:b w:val="0"/>
          <w:bCs w:val="0"/>
        </w:rPr>
        <w:t>Prin modificările aprobate la Legea nr. 10/2016</w:t>
      </w:r>
      <w:r w:rsidRPr="00C43E6D">
        <w:t xml:space="preserve"> </w:t>
      </w:r>
      <w:r w:rsidRPr="00C43E6D">
        <w:rPr>
          <w:b w:val="0"/>
          <w:bCs w:val="0"/>
        </w:rPr>
        <w:t>privind promovarea utilizării energiei din surse regenerabile, prin care prevederile Directivei (UE) 2018/2001 au fost transpuse în legislația națională, s-a stabilit necesitatea trecerii de la mecanismul de contorizare netă, care în cazul Republicii Moldova, poate fi considerat că și-a atins pe deplin obiectivul primar de a crește interesul consumatorilor finali pentru dezvoltarea proiectelor de autoconsum, cu mecanismul de facturare netă, care asigură dezvoltarea sustenabilă a acestui segment prin oferirea semnalelor de preț. Astfel, începând cu 1 ianuarie 2024 se aplică mecanismul de facturare netă, în cazul producătorilor de energie verde pentru consumul propriu.</w:t>
      </w:r>
      <w:bookmarkEnd w:id="9"/>
      <w:r w:rsidRPr="00C43E6D">
        <w:rPr>
          <w:b w:val="0"/>
          <w:bCs w:val="0"/>
        </w:rPr>
        <w:t xml:space="preserve"> </w:t>
      </w:r>
      <w:r w:rsidR="00060E6A" w:rsidRPr="00C43E6D">
        <w:rPr>
          <w:b w:val="0"/>
          <w:bCs w:val="0"/>
        </w:rPr>
        <w:fldChar w:fldCharType="begin"/>
      </w:r>
      <w:r w:rsidR="00060E6A" w:rsidRPr="00C43E6D">
        <w:rPr>
          <w:b w:val="0"/>
          <w:bCs w:val="0"/>
        </w:rPr>
        <w:instrText xml:space="preserve"> LINK Excel.Sheet.12 "C:\\Users\\SERGHEI.JOMIRU\\Desktop\\Anul 2022\\Proiecte acte normative\\2024\\HG toamna-iarna 2024-2025\\Date statistice\\12.06.2024 Moldelectrica Consum energie electrica pe surse 2021-2024.xlsx" "Diagrame consum EE!R8C1:R11C9" \a \f 4 \h </w:instrText>
      </w:r>
      <w:r w:rsidR="004E1A83" w:rsidRPr="00C43E6D">
        <w:rPr>
          <w:b w:val="0"/>
          <w:bCs w:val="0"/>
        </w:rPr>
        <w:instrText xml:space="preserve"> \* MERGEFORMAT </w:instrText>
      </w:r>
      <w:r w:rsidR="00060E6A" w:rsidRPr="00C43E6D">
        <w:rPr>
          <w:b w:val="0"/>
          <w:bCs w:val="0"/>
        </w:rPr>
        <w:fldChar w:fldCharType="separate"/>
      </w:r>
    </w:p>
    <w:p w14:paraId="4E352279" w14:textId="5E2A08B9" w:rsidR="00060E6A" w:rsidRPr="00C43E6D" w:rsidRDefault="00060E6A" w:rsidP="009C59EC">
      <w:pPr>
        <w:pStyle w:val="cb"/>
        <w:spacing w:before="120" w:after="120" w:line="276" w:lineRule="auto"/>
        <w:ind w:left="1418" w:hanging="1418"/>
        <w:jc w:val="both"/>
        <w:rPr>
          <w:b w:val="0"/>
          <w:bCs w:val="0"/>
          <w:color w:val="000000"/>
          <w:sz w:val="22"/>
          <w:szCs w:val="22"/>
        </w:rPr>
      </w:pPr>
      <w:r w:rsidRPr="00C43E6D">
        <w:rPr>
          <w:b w:val="0"/>
          <w:bCs w:val="0"/>
          <w:sz w:val="20"/>
          <w:szCs w:val="20"/>
        </w:rPr>
        <w:fldChar w:fldCharType="end"/>
      </w:r>
      <w:r w:rsidR="004E4328" w:rsidRPr="00C43E6D">
        <w:t xml:space="preserve">Tabelul </w:t>
      </w:r>
      <w:r w:rsidR="006B7A1A">
        <w:t>3</w:t>
      </w:r>
      <w:r w:rsidR="004E4328" w:rsidRPr="00C43E6D">
        <w:t xml:space="preserve">. </w:t>
      </w:r>
      <w:r w:rsidR="004E4328" w:rsidRPr="00C43E6D">
        <w:rPr>
          <w:b w:val="0"/>
          <w:bCs w:val="0"/>
          <w:sz w:val="22"/>
          <w:szCs w:val="22"/>
        </w:rPr>
        <w:t>Producția</w:t>
      </w:r>
      <w:r w:rsidR="004E4328" w:rsidRPr="00C43E6D">
        <w:rPr>
          <w:b w:val="0"/>
          <w:bCs w:val="0"/>
          <w:color w:val="000000"/>
          <w:sz w:val="22"/>
          <w:szCs w:val="22"/>
        </w:rPr>
        <w:t xml:space="preserve"> de energie electrică produsă din surse regenerabile de energie (SRE)</w:t>
      </w:r>
      <w:r w:rsidR="0015361E" w:rsidRPr="00C43E6D">
        <w:rPr>
          <w:b w:val="0"/>
          <w:bCs w:val="0"/>
          <w:color w:val="000000"/>
          <w:sz w:val="22"/>
          <w:szCs w:val="22"/>
        </w:rPr>
        <w:t xml:space="preserve"> </w:t>
      </w:r>
      <w:r w:rsidR="009C59EC">
        <w:rPr>
          <w:b w:val="0"/>
          <w:bCs w:val="0"/>
          <w:color w:val="000000"/>
          <w:sz w:val="22"/>
          <w:szCs w:val="22"/>
        </w:rPr>
        <w:br/>
      </w:r>
      <w:r w:rsidR="0015361E" w:rsidRPr="00C43E6D">
        <w:rPr>
          <w:b w:val="0"/>
          <w:bCs w:val="0"/>
          <w:color w:val="000000"/>
          <w:sz w:val="22"/>
          <w:szCs w:val="22"/>
        </w:rPr>
        <w:t>în perioad</w:t>
      </w:r>
      <w:r w:rsidR="009C59EC">
        <w:rPr>
          <w:b w:val="0"/>
          <w:bCs w:val="0"/>
          <w:color w:val="000000"/>
          <w:sz w:val="22"/>
          <w:szCs w:val="22"/>
        </w:rPr>
        <w:t xml:space="preserve">ele ocotmbrie </w:t>
      </w:r>
      <w:r w:rsidR="0015361E" w:rsidRPr="00C43E6D">
        <w:rPr>
          <w:b w:val="0"/>
          <w:bCs w:val="0"/>
          <w:color w:val="000000"/>
          <w:sz w:val="22"/>
          <w:szCs w:val="22"/>
        </w:rPr>
        <w:t>2021</w:t>
      </w:r>
      <w:r w:rsidR="009C59EC">
        <w:rPr>
          <w:b w:val="0"/>
          <w:bCs w:val="0"/>
          <w:color w:val="000000"/>
          <w:sz w:val="22"/>
          <w:szCs w:val="22"/>
        </w:rPr>
        <w:t xml:space="preserve"> – aprilie </w:t>
      </w:r>
      <w:r w:rsidR="0015361E" w:rsidRPr="00C43E6D">
        <w:rPr>
          <w:b w:val="0"/>
          <w:bCs w:val="0"/>
          <w:color w:val="000000"/>
          <w:sz w:val="22"/>
          <w:szCs w:val="22"/>
        </w:rPr>
        <w:t>2024</w:t>
      </w:r>
      <w:r w:rsidR="004E4328" w:rsidRPr="00C43E6D">
        <w:rPr>
          <w:b w:val="0"/>
          <w:bCs w:val="0"/>
          <w:color w:val="000000"/>
          <w:sz w:val="22"/>
          <w:szCs w:val="22"/>
        </w:rPr>
        <w:t>, mil. kWh</w:t>
      </w:r>
    </w:p>
    <w:tbl>
      <w:tblPr>
        <w:tblW w:w="101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990"/>
        <w:gridCol w:w="743"/>
        <w:gridCol w:w="720"/>
        <w:gridCol w:w="720"/>
        <w:gridCol w:w="720"/>
        <w:gridCol w:w="720"/>
        <w:gridCol w:w="720"/>
        <w:gridCol w:w="810"/>
        <w:gridCol w:w="1597"/>
      </w:tblGrid>
      <w:tr w:rsidR="00420593" w:rsidRPr="00C43E6D" w14:paraId="3EA2740E" w14:textId="621BDBED" w:rsidTr="00C65694">
        <w:trPr>
          <w:trHeight w:val="450"/>
        </w:trPr>
        <w:tc>
          <w:tcPr>
            <w:tcW w:w="3420" w:type="dxa"/>
            <w:gridSpan w:val="2"/>
            <w:vMerge w:val="restart"/>
            <w:shd w:val="clear" w:color="auto" w:fill="DEEAF6" w:themeFill="accent1" w:themeFillTint="33"/>
            <w:noWrap/>
            <w:vAlign w:val="center"/>
            <w:hideMark/>
          </w:tcPr>
          <w:p w14:paraId="67786741" w14:textId="58CA0329" w:rsidR="00335C46" w:rsidRPr="00C43E6D" w:rsidRDefault="00F64899" w:rsidP="00C65694">
            <w:pPr>
              <w:spacing w:after="0" w:line="240" w:lineRule="auto"/>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Energie electrică</w:t>
            </w:r>
            <w:r w:rsidR="00335C46" w:rsidRPr="00C43E6D">
              <w:rPr>
                <w:rFonts w:ascii="Times New Roman" w:eastAsia="Times New Roman" w:hAnsi="Times New Roman" w:cs="Times New Roman"/>
                <w:color w:val="000000"/>
                <w:sz w:val="20"/>
                <w:szCs w:val="20"/>
              </w:rPr>
              <w:t xml:space="preserve"> produsă </w:t>
            </w:r>
            <w:r w:rsidR="00706A61" w:rsidRPr="00C43E6D">
              <w:rPr>
                <w:rFonts w:ascii="Times New Roman" w:eastAsia="Times New Roman" w:hAnsi="Times New Roman" w:cs="Times New Roman"/>
                <w:color w:val="000000"/>
                <w:sz w:val="20"/>
                <w:szCs w:val="20"/>
              </w:rPr>
              <w:t xml:space="preserve">din </w:t>
            </w:r>
            <w:r w:rsidR="004E4328" w:rsidRPr="00C43E6D">
              <w:rPr>
                <w:rFonts w:ascii="Times New Roman" w:eastAsia="Times New Roman" w:hAnsi="Times New Roman" w:cs="Times New Roman"/>
                <w:color w:val="000000"/>
                <w:sz w:val="20"/>
                <w:szCs w:val="20"/>
              </w:rPr>
              <w:t xml:space="preserve">SRE, </w:t>
            </w:r>
            <w:r w:rsidR="00335C46" w:rsidRPr="00C43E6D">
              <w:rPr>
                <w:rFonts w:ascii="Times New Roman" w:eastAsia="Times New Roman" w:hAnsi="Times New Roman" w:cs="Times New Roman"/>
                <w:color w:val="000000"/>
                <w:sz w:val="20"/>
                <w:szCs w:val="20"/>
              </w:rPr>
              <w:t>f</w:t>
            </w:r>
            <w:r w:rsidR="004E4328" w:rsidRPr="00C43E6D">
              <w:rPr>
                <w:rFonts w:ascii="Times New Roman" w:eastAsia="Times New Roman" w:hAnsi="Times New Roman" w:cs="Times New Roman"/>
                <w:color w:val="000000"/>
                <w:sz w:val="20"/>
                <w:szCs w:val="20"/>
              </w:rPr>
              <w:t>ără</w:t>
            </w:r>
            <w:r w:rsidR="00335C46" w:rsidRPr="00C43E6D">
              <w:rPr>
                <w:rFonts w:ascii="Times New Roman" w:eastAsia="Times New Roman" w:hAnsi="Times New Roman" w:cs="Times New Roman"/>
                <w:color w:val="000000"/>
                <w:sz w:val="20"/>
                <w:szCs w:val="20"/>
              </w:rPr>
              <w:t xml:space="preserve"> </w:t>
            </w:r>
            <w:r w:rsidR="00866ABE" w:rsidRPr="00C43E6D">
              <w:rPr>
                <w:rFonts w:ascii="Times New Roman" w:eastAsia="Times New Roman" w:hAnsi="Times New Roman" w:cs="Times New Roman"/>
                <w:color w:val="000000"/>
                <w:sz w:val="20"/>
                <w:szCs w:val="20"/>
              </w:rPr>
              <w:t>mecanismul contorizării</w:t>
            </w:r>
            <w:r w:rsidR="00571D88" w:rsidRPr="00C43E6D">
              <w:rPr>
                <w:rFonts w:ascii="Times New Roman" w:eastAsia="Times New Roman" w:hAnsi="Times New Roman" w:cs="Times New Roman"/>
                <w:color w:val="000000"/>
                <w:sz w:val="20"/>
                <w:szCs w:val="20"/>
              </w:rPr>
              <w:t>/facturării</w:t>
            </w:r>
            <w:r w:rsidR="00866ABE" w:rsidRPr="00C43E6D">
              <w:rPr>
                <w:rFonts w:ascii="Times New Roman" w:eastAsia="Times New Roman" w:hAnsi="Times New Roman" w:cs="Times New Roman"/>
                <w:color w:val="000000"/>
                <w:sz w:val="20"/>
                <w:szCs w:val="20"/>
              </w:rPr>
              <w:t xml:space="preserve"> nete</w:t>
            </w:r>
          </w:p>
        </w:tc>
        <w:tc>
          <w:tcPr>
            <w:tcW w:w="743" w:type="dxa"/>
            <w:vMerge w:val="restart"/>
            <w:shd w:val="clear" w:color="auto" w:fill="DEEAF6" w:themeFill="accent1" w:themeFillTint="33"/>
            <w:noWrap/>
            <w:vAlign w:val="center"/>
            <w:hideMark/>
          </w:tcPr>
          <w:p w14:paraId="111E06A7" w14:textId="42384CC2" w:rsidR="00335C46" w:rsidRPr="00C43E6D" w:rsidRDefault="00335C46" w:rsidP="00C65694">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Oct</w:t>
            </w:r>
          </w:p>
        </w:tc>
        <w:tc>
          <w:tcPr>
            <w:tcW w:w="720" w:type="dxa"/>
            <w:vMerge w:val="restart"/>
            <w:shd w:val="clear" w:color="000000" w:fill="DCE6F1"/>
            <w:noWrap/>
            <w:vAlign w:val="center"/>
            <w:hideMark/>
          </w:tcPr>
          <w:p w14:paraId="47F1E692" w14:textId="463BC472" w:rsidR="00335C46" w:rsidRPr="00C43E6D" w:rsidRDefault="00335C46" w:rsidP="00C65694">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Noi</w:t>
            </w:r>
          </w:p>
        </w:tc>
        <w:tc>
          <w:tcPr>
            <w:tcW w:w="720" w:type="dxa"/>
            <w:vMerge w:val="restart"/>
            <w:shd w:val="clear" w:color="000000" w:fill="DCE6F1"/>
            <w:noWrap/>
            <w:vAlign w:val="center"/>
            <w:hideMark/>
          </w:tcPr>
          <w:p w14:paraId="262747D5" w14:textId="3C2961F0" w:rsidR="00335C46" w:rsidRPr="00C43E6D" w:rsidRDefault="00335C46" w:rsidP="00C65694">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Dec</w:t>
            </w:r>
          </w:p>
        </w:tc>
        <w:tc>
          <w:tcPr>
            <w:tcW w:w="720" w:type="dxa"/>
            <w:vMerge w:val="restart"/>
            <w:shd w:val="clear" w:color="000000" w:fill="DCE6F1"/>
            <w:noWrap/>
            <w:vAlign w:val="center"/>
            <w:hideMark/>
          </w:tcPr>
          <w:p w14:paraId="4BFB7338" w14:textId="2F019759" w:rsidR="00335C46" w:rsidRPr="00C43E6D" w:rsidRDefault="00335C46" w:rsidP="00C65694">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Ian</w:t>
            </w:r>
          </w:p>
        </w:tc>
        <w:tc>
          <w:tcPr>
            <w:tcW w:w="720" w:type="dxa"/>
            <w:vMerge w:val="restart"/>
            <w:shd w:val="clear" w:color="000000" w:fill="DCE6F1"/>
            <w:noWrap/>
            <w:vAlign w:val="center"/>
            <w:hideMark/>
          </w:tcPr>
          <w:p w14:paraId="08801812" w14:textId="48608D71" w:rsidR="00335C46" w:rsidRPr="00C43E6D" w:rsidRDefault="00335C46" w:rsidP="00C65694">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Feb</w:t>
            </w:r>
          </w:p>
        </w:tc>
        <w:tc>
          <w:tcPr>
            <w:tcW w:w="720" w:type="dxa"/>
            <w:vMerge w:val="restart"/>
            <w:shd w:val="clear" w:color="000000" w:fill="DCE6F1"/>
            <w:noWrap/>
            <w:vAlign w:val="center"/>
            <w:hideMark/>
          </w:tcPr>
          <w:p w14:paraId="35280D28" w14:textId="7EFFB1DD" w:rsidR="00335C46" w:rsidRPr="00C43E6D" w:rsidRDefault="00335C46" w:rsidP="00C65694">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Mar</w:t>
            </w:r>
          </w:p>
        </w:tc>
        <w:tc>
          <w:tcPr>
            <w:tcW w:w="810" w:type="dxa"/>
            <w:vMerge w:val="restart"/>
            <w:shd w:val="clear" w:color="000000" w:fill="DCE6F1"/>
            <w:noWrap/>
            <w:vAlign w:val="center"/>
            <w:hideMark/>
          </w:tcPr>
          <w:p w14:paraId="5C8D8E39" w14:textId="4CB536C5" w:rsidR="00335C46" w:rsidRPr="00C43E6D" w:rsidRDefault="00335C46" w:rsidP="00C65694">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Apr</w:t>
            </w:r>
          </w:p>
        </w:tc>
        <w:tc>
          <w:tcPr>
            <w:tcW w:w="1597" w:type="dxa"/>
            <w:vMerge w:val="restart"/>
            <w:shd w:val="clear" w:color="000000" w:fill="DCE6F1"/>
            <w:noWrap/>
            <w:vAlign w:val="center"/>
            <w:hideMark/>
          </w:tcPr>
          <w:p w14:paraId="3D96009E" w14:textId="77777777" w:rsidR="00335C46" w:rsidRPr="00C43E6D" w:rsidRDefault="00335C46" w:rsidP="00C65694">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TOTAL</w:t>
            </w:r>
          </w:p>
        </w:tc>
      </w:tr>
      <w:tr w:rsidR="00420593" w:rsidRPr="00C43E6D" w14:paraId="23DDFDBA" w14:textId="2BD5CE8B" w:rsidTr="00C65694">
        <w:trPr>
          <w:trHeight w:val="230"/>
        </w:trPr>
        <w:tc>
          <w:tcPr>
            <w:tcW w:w="3420" w:type="dxa"/>
            <w:gridSpan w:val="2"/>
            <w:vMerge/>
            <w:shd w:val="clear" w:color="auto" w:fill="DEEAF6" w:themeFill="accent1" w:themeFillTint="33"/>
            <w:noWrap/>
            <w:vAlign w:val="center"/>
          </w:tcPr>
          <w:p w14:paraId="6F7EB095" w14:textId="77777777" w:rsidR="00335C46" w:rsidRPr="00C43E6D" w:rsidRDefault="00335C46" w:rsidP="00060E6A">
            <w:pPr>
              <w:spacing w:after="0" w:line="240" w:lineRule="auto"/>
              <w:rPr>
                <w:rFonts w:ascii="Times New Roman" w:eastAsia="Times New Roman" w:hAnsi="Times New Roman" w:cs="Times New Roman"/>
                <w:color w:val="000000"/>
                <w:sz w:val="20"/>
                <w:szCs w:val="20"/>
              </w:rPr>
            </w:pPr>
          </w:p>
        </w:tc>
        <w:tc>
          <w:tcPr>
            <w:tcW w:w="743" w:type="dxa"/>
            <w:vMerge/>
            <w:shd w:val="clear" w:color="auto" w:fill="DEEAF6" w:themeFill="accent1" w:themeFillTint="33"/>
            <w:noWrap/>
            <w:vAlign w:val="center"/>
          </w:tcPr>
          <w:p w14:paraId="6A492981" w14:textId="77777777" w:rsidR="00335C46" w:rsidRPr="00C43E6D" w:rsidRDefault="00335C46" w:rsidP="00060E6A">
            <w:pPr>
              <w:spacing w:after="0" w:line="240" w:lineRule="auto"/>
              <w:rPr>
                <w:rFonts w:ascii="Times New Roman" w:eastAsia="Times New Roman" w:hAnsi="Times New Roman" w:cs="Times New Roman"/>
                <w:b/>
                <w:bCs/>
                <w:color w:val="000000"/>
                <w:sz w:val="20"/>
                <w:szCs w:val="20"/>
              </w:rPr>
            </w:pPr>
          </w:p>
        </w:tc>
        <w:tc>
          <w:tcPr>
            <w:tcW w:w="720" w:type="dxa"/>
            <w:vMerge/>
            <w:shd w:val="clear" w:color="000000" w:fill="DCE6F1"/>
            <w:noWrap/>
            <w:vAlign w:val="center"/>
          </w:tcPr>
          <w:p w14:paraId="13CA30ED" w14:textId="77777777" w:rsidR="00335C46" w:rsidRPr="00C43E6D" w:rsidRDefault="00335C46" w:rsidP="00060E6A">
            <w:pPr>
              <w:spacing w:after="0" w:line="240" w:lineRule="auto"/>
              <w:rPr>
                <w:rFonts w:ascii="Times New Roman" w:eastAsia="Times New Roman" w:hAnsi="Times New Roman" w:cs="Times New Roman"/>
                <w:b/>
                <w:bCs/>
                <w:color w:val="000000"/>
                <w:sz w:val="20"/>
                <w:szCs w:val="20"/>
              </w:rPr>
            </w:pPr>
          </w:p>
        </w:tc>
        <w:tc>
          <w:tcPr>
            <w:tcW w:w="720" w:type="dxa"/>
            <w:vMerge/>
            <w:shd w:val="clear" w:color="000000" w:fill="DCE6F1"/>
            <w:noWrap/>
            <w:vAlign w:val="center"/>
          </w:tcPr>
          <w:p w14:paraId="4EC3BFA0" w14:textId="77777777" w:rsidR="00335C46" w:rsidRPr="00C43E6D" w:rsidRDefault="00335C46" w:rsidP="00060E6A">
            <w:pPr>
              <w:spacing w:after="0" w:line="240" w:lineRule="auto"/>
              <w:rPr>
                <w:rFonts w:ascii="Times New Roman" w:eastAsia="Times New Roman" w:hAnsi="Times New Roman" w:cs="Times New Roman"/>
                <w:b/>
                <w:bCs/>
                <w:color w:val="000000"/>
                <w:sz w:val="20"/>
                <w:szCs w:val="20"/>
              </w:rPr>
            </w:pPr>
          </w:p>
        </w:tc>
        <w:tc>
          <w:tcPr>
            <w:tcW w:w="720" w:type="dxa"/>
            <w:vMerge/>
            <w:shd w:val="clear" w:color="000000" w:fill="DCE6F1"/>
            <w:noWrap/>
            <w:vAlign w:val="center"/>
          </w:tcPr>
          <w:p w14:paraId="469B3A8F" w14:textId="77777777" w:rsidR="00335C46" w:rsidRPr="00C43E6D" w:rsidRDefault="00335C46" w:rsidP="00060E6A">
            <w:pPr>
              <w:spacing w:after="0" w:line="240" w:lineRule="auto"/>
              <w:rPr>
                <w:rFonts w:ascii="Times New Roman" w:eastAsia="Times New Roman" w:hAnsi="Times New Roman" w:cs="Times New Roman"/>
                <w:b/>
                <w:bCs/>
                <w:color w:val="000000"/>
                <w:sz w:val="20"/>
                <w:szCs w:val="20"/>
              </w:rPr>
            </w:pPr>
          </w:p>
        </w:tc>
        <w:tc>
          <w:tcPr>
            <w:tcW w:w="720" w:type="dxa"/>
            <w:vMerge/>
            <w:shd w:val="clear" w:color="000000" w:fill="DCE6F1"/>
            <w:noWrap/>
            <w:vAlign w:val="center"/>
          </w:tcPr>
          <w:p w14:paraId="4C226D32" w14:textId="77777777" w:rsidR="00335C46" w:rsidRPr="00C43E6D" w:rsidRDefault="00335C46" w:rsidP="00060E6A">
            <w:pPr>
              <w:spacing w:after="0" w:line="240" w:lineRule="auto"/>
              <w:rPr>
                <w:rFonts w:ascii="Times New Roman" w:eastAsia="Times New Roman" w:hAnsi="Times New Roman" w:cs="Times New Roman"/>
                <w:b/>
                <w:bCs/>
                <w:color w:val="000000"/>
                <w:sz w:val="20"/>
                <w:szCs w:val="20"/>
              </w:rPr>
            </w:pPr>
          </w:p>
        </w:tc>
        <w:tc>
          <w:tcPr>
            <w:tcW w:w="720" w:type="dxa"/>
            <w:vMerge/>
            <w:shd w:val="clear" w:color="000000" w:fill="DCE6F1"/>
            <w:noWrap/>
            <w:vAlign w:val="center"/>
          </w:tcPr>
          <w:p w14:paraId="5FC3EA8F" w14:textId="77777777" w:rsidR="00335C46" w:rsidRPr="00C43E6D" w:rsidRDefault="00335C46" w:rsidP="00060E6A">
            <w:pPr>
              <w:spacing w:after="0" w:line="240" w:lineRule="auto"/>
              <w:rPr>
                <w:rFonts w:ascii="Times New Roman" w:eastAsia="Times New Roman" w:hAnsi="Times New Roman" w:cs="Times New Roman"/>
                <w:b/>
                <w:bCs/>
                <w:color w:val="000000"/>
                <w:sz w:val="20"/>
                <w:szCs w:val="20"/>
              </w:rPr>
            </w:pPr>
          </w:p>
        </w:tc>
        <w:tc>
          <w:tcPr>
            <w:tcW w:w="810" w:type="dxa"/>
            <w:vMerge/>
            <w:shd w:val="clear" w:color="000000" w:fill="DCE6F1"/>
            <w:noWrap/>
            <w:vAlign w:val="center"/>
          </w:tcPr>
          <w:p w14:paraId="7A0A5027" w14:textId="77777777" w:rsidR="00335C46" w:rsidRPr="00C43E6D" w:rsidRDefault="00335C46" w:rsidP="00060E6A">
            <w:pPr>
              <w:spacing w:after="0" w:line="240" w:lineRule="auto"/>
              <w:rPr>
                <w:rFonts w:ascii="Times New Roman" w:eastAsia="Times New Roman" w:hAnsi="Times New Roman" w:cs="Times New Roman"/>
                <w:b/>
                <w:bCs/>
                <w:color w:val="000000"/>
                <w:sz w:val="20"/>
                <w:szCs w:val="20"/>
              </w:rPr>
            </w:pPr>
          </w:p>
        </w:tc>
        <w:tc>
          <w:tcPr>
            <w:tcW w:w="1597" w:type="dxa"/>
            <w:vMerge/>
            <w:shd w:val="clear" w:color="000000" w:fill="DCE6F1"/>
            <w:noWrap/>
            <w:vAlign w:val="center"/>
          </w:tcPr>
          <w:p w14:paraId="78B1F10F" w14:textId="77777777" w:rsidR="00335C46" w:rsidRPr="00C43E6D" w:rsidRDefault="00335C46" w:rsidP="00060E6A">
            <w:pPr>
              <w:spacing w:after="0" w:line="240" w:lineRule="auto"/>
              <w:rPr>
                <w:rFonts w:ascii="Times New Roman" w:eastAsia="Times New Roman" w:hAnsi="Times New Roman" w:cs="Times New Roman"/>
                <w:b/>
                <w:bCs/>
                <w:color w:val="000000"/>
                <w:sz w:val="20"/>
                <w:szCs w:val="20"/>
              </w:rPr>
            </w:pPr>
          </w:p>
        </w:tc>
      </w:tr>
      <w:tr w:rsidR="00420593" w:rsidRPr="00C43E6D" w14:paraId="529A5535" w14:textId="6B60F172" w:rsidTr="00C65694">
        <w:trPr>
          <w:trHeight w:val="290"/>
        </w:trPr>
        <w:tc>
          <w:tcPr>
            <w:tcW w:w="3420" w:type="dxa"/>
            <w:gridSpan w:val="2"/>
            <w:shd w:val="clear" w:color="auto" w:fill="auto"/>
            <w:noWrap/>
            <w:vAlign w:val="center"/>
            <w:hideMark/>
          </w:tcPr>
          <w:p w14:paraId="794B21F0" w14:textId="77777777" w:rsidR="00335C46" w:rsidRPr="00C43E6D" w:rsidRDefault="00335C46" w:rsidP="00060E6A">
            <w:pPr>
              <w:spacing w:after="0" w:line="240" w:lineRule="auto"/>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2021-2022</w:t>
            </w:r>
          </w:p>
        </w:tc>
        <w:tc>
          <w:tcPr>
            <w:tcW w:w="743" w:type="dxa"/>
            <w:shd w:val="clear" w:color="auto" w:fill="auto"/>
            <w:noWrap/>
            <w:vAlign w:val="center"/>
            <w:hideMark/>
          </w:tcPr>
          <w:p w14:paraId="5261E0C2" w14:textId="77777777" w:rsidR="00335C46" w:rsidRPr="00C43E6D" w:rsidRDefault="00335C46" w:rsidP="006B7A1A">
            <w:pPr>
              <w:spacing w:after="0" w:line="240" w:lineRule="auto"/>
              <w:jc w:val="center"/>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13.1</w:t>
            </w:r>
          </w:p>
        </w:tc>
        <w:tc>
          <w:tcPr>
            <w:tcW w:w="720" w:type="dxa"/>
            <w:shd w:val="clear" w:color="auto" w:fill="auto"/>
            <w:noWrap/>
            <w:vAlign w:val="center"/>
            <w:hideMark/>
          </w:tcPr>
          <w:p w14:paraId="0FF853F6" w14:textId="77777777" w:rsidR="00335C46" w:rsidRPr="00C43E6D" w:rsidRDefault="00335C46" w:rsidP="006B7A1A">
            <w:pPr>
              <w:spacing w:after="0" w:line="240" w:lineRule="auto"/>
              <w:jc w:val="center"/>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18.8</w:t>
            </w:r>
          </w:p>
        </w:tc>
        <w:tc>
          <w:tcPr>
            <w:tcW w:w="720" w:type="dxa"/>
            <w:shd w:val="clear" w:color="auto" w:fill="auto"/>
            <w:noWrap/>
            <w:vAlign w:val="center"/>
            <w:hideMark/>
          </w:tcPr>
          <w:p w14:paraId="44B9C3E8" w14:textId="77777777" w:rsidR="00335C46" w:rsidRPr="00C43E6D" w:rsidRDefault="00335C46" w:rsidP="006B7A1A">
            <w:pPr>
              <w:spacing w:after="0" w:line="240" w:lineRule="auto"/>
              <w:jc w:val="center"/>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21.6</w:t>
            </w:r>
          </w:p>
        </w:tc>
        <w:tc>
          <w:tcPr>
            <w:tcW w:w="720" w:type="dxa"/>
            <w:shd w:val="clear" w:color="auto" w:fill="auto"/>
            <w:noWrap/>
            <w:vAlign w:val="center"/>
            <w:hideMark/>
          </w:tcPr>
          <w:p w14:paraId="259D7652" w14:textId="77777777" w:rsidR="00335C46" w:rsidRPr="00C43E6D" w:rsidRDefault="00335C46" w:rsidP="006B7A1A">
            <w:pPr>
              <w:spacing w:after="0" w:line="240" w:lineRule="auto"/>
              <w:jc w:val="center"/>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23.4</w:t>
            </w:r>
          </w:p>
        </w:tc>
        <w:tc>
          <w:tcPr>
            <w:tcW w:w="720" w:type="dxa"/>
            <w:shd w:val="clear" w:color="auto" w:fill="auto"/>
            <w:noWrap/>
            <w:vAlign w:val="center"/>
            <w:hideMark/>
          </w:tcPr>
          <w:p w14:paraId="24D0F5DE" w14:textId="77777777" w:rsidR="00335C46" w:rsidRPr="00C43E6D" w:rsidRDefault="00335C46" w:rsidP="006B7A1A">
            <w:pPr>
              <w:spacing w:after="0" w:line="240" w:lineRule="auto"/>
              <w:jc w:val="center"/>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16.4</w:t>
            </w:r>
          </w:p>
        </w:tc>
        <w:tc>
          <w:tcPr>
            <w:tcW w:w="720" w:type="dxa"/>
            <w:shd w:val="clear" w:color="auto" w:fill="auto"/>
            <w:noWrap/>
            <w:vAlign w:val="center"/>
            <w:hideMark/>
          </w:tcPr>
          <w:p w14:paraId="7F750376" w14:textId="77777777" w:rsidR="00335C46" w:rsidRPr="00C43E6D" w:rsidRDefault="00335C46" w:rsidP="006B7A1A">
            <w:pPr>
              <w:spacing w:after="0" w:line="240" w:lineRule="auto"/>
              <w:jc w:val="center"/>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18.8</w:t>
            </w:r>
          </w:p>
        </w:tc>
        <w:tc>
          <w:tcPr>
            <w:tcW w:w="810" w:type="dxa"/>
            <w:shd w:val="clear" w:color="auto" w:fill="auto"/>
            <w:noWrap/>
            <w:vAlign w:val="center"/>
            <w:hideMark/>
          </w:tcPr>
          <w:p w14:paraId="4712C073" w14:textId="77777777" w:rsidR="00335C46" w:rsidRPr="00C43E6D" w:rsidRDefault="00335C46" w:rsidP="006B7A1A">
            <w:pPr>
              <w:spacing w:after="0" w:line="240" w:lineRule="auto"/>
              <w:jc w:val="center"/>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23.4</w:t>
            </w:r>
          </w:p>
        </w:tc>
        <w:tc>
          <w:tcPr>
            <w:tcW w:w="1597" w:type="dxa"/>
            <w:shd w:val="clear" w:color="auto" w:fill="auto"/>
            <w:noWrap/>
            <w:vAlign w:val="center"/>
            <w:hideMark/>
          </w:tcPr>
          <w:p w14:paraId="356DDBE9" w14:textId="77777777" w:rsidR="00335C46" w:rsidRPr="00C43E6D" w:rsidRDefault="00335C46" w:rsidP="00420593">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135.6</w:t>
            </w:r>
          </w:p>
        </w:tc>
      </w:tr>
      <w:tr w:rsidR="00420593" w:rsidRPr="00C43E6D" w14:paraId="0737C1A7" w14:textId="1CAD53FA" w:rsidTr="00C65694">
        <w:trPr>
          <w:trHeight w:val="80"/>
        </w:trPr>
        <w:tc>
          <w:tcPr>
            <w:tcW w:w="3420" w:type="dxa"/>
            <w:gridSpan w:val="2"/>
            <w:shd w:val="clear" w:color="auto" w:fill="auto"/>
            <w:noWrap/>
            <w:vAlign w:val="center"/>
            <w:hideMark/>
          </w:tcPr>
          <w:p w14:paraId="05C3AAC0" w14:textId="77777777" w:rsidR="00335C46" w:rsidRPr="00C43E6D" w:rsidRDefault="00335C46" w:rsidP="00060E6A">
            <w:pPr>
              <w:spacing w:after="0" w:line="240" w:lineRule="auto"/>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2022-2023</w:t>
            </w:r>
          </w:p>
        </w:tc>
        <w:tc>
          <w:tcPr>
            <w:tcW w:w="743" w:type="dxa"/>
            <w:shd w:val="clear" w:color="auto" w:fill="auto"/>
            <w:noWrap/>
            <w:vAlign w:val="center"/>
            <w:hideMark/>
          </w:tcPr>
          <w:p w14:paraId="3E7A28B8" w14:textId="77777777" w:rsidR="00335C46" w:rsidRPr="00C43E6D" w:rsidRDefault="00335C46" w:rsidP="006B7A1A">
            <w:pPr>
              <w:spacing w:after="0" w:line="240" w:lineRule="auto"/>
              <w:jc w:val="center"/>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20.3</w:t>
            </w:r>
          </w:p>
        </w:tc>
        <w:tc>
          <w:tcPr>
            <w:tcW w:w="720" w:type="dxa"/>
            <w:shd w:val="clear" w:color="auto" w:fill="auto"/>
            <w:noWrap/>
            <w:vAlign w:val="center"/>
            <w:hideMark/>
          </w:tcPr>
          <w:p w14:paraId="6F78F1AF" w14:textId="77777777" w:rsidR="00335C46" w:rsidRPr="00C43E6D" w:rsidRDefault="00335C46" w:rsidP="006B7A1A">
            <w:pPr>
              <w:spacing w:after="0" w:line="240" w:lineRule="auto"/>
              <w:jc w:val="center"/>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17.2</w:t>
            </w:r>
          </w:p>
        </w:tc>
        <w:tc>
          <w:tcPr>
            <w:tcW w:w="720" w:type="dxa"/>
            <w:shd w:val="clear" w:color="auto" w:fill="auto"/>
            <w:noWrap/>
            <w:vAlign w:val="center"/>
            <w:hideMark/>
          </w:tcPr>
          <w:p w14:paraId="0DDCB46C" w14:textId="77777777" w:rsidR="00335C46" w:rsidRPr="00C43E6D" w:rsidRDefault="00335C46" w:rsidP="006B7A1A">
            <w:pPr>
              <w:spacing w:after="0" w:line="240" w:lineRule="auto"/>
              <w:jc w:val="center"/>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18.4</w:t>
            </w:r>
          </w:p>
        </w:tc>
        <w:tc>
          <w:tcPr>
            <w:tcW w:w="720" w:type="dxa"/>
            <w:shd w:val="clear" w:color="auto" w:fill="auto"/>
            <w:noWrap/>
            <w:vAlign w:val="center"/>
            <w:hideMark/>
          </w:tcPr>
          <w:p w14:paraId="670251CC" w14:textId="77777777" w:rsidR="00335C46" w:rsidRPr="00C43E6D" w:rsidRDefault="00335C46" w:rsidP="006B7A1A">
            <w:pPr>
              <w:spacing w:after="0" w:line="240" w:lineRule="auto"/>
              <w:jc w:val="center"/>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22.8</w:t>
            </w:r>
          </w:p>
        </w:tc>
        <w:tc>
          <w:tcPr>
            <w:tcW w:w="720" w:type="dxa"/>
            <w:shd w:val="clear" w:color="auto" w:fill="auto"/>
            <w:noWrap/>
            <w:vAlign w:val="center"/>
            <w:hideMark/>
          </w:tcPr>
          <w:p w14:paraId="5F08F2A6" w14:textId="77777777" w:rsidR="00335C46" w:rsidRPr="00C43E6D" w:rsidRDefault="00335C46" w:rsidP="006B7A1A">
            <w:pPr>
              <w:spacing w:after="0" w:line="240" w:lineRule="auto"/>
              <w:jc w:val="center"/>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27.9</w:t>
            </w:r>
          </w:p>
        </w:tc>
        <w:tc>
          <w:tcPr>
            <w:tcW w:w="720" w:type="dxa"/>
            <w:shd w:val="clear" w:color="auto" w:fill="auto"/>
            <w:noWrap/>
            <w:vAlign w:val="center"/>
            <w:hideMark/>
          </w:tcPr>
          <w:p w14:paraId="7551A796" w14:textId="77777777" w:rsidR="00335C46" w:rsidRPr="00C43E6D" w:rsidRDefault="00335C46" w:rsidP="006B7A1A">
            <w:pPr>
              <w:spacing w:after="0" w:line="240" w:lineRule="auto"/>
              <w:jc w:val="center"/>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31.7</w:t>
            </w:r>
          </w:p>
        </w:tc>
        <w:tc>
          <w:tcPr>
            <w:tcW w:w="810" w:type="dxa"/>
            <w:shd w:val="clear" w:color="auto" w:fill="auto"/>
            <w:noWrap/>
            <w:vAlign w:val="center"/>
            <w:hideMark/>
          </w:tcPr>
          <w:p w14:paraId="58972B2A" w14:textId="77777777" w:rsidR="00335C46" w:rsidRPr="00C43E6D" w:rsidRDefault="00335C46" w:rsidP="006B7A1A">
            <w:pPr>
              <w:spacing w:after="0" w:line="240" w:lineRule="auto"/>
              <w:jc w:val="center"/>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29.9</w:t>
            </w:r>
          </w:p>
        </w:tc>
        <w:tc>
          <w:tcPr>
            <w:tcW w:w="1597" w:type="dxa"/>
            <w:shd w:val="clear" w:color="auto" w:fill="auto"/>
            <w:noWrap/>
            <w:vAlign w:val="center"/>
            <w:hideMark/>
          </w:tcPr>
          <w:p w14:paraId="3A5FC5E5" w14:textId="77777777" w:rsidR="00335C46" w:rsidRPr="00C43E6D" w:rsidRDefault="00335C46" w:rsidP="00420593">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168.3</w:t>
            </w:r>
          </w:p>
        </w:tc>
      </w:tr>
      <w:tr w:rsidR="00420593" w:rsidRPr="00C43E6D" w14:paraId="222CED5D" w14:textId="552FD630" w:rsidTr="00C65694">
        <w:trPr>
          <w:trHeight w:val="143"/>
        </w:trPr>
        <w:tc>
          <w:tcPr>
            <w:tcW w:w="3420" w:type="dxa"/>
            <w:gridSpan w:val="2"/>
            <w:shd w:val="clear" w:color="auto" w:fill="auto"/>
            <w:noWrap/>
            <w:vAlign w:val="center"/>
            <w:hideMark/>
          </w:tcPr>
          <w:p w14:paraId="010CE6E2" w14:textId="77777777" w:rsidR="00335C46" w:rsidRPr="00C43E6D" w:rsidRDefault="00335C46" w:rsidP="00060E6A">
            <w:pPr>
              <w:spacing w:after="0" w:line="240" w:lineRule="auto"/>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2023-2024</w:t>
            </w:r>
          </w:p>
        </w:tc>
        <w:tc>
          <w:tcPr>
            <w:tcW w:w="743" w:type="dxa"/>
            <w:shd w:val="clear" w:color="auto" w:fill="auto"/>
            <w:noWrap/>
            <w:vAlign w:val="center"/>
            <w:hideMark/>
          </w:tcPr>
          <w:p w14:paraId="67021CF4" w14:textId="77777777" w:rsidR="00335C46" w:rsidRPr="00C43E6D" w:rsidRDefault="00335C46" w:rsidP="00977953">
            <w:pPr>
              <w:spacing w:after="0" w:line="240" w:lineRule="auto"/>
              <w:jc w:val="center"/>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35.8</w:t>
            </w:r>
          </w:p>
        </w:tc>
        <w:tc>
          <w:tcPr>
            <w:tcW w:w="720" w:type="dxa"/>
            <w:shd w:val="clear" w:color="auto" w:fill="auto"/>
            <w:noWrap/>
            <w:vAlign w:val="center"/>
            <w:hideMark/>
          </w:tcPr>
          <w:p w14:paraId="571DA6F7" w14:textId="77777777" w:rsidR="00335C46" w:rsidRPr="00C43E6D" w:rsidRDefault="00335C46" w:rsidP="00977953">
            <w:pPr>
              <w:spacing w:after="0" w:line="240" w:lineRule="auto"/>
              <w:jc w:val="center"/>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34.9</w:t>
            </w:r>
          </w:p>
        </w:tc>
        <w:tc>
          <w:tcPr>
            <w:tcW w:w="720" w:type="dxa"/>
            <w:shd w:val="clear" w:color="auto" w:fill="auto"/>
            <w:noWrap/>
            <w:vAlign w:val="center"/>
            <w:hideMark/>
          </w:tcPr>
          <w:p w14:paraId="279B2D5F" w14:textId="77777777" w:rsidR="00335C46" w:rsidRPr="00C43E6D" w:rsidRDefault="00335C46" w:rsidP="00977953">
            <w:pPr>
              <w:spacing w:after="0" w:line="240" w:lineRule="auto"/>
              <w:jc w:val="center"/>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28.1</w:t>
            </w:r>
          </w:p>
        </w:tc>
        <w:tc>
          <w:tcPr>
            <w:tcW w:w="720" w:type="dxa"/>
            <w:shd w:val="clear" w:color="auto" w:fill="auto"/>
            <w:noWrap/>
            <w:vAlign w:val="center"/>
            <w:hideMark/>
          </w:tcPr>
          <w:p w14:paraId="07284E9C" w14:textId="77777777" w:rsidR="00335C46" w:rsidRPr="00C43E6D" w:rsidRDefault="00335C46" w:rsidP="00977953">
            <w:pPr>
              <w:spacing w:after="0" w:line="240" w:lineRule="auto"/>
              <w:jc w:val="center"/>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35.7</w:t>
            </w:r>
          </w:p>
        </w:tc>
        <w:tc>
          <w:tcPr>
            <w:tcW w:w="720" w:type="dxa"/>
            <w:shd w:val="clear" w:color="auto" w:fill="auto"/>
            <w:noWrap/>
            <w:vAlign w:val="center"/>
            <w:hideMark/>
          </w:tcPr>
          <w:p w14:paraId="305C79E2" w14:textId="77777777" w:rsidR="00335C46" w:rsidRPr="00C43E6D" w:rsidRDefault="00335C46" w:rsidP="00977953">
            <w:pPr>
              <w:spacing w:after="0" w:line="240" w:lineRule="auto"/>
              <w:jc w:val="center"/>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40.1</w:t>
            </w:r>
          </w:p>
        </w:tc>
        <w:tc>
          <w:tcPr>
            <w:tcW w:w="720" w:type="dxa"/>
            <w:shd w:val="clear" w:color="auto" w:fill="auto"/>
            <w:noWrap/>
            <w:vAlign w:val="center"/>
            <w:hideMark/>
          </w:tcPr>
          <w:p w14:paraId="66BCAA51" w14:textId="77777777" w:rsidR="00335C46" w:rsidRPr="00C43E6D" w:rsidRDefault="00335C46" w:rsidP="00977953">
            <w:pPr>
              <w:spacing w:after="0" w:line="240" w:lineRule="auto"/>
              <w:jc w:val="center"/>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42.5</w:t>
            </w:r>
          </w:p>
        </w:tc>
        <w:tc>
          <w:tcPr>
            <w:tcW w:w="810" w:type="dxa"/>
            <w:shd w:val="clear" w:color="auto" w:fill="auto"/>
            <w:noWrap/>
            <w:vAlign w:val="center"/>
            <w:hideMark/>
          </w:tcPr>
          <w:p w14:paraId="6EDECFBF" w14:textId="77777777" w:rsidR="00335C46" w:rsidRPr="00C43E6D" w:rsidRDefault="00335C46" w:rsidP="00977953">
            <w:pPr>
              <w:spacing w:after="0" w:line="240" w:lineRule="auto"/>
              <w:jc w:val="center"/>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42.6</w:t>
            </w:r>
          </w:p>
        </w:tc>
        <w:tc>
          <w:tcPr>
            <w:tcW w:w="1597" w:type="dxa"/>
            <w:shd w:val="clear" w:color="auto" w:fill="auto"/>
            <w:noWrap/>
            <w:vAlign w:val="center"/>
            <w:hideMark/>
          </w:tcPr>
          <w:p w14:paraId="74D4C8EC" w14:textId="77777777" w:rsidR="00335C46" w:rsidRPr="00C43E6D" w:rsidRDefault="00335C46" w:rsidP="00420593">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259.8</w:t>
            </w:r>
          </w:p>
        </w:tc>
      </w:tr>
      <w:tr w:rsidR="002E2FAD" w:rsidRPr="00C43E6D" w14:paraId="78EC74FC" w14:textId="77777777" w:rsidTr="00C65694">
        <w:trPr>
          <w:trHeight w:val="143"/>
        </w:trPr>
        <w:tc>
          <w:tcPr>
            <w:tcW w:w="3420" w:type="dxa"/>
            <w:gridSpan w:val="2"/>
            <w:shd w:val="clear" w:color="auto" w:fill="auto"/>
            <w:noWrap/>
            <w:vAlign w:val="center"/>
          </w:tcPr>
          <w:p w14:paraId="25538F97" w14:textId="41A6B38B" w:rsidR="002E2FAD" w:rsidRPr="00C43E6D" w:rsidRDefault="002E2FAD" w:rsidP="002E2FAD">
            <w:pPr>
              <w:spacing w:after="0" w:line="240" w:lineRule="auto"/>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2024-2025</w:t>
            </w:r>
          </w:p>
        </w:tc>
        <w:tc>
          <w:tcPr>
            <w:tcW w:w="743" w:type="dxa"/>
            <w:shd w:val="clear" w:color="auto" w:fill="auto"/>
            <w:noWrap/>
            <w:vAlign w:val="center"/>
          </w:tcPr>
          <w:p w14:paraId="11B86A67" w14:textId="7D808569" w:rsidR="002E2FAD" w:rsidRPr="00C43E6D" w:rsidRDefault="002E2FAD" w:rsidP="00977953">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48.5</w:t>
            </w:r>
          </w:p>
        </w:tc>
        <w:tc>
          <w:tcPr>
            <w:tcW w:w="720" w:type="dxa"/>
            <w:shd w:val="clear" w:color="auto" w:fill="auto"/>
            <w:noWrap/>
            <w:vAlign w:val="center"/>
          </w:tcPr>
          <w:p w14:paraId="6AD69D06" w14:textId="468B155D" w:rsidR="002E2FAD" w:rsidRPr="00C43E6D" w:rsidRDefault="002E2FAD" w:rsidP="00977953">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45.4</w:t>
            </w:r>
          </w:p>
        </w:tc>
        <w:tc>
          <w:tcPr>
            <w:tcW w:w="720" w:type="dxa"/>
            <w:shd w:val="clear" w:color="auto" w:fill="auto"/>
            <w:noWrap/>
            <w:vAlign w:val="center"/>
          </w:tcPr>
          <w:p w14:paraId="4652E471" w14:textId="60BF7350" w:rsidR="002E2FAD" w:rsidRPr="00C43E6D" w:rsidRDefault="002E2FAD" w:rsidP="00977953">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41.8</w:t>
            </w:r>
          </w:p>
        </w:tc>
        <w:tc>
          <w:tcPr>
            <w:tcW w:w="720" w:type="dxa"/>
            <w:shd w:val="clear" w:color="auto" w:fill="auto"/>
            <w:noWrap/>
            <w:vAlign w:val="center"/>
          </w:tcPr>
          <w:p w14:paraId="7512A73A" w14:textId="2BB7BECC" w:rsidR="002E2FAD" w:rsidRPr="00C43E6D" w:rsidRDefault="002E2FAD" w:rsidP="00977953">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52.1</w:t>
            </w:r>
          </w:p>
        </w:tc>
        <w:tc>
          <w:tcPr>
            <w:tcW w:w="720" w:type="dxa"/>
            <w:shd w:val="clear" w:color="auto" w:fill="auto"/>
            <w:noWrap/>
            <w:vAlign w:val="center"/>
          </w:tcPr>
          <w:p w14:paraId="67A656A7" w14:textId="431F5FD1" w:rsidR="002E2FAD" w:rsidRPr="00C43E6D" w:rsidRDefault="002E2FAD" w:rsidP="00977953">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47.3</w:t>
            </w:r>
          </w:p>
        </w:tc>
        <w:tc>
          <w:tcPr>
            <w:tcW w:w="720" w:type="dxa"/>
            <w:shd w:val="clear" w:color="auto" w:fill="auto"/>
            <w:noWrap/>
            <w:vAlign w:val="center"/>
          </w:tcPr>
          <w:p w14:paraId="735724CC" w14:textId="25ABA83F" w:rsidR="002E2FAD" w:rsidRPr="00C43E6D" w:rsidRDefault="002E2FAD" w:rsidP="00977953">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73.5</w:t>
            </w:r>
          </w:p>
        </w:tc>
        <w:tc>
          <w:tcPr>
            <w:tcW w:w="810" w:type="dxa"/>
            <w:shd w:val="clear" w:color="auto" w:fill="auto"/>
            <w:noWrap/>
            <w:vAlign w:val="center"/>
          </w:tcPr>
          <w:p w14:paraId="712BA808" w14:textId="45625220" w:rsidR="002E2FAD" w:rsidRPr="00C43E6D" w:rsidRDefault="002E2FAD" w:rsidP="00977953">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41.5</w:t>
            </w:r>
          </w:p>
        </w:tc>
        <w:tc>
          <w:tcPr>
            <w:tcW w:w="1597" w:type="dxa"/>
            <w:shd w:val="clear" w:color="auto" w:fill="auto"/>
            <w:noWrap/>
            <w:vAlign w:val="center"/>
          </w:tcPr>
          <w:p w14:paraId="32DA39E9" w14:textId="4FAD83C9" w:rsidR="002E2FAD" w:rsidRPr="00C43E6D" w:rsidRDefault="002E2FAD" w:rsidP="002E2FAD">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350.1</w:t>
            </w:r>
          </w:p>
        </w:tc>
      </w:tr>
      <w:tr w:rsidR="002E2FAD" w:rsidRPr="00C43E6D" w14:paraId="1F97DE37" w14:textId="77777777" w:rsidTr="00EF77E8">
        <w:trPr>
          <w:trHeight w:val="170"/>
        </w:trPr>
        <w:tc>
          <w:tcPr>
            <w:tcW w:w="2430" w:type="dxa"/>
            <w:vMerge w:val="restart"/>
            <w:shd w:val="clear" w:color="auto" w:fill="auto"/>
            <w:noWrap/>
            <w:vAlign w:val="center"/>
          </w:tcPr>
          <w:p w14:paraId="2C5F8E4C" w14:textId="23167731" w:rsidR="002E2FAD" w:rsidRPr="00C43E6D" w:rsidRDefault="002E2FAD" w:rsidP="002E2FAD">
            <w:pPr>
              <w:spacing w:after="0" w:line="240" w:lineRule="auto"/>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2024/2021</w:t>
            </w:r>
          </w:p>
        </w:tc>
        <w:tc>
          <w:tcPr>
            <w:tcW w:w="990" w:type="dxa"/>
            <w:shd w:val="clear" w:color="auto" w:fill="auto"/>
            <w:vAlign w:val="center"/>
          </w:tcPr>
          <w:p w14:paraId="68E2B1E1" w14:textId="7872F69B" w:rsidR="002E2FAD" w:rsidRPr="00C43E6D" w:rsidRDefault="002E2FAD" w:rsidP="002E2FAD">
            <w:pPr>
              <w:spacing w:after="0" w:line="240" w:lineRule="auto"/>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mil. kWh</w:t>
            </w:r>
          </w:p>
        </w:tc>
        <w:tc>
          <w:tcPr>
            <w:tcW w:w="743" w:type="dxa"/>
            <w:shd w:val="clear" w:color="auto" w:fill="auto"/>
            <w:noWrap/>
            <w:vAlign w:val="center"/>
          </w:tcPr>
          <w:p w14:paraId="5BCEEE63" w14:textId="0DC1C877" w:rsidR="002E2FAD" w:rsidRPr="00C43E6D" w:rsidRDefault="002E2FAD" w:rsidP="00977953">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35.4</w:t>
            </w:r>
          </w:p>
        </w:tc>
        <w:tc>
          <w:tcPr>
            <w:tcW w:w="720" w:type="dxa"/>
            <w:shd w:val="clear" w:color="auto" w:fill="auto"/>
            <w:noWrap/>
            <w:vAlign w:val="center"/>
          </w:tcPr>
          <w:p w14:paraId="2C9C2A27" w14:textId="5E3423D1" w:rsidR="002E2FAD" w:rsidRPr="00C43E6D" w:rsidRDefault="002E2FAD" w:rsidP="00977953">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26.6</w:t>
            </w:r>
          </w:p>
        </w:tc>
        <w:tc>
          <w:tcPr>
            <w:tcW w:w="720" w:type="dxa"/>
            <w:shd w:val="clear" w:color="auto" w:fill="auto"/>
            <w:noWrap/>
            <w:vAlign w:val="center"/>
          </w:tcPr>
          <w:p w14:paraId="7E09DA01" w14:textId="114EF7AC" w:rsidR="002E2FAD" w:rsidRPr="00C43E6D" w:rsidRDefault="002E2FAD" w:rsidP="00977953">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20.2</w:t>
            </w:r>
          </w:p>
        </w:tc>
        <w:tc>
          <w:tcPr>
            <w:tcW w:w="720" w:type="dxa"/>
            <w:shd w:val="clear" w:color="auto" w:fill="auto"/>
            <w:noWrap/>
            <w:vAlign w:val="center"/>
          </w:tcPr>
          <w:p w14:paraId="5AFD4F46" w14:textId="1D8046CC" w:rsidR="002E2FAD" w:rsidRPr="00C43E6D" w:rsidRDefault="002E2FAD" w:rsidP="00977953">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28.7</w:t>
            </w:r>
          </w:p>
        </w:tc>
        <w:tc>
          <w:tcPr>
            <w:tcW w:w="720" w:type="dxa"/>
            <w:shd w:val="clear" w:color="auto" w:fill="auto"/>
            <w:noWrap/>
            <w:vAlign w:val="center"/>
          </w:tcPr>
          <w:p w14:paraId="42D71476" w14:textId="5D28B442" w:rsidR="002E2FAD" w:rsidRPr="00C43E6D" w:rsidRDefault="002E2FAD" w:rsidP="00977953">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30.9</w:t>
            </w:r>
          </w:p>
        </w:tc>
        <w:tc>
          <w:tcPr>
            <w:tcW w:w="720" w:type="dxa"/>
            <w:shd w:val="clear" w:color="auto" w:fill="auto"/>
            <w:noWrap/>
            <w:vAlign w:val="center"/>
          </w:tcPr>
          <w:p w14:paraId="5038B926" w14:textId="7D9831FF" w:rsidR="002E2FAD" w:rsidRPr="00C43E6D" w:rsidRDefault="002E2FAD" w:rsidP="00977953">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54.7</w:t>
            </w:r>
          </w:p>
        </w:tc>
        <w:tc>
          <w:tcPr>
            <w:tcW w:w="810" w:type="dxa"/>
            <w:shd w:val="clear" w:color="auto" w:fill="auto"/>
            <w:noWrap/>
            <w:vAlign w:val="center"/>
          </w:tcPr>
          <w:p w14:paraId="2B23CF2E" w14:textId="52C304AA" w:rsidR="002E2FAD" w:rsidRPr="00C43E6D" w:rsidRDefault="002E2FAD" w:rsidP="00977953">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18.1</w:t>
            </w:r>
          </w:p>
        </w:tc>
        <w:tc>
          <w:tcPr>
            <w:tcW w:w="1597" w:type="dxa"/>
            <w:shd w:val="clear" w:color="auto" w:fill="auto"/>
            <w:noWrap/>
            <w:vAlign w:val="center"/>
          </w:tcPr>
          <w:p w14:paraId="17CFF287" w14:textId="1E96BF82" w:rsidR="002E2FAD" w:rsidRPr="00C43E6D" w:rsidRDefault="002E2FAD" w:rsidP="002E2FAD">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214.5</w:t>
            </w:r>
          </w:p>
        </w:tc>
      </w:tr>
      <w:tr w:rsidR="002E2FAD" w:rsidRPr="00C43E6D" w14:paraId="132C5F8E" w14:textId="77777777" w:rsidTr="00EF77E8">
        <w:trPr>
          <w:trHeight w:val="50"/>
        </w:trPr>
        <w:tc>
          <w:tcPr>
            <w:tcW w:w="2430" w:type="dxa"/>
            <w:vMerge/>
            <w:shd w:val="clear" w:color="auto" w:fill="auto"/>
            <w:noWrap/>
            <w:vAlign w:val="center"/>
          </w:tcPr>
          <w:p w14:paraId="2CF96CAE" w14:textId="77777777" w:rsidR="002E2FAD" w:rsidRPr="00C43E6D" w:rsidRDefault="002E2FAD" w:rsidP="002E2FAD">
            <w:pPr>
              <w:spacing w:after="0" w:line="240" w:lineRule="auto"/>
              <w:rPr>
                <w:rFonts w:ascii="Times New Roman" w:eastAsia="Times New Roman" w:hAnsi="Times New Roman" w:cs="Times New Roman"/>
                <w:b/>
                <w:bCs/>
                <w:color w:val="000000"/>
                <w:sz w:val="20"/>
                <w:szCs w:val="20"/>
              </w:rPr>
            </w:pPr>
          </w:p>
        </w:tc>
        <w:tc>
          <w:tcPr>
            <w:tcW w:w="990" w:type="dxa"/>
            <w:shd w:val="clear" w:color="auto" w:fill="auto"/>
            <w:vAlign w:val="center"/>
          </w:tcPr>
          <w:p w14:paraId="77CB1112" w14:textId="6D6B8EEB" w:rsidR="002E2FAD" w:rsidRPr="00C43E6D" w:rsidRDefault="002E2FAD" w:rsidP="002E2FAD">
            <w:pPr>
              <w:spacing w:after="0" w:line="240" w:lineRule="auto"/>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w:t>
            </w:r>
          </w:p>
        </w:tc>
        <w:tc>
          <w:tcPr>
            <w:tcW w:w="743" w:type="dxa"/>
            <w:shd w:val="clear" w:color="auto" w:fill="auto"/>
            <w:noWrap/>
            <w:vAlign w:val="center"/>
          </w:tcPr>
          <w:p w14:paraId="445AD2C7" w14:textId="183D9839" w:rsidR="002E2FAD" w:rsidRPr="00C43E6D" w:rsidRDefault="002E2FAD" w:rsidP="00977953">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270.2</w:t>
            </w:r>
          </w:p>
        </w:tc>
        <w:tc>
          <w:tcPr>
            <w:tcW w:w="720" w:type="dxa"/>
            <w:shd w:val="clear" w:color="auto" w:fill="auto"/>
            <w:noWrap/>
            <w:vAlign w:val="center"/>
          </w:tcPr>
          <w:p w14:paraId="6B550437" w14:textId="0E058CD1" w:rsidR="002E2FAD" w:rsidRPr="00C43E6D" w:rsidRDefault="002E2FAD" w:rsidP="00977953">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141.5</w:t>
            </w:r>
          </w:p>
        </w:tc>
        <w:tc>
          <w:tcPr>
            <w:tcW w:w="720" w:type="dxa"/>
            <w:shd w:val="clear" w:color="auto" w:fill="auto"/>
            <w:noWrap/>
            <w:vAlign w:val="center"/>
          </w:tcPr>
          <w:p w14:paraId="378FAFB6" w14:textId="05F7D3B2" w:rsidR="002E2FAD" w:rsidRPr="00C43E6D" w:rsidRDefault="002E2FAD" w:rsidP="00977953">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93.5</w:t>
            </w:r>
          </w:p>
        </w:tc>
        <w:tc>
          <w:tcPr>
            <w:tcW w:w="720" w:type="dxa"/>
            <w:shd w:val="clear" w:color="auto" w:fill="auto"/>
            <w:noWrap/>
            <w:vAlign w:val="center"/>
          </w:tcPr>
          <w:p w14:paraId="1E54AB2B" w14:textId="0F80F5C2" w:rsidR="002E2FAD" w:rsidRPr="00C43E6D" w:rsidRDefault="002E2FAD" w:rsidP="00977953">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122.6</w:t>
            </w:r>
          </w:p>
        </w:tc>
        <w:tc>
          <w:tcPr>
            <w:tcW w:w="720" w:type="dxa"/>
            <w:shd w:val="clear" w:color="auto" w:fill="auto"/>
            <w:noWrap/>
            <w:vAlign w:val="center"/>
          </w:tcPr>
          <w:p w14:paraId="31374020" w14:textId="6160DFC0" w:rsidR="002E2FAD" w:rsidRPr="00C43E6D" w:rsidRDefault="002E2FAD" w:rsidP="00977953">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188.4</w:t>
            </w:r>
          </w:p>
        </w:tc>
        <w:tc>
          <w:tcPr>
            <w:tcW w:w="720" w:type="dxa"/>
            <w:shd w:val="clear" w:color="auto" w:fill="auto"/>
            <w:noWrap/>
            <w:vAlign w:val="center"/>
          </w:tcPr>
          <w:p w14:paraId="2FA3EB9C" w14:textId="5C74C581" w:rsidR="002E2FAD" w:rsidRPr="00C43E6D" w:rsidRDefault="002E2FAD" w:rsidP="00977953">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291.0</w:t>
            </w:r>
          </w:p>
        </w:tc>
        <w:tc>
          <w:tcPr>
            <w:tcW w:w="810" w:type="dxa"/>
            <w:shd w:val="clear" w:color="auto" w:fill="auto"/>
            <w:noWrap/>
            <w:vAlign w:val="center"/>
          </w:tcPr>
          <w:p w14:paraId="3E928D4C" w14:textId="06C9D044" w:rsidR="002E2FAD" w:rsidRPr="00C43E6D" w:rsidRDefault="002E2FAD" w:rsidP="00977953">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77.4</w:t>
            </w:r>
          </w:p>
        </w:tc>
        <w:tc>
          <w:tcPr>
            <w:tcW w:w="1597" w:type="dxa"/>
            <w:shd w:val="clear" w:color="auto" w:fill="auto"/>
            <w:noWrap/>
            <w:vAlign w:val="center"/>
          </w:tcPr>
          <w:p w14:paraId="17437D58" w14:textId="0747717C" w:rsidR="002E2FAD" w:rsidRPr="00C43E6D" w:rsidRDefault="002E2FAD" w:rsidP="002E2FAD">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158.2</w:t>
            </w:r>
          </w:p>
        </w:tc>
      </w:tr>
    </w:tbl>
    <w:p w14:paraId="15A67901" w14:textId="6104435E" w:rsidR="0015361E" w:rsidRPr="00C43E6D" w:rsidRDefault="0015361E" w:rsidP="00B95A34">
      <w:pPr>
        <w:pStyle w:val="cb"/>
        <w:spacing w:before="60"/>
        <w:rPr>
          <w:b w:val="0"/>
          <w:bCs w:val="0"/>
          <w:sz w:val="20"/>
          <w:szCs w:val="20"/>
        </w:rPr>
      </w:pPr>
      <w:r w:rsidRPr="00C43E6D">
        <w:rPr>
          <w:sz w:val="20"/>
          <w:szCs w:val="20"/>
        </w:rPr>
        <w:t>Sursa:</w:t>
      </w:r>
      <w:r w:rsidRPr="00C43E6D">
        <w:rPr>
          <w:b w:val="0"/>
          <w:bCs w:val="0"/>
          <w:sz w:val="20"/>
          <w:szCs w:val="20"/>
        </w:rPr>
        <w:t xml:space="preserve"> ÎS „Moldelectrica”</w:t>
      </w:r>
    </w:p>
    <w:p w14:paraId="7756CA58" w14:textId="0733B05B" w:rsidR="004372B9" w:rsidRPr="00C43E6D" w:rsidRDefault="004372B9" w:rsidP="002D093B">
      <w:pPr>
        <w:pStyle w:val="cb"/>
        <w:rPr>
          <w:noProof/>
        </w:rPr>
      </w:pPr>
    </w:p>
    <w:p w14:paraId="630427CD" w14:textId="57F7589C" w:rsidR="00F931E6" w:rsidRPr="00C43E6D" w:rsidRDefault="00F931E6" w:rsidP="002D093B">
      <w:pPr>
        <w:pStyle w:val="cb"/>
        <w:rPr>
          <w:noProof/>
        </w:rPr>
      </w:pPr>
      <w:r w:rsidRPr="00C43E6D">
        <w:rPr>
          <w:noProof/>
        </w:rPr>
        <w:drawing>
          <wp:inline distT="0" distB="0" distL="0" distR="0" wp14:anchorId="470F38BB" wp14:editId="2DCBA108">
            <wp:extent cx="5388041" cy="3663616"/>
            <wp:effectExtent l="0" t="0" r="3175" b="13335"/>
            <wp:docPr id="7" name="Chart 7">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8017F85" w14:textId="349D0774" w:rsidR="002D093B" w:rsidRPr="00C43E6D" w:rsidRDefault="002D093B" w:rsidP="00AD50FC">
      <w:pPr>
        <w:spacing w:after="0"/>
        <w:jc w:val="center"/>
        <w:rPr>
          <w:rFonts w:ascii="Times New Roman" w:hAnsi="Times New Roman" w:cs="Times New Roman"/>
        </w:rPr>
      </w:pPr>
      <w:r w:rsidRPr="00C43E6D">
        <w:rPr>
          <w:rFonts w:ascii="Times New Roman" w:hAnsi="Times New Roman" w:cs="Times New Roman"/>
          <w:b/>
          <w:bCs/>
        </w:rPr>
        <w:t>Figura 8.</w:t>
      </w:r>
      <w:r w:rsidRPr="00C43E6D">
        <w:rPr>
          <w:rFonts w:ascii="Times New Roman" w:hAnsi="Times New Roman" w:cs="Times New Roman"/>
        </w:rPr>
        <w:t xml:space="preserve"> Energie electrică consumată în perioada octombrie-aprilie 2021-202</w:t>
      </w:r>
      <w:r w:rsidR="00F931E6" w:rsidRPr="00C43E6D">
        <w:rPr>
          <w:rFonts w:ascii="Times New Roman" w:hAnsi="Times New Roman" w:cs="Times New Roman"/>
        </w:rPr>
        <w:t>5</w:t>
      </w:r>
      <w:r w:rsidRPr="00C43E6D">
        <w:rPr>
          <w:rFonts w:ascii="Times New Roman" w:hAnsi="Times New Roman" w:cs="Times New Roman"/>
        </w:rPr>
        <w:t xml:space="preserve"> </w:t>
      </w:r>
    </w:p>
    <w:p w14:paraId="45741049" w14:textId="71E0FC79" w:rsidR="00C958F1" w:rsidRDefault="002D093B" w:rsidP="00C958F1">
      <w:pPr>
        <w:spacing w:after="0"/>
        <w:ind w:firstLine="567"/>
        <w:jc w:val="center"/>
        <w:rPr>
          <w:rFonts w:ascii="Times New Roman" w:hAnsi="Times New Roman" w:cs="Times New Roman"/>
          <w:i/>
          <w:iCs/>
          <w:sz w:val="20"/>
          <w:szCs w:val="20"/>
        </w:rPr>
      </w:pPr>
      <w:r w:rsidRPr="00C43E6D">
        <w:rPr>
          <w:rFonts w:ascii="Times New Roman" w:hAnsi="Times New Roman" w:cs="Times New Roman"/>
        </w:rPr>
        <w:t>din surse locale și alte surse, mil. kWh</w:t>
      </w:r>
      <w:r w:rsidR="00C958F1" w:rsidRPr="00C958F1">
        <w:rPr>
          <w:rFonts w:ascii="Times New Roman" w:hAnsi="Times New Roman" w:cs="Times New Roman"/>
          <w:i/>
          <w:iCs/>
          <w:sz w:val="20"/>
          <w:szCs w:val="20"/>
        </w:rPr>
        <w:t xml:space="preserve"> </w:t>
      </w:r>
    </w:p>
    <w:p w14:paraId="02482959" w14:textId="5F42AA7C" w:rsidR="00C958F1" w:rsidRPr="009C59EC" w:rsidRDefault="007E6BC4" w:rsidP="00C958F1">
      <w:pPr>
        <w:spacing w:after="240"/>
        <w:ind w:firstLine="567"/>
        <w:jc w:val="center"/>
        <w:rPr>
          <w:rFonts w:ascii="Times New Roman" w:hAnsi="Times New Roman" w:cs="Times New Roman"/>
          <w:i/>
          <w:iCs/>
          <w:sz w:val="20"/>
          <w:szCs w:val="20"/>
        </w:rPr>
      </w:pPr>
      <w:r w:rsidRPr="00C43E6D">
        <w:rPr>
          <w:noProof/>
        </w:rPr>
        <w:drawing>
          <wp:anchor distT="0" distB="0" distL="114300" distR="114300" simplePos="0" relativeHeight="251659264" behindDoc="0" locked="0" layoutInCell="1" allowOverlap="1" wp14:anchorId="35A2D460" wp14:editId="1BCB4709">
            <wp:simplePos x="0" y="0"/>
            <wp:positionH relativeFrom="margin">
              <wp:posOffset>737235</wp:posOffset>
            </wp:positionH>
            <wp:positionV relativeFrom="page">
              <wp:posOffset>5064760</wp:posOffset>
            </wp:positionV>
            <wp:extent cx="5074285" cy="4427220"/>
            <wp:effectExtent l="0" t="0" r="0" b="0"/>
            <wp:wrapTopAndBottom/>
            <wp:docPr id="2051087718"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74285" cy="4427220"/>
                    </a:xfrm>
                    <a:prstGeom prst="rect">
                      <a:avLst/>
                    </a:prstGeom>
                    <a:noFill/>
                  </pic:spPr>
                </pic:pic>
              </a:graphicData>
            </a:graphic>
            <wp14:sizeRelH relativeFrom="margin">
              <wp14:pctWidth>0</wp14:pctWidth>
            </wp14:sizeRelH>
            <wp14:sizeRelV relativeFrom="margin">
              <wp14:pctHeight>0</wp14:pctHeight>
            </wp14:sizeRelV>
          </wp:anchor>
        </w:drawing>
      </w:r>
      <w:r w:rsidR="00C958F1" w:rsidRPr="00C43E6D">
        <w:rPr>
          <w:rFonts w:ascii="Times New Roman" w:hAnsi="Times New Roman" w:cs="Times New Roman"/>
          <w:i/>
          <w:iCs/>
          <w:sz w:val="20"/>
          <w:szCs w:val="20"/>
        </w:rPr>
        <w:t>Sursa: ÎS „Moldelectrica”</w:t>
      </w:r>
    </w:p>
    <w:p w14:paraId="173E2811" w14:textId="115C9D82" w:rsidR="008E02C5" w:rsidRPr="00C43E6D" w:rsidRDefault="00B71120" w:rsidP="008E02C5">
      <w:pPr>
        <w:spacing w:after="0"/>
        <w:ind w:left="1886" w:hanging="1526"/>
        <w:jc w:val="center"/>
        <w:rPr>
          <w:rFonts w:ascii="Times New Roman" w:hAnsi="Times New Roman" w:cs="Times New Roman"/>
        </w:rPr>
      </w:pPr>
      <w:r w:rsidRPr="00C43E6D">
        <w:rPr>
          <w:rFonts w:ascii="Times New Roman" w:hAnsi="Times New Roman" w:cs="Times New Roman"/>
          <w:b/>
          <w:bCs/>
        </w:rPr>
        <w:t xml:space="preserve">Figura </w:t>
      </w:r>
      <w:r w:rsidR="002D093B" w:rsidRPr="00C43E6D">
        <w:rPr>
          <w:rFonts w:ascii="Times New Roman" w:hAnsi="Times New Roman" w:cs="Times New Roman"/>
          <w:b/>
          <w:bCs/>
        </w:rPr>
        <w:t>9</w:t>
      </w:r>
      <w:r w:rsidRPr="00C43E6D">
        <w:rPr>
          <w:rFonts w:ascii="Times New Roman" w:hAnsi="Times New Roman" w:cs="Times New Roman"/>
          <w:b/>
          <w:bCs/>
        </w:rPr>
        <w:t>.</w:t>
      </w:r>
      <w:r w:rsidRPr="00C43E6D">
        <w:rPr>
          <w:rFonts w:ascii="Times New Roman" w:hAnsi="Times New Roman" w:cs="Times New Roman"/>
        </w:rPr>
        <w:t xml:space="preserve"> Energie electrică produsă în perioada octombrie-aprilie 2021-202</w:t>
      </w:r>
      <w:r w:rsidR="00F931E6" w:rsidRPr="00C43E6D">
        <w:rPr>
          <w:rFonts w:ascii="Times New Roman" w:hAnsi="Times New Roman" w:cs="Times New Roman"/>
        </w:rPr>
        <w:t>5</w:t>
      </w:r>
      <w:r w:rsidR="002D093B" w:rsidRPr="00C43E6D">
        <w:rPr>
          <w:rFonts w:ascii="Times New Roman" w:hAnsi="Times New Roman" w:cs="Times New Roman"/>
        </w:rPr>
        <w:t xml:space="preserve"> </w:t>
      </w:r>
    </w:p>
    <w:p w14:paraId="59688E83" w14:textId="11CFCF38" w:rsidR="00B71120" w:rsidRPr="00C43E6D" w:rsidRDefault="00B71120" w:rsidP="008E02C5">
      <w:pPr>
        <w:spacing w:after="0"/>
        <w:ind w:left="3261" w:hanging="1526"/>
        <w:jc w:val="center"/>
        <w:rPr>
          <w:rFonts w:ascii="Times New Roman" w:hAnsi="Times New Roman" w:cs="Times New Roman"/>
        </w:rPr>
      </w:pPr>
      <w:r w:rsidRPr="00C43E6D">
        <w:rPr>
          <w:rFonts w:ascii="Times New Roman" w:hAnsi="Times New Roman" w:cs="Times New Roman"/>
        </w:rPr>
        <w:t>din surse locale</w:t>
      </w:r>
      <w:r w:rsidR="008E02C5" w:rsidRPr="00C43E6D">
        <w:rPr>
          <w:rFonts w:ascii="Times New Roman" w:hAnsi="Times New Roman" w:cs="Times New Roman"/>
        </w:rPr>
        <w:t xml:space="preserve"> (fără mecanismul contorizării/facturării nete)</w:t>
      </w:r>
      <w:r w:rsidRPr="00C43E6D">
        <w:rPr>
          <w:rFonts w:ascii="Times New Roman" w:hAnsi="Times New Roman" w:cs="Times New Roman"/>
        </w:rPr>
        <w:t>, mil. kWh</w:t>
      </w:r>
    </w:p>
    <w:p w14:paraId="41A5AFAC" w14:textId="4BFCEC10" w:rsidR="009956D8" w:rsidRPr="00C43E6D" w:rsidRDefault="00B71120" w:rsidP="00B95A34">
      <w:pPr>
        <w:ind w:firstLine="567"/>
        <w:jc w:val="center"/>
        <w:rPr>
          <w:rFonts w:ascii="Times New Roman" w:hAnsi="Times New Roman" w:cs="Times New Roman"/>
          <w:i/>
          <w:iCs/>
          <w:sz w:val="20"/>
          <w:szCs w:val="20"/>
        </w:rPr>
      </w:pPr>
      <w:r w:rsidRPr="00C43E6D">
        <w:rPr>
          <w:rFonts w:ascii="Times New Roman" w:hAnsi="Times New Roman" w:cs="Times New Roman"/>
          <w:i/>
          <w:iCs/>
          <w:sz w:val="20"/>
          <w:szCs w:val="20"/>
        </w:rPr>
        <w:t>Sursa: ÎS „Moldelectrica”</w:t>
      </w:r>
    </w:p>
    <w:p w14:paraId="27B3BE66" w14:textId="4A85CB49" w:rsidR="004E1A83" w:rsidRPr="00C43E6D" w:rsidRDefault="004E1A83" w:rsidP="009140E8">
      <w:pPr>
        <w:spacing w:after="60" w:line="276" w:lineRule="auto"/>
        <w:ind w:firstLine="567"/>
        <w:jc w:val="both"/>
        <w:rPr>
          <w:rFonts w:ascii="Times New Roman" w:hAnsi="Times New Roman" w:cs="Times New Roman"/>
          <w:sz w:val="24"/>
          <w:szCs w:val="24"/>
        </w:rPr>
      </w:pPr>
      <w:r w:rsidRPr="00C43E6D">
        <w:rPr>
          <w:rFonts w:ascii="Times New Roman" w:hAnsi="Times New Roman" w:cs="Times New Roman"/>
          <w:b/>
          <w:bCs/>
          <w:sz w:val="24"/>
          <w:szCs w:val="24"/>
        </w:rPr>
        <w:lastRenderedPageBreak/>
        <w:t>3</w:t>
      </w:r>
      <w:r w:rsidR="00A94902">
        <w:rPr>
          <w:rFonts w:ascii="Times New Roman" w:hAnsi="Times New Roman" w:cs="Times New Roman"/>
          <w:b/>
          <w:bCs/>
          <w:sz w:val="24"/>
          <w:szCs w:val="24"/>
        </w:rPr>
        <w:t>1</w:t>
      </w:r>
      <w:r w:rsidRPr="00C43E6D">
        <w:rPr>
          <w:rFonts w:ascii="Times New Roman" w:hAnsi="Times New Roman" w:cs="Times New Roman"/>
          <w:b/>
          <w:bCs/>
          <w:sz w:val="24"/>
          <w:szCs w:val="24"/>
        </w:rPr>
        <w:t>.</w:t>
      </w:r>
      <w:r w:rsidRPr="00C43E6D">
        <w:rPr>
          <w:rFonts w:ascii="Times New Roman" w:hAnsi="Times New Roman" w:cs="Times New Roman"/>
          <w:sz w:val="24"/>
          <w:szCs w:val="24"/>
        </w:rPr>
        <w:t xml:space="preserve"> În luna aprilie 2025, 36% din consumul total de energie electrică al Republicii Moldova a fost acoperit din surse regenerabile local</w:t>
      </w:r>
      <w:r w:rsidR="001A5ABE">
        <w:rPr>
          <w:rFonts w:ascii="Times New Roman" w:hAnsi="Times New Roman" w:cs="Times New Roman"/>
          <w:sz w:val="24"/>
          <w:szCs w:val="24"/>
        </w:rPr>
        <w:t>e</w:t>
      </w:r>
      <w:r w:rsidRPr="00C43E6D">
        <w:rPr>
          <w:rFonts w:ascii="Times New Roman" w:hAnsi="Times New Roman" w:cs="Times New Roman"/>
          <w:sz w:val="24"/>
          <w:szCs w:val="24"/>
        </w:rPr>
        <w:t xml:space="preserve">. Această performanță reprezintă un record absolut și o creștere semnificativă față de luna martie 2025, când ponderea energiei </w:t>
      </w:r>
      <w:r w:rsidR="001A5ABE" w:rsidRPr="001A5ABE">
        <w:rPr>
          <w:rFonts w:ascii="Times New Roman" w:hAnsi="Times New Roman" w:cs="Times New Roman"/>
          <w:sz w:val="24"/>
          <w:szCs w:val="24"/>
        </w:rPr>
        <w:t>produse din surse regenerabile</w:t>
      </w:r>
      <w:r w:rsidRPr="00C43E6D">
        <w:rPr>
          <w:rFonts w:ascii="Times New Roman" w:hAnsi="Times New Roman" w:cs="Times New Roman"/>
          <w:sz w:val="24"/>
          <w:szCs w:val="24"/>
        </w:rPr>
        <w:t xml:space="preserve"> locale </w:t>
      </w:r>
      <w:r w:rsidR="001A5ABE">
        <w:rPr>
          <w:rFonts w:ascii="Times New Roman" w:hAnsi="Times New Roman" w:cs="Times New Roman"/>
          <w:sz w:val="24"/>
          <w:szCs w:val="24"/>
        </w:rPr>
        <w:t>a fost</w:t>
      </w:r>
      <w:r w:rsidRPr="00C43E6D">
        <w:rPr>
          <w:rFonts w:ascii="Times New Roman" w:hAnsi="Times New Roman" w:cs="Times New Roman"/>
          <w:sz w:val="24"/>
          <w:szCs w:val="24"/>
        </w:rPr>
        <w:t xml:space="preserve"> de aproximativ 23%.</w:t>
      </w:r>
    </w:p>
    <w:p w14:paraId="359C168A" w14:textId="0DADDC54" w:rsidR="004E1A83" w:rsidRPr="00C43E6D" w:rsidRDefault="004E1A83" w:rsidP="009140E8">
      <w:pPr>
        <w:spacing w:after="60" w:line="276" w:lineRule="auto"/>
        <w:jc w:val="both"/>
        <w:rPr>
          <w:rFonts w:ascii="Times New Roman" w:hAnsi="Times New Roman" w:cs="Times New Roman"/>
          <w:sz w:val="24"/>
          <w:szCs w:val="24"/>
        </w:rPr>
      </w:pPr>
      <w:r w:rsidRPr="00C43E6D">
        <w:rPr>
          <w:rFonts w:ascii="Times New Roman" w:hAnsi="Times New Roman" w:cs="Times New Roman"/>
          <w:sz w:val="24"/>
          <w:szCs w:val="24"/>
        </w:rPr>
        <w:t xml:space="preserve">Conform datelor disponibile, capacitatea totală instalată a centralelor electrice din surse regenerabile a depășit </w:t>
      </w:r>
      <w:r w:rsidR="001A5ABE">
        <w:rPr>
          <w:rFonts w:ascii="Times New Roman" w:hAnsi="Times New Roman" w:cs="Times New Roman"/>
          <w:sz w:val="24"/>
          <w:szCs w:val="24"/>
        </w:rPr>
        <w:t xml:space="preserve">puterea instalată </w:t>
      </w:r>
      <w:r w:rsidRPr="00C43E6D">
        <w:rPr>
          <w:rFonts w:ascii="Times New Roman" w:hAnsi="Times New Roman" w:cs="Times New Roman"/>
          <w:sz w:val="24"/>
          <w:szCs w:val="24"/>
        </w:rPr>
        <w:t>de 665 MW</w:t>
      </w:r>
      <w:r w:rsidR="001A5ABE">
        <w:rPr>
          <w:rFonts w:ascii="Times New Roman" w:hAnsi="Times New Roman" w:cs="Times New Roman"/>
          <w:sz w:val="24"/>
          <w:szCs w:val="24"/>
        </w:rPr>
        <w:t xml:space="preserve"> </w:t>
      </w:r>
      <w:r w:rsidR="001A5ABE" w:rsidRPr="00C43E6D">
        <w:rPr>
          <w:rFonts w:ascii="Times New Roman" w:hAnsi="Times New Roman" w:cs="Times New Roman"/>
          <w:sz w:val="24"/>
          <w:szCs w:val="24"/>
        </w:rPr>
        <w:t xml:space="preserve">în luna aprilie </w:t>
      </w:r>
      <w:r w:rsidR="001A5ABE">
        <w:rPr>
          <w:rFonts w:ascii="Times New Roman" w:hAnsi="Times New Roman" w:cs="Times New Roman"/>
          <w:sz w:val="24"/>
          <w:szCs w:val="24"/>
        </w:rPr>
        <w:t>curent</w:t>
      </w:r>
      <w:r w:rsidRPr="00C43E6D">
        <w:rPr>
          <w:rFonts w:ascii="Times New Roman" w:hAnsi="Times New Roman" w:cs="Times New Roman"/>
          <w:sz w:val="24"/>
          <w:szCs w:val="24"/>
        </w:rPr>
        <w:t>, iar în ultimii patru ani, capacitățile centralelor pe bază de energie regenerabilă au crescut de 8 ori. Această evoluție pozitivă subliniază potențialul în creștere al surselor de energie regenerabilă și demonstrează importanța consolidării investițiilor strategice în acest domeniu.</w:t>
      </w:r>
    </w:p>
    <w:p w14:paraId="3F6F30E6" w14:textId="61EA4C9E" w:rsidR="004E1A83" w:rsidRPr="00C43E6D" w:rsidRDefault="004E1A83" w:rsidP="009140E8">
      <w:pPr>
        <w:spacing w:after="60" w:line="276" w:lineRule="auto"/>
        <w:jc w:val="both"/>
        <w:rPr>
          <w:rFonts w:ascii="Times New Roman" w:hAnsi="Times New Roman" w:cs="Times New Roman"/>
          <w:sz w:val="24"/>
          <w:szCs w:val="24"/>
        </w:rPr>
      </w:pPr>
      <w:r w:rsidRPr="00C43E6D">
        <w:rPr>
          <w:rFonts w:ascii="Times New Roman" w:hAnsi="Times New Roman" w:cs="Times New Roman"/>
          <w:sz w:val="24"/>
          <w:szCs w:val="24"/>
        </w:rPr>
        <w:t>În același timp, aceste rezultate reflectă contribuția semnificativă a prosumatorilor - gospodării casnice și companii care au instalat panouri fotovoltaice în cadrul mecanismelor de contorizare și facturare netă, dar și producătorii eligibili care beneficiază de sisteme de sprijin precum tarifele fixe.</w:t>
      </w:r>
    </w:p>
    <w:p w14:paraId="70CFE150" w14:textId="6A56AA9D" w:rsidR="00D948EC" w:rsidRPr="00C43E6D" w:rsidRDefault="00C659CE" w:rsidP="009C66C3">
      <w:pPr>
        <w:pStyle w:val="cb"/>
        <w:rPr>
          <w:rStyle w:val="Strong"/>
          <w:b/>
          <w:bCs/>
          <w:color w:val="000000" w:themeColor="text1"/>
          <w:shd w:val="clear" w:color="auto" w:fill="FFFFFF"/>
        </w:rPr>
      </w:pPr>
      <w:r w:rsidRPr="00C43E6D">
        <w:rPr>
          <w:noProof/>
        </w:rPr>
        <w:drawing>
          <wp:inline distT="0" distB="0" distL="0" distR="0" wp14:anchorId="19DC2EA4" wp14:editId="29B169EA">
            <wp:extent cx="5242560" cy="2269475"/>
            <wp:effectExtent l="0" t="0" r="15240" b="17145"/>
            <wp:docPr id="2120477066" name="Диаграмма 1">
              <a:extLst xmlns:a="http://schemas.openxmlformats.org/drawingml/2006/main">
                <a:ext uri="{FF2B5EF4-FFF2-40B4-BE49-F238E27FC236}">
                  <a16:creationId xmlns:a16="http://schemas.microsoft.com/office/drawing/2014/main" id="{2162BB33-AFC9-4F62-B8DC-BAFEF5E12F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D4C4EF3" w14:textId="27DA8B5A" w:rsidR="00D948EC" w:rsidRPr="00C43E6D" w:rsidRDefault="00C659CE" w:rsidP="009C66C3">
      <w:pPr>
        <w:pStyle w:val="cb"/>
        <w:spacing w:after="120"/>
        <w:rPr>
          <w:rStyle w:val="Strong"/>
          <w:b/>
          <w:bCs/>
          <w:color w:val="000000" w:themeColor="text1"/>
          <w:shd w:val="clear" w:color="auto" w:fill="FFFFFF"/>
        </w:rPr>
      </w:pPr>
      <w:r w:rsidRPr="00C43E6D">
        <w:rPr>
          <w:noProof/>
        </w:rPr>
        <w:drawing>
          <wp:inline distT="0" distB="0" distL="0" distR="0" wp14:anchorId="3B5E8ACF" wp14:editId="48E4DF1C">
            <wp:extent cx="5227955" cy="2219899"/>
            <wp:effectExtent l="0" t="0" r="10795" b="9525"/>
            <wp:docPr id="2133895251" name="Диаграмма 1">
              <a:extLst xmlns:a="http://schemas.openxmlformats.org/drawingml/2006/main">
                <a:ext uri="{FF2B5EF4-FFF2-40B4-BE49-F238E27FC236}">
                  <a16:creationId xmlns:a16="http://schemas.microsoft.com/office/drawing/2014/main" id="{CEB6BFAE-4638-40FB-92D9-F0281AB42C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BDB009C" w14:textId="6441BCB7" w:rsidR="009462F0" w:rsidRPr="00C43E6D" w:rsidRDefault="009462F0" w:rsidP="009462F0">
      <w:pPr>
        <w:spacing w:before="120" w:after="0"/>
        <w:ind w:left="1886" w:hanging="1526"/>
        <w:jc w:val="center"/>
        <w:rPr>
          <w:rFonts w:ascii="Times New Roman" w:hAnsi="Times New Roman" w:cs="Times New Roman"/>
        </w:rPr>
      </w:pPr>
      <w:r w:rsidRPr="00C43E6D">
        <w:rPr>
          <w:rFonts w:ascii="Times New Roman" w:hAnsi="Times New Roman" w:cs="Times New Roman"/>
          <w:b/>
          <w:bCs/>
        </w:rPr>
        <w:t xml:space="preserve">Figura </w:t>
      </w:r>
      <w:r w:rsidR="00D3554A" w:rsidRPr="00C43E6D">
        <w:rPr>
          <w:rFonts w:ascii="Times New Roman" w:hAnsi="Times New Roman" w:cs="Times New Roman"/>
          <w:b/>
          <w:bCs/>
        </w:rPr>
        <w:t>10</w:t>
      </w:r>
      <w:r w:rsidRPr="00C43E6D">
        <w:rPr>
          <w:rFonts w:ascii="Times New Roman" w:hAnsi="Times New Roman" w:cs="Times New Roman"/>
          <w:b/>
          <w:bCs/>
        </w:rPr>
        <w:t>.</w:t>
      </w:r>
      <w:r w:rsidRPr="00C43E6D">
        <w:rPr>
          <w:rFonts w:ascii="Times New Roman" w:hAnsi="Times New Roman" w:cs="Times New Roman"/>
        </w:rPr>
        <w:t xml:space="preserve"> Evoluția capacităților E-SER instalate în perioada 2018 - aprilie 2025, MW</w:t>
      </w:r>
    </w:p>
    <w:p w14:paraId="5B946BE2" w14:textId="2A593BF0" w:rsidR="009462F0" w:rsidRPr="00C43E6D" w:rsidRDefault="009462F0" w:rsidP="00C958F1">
      <w:pPr>
        <w:spacing w:after="120" w:line="276" w:lineRule="auto"/>
        <w:ind w:left="1882" w:hanging="1525"/>
        <w:jc w:val="center"/>
        <w:rPr>
          <w:rFonts w:ascii="Times New Roman" w:hAnsi="Times New Roman" w:cs="Times New Roman"/>
          <w:i/>
          <w:iCs/>
          <w:sz w:val="20"/>
          <w:szCs w:val="20"/>
        </w:rPr>
      </w:pPr>
      <w:r w:rsidRPr="00C43E6D">
        <w:rPr>
          <w:rFonts w:ascii="Times New Roman" w:hAnsi="Times New Roman" w:cs="Times New Roman"/>
          <w:i/>
          <w:iCs/>
          <w:sz w:val="20"/>
          <w:szCs w:val="20"/>
        </w:rPr>
        <w:t xml:space="preserve">Sursa: </w:t>
      </w:r>
      <w:r w:rsidR="006A408A">
        <w:rPr>
          <w:rFonts w:ascii="Times New Roman" w:hAnsi="Times New Roman" w:cs="Times New Roman"/>
          <w:i/>
          <w:iCs/>
          <w:sz w:val="20"/>
          <w:szCs w:val="20"/>
        </w:rPr>
        <w:t>Centrul Național pentru Energie Durabilă (</w:t>
      </w:r>
      <w:r w:rsidRPr="00C43E6D">
        <w:rPr>
          <w:rFonts w:ascii="Times New Roman" w:hAnsi="Times New Roman" w:cs="Times New Roman"/>
          <w:i/>
          <w:iCs/>
          <w:sz w:val="20"/>
          <w:szCs w:val="20"/>
        </w:rPr>
        <w:t>CNED</w:t>
      </w:r>
      <w:r w:rsidR="006A408A">
        <w:rPr>
          <w:rFonts w:ascii="Times New Roman" w:hAnsi="Times New Roman" w:cs="Times New Roman"/>
          <w:i/>
          <w:iCs/>
          <w:sz w:val="20"/>
          <w:szCs w:val="20"/>
        </w:rPr>
        <w:t>)</w:t>
      </w:r>
    </w:p>
    <w:p w14:paraId="452BBD55" w14:textId="52B33252" w:rsidR="009C66C3" w:rsidRPr="009C59EC" w:rsidRDefault="004E1A83" w:rsidP="009140E8">
      <w:pPr>
        <w:spacing w:after="60" w:line="276" w:lineRule="auto"/>
        <w:ind w:firstLine="567"/>
        <w:jc w:val="both"/>
        <w:rPr>
          <w:rFonts w:ascii="Times New Roman" w:hAnsi="Times New Roman" w:cs="Times New Roman"/>
          <w:sz w:val="24"/>
          <w:szCs w:val="24"/>
        </w:rPr>
      </w:pPr>
      <w:r w:rsidRPr="00C43E6D">
        <w:rPr>
          <w:rFonts w:ascii="Times New Roman" w:hAnsi="Times New Roman" w:cs="Times New Roman"/>
          <w:b/>
          <w:bCs/>
          <w:sz w:val="24"/>
          <w:szCs w:val="24"/>
        </w:rPr>
        <w:t>3</w:t>
      </w:r>
      <w:r w:rsidR="00A94902">
        <w:rPr>
          <w:rFonts w:ascii="Times New Roman" w:hAnsi="Times New Roman" w:cs="Times New Roman"/>
          <w:b/>
          <w:bCs/>
          <w:sz w:val="24"/>
          <w:szCs w:val="24"/>
        </w:rPr>
        <w:t>2</w:t>
      </w:r>
      <w:r w:rsidR="009462F0" w:rsidRPr="00C43E6D">
        <w:rPr>
          <w:rFonts w:ascii="Times New Roman" w:hAnsi="Times New Roman" w:cs="Times New Roman"/>
          <w:b/>
          <w:bCs/>
          <w:sz w:val="24"/>
          <w:szCs w:val="24"/>
        </w:rPr>
        <w:t>.</w:t>
      </w:r>
      <w:r w:rsidR="009462F0" w:rsidRPr="00C43E6D">
        <w:rPr>
          <w:rFonts w:ascii="Times New Roman" w:hAnsi="Times New Roman" w:cs="Times New Roman"/>
          <w:sz w:val="24"/>
          <w:szCs w:val="24"/>
        </w:rPr>
        <w:t xml:space="preserve"> </w:t>
      </w:r>
      <w:r w:rsidR="009C66C3" w:rsidRPr="009C59EC">
        <w:rPr>
          <w:rFonts w:ascii="Times New Roman" w:hAnsi="Times New Roman" w:cs="Times New Roman"/>
          <w:sz w:val="24"/>
          <w:szCs w:val="24"/>
        </w:rPr>
        <w:t xml:space="preserve">Pentru a stimula acest proces, </w:t>
      </w:r>
      <w:r w:rsidR="009462F0" w:rsidRPr="009C59EC">
        <w:rPr>
          <w:rFonts w:ascii="Times New Roman" w:hAnsi="Times New Roman" w:cs="Times New Roman"/>
          <w:sz w:val="24"/>
          <w:szCs w:val="24"/>
        </w:rPr>
        <w:t>Guvernul Republicii Moldova</w:t>
      </w:r>
      <w:r w:rsidR="009C66C3" w:rsidRPr="009C59EC">
        <w:rPr>
          <w:rFonts w:ascii="Times New Roman" w:hAnsi="Times New Roman" w:cs="Times New Roman"/>
          <w:sz w:val="24"/>
          <w:szCs w:val="24"/>
        </w:rPr>
        <w:t xml:space="preserve"> promovează activ dezvoltarea de noi capacități de producție </w:t>
      </w:r>
      <w:r w:rsidR="001A5ABE" w:rsidRPr="001A5ABE">
        <w:rPr>
          <w:rFonts w:ascii="Times New Roman" w:hAnsi="Times New Roman" w:cs="Times New Roman"/>
          <w:sz w:val="24"/>
          <w:szCs w:val="24"/>
        </w:rPr>
        <w:t xml:space="preserve">a energiei electrice din surse </w:t>
      </w:r>
      <w:r w:rsidR="009C66C3" w:rsidRPr="009C59EC">
        <w:rPr>
          <w:rFonts w:ascii="Times New Roman" w:hAnsi="Times New Roman" w:cs="Times New Roman"/>
          <w:sz w:val="24"/>
          <w:szCs w:val="24"/>
        </w:rPr>
        <w:t>regenerabil</w:t>
      </w:r>
      <w:r w:rsidR="001A5ABE">
        <w:rPr>
          <w:rFonts w:ascii="Times New Roman" w:hAnsi="Times New Roman" w:cs="Times New Roman"/>
          <w:sz w:val="24"/>
          <w:szCs w:val="24"/>
        </w:rPr>
        <w:t>e</w:t>
      </w:r>
      <w:r w:rsidR="009C66C3" w:rsidRPr="009C59EC">
        <w:rPr>
          <w:rFonts w:ascii="Times New Roman" w:hAnsi="Times New Roman" w:cs="Times New Roman"/>
          <w:sz w:val="24"/>
          <w:szCs w:val="24"/>
        </w:rPr>
        <w:t xml:space="preserve">. În anul 2024 au fost lansate licitații pentru construcția de parcuri fotovoltaice și eoliene cu o capacitate totală de 165 MW, ce urmează să atragă investiții de aproximativ 200 de milioane de euro. În perioada următoare vor fi analizate ofertele financiare și vor fi anunțați câștigătorii licitației, iar statutul de producător eligibil mare urmează să fie aprobat prin </w:t>
      </w:r>
      <w:r w:rsidR="00977953" w:rsidRPr="009C59EC">
        <w:rPr>
          <w:rFonts w:ascii="Times New Roman" w:hAnsi="Times New Roman" w:cs="Times New Roman"/>
          <w:sz w:val="24"/>
          <w:szCs w:val="24"/>
        </w:rPr>
        <w:t>H</w:t>
      </w:r>
      <w:r w:rsidR="009C66C3" w:rsidRPr="009C59EC">
        <w:rPr>
          <w:rFonts w:ascii="Times New Roman" w:hAnsi="Times New Roman" w:cs="Times New Roman"/>
          <w:sz w:val="24"/>
          <w:szCs w:val="24"/>
        </w:rPr>
        <w:t>otărâre de Guvern.</w:t>
      </w:r>
    </w:p>
    <w:p w14:paraId="5AB83D1D" w14:textId="7E9BCFAD" w:rsidR="009C66C3" w:rsidRPr="009C59EC" w:rsidRDefault="009C66C3" w:rsidP="009140E8">
      <w:pPr>
        <w:spacing w:after="60" w:line="276" w:lineRule="auto"/>
        <w:jc w:val="both"/>
        <w:rPr>
          <w:rFonts w:ascii="Times New Roman" w:hAnsi="Times New Roman" w:cs="Times New Roman"/>
          <w:sz w:val="24"/>
          <w:szCs w:val="24"/>
        </w:rPr>
      </w:pPr>
      <w:r w:rsidRPr="009C59EC">
        <w:rPr>
          <w:rFonts w:ascii="Times New Roman" w:hAnsi="Times New Roman" w:cs="Times New Roman"/>
          <w:sz w:val="24"/>
          <w:szCs w:val="24"/>
        </w:rPr>
        <w:t xml:space="preserve">Totodată, pentru luna octombrie 2025, este planificată </w:t>
      </w:r>
      <w:r w:rsidR="001A5ABE" w:rsidRPr="001A5ABE">
        <w:rPr>
          <w:rFonts w:ascii="Times New Roman" w:hAnsi="Times New Roman" w:cs="Times New Roman"/>
          <w:sz w:val="24"/>
          <w:szCs w:val="24"/>
        </w:rPr>
        <w:t xml:space="preserve">lansarea unei noi </w:t>
      </w:r>
      <w:r w:rsidRPr="009C59EC">
        <w:rPr>
          <w:rFonts w:ascii="Times New Roman" w:hAnsi="Times New Roman" w:cs="Times New Roman"/>
          <w:sz w:val="24"/>
          <w:szCs w:val="24"/>
        </w:rPr>
        <w:t xml:space="preserve">licitații, care va include și soluții de stocare a energiei electrice prin baterii, contribuind astfel la stabilitatea și flexibilitatea </w:t>
      </w:r>
      <w:r w:rsidR="001A5ABE">
        <w:rPr>
          <w:rFonts w:ascii="Times New Roman" w:hAnsi="Times New Roman" w:cs="Times New Roman"/>
          <w:sz w:val="24"/>
          <w:szCs w:val="24"/>
        </w:rPr>
        <w:t>sistemului</w:t>
      </w:r>
      <w:r w:rsidRPr="009C59EC">
        <w:rPr>
          <w:rFonts w:ascii="Times New Roman" w:hAnsi="Times New Roman" w:cs="Times New Roman"/>
          <w:sz w:val="24"/>
          <w:szCs w:val="24"/>
        </w:rPr>
        <w:t xml:space="preserve"> </w:t>
      </w:r>
      <w:r w:rsidR="001A5ABE">
        <w:rPr>
          <w:rFonts w:ascii="Times New Roman" w:hAnsi="Times New Roman" w:cs="Times New Roman"/>
          <w:sz w:val="24"/>
          <w:szCs w:val="24"/>
        </w:rPr>
        <w:t>electro</w:t>
      </w:r>
      <w:r w:rsidRPr="009C59EC">
        <w:rPr>
          <w:rFonts w:ascii="Times New Roman" w:hAnsi="Times New Roman" w:cs="Times New Roman"/>
          <w:sz w:val="24"/>
          <w:szCs w:val="24"/>
        </w:rPr>
        <w:t>energetic. Ofertele vor fi depuse până în martie 2026.</w:t>
      </w:r>
    </w:p>
    <w:p w14:paraId="48A9273C" w14:textId="4BD9CC9B" w:rsidR="009C59EC" w:rsidRPr="009C59EC" w:rsidRDefault="009C59EC" w:rsidP="009140E8">
      <w:pPr>
        <w:spacing w:after="60" w:line="276" w:lineRule="auto"/>
        <w:jc w:val="both"/>
        <w:rPr>
          <w:rFonts w:ascii="Times New Roman" w:hAnsi="Times New Roman" w:cs="Times New Roman"/>
          <w:sz w:val="24"/>
          <w:szCs w:val="24"/>
        </w:rPr>
      </w:pPr>
      <w:r w:rsidRPr="009C59EC">
        <w:rPr>
          <w:rFonts w:ascii="Times New Roman" w:hAnsi="Times New Roman" w:cs="Times New Roman"/>
          <w:sz w:val="24"/>
          <w:szCs w:val="24"/>
        </w:rPr>
        <w:lastRenderedPageBreak/>
        <w:t xml:space="preserve">Prin Hotărârea Consiliului de Administrație al Agenției Naționale pentru Reglementare în Energetică (ANRE) nr. 276/2025 a fost aprobată lansarea pieței serviciilor de sistem și pieței energiei electrice de echilibrare, urmare a prezentării de către operatorul sistemului de transport a energiei electrice </w:t>
      </w:r>
      <w:r w:rsidR="0035326F">
        <w:rPr>
          <w:rFonts w:ascii="Times New Roman" w:hAnsi="Times New Roman" w:cs="Times New Roman"/>
          <w:sz w:val="24"/>
          <w:szCs w:val="24"/>
        </w:rPr>
        <w:br/>
      </w:r>
      <w:r w:rsidRPr="009C59EC">
        <w:rPr>
          <w:rFonts w:ascii="Times New Roman" w:hAnsi="Times New Roman" w:cs="Times New Roman"/>
          <w:sz w:val="24"/>
          <w:szCs w:val="24"/>
        </w:rPr>
        <w:t>ÎS „Moldelectrica” a Raportului privind testarea unităților de producere care conține inclusiv necesitățile actuale ale echilibrării energiei electrice și ale controlului frecvenței sarcinii în sistemul energetic al Republicii Moldova, și celor anticipate prin considerarea majorării capacității de generare a energiei electrice din surse regenerabile, în special a celor care utilizează tehnologii cu funcționare intermitentă (precum energia solară și eoliană).</w:t>
      </w:r>
    </w:p>
    <w:p w14:paraId="1C52F84C" w14:textId="77777777" w:rsidR="009C59EC" w:rsidRPr="009C59EC" w:rsidRDefault="009C59EC" w:rsidP="009140E8">
      <w:pPr>
        <w:spacing w:after="60" w:line="276" w:lineRule="auto"/>
        <w:jc w:val="both"/>
        <w:rPr>
          <w:rFonts w:ascii="Times New Roman" w:hAnsi="Times New Roman" w:cs="Times New Roman"/>
          <w:sz w:val="24"/>
          <w:szCs w:val="24"/>
        </w:rPr>
      </w:pPr>
      <w:r w:rsidRPr="009C59EC">
        <w:rPr>
          <w:rFonts w:ascii="Times New Roman" w:hAnsi="Times New Roman" w:cs="Times New Roman"/>
          <w:sz w:val="24"/>
          <w:szCs w:val="24"/>
        </w:rPr>
        <w:t xml:space="preserve">În acest context, considerând Scrisoarea de intenție dintre Guvernul Republicii Moldova și Comisia Europeană privind implementarea unei agende de reforme, scopul fiind de a îmbunătăți reziliența și securitatea energetică prin investiții și reforme în sectorul energetic una dintre măsurile cheie constă în lansarea de către </w:t>
      </w:r>
    </w:p>
    <w:p w14:paraId="360C4ABC" w14:textId="2315DF31" w:rsidR="009C59EC" w:rsidRDefault="009C59EC" w:rsidP="009140E8">
      <w:pPr>
        <w:spacing w:after="60" w:line="276" w:lineRule="auto"/>
        <w:jc w:val="both"/>
        <w:rPr>
          <w:rFonts w:ascii="Times New Roman" w:hAnsi="Times New Roman" w:cs="Times New Roman"/>
          <w:sz w:val="24"/>
          <w:szCs w:val="24"/>
        </w:rPr>
      </w:pPr>
      <w:r w:rsidRPr="009C59EC">
        <w:rPr>
          <w:rFonts w:ascii="Times New Roman" w:hAnsi="Times New Roman" w:cs="Times New Roman"/>
          <w:sz w:val="24"/>
          <w:szCs w:val="24"/>
        </w:rPr>
        <w:t xml:space="preserve">ÎS „Moldelectrica” a unei licitații deschise și transparente pentru capacități de echilibrare până în septembrie 2025. </w:t>
      </w:r>
    </w:p>
    <w:p w14:paraId="19201A45" w14:textId="3F9E51AD" w:rsidR="001A5ABE" w:rsidRDefault="001A5ABE" w:rsidP="009140E8">
      <w:pPr>
        <w:spacing w:after="60" w:line="276" w:lineRule="auto"/>
        <w:jc w:val="both"/>
        <w:rPr>
          <w:rFonts w:ascii="Times New Roman" w:hAnsi="Times New Roman" w:cs="Times New Roman"/>
          <w:sz w:val="24"/>
          <w:szCs w:val="24"/>
        </w:rPr>
      </w:pPr>
    </w:p>
    <w:p w14:paraId="37B0242D" w14:textId="7B68B360" w:rsidR="00A94902" w:rsidRDefault="00A94902" w:rsidP="009C59EC">
      <w:pPr>
        <w:spacing w:after="120" w:line="276" w:lineRule="auto"/>
        <w:jc w:val="both"/>
        <w:rPr>
          <w:rFonts w:ascii="Times New Roman" w:hAnsi="Times New Roman" w:cs="Times New Roman"/>
          <w:sz w:val="24"/>
          <w:szCs w:val="24"/>
        </w:rPr>
      </w:pPr>
    </w:p>
    <w:p w14:paraId="7AB672B1" w14:textId="445AE437" w:rsidR="00A94902" w:rsidRDefault="00A94902" w:rsidP="009C59EC">
      <w:pPr>
        <w:spacing w:after="120" w:line="276" w:lineRule="auto"/>
        <w:jc w:val="both"/>
        <w:rPr>
          <w:rFonts w:ascii="Times New Roman" w:hAnsi="Times New Roman" w:cs="Times New Roman"/>
          <w:sz w:val="24"/>
          <w:szCs w:val="24"/>
        </w:rPr>
      </w:pPr>
    </w:p>
    <w:p w14:paraId="6DF1EBD1" w14:textId="74F0A8F5" w:rsidR="00A94902" w:rsidRDefault="00A94902" w:rsidP="009C59EC">
      <w:pPr>
        <w:spacing w:after="120" w:line="276" w:lineRule="auto"/>
        <w:jc w:val="both"/>
        <w:rPr>
          <w:rFonts w:ascii="Times New Roman" w:hAnsi="Times New Roman" w:cs="Times New Roman"/>
          <w:sz w:val="24"/>
          <w:szCs w:val="24"/>
        </w:rPr>
      </w:pPr>
    </w:p>
    <w:p w14:paraId="4F8EBEE8" w14:textId="323EA685" w:rsidR="00A94902" w:rsidRDefault="00A94902" w:rsidP="009C59EC">
      <w:pPr>
        <w:spacing w:after="120" w:line="276" w:lineRule="auto"/>
        <w:jc w:val="both"/>
        <w:rPr>
          <w:rFonts w:ascii="Times New Roman" w:hAnsi="Times New Roman" w:cs="Times New Roman"/>
          <w:sz w:val="24"/>
          <w:szCs w:val="24"/>
        </w:rPr>
      </w:pPr>
    </w:p>
    <w:p w14:paraId="288706CC" w14:textId="5F1C88B7" w:rsidR="00A94902" w:rsidRDefault="00A94902" w:rsidP="009C59EC">
      <w:pPr>
        <w:spacing w:after="120" w:line="276" w:lineRule="auto"/>
        <w:jc w:val="both"/>
        <w:rPr>
          <w:rFonts w:ascii="Times New Roman" w:hAnsi="Times New Roman" w:cs="Times New Roman"/>
          <w:sz w:val="24"/>
          <w:szCs w:val="24"/>
        </w:rPr>
      </w:pPr>
    </w:p>
    <w:p w14:paraId="64B5AEB1" w14:textId="28FBB0D1" w:rsidR="00A94902" w:rsidRDefault="00A94902" w:rsidP="009C59EC">
      <w:pPr>
        <w:spacing w:after="120" w:line="276" w:lineRule="auto"/>
        <w:jc w:val="both"/>
        <w:rPr>
          <w:rFonts w:ascii="Times New Roman" w:hAnsi="Times New Roman" w:cs="Times New Roman"/>
          <w:sz w:val="24"/>
          <w:szCs w:val="24"/>
        </w:rPr>
      </w:pPr>
    </w:p>
    <w:p w14:paraId="5ABB06B5" w14:textId="53FD4437" w:rsidR="00A94902" w:rsidRDefault="00A94902" w:rsidP="009C59EC">
      <w:pPr>
        <w:spacing w:after="120" w:line="276" w:lineRule="auto"/>
        <w:jc w:val="both"/>
        <w:rPr>
          <w:rFonts w:ascii="Times New Roman" w:hAnsi="Times New Roman" w:cs="Times New Roman"/>
          <w:sz w:val="24"/>
          <w:szCs w:val="24"/>
        </w:rPr>
      </w:pPr>
    </w:p>
    <w:p w14:paraId="362ED27D" w14:textId="3D4DDD74" w:rsidR="00A94902" w:rsidRDefault="00A94902" w:rsidP="009C59EC">
      <w:pPr>
        <w:spacing w:after="120" w:line="276" w:lineRule="auto"/>
        <w:jc w:val="both"/>
        <w:rPr>
          <w:rFonts w:ascii="Times New Roman" w:hAnsi="Times New Roman" w:cs="Times New Roman"/>
          <w:sz w:val="24"/>
          <w:szCs w:val="24"/>
        </w:rPr>
      </w:pPr>
    </w:p>
    <w:p w14:paraId="6F356F06" w14:textId="6FF128BF" w:rsidR="00A94902" w:rsidRDefault="00A94902" w:rsidP="009C59EC">
      <w:pPr>
        <w:spacing w:after="120" w:line="276" w:lineRule="auto"/>
        <w:jc w:val="both"/>
        <w:rPr>
          <w:rFonts w:ascii="Times New Roman" w:hAnsi="Times New Roman" w:cs="Times New Roman"/>
          <w:sz w:val="24"/>
          <w:szCs w:val="24"/>
        </w:rPr>
      </w:pPr>
    </w:p>
    <w:p w14:paraId="11B51310" w14:textId="6AA90109" w:rsidR="00A94902" w:rsidRDefault="00A94902" w:rsidP="009C59EC">
      <w:pPr>
        <w:spacing w:after="120" w:line="276" w:lineRule="auto"/>
        <w:jc w:val="both"/>
        <w:rPr>
          <w:rFonts w:ascii="Times New Roman" w:hAnsi="Times New Roman" w:cs="Times New Roman"/>
          <w:sz w:val="24"/>
          <w:szCs w:val="24"/>
        </w:rPr>
      </w:pPr>
    </w:p>
    <w:p w14:paraId="7099A742" w14:textId="51B28BE2" w:rsidR="00A94902" w:rsidRDefault="00A94902" w:rsidP="009C59EC">
      <w:pPr>
        <w:spacing w:after="120" w:line="276" w:lineRule="auto"/>
        <w:jc w:val="both"/>
        <w:rPr>
          <w:rFonts w:ascii="Times New Roman" w:hAnsi="Times New Roman" w:cs="Times New Roman"/>
          <w:sz w:val="24"/>
          <w:szCs w:val="24"/>
        </w:rPr>
      </w:pPr>
    </w:p>
    <w:p w14:paraId="49AD2F26" w14:textId="13F69AAD" w:rsidR="00A94902" w:rsidRDefault="00A94902" w:rsidP="009C59EC">
      <w:pPr>
        <w:spacing w:after="120" w:line="276" w:lineRule="auto"/>
        <w:jc w:val="both"/>
        <w:rPr>
          <w:rFonts w:ascii="Times New Roman" w:hAnsi="Times New Roman" w:cs="Times New Roman"/>
          <w:sz w:val="24"/>
          <w:szCs w:val="24"/>
        </w:rPr>
      </w:pPr>
    </w:p>
    <w:p w14:paraId="76989877" w14:textId="571E0138" w:rsidR="00A94902" w:rsidRDefault="00A94902" w:rsidP="009C59EC">
      <w:pPr>
        <w:spacing w:after="120" w:line="276" w:lineRule="auto"/>
        <w:jc w:val="both"/>
        <w:rPr>
          <w:rFonts w:ascii="Times New Roman" w:hAnsi="Times New Roman" w:cs="Times New Roman"/>
          <w:sz w:val="24"/>
          <w:szCs w:val="24"/>
        </w:rPr>
      </w:pPr>
    </w:p>
    <w:p w14:paraId="3521A214" w14:textId="66539FD9" w:rsidR="00A94902" w:rsidRDefault="00A94902" w:rsidP="009C59EC">
      <w:pPr>
        <w:spacing w:after="120" w:line="276" w:lineRule="auto"/>
        <w:jc w:val="both"/>
        <w:rPr>
          <w:rFonts w:ascii="Times New Roman" w:hAnsi="Times New Roman" w:cs="Times New Roman"/>
          <w:sz w:val="24"/>
          <w:szCs w:val="24"/>
        </w:rPr>
      </w:pPr>
    </w:p>
    <w:p w14:paraId="312825B8" w14:textId="6C3BCE2C" w:rsidR="00A94902" w:rsidRDefault="00A94902" w:rsidP="009C59EC">
      <w:pPr>
        <w:spacing w:after="120" w:line="276" w:lineRule="auto"/>
        <w:jc w:val="both"/>
        <w:rPr>
          <w:rFonts w:ascii="Times New Roman" w:hAnsi="Times New Roman" w:cs="Times New Roman"/>
          <w:sz w:val="24"/>
          <w:szCs w:val="24"/>
        </w:rPr>
      </w:pPr>
    </w:p>
    <w:p w14:paraId="4D614F04" w14:textId="29212EFC" w:rsidR="00A94902" w:rsidRDefault="00A94902" w:rsidP="009C59EC">
      <w:pPr>
        <w:spacing w:after="120" w:line="276" w:lineRule="auto"/>
        <w:jc w:val="both"/>
        <w:rPr>
          <w:rFonts w:ascii="Times New Roman" w:hAnsi="Times New Roman" w:cs="Times New Roman"/>
          <w:sz w:val="24"/>
          <w:szCs w:val="24"/>
        </w:rPr>
      </w:pPr>
    </w:p>
    <w:p w14:paraId="79144DEA" w14:textId="1AFDF814" w:rsidR="00A94902" w:rsidRDefault="00A94902" w:rsidP="009C59EC">
      <w:pPr>
        <w:spacing w:after="120" w:line="276" w:lineRule="auto"/>
        <w:jc w:val="both"/>
        <w:rPr>
          <w:rFonts w:ascii="Times New Roman" w:hAnsi="Times New Roman" w:cs="Times New Roman"/>
          <w:sz w:val="24"/>
          <w:szCs w:val="24"/>
        </w:rPr>
      </w:pPr>
    </w:p>
    <w:p w14:paraId="1C22EAAA" w14:textId="0291359B" w:rsidR="00A94902" w:rsidRDefault="00A94902" w:rsidP="009C59EC">
      <w:pPr>
        <w:spacing w:after="120" w:line="276" w:lineRule="auto"/>
        <w:jc w:val="both"/>
        <w:rPr>
          <w:rFonts w:ascii="Times New Roman" w:hAnsi="Times New Roman" w:cs="Times New Roman"/>
          <w:sz w:val="24"/>
          <w:szCs w:val="24"/>
        </w:rPr>
      </w:pPr>
    </w:p>
    <w:p w14:paraId="17C2377B" w14:textId="10D717B2" w:rsidR="00A94902" w:rsidRDefault="00A94902" w:rsidP="009C59EC">
      <w:pPr>
        <w:spacing w:after="120" w:line="276" w:lineRule="auto"/>
        <w:jc w:val="both"/>
        <w:rPr>
          <w:rFonts w:ascii="Times New Roman" w:hAnsi="Times New Roman" w:cs="Times New Roman"/>
          <w:sz w:val="24"/>
          <w:szCs w:val="24"/>
        </w:rPr>
      </w:pPr>
    </w:p>
    <w:p w14:paraId="26B4C003" w14:textId="7F36FD57" w:rsidR="00A94902" w:rsidRDefault="00A94902" w:rsidP="009C59EC">
      <w:pPr>
        <w:spacing w:after="120" w:line="276" w:lineRule="auto"/>
        <w:jc w:val="both"/>
        <w:rPr>
          <w:rFonts w:ascii="Times New Roman" w:hAnsi="Times New Roman" w:cs="Times New Roman"/>
          <w:sz w:val="24"/>
          <w:szCs w:val="24"/>
        </w:rPr>
      </w:pPr>
    </w:p>
    <w:p w14:paraId="7BA1F307" w14:textId="0EF560A3" w:rsidR="00A94902" w:rsidRDefault="00A94902" w:rsidP="009C59EC">
      <w:pPr>
        <w:spacing w:after="120" w:line="276" w:lineRule="auto"/>
        <w:jc w:val="both"/>
        <w:rPr>
          <w:rFonts w:ascii="Times New Roman" w:hAnsi="Times New Roman" w:cs="Times New Roman"/>
          <w:sz w:val="24"/>
          <w:szCs w:val="24"/>
        </w:rPr>
      </w:pPr>
    </w:p>
    <w:p w14:paraId="768901E3" w14:textId="011A55E8" w:rsidR="00A94902" w:rsidRDefault="00A94902" w:rsidP="009C59EC">
      <w:pPr>
        <w:spacing w:after="120" w:line="276" w:lineRule="auto"/>
        <w:jc w:val="both"/>
        <w:rPr>
          <w:rFonts w:ascii="Times New Roman" w:hAnsi="Times New Roman" w:cs="Times New Roman"/>
          <w:sz w:val="24"/>
          <w:szCs w:val="24"/>
        </w:rPr>
      </w:pPr>
    </w:p>
    <w:p w14:paraId="6A5E633F" w14:textId="1229D8FF" w:rsidR="00A94902" w:rsidRDefault="00A94902" w:rsidP="009C59EC">
      <w:pPr>
        <w:spacing w:after="120" w:line="276" w:lineRule="auto"/>
        <w:jc w:val="both"/>
        <w:rPr>
          <w:rFonts w:ascii="Times New Roman" w:hAnsi="Times New Roman" w:cs="Times New Roman"/>
          <w:sz w:val="24"/>
          <w:szCs w:val="24"/>
        </w:rPr>
      </w:pPr>
    </w:p>
    <w:p w14:paraId="6A767AFD" w14:textId="77777777" w:rsidR="009140E8" w:rsidRPr="009C59EC" w:rsidRDefault="009140E8" w:rsidP="009C59EC">
      <w:pPr>
        <w:spacing w:after="120" w:line="276" w:lineRule="auto"/>
        <w:jc w:val="both"/>
        <w:rPr>
          <w:rFonts w:ascii="Times New Roman" w:hAnsi="Times New Roman" w:cs="Times New Roman"/>
          <w:sz w:val="24"/>
          <w:szCs w:val="24"/>
        </w:rPr>
      </w:pPr>
    </w:p>
    <w:p w14:paraId="343D1FFD" w14:textId="2F8BD1D6" w:rsidR="00A42EBB" w:rsidRPr="00C43E6D" w:rsidRDefault="00A42EBB" w:rsidP="00550F63">
      <w:pPr>
        <w:pStyle w:val="cb"/>
        <w:spacing w:after="240"/>
        <w:ind w:left="-142"/>
        <w:rPr>
          <w:rStyle w:val="Strong"/>
          <w:b/>
          <w:bCs/>
          <w:color w:val="000000" w:themeColor="text1"/>
          <w:shd w:val="clear" w:color="auto" w:fill="FFFFFF"/>
        </w:rPr>
      </w:pPr>
      <w:r w:rsidRPr="00C43E6D">
        <w:rPr>
          <w:rStyle w:val="Strong"/>
          <w:b/>
          <w:bCs/>
          <w:color w:val="000000" w:themeColor="text1"/>
          <w:shd w:val="clear" w:color="auto" w:fill="FFFFFF"/>
        </w:rPr>
        <w:lastRenderedPageBreak/>
        <w:t xml:space="preserve">II. </w:t>
      </w:r>
      <w:r w:rsidRPr="00C43E6D">
        <w:rPr>
          <w:rStyle w:val="Strong"/>
          <w:b/>
          <w:bCs/>
          <w:color w:val="000000" w:themeColor="text1"/>
          <w:sz w:val="23"/>
          <w:szCs w:val="23"/>
          <w:shd w:val="clear" w:color="auto" w:fill="FFFFFF"/>
        </w:rPr>
        <w:t xml:space="preserve">ANALIZA </w:t>
      </w:r>
      <w:r w:rsidR="00550F63" w:rsidRPr="00C43E6D">
        <w:rPr>
          <w:rStyle w:val="Strong"/>
          <w:b/>
          <w:bCs/>
          <w:color w:val="000000" w:themeColor="text1"/>
          <w:sz w:val="23"/>
          <w:szCs w:val="23"/>
          <w:shd w:val="clear" w:color="auto" w:fill="FFFFFF"/>
        </w:rPr>
        <w:t>SITUAȚIEI ACTUALE ÎN SECTORUL ENERGETIC AL REPUBLICII MOLDOVA</w:t>
      </w:r>
    </w:p>
    <w:p w14:paraId="62AA8074" w14:textId="52AF6B5A" w:rsidR="005F1C95" w:rsidRPr="00C43E6D" w:rsidRDefault="004E1A83" w:rsidP="009140E8">
      <w:pPr>
        <w:pStyle w:val="cb"/>
        <w:spacing w:after="60" w:line="276" w:lineRule="auto"/>
        <w:ind w:firstLine="540"/>
        <w:jc w:val="both"/>
        <w:rPr>
          <w:b w:val="0"/>
          <w:bCs w:val="0"/>
          <w:color w:val="000000" w:themeColor="text1"/>
          <w:lang w:eastAsia="ru-RU"/>
        </w:rPr>
      </w:pPr>
      <w:r w:rsidRPr="00C43E6D">
        <w:rPr>
          <w:color w:val="000000" w:themeColor="text1"/>
          <w:lang w:eastAsia="ru-RU"/>
        </w:rPr>
        <w:t>3</w:t>
      </w:r>
      <w:r w:rsidR="00A94902">
        <w:rPr>
          <w:color w:val="000000" w:themeColor="text1"/>
          <w:lang w:eastAsia="ru-RU"/>
        </w:rPr>
        <w:t>3</w:t>
      </w:r>
      <w:r w:rsidR="008B261F" w:rsidRPr="00C43E6D">
        <w:rPr>
          <w:color w:val="000000" w:themeColor="text1"/>
          <w:lang w:eastAsia="ru-RU"/>
        </w:rPr>
        <w:t>.</w:t>
      </w:r>
      <w:r w:rsidR="008B261F" w:rsidRPr="00C43E6D">
        <w:rPr>
          <w:b w:val="0"/>
          <w:bCs w:val="0"/>
          <w:color w:val="000000" w:themeColor="text1"/>
          <w:lang w:eastAsia="ru-RU"/>
        </w:rPr>
        <w:t xml:space="preserve"> </w:t>
      </w:r>
      <w:r w:rsidR="005F1C95" w:rsidRPr="00C43E6D">
        <w:rPr>
          <w:b w:val="0"/>
          <w:bCs w:val="0"/>
          <w:color w:val="000000" w:themeColor="text1"/>
          <w:lang w:eastAsia="ru-RU"/>
        </w:rPr>
        <w:t>Republica Moldova este dependentă practic 100% de importurile de resurse energetice, inclusiv gaze naturale. În același timp, Republica Moldova nu dispune de capacități de stocare a gazelor naturale, prin urmare, stocurile sunt și pot fi asigurate doar pe teritoriul statelor vecine sau în alte țări ce dispun de instalații de stocare.</w:t>
      </w:r>
    </w:p>
    <w:p w14:paraId="56E59679" w14:textId="2FAC4CF8" w:rsidR="005F1C95" w:rsidRPr="00C43E6D" w:rsidRDefault="004E1A83" w:rsidP="009140E8">
      <w:pPr>
        <w:pStyle w:val="cb"/>
        <w:spacing w:after="60" w:line="276" w:lineRule="auto"/>
        <w:ind w:firstLine="540"/>
        <w:jc w:val="both"/>
        <w:rPr>
          <w:b w:val="0"/>
          <w:bCs w:val="0"/>
          <w:color w:val="000000" w:themeColor="text1"/>
          <w:lang w:eastAsia="ru-RU"/>
        </w:rPr>
      </w:pPr>
      <w:r w:rsidRPr="00C43E6D">
        <w:rPr>
          <w:color w:val="000000" w:themeColor="text1"/>
          <w:lang w:eastAsia="ru-RU"/>
        </w:rPr>
        <w:t>3</w:t>
      </w:r>
      <w:r w:rsidR="00A94902">
        <w:rPr>
          <w:color w:val="000000" w:themeColor="text1"/>
          <w:lang w:eastAsia="ru-RU"/>
        </w:rPr>
        <w:t>4</w:t>
      </w:r>
      <w:r w:rsidR="005F1C95" w:rsidRPr="00C43E6D">
        <w:rPr>
          <w:color w:val="000000" w:themeColor="text1"/>
          <w:lang w:eastAsia="ru-RU"/>
        </w:rPr>
        <w:t>.</w:t>
      </w:r>
      <w:r w:rsidR="005F1C95" w:rsidRPr="00C43E6D">
        <w:rPr>
          <w:b w:val="0"/>
          <w:bCs w:val="0"/>
          <w:color w:val="000000" w:themeColor="text1"/>
          <w:lang w:eastAsia="ru-RU"/>
        </w:rPr>
        <w:t xml:space="preserve"> Gazele naturale constituie una dintre principalele surse de energie pentru Republica Moldova, fiind utilizate atât pentru producerea de energie electrică, cât și pentru încălzire în gospodării. Până în anul 2023, Republica Moldova a fost dependentă, practic, 100% de importul de gaze naturale din Rus</w:t>
      </w:r>
      <w:r w:rsidR="006416D6">
        <w:rPr>
          <w:b w:val="0"/>
          <w:bCs w:val="0"/>
          <w:color w:val="000000" w:themeColor="text1"/>
          <w:lang w:eastAsia="ru-RU"/>
        </w:rPr>
        <w:t>ia</w:t>
      </w:r>
      <w:r w:rsidR="005F1C95" w:rsidRPr="00C43E6D">
        <w:rPr>
          <w:b w:val="0"/>
          <w:bCs w:val="0"/>
          <w:color w:val="000000" w:themeColor="text1"/>
          <w:lang w:eastAsia="ru-RU"/>
        </w:rPr>
        <w:t>. Începând cu luna decembrie 2022, întreg volumul de gaze naturale – de 5,7 mil. m</w:t>
      </w:r>
      <w:r w:rsidR="005F1C95" w:rsidRPr="00C43E6D">
        <w:rPr>
          <w:b w:val="0"/>
          <w:bCs w:val="0"/>
          <w:color w:val="000000" w:themeColor="text1"/>
          <w:vertAlign w:val="superscript"/>
          <w:lang w:eastAsia="ru-RU"/>
        </w:rPr>
        <w:t>3</w:t>
      </w:r>
      <w:r w:rsidR="005F1C95" w:rsidRPr="00C43E6D">
        <w:rPr>
          <w:b w:val="0"/>
          <w:bCs w:val="0"/>
          <w:color w:val="000000" w:themeColor="text1"/>
          <w:lang w:eastAsia="ru-RU"/>
        </w:rPr>
        <w:t xml:space="preserve">/zi livrat către Republica Moldova de SAP „Gazprom” a fost alocat pentru acoperirea consumului </w:t>
      </w:r>
      <w:r w:rsidR="00523288">
        <w:rPr>
          <w:b w:val="0"/>
          <w:bCs w:val="0"/>
          <w:color w:val="000000" w:themeColor="text1"/>
          <w:lang w:eastAsia="ru-RU"/>
        </w:rPr>
        <w:t>regiunii transnistrene</w:t>
      </w:r>
      <w:r w:rsidR="005F1C95" w:rsidRPr="00C43E6D">
        <w:rPr>
          <w:b w:val="0"/>
          <w:bCs w:val="0"/>
          <w:color w:val="000000" w:themeColor="text1"/>
          <w:lang w:eastAsia="ru-RU"/>
        </w:rPr>
        <w:t xml:space="preserve"> și pentru producerea energiei electrice de către MGRES pentru malul drept al râului Nistru.</w:t>
      </w:r>
    </w:p>
    <w:p w14:paraId="66D20E47" w14:textId="316B2046" w:rsidR="00B9341B" w:rsidRPr="00C43E6D" w:rsidRDefault="004E1A83" w:rsidP="009140E8">
      <w:pPr>
        <w:pStyle w:val="cb"/>
        <w:spacing w:after="60" w:line="276" w:lineRule="auto"/>
        <w:ind w:firstLine="540"/>
        <w:jc w:val="both"/>
        <w:rPr>
          <w:b w:val="0"/>
          <w:bCs w:val="0"/>
          <w:color w:val="000000" w:themeColor="text1"/>
          <w:lang w:eastAsia="ru-RU"/>
        </w:rPr>
      </w:pPr>
      <w:r w:rsidRPr="00C43E6D">
        <w:rPr>
          <w:color w:val="000000" w:themeColor="text1"/>
          <w:lang w:eastAsia="ru-RU"/>
        </w:rPr>
        <w:t>3</w:t>
      </w:r>
      <w:r w:rsidR="00A94902">
        <w:rPr>
          <w:color w:val="000000" w:themeColor="text1"/>
          <w:lang w:eastAsia="ru-RU"/>
        </w:rPr>
        <w:t>5</w:t>
      </w:r>
      <w:r w:rsidR="005F1C95" w:rsidRPr="00C43E6D">
        <w:rPr>
          <w:color w:val="000000" w:themeColor="text1"/>
          <w:lang w:eastAsia="ru-RU"/>
        </w:rPr>
        <w:t>.</w:t>
      </w:r>
      <w:r w:rsidR="005F1C95" w:rsidRPr="00C43E6D">
        <w:rPr>
          <w:b w:val="0"/>
          <w:bCs w:val="0"/>
          <w:color w:val="000000" w:themeColor="text1"/>
          <w:lang w:eastAsia="ru-RU"/>
        </w:rPr>
        <w:t xml:space="preserve"> Începând cu luna aprilie 2024, SA ,,Moldovagaz” organiz</w:t>
      </w:r>
      <w:r w:rsidR="009C59EC">
        <w:rPr>
          <w:b w:val="0"/>
          <w:bCs w:val="0"/>
          <w:color w:val="000000" w:themeColor="text1"/>
          <w:lang w:eastAsia="ru-RU"/>
        </w:rPr>
        <w:t>a</w:t>
      </w:r>
      <w:r w:rsidR="005F1C95" w:rsidRPr="00C43E6D">
        <w:rPr>
          <w:b w:val="0"/>
          <w:bCs w:val="0"/>
          <w:color w:val="000000" w:themeColor="text1"/>
          <w:lang w:eastAsia="ru-RU"/>
        </w:rPr>
        <w:t xml:space="preserve"> licitații lunare pentru a cumpăra volumele de gaze naturale necesare consumatorilor săi. SA ,,Energocom” este unul dintre participanții la licitațiile organizate pe piața angro a gazelor naturale din Republica Moldova.</w:t>
      </w:r>
    </w:p>
    <w:p w14:paraId="1B22E4D6" w14:textId="72C04979" w:rsidR="005F1C95" w:rsidRPr="00C43E6D" w:rsidRDefault="004E1A83" w:rsidP="009140E8">
      <w:pPr>
        <w:pStyle w:val="cb"/>
        <w:spacing w:after="60" w:line="276" w:lineRule="auto"/>
        <w:ind w:firstLine="540"/>
        <w:jc w:val="both"/>
        <w:rPr>
          <w:b w:val="0"/>
          <w:bCs w:val="0"/>
          <w:color w:val="000000" w:themeColor="text1"/>
          <w:lang w:eastAsia="ru-RU"/>
        </w:rPr>
      </w:pPr>
      <w:r w:rsidRPr="00C43E6D">
        <w:rPr>
          <w:color w:val="000000" w:themeColor="text1"/>
          <w:lang w:eastAsia="ru-RU"/>
        </w:rPr>
        <w:t>3</w:t>
      </w:r>
      <w:r w:rsidR="00A94902">
        <w:rPr>
          <w:color w:val="000000" w:themeColor="text1"/>
          <w:lang w:eastAsia="ru-RU"/>
        </w:rPr>
        <w:t>6</w:t>
      </w:r>
      <w:r w:rsidR="005F1C95" w:rsidRPr="00C43E6D">
        <w:rPr>
          <w:color w:val="000000" w:themeColor="text1"/>
          <w:lang w:eastAsia="ru-RU"/>
        </w:rPr>
        <w:t>.</w:t>
      </w:r>
      <w:r w:rsidR="005F1C95" w:rsidRPr="00C43E6D">
        <w:rPr>
          <w:b w:val="0"/>
          <w:bCs w:val="0"/>
          <w:color w:val="000000" w:themeColor="text1"/>
          <w:lang w:eastAsia="ru-RU"/>
        </w:rPr>
        <w:t xml:space="preserve"> După criza energetică din ultimii ani, Republica Moldova (malul drept</w:t>
      </w:r>
      <w:r w:rsidR="00062900">
        <w:rPr>
          <w:b w:val="0"/>
          <w:bCs w:val="0"/>
          <w:color w:val="000000" w:themeColor="text1"/>
          <w:lang w:eastAsia="ru-RU"/>
        </w:rPr>
        <w:t xml:space="preserve"> al </w:t>
      </w:r>
      <w:r w:rsidR="00523288">
        <w:rPr>
          <w:b w:val="0"/>
          <w:bCs w:val="0"/>
          <w:color w:val="000000" w:themeColor="text1"/>
          <w:lang w:eastAsia="ru-RU"/>
        </w:rPr>
        <w:t xml:space="preserve">râului </w:t>
      </w:r>
      <w:r w:rsidR="00062900">
        <w:rPr>
          <w:b w:val="0"/>
          <w:bCs w:val="0"/>
          <w:color w:val="000000" w:themeColor="text1"/>
          <w:lang w:eastAsia="ru-RU"/>
        </w:rPr>
        <w:t>Nistru</w:t>
      </w:r>
      <w:r w:rsidR="005F1C95" w:rsidRPr="00C43E6D">
        <w:rPr>
          <w:b w:val="0"/>
          <w:bCs w:val="0"/>
          <w:color w:val="000000" w:themeColor="text1"/>
          <w:lang w:eastAsia="ru-RU"/>
        </w:rPr>
        <w:t xml:space="preserve">) și-a majorat semnificativ securitatea energetică, micșorând și dependența sa de o singură sursă de gaze naturale. Deja malul drept </w:t>
      </w:r>
      <w:r w:rsidR="00062900">
        <w:rPr>
          <w:b w:val="0"/>
          <w:bCs w:val="0"/>
          <w:color w:val="000000" w:themeColor="text1"/>
          <w:lang w:eastAsia="ru-RU"/>
        </w:rPr>
        <w:t xml:space="preserve">al </w:t>
      </w:r>
      <w:r w:rsidR="00523288">
        <w:rPr>
          <w:b w:val="0"/>
          <w:bCs w:val="0"/>
          <w:color w:val="000000" w:themeColor="text1"/>
          <w:lang w:eastAsia="ru-RU"/>
        </w:rPr>
        <w:t xml:space="preserve">râului </w:t>
      </w:r>
      <w:r w:rsidR="00062900">
        <w:rPr>
          <w:b w:val="0"/>
          <w:bCs w:val="0"/>
          <w:color w:val="000000" w:themeColor="text1"/>
          <w:lang w:eastAsia="ru-RU"/>
        </w:rPr>
        <w:t xml:space="preserve">Nistru </w:t>
      </w:r>
      <w:r w:rsidR="005F1C95" w:rsidRPr="00C43E6D">
        <w:rPr>
          <w:b w:val="0"/>
          <w:bCs w:val="0"/>
          <w:color w:val="000000" w:themeColor="text1"/>
          <w:lang w:eastAsia="ru-RU"/>
        </w:rPr>
        <w:t>nu mai este dependent de gazele naturale livrate din Rus</w:t>
      </w:r>
      <w:r w:rsidR="006416D6">
        <w:rPr>
          <w:b w:val="0"/>
          <w:bCs w:val="0"/>
          <w:color w:val="000000" w:themeColor="text1"/>
          <w:lang w:eastAsia="ru-RU"/>
        </w:rPr>
        <w:t>ia</w:t>
      </w:r>
      <w:r w:rsidR="005F1C95" w:rsidRPr="00C43E6D">
        <w:rPr>
          <w:b w:val="0"/>
          <w:bCs w:val="0"/>
          <w:color w:val="000000" w:themeColor="text1"/>
          <w:lang w:eastAsia="ru-RU"/>
        </w:rPr>
        <w:t>, compania de stat</w:t>
      </w:r>
      <w:r w:rsidR="00523288">
        <w:rPr>
          <w:b w:val="0"/>
          <w:bCs w:val="0"/>
          <w:color w:val="000000" w:themeColor="text1"/>
          <w:lang w:eastAsia="ru-RU"/>
        </w:rPr>
        <w:t xml:space="preserve"> </w:t>
      </w:r>
      <w:r w:rsidR="005F1C95" w:rsidRPr="00C43E6D">
        <w:rPr>
          <w:b w:val="0"/>
          <w:bCs w:val="0"/>
          <w:color w:val="000000" w:themeColor="text1"/>
          <w:lang w:eastAsia="ru-RU"/>
        </w:rPr>
        <w:t>SA „Energocom” având asigurate instrumentele și capacitățile necesare pentru achiziția de gaze naturale pe piața spot și/sau alte surse.</w:t>
      </w:r>
    </w:p>
    <w:p w14:paraId="108EE0E4" w14:textId="6C5FDC55" w:rsidR="005F1C95" w:rsidRPr="00C43E6D" w:rsidRDefault="004E1A83" w:rsidP="009140E8">
      <w:pPr>
        <w:pStyle w:val="cb"/>
        <w:spacing w:after="60" w:line="276" w:lineRule="auto"/>
        <w:ind w:firstLine="540"/>
        <w:jc w:val="both"/>
        <w:rPr>
          <w:b w:val="0"/>
          <w:bCs w:val="0"/>
          <w:color w:val="000000" w:themeColor="text1"/>
          <w:lang w:eastAsia="ru-RU"/>
        </w:rPr>
      </w:pPr>
      <w:r w:rsidRPr="00C43E6D">
        <w:rPr>
          <w:color w:val="000000" w:themeColor="text1"/>
          <w:lang w:eastAsia="ru-RU"/>
        </w:rPr>
        <w:t>3</w:t>
      </w:r>
      <w:r w:rsidR="00A94902">
        <w:rPr>
          <w:color w:val="000000" w:themeColor="text1"/>
          <w:lang w:eastAsia="ru-RU"/>
        </w:rPr>
        <w:t>7</w:t>
      </w:r>
      <w:r w:rsidR="005F1C95" w:rsidRPr="00C43E6D">
        <w:rPr>
          <w:color w:val="000000" w:themeColor="text1"/>
          <w:lang w:eastAsia="ru-RU"/>
        </w:rPr>
        <w:t>.</w:t>
      </w:r>
      <w:r w:rsidR="005F1C95" w:rsidRPr="00C43E6D">
        <w:rPr>
          <w:b w:val="0"/>
          <w:bCs w:val="0"/>
          <w:color w:val="000000" w:themeColor="text1"/>
          <w:lang w:eastAsia="ru-RU"/>
        </w:rPr>
        <w:t xml:space="preserve"> Asigurarea aprovizionării cu gaze naturale și energie electrică, precum și infrastructura electroenergetică și de gaze naturale din regiunea transnistreană se află temporar în afara controlului autorităților constituționale. Autoritățile din Republica Moldova, inclusiv </w:t>
      </w:r>
      <w:r w:rsidR="00D001CA">
        <w:rPr>
          <w:b w:val="0"/>
          <w:bCs w:val="0"/>
          <w:color w:val="000000" w:themeColor="text1"/>
          <w:lang w:eastAsia="ru-RU"/>
        </w:rPr>
        <w:t>ANRE</w:t>
      </w:r>
      <w:r w:rsidR="005F1C95" w:rsidRPr="00C43E6D">
        <w:rPr>
          <w:b w:val="0"/>
          <w:bCs w:val="0"/>
          <w:color w:val="000000" w:themeColor="text1"/>
          <w:lang w:eastAsia="ru-RU"/>
        </w:rPr>
        <w:t>, în condiții de piață, nu pot interveni efectiv pe piața gazelor naturale și a energiei electrice din regiunea transnistreană a Republicii Moldova.</w:t>
      </w:r>
    </w:p>
    <w:p w14:paraId="0760EFF5" w14:textId="65414166" w:rsidR="005F1C95" w:rsidRPr="00C43E6D" w:rsidRDefault="004E1A83" w:rsidP="009140E8">
      <w:pPr>
        <w:pStyle w:val="cb"/>
        <w:spacing w:after="60" w:line="276" w:lineRule="auto"/>
        <w:ind w:firstLine="540"/>
        <w:jc w:val="both"/>
        <w:rPr>
          <w:b w:val="0"/>
          <w:bCs w:val="0"/>
          <w:color w:val="000000" w:themeColor="text1"/>
          <w:lang w:eastAsia="ru-RU"/>
        </w:rPr>
      </w:pPr>
      <w:r w:rsidRPr="00C43E6D">
        <w:rPr>
          <w:color w:val="000000" w:themeColor="text1"/>
          <w:lang w:eastAsia="ru-RU"/>
        </w:rPr>
        <w:t>3</w:t>
      </w:r>
      <w:r w:rsidR="00A94902">
        <w:rPr>
          <w:color w:val="000000" w:themeColor="text1"/>
          <w:lang w:eastAsia="ru-RU"/>
        </w:rPr>
        <w:t>8</w:t>
      </w:r>
      <w:r w:rsidR="005F1C95" w:rsidRPr="00C43E6D">
        <w:rPr>
          <w:color w:val="000000" w:themeColor="text1"/>
          <w:lang w:eastAsia="ru-RU"/>
        </w:rPr>
        <w:t>.</w:t>
      </w:r>
      <w:r w:rsidR="005F1C95" w:rsidRPr="00C43E6D">
        <w:rPr>
          <w:b w:val="0"/>
          <w:bCs w:val="0"/>
          <w:color w:val="000000" w:themeColor="text1"/>
          <w:lang w:eastAsia="ru-RU"/>
        </w:rPr>
        <w:t xml:space="preserve"> În timp ce malul drept</w:t>
      </w:r>
      <w:r w:rsidR="00E20632">
        <w:rPr>
          <w:b w:val="0"/>
          <w:bCs w:val="0"/>
          <w:color w:val="000000" w:themeColor="text1"/>
          <w:lang w:eastAsia="ru-RU"/>
        </w:rPr>
        <w:t xml:space="preserve"> al </w:t>
      </w:r>
      <w:r w:rsidR="00523288">
        <w:rPr>
          <w:b w:val="0"/>
          <w:bCs w:val="0"/>
          <w:color w:val="000000" w:themeColor="text1"/>
          <w:lang w:eastAsia="ru-RU"/>
        </w:rPr>
        <w:t xml:space="preserve">râului </w:t>
      </w:r>
      <w:r w:rsidR="00E20632">
        <w:rPr>
          <w:b w:val="0"/>
          <w:bCs w:val="0"/>
          <w:color w:val="000000" w:themeColor="text1"/>
          <w:lang w:eastAsia="ru-RU"/>
        </w:rPr>
        <w:t>Nistru</w:t>
      </w:r>
      <w:r w:rsidR="005F1C95" w:rsidRPr="00C43E6D">
        <w:rPr>
          <w:b w:val="0"/>
          <w:bCs w:val="0"/>
          <w:color w:val="000000" w:themeColor="text1"/>
          <w:lang w:eastAsia="ru-RU"/>
        </w:rPr>
        <w:t xml:space="preserve"> și-a asigurat securitatea aprovizionării cu gaze naturale și liberalizarea treptată a pieței, consumatorii </w:t>
      </w:r>
      <w:r w:rsidR="00523288">
        <w:rPr>
          <w:b w:val="0"/>
          <w:bCs w:val="0"/>
          <w:color w:val="000000" w:themeColor="text1"/>
          <w:lang w:eastAsia="ru-RU"/>
        </w:rPr>
        <w:t>din regiunea transnistreană</w:t>
      </w:r>
      <w:r w:rsidR="005F1C95" w:rsidRPr="00C43E6D">
        <w:rPr>
          <w:b w:val="0"/>
          <w:bCs w:val="0"/>
          <w:color w:val="000000" w:themeColor="text1"/>
          <w:lang w:eastAsia="ru-RU"/>
        </w:rPr>
        <w:t xml:space="preserve">, până la data de 1 ianuarie 2025, erau dependenți de o singură sursă de import – SAP „Gazprom”, care se baza strict pe Contractul privind furnizarea gazelor naturale nr. 1ГM-07-11 din 29 decembrie 2006 încheiat între SA „Moldovagaz” și </w:t>
      </w:r>
      <w:r w:rsidR="00D001CA">
        <w:rPr>
          <w:b w:val="0"/>
          <w:bCs w:val="0"/>
          <w:color w:val="000000" w:themeColor="text1"/>
          <w:lang w:eastAsia="ru-RU"/>
        </w:rPr>
        <w:br/>
      </w:r>
      <w:r w:rsidR="005F1C95" w:rsidRPr="00C43E6D">
        <w:rPr>
          <w:b w:val="0"/>
          <w:bCs w:val="0"/>
          <w:color w:val="000000" w:themeColor="text1"/>
          <w:lang w:eastAsia="ru-RU"/>
        </w:rPr>
        <w:t>SAP „Gazprom”, al cărui termen a fost extins, prin Acordul adițional nr. 19 din octombrie 2021, până la 30 septembrie 2026.</w:t>
      </w:r>
    </w:p>
    <w:p w14:paraId="231EB8A6" w14:textId="47ED9390" w:rsidR="00F806FB" w:rsidRPr="00C43E6D" w:rsidRDefault="004E1A83" w:rsidP="009140E8">
      <w:pPr>
        <w:pStyle w:val="cb"/>
        <w:spacing w:after="60" w:line="276" w:lineRule="auto"/>
        <w:ind w:firstLine="540"/>
        <w:jc w:val="both"/>
        <w:rPr>
          <w:b w:val="0"/>
          <w:bCs w:val="0"/>
          <w:color w:val="000000" w:themeColor="text1"/>
          <w:lang w:eastAsia="ru-RU"/>
        </w:rPr>
      </w:pPr>
      <w:r w:rsidRPr="00C43E6D">
        <w:rPr>
          <w:color w:val="000000" w:themeColor="text1"/>
          <w:lang w:eastAsia="ru-RU"/>
        </w:rPr>
        <w:t>3</w:t>
      </w:r>
      <w:r w:rsidR="00A94902">
        <w:rPr>
          <w:color w:val="000000" w:themeColor="text1"/>
          <w:lang w:eastAsia="ru-RU"/>
        </w:rPr>
        <w:t>9</w:t>
      </w:r>
      <w:r w:rsidR="005F1C95" w:rsidRPr="00C43E6D">
        <w:rPr>
          <w:color w:val="000000" w:themeColor="text1"/>
          <w:lang w:eastAsia="ru-RU"/>
        </w:rPr>
        <w:t>.</w:t>
      </w:r>
      <w:r w:rsidR="005F1C95" w:rsidRPr="00C43E6D">
        <w:rPr>
          <w:b w:val="0"/>
          <w:bCs w:val="0"/>
          <w:color w:val="000000" w:themeColor="text1"/>
          <w:lang w:eastAsia="ru-RU"/>
        </w:rPr>
        <w:t xml:space="preserve"> Deși Contractul privind furnizarea gazelor naturale, încheiat între SA „Moldovagaz” și </w:t>
      </w:r>
      <w:r w:rsidR="00AD036A">
        <w:rPr>
          <w:b w:val="0"/>
          <w:bCs w:val="0"/>
          <w:color w:val="000000" w:themeColor="text1"/>
          <w:lang w:eastAsia="ru-RU"/>
        </w:rPr>
        <w:br/>
      </w:r>
      <w:r w:rsidR="005F1C95" w:rsidRPr="00C43E6D">
        <w:rPr>
          <w:b w:val="0"/>
          <w:bCs w:val="0"/>
          <w:color w:val="000000" w:themeColor="text1"/>
          <w:lang w:eastAsia="ru-RU"/>
        </w:rPr>
        <w:t>SAP „Gazprom”, este în vigoare până la 30 septembrie 2026, în decembrie 2024 SAP „Gazprom” a informat SA „Moldovagaz” despre decizia de a sista livrarea gazelor naturale către regiunea transnistreană a Republicii Moldova începând cu 1 ianuarie 2025, până la o notificare contrară a SAP „Gazprom” aferentă reluării livrărilor, fără a specifica expres orice intenții de a relua livrările de gaze naturale sau de a rezoluționa Contractul respectiv.</w:t>
      </w:r>
    </w:p>
    <w:p w14:paraId="6A7E9619" w14:textId="2052ECA2" w:rsidR="00D001CA" w:rsidRDefault="00A94902" w:rsidP="009140E8">
      <w:pPr>
        <w:pStyle w:val="cb"/>
        <w:spacing w:after="60" w:line="276" w:lineRule="auto"/>
        <w:ind w:firstLine="540"/>
        <w:jc w:val="both"/>
        <w:rPr>
          <w:b w:val="0"/>
          <w:bCs w:val="0"/>
          <w:color w:val="000000" w:themeColor="text1"/>
          <w:lang w:eastAsia="ru-RU"/>
        </w:rPr>
      </w:pPr>
      <w:r>
        <w:rPr>
          <w:color w:val="000000" w:themeColor="text1"/>
          <w:lang w:eastAsia="ru-RU"/>
        </w:rPr>
        <w:t>40</w:t>
      </w:r>
      <w:r w:rsidR="00F806FB" w:rsidRPr="00C43E6D">
        <w:rPr>
          <w:color w:val="000000" w:themeColor="text1"/>
          <w:lang w:eastAsia="ru-RU"/>
        </w:rPr>
        <w:t>.</w:t>
      </w:r>
      <w:r w:rsidR="00F806FB" w:rsidRPr="00C43E6D">
        <w:rPr>
          <w:b w:val="0"/>
          <w:bCs w:val="0"/>
          <w:color w:val="000000" w:themeColor="text1"/>
          <w:lang w:eastAsia="ru-RU"/>
        </w:rPr>
        <w:t xml:space="preserve"> </w:t>
      </w:r>
      <w:r w:rsidR="005F1C95" w:rsidRPr="00C43E6D">
        <w:rPr>
          <w:b w:val="0"/>
          <w:bCs w:val="0"/>
          <w:color w:val="000000" w:themeColor="text1"/>
          <w:lang w:eastAsia="ru-RU"/>
        </w:rPr>
        <w:t xml:space="preserve">Începând cu 1 ianuarie 2025, a fost sistată livrarea gazelor naturale către </w:t>
      </w:r>
      <w:r w:rsidR="00523288">
        <w:rPr>
          <w:b w:val="0"/>
          <w:bCs w:val="0"/>
          <w:color w:val="000000" w:themeColor="text1"/>
          <w:lang w:eastAsia="ru-RU"/>
        </w:rPr>
        <w:t>regiunea transnistreană</w:t>
      </w:r>
      <w:r w:rsidR="005F1C95" w:rsidRPr="00C43E6D">
        <w:rPr>
          <w:b w:val="0"/>
          <w:bCs w:val="0"/>
          <w:color w:val="000000" w:themeColor="text1"/>
          <w:lang w:eastAsia="ru-RU"/>
        </w:rPr>
        <w:t xml:space="preserve">. În scopul economisirii gazelor naturale acumulate în rețea, furnizorul de gaze naturale din </w:t>
      </w:r>
      <w:r w:rsidR="007433FF">
        <w:rPr>
          <w:b w:val="0"/>
          <w:bCs w:val="0"/>
          <w:color w:val="000000" w:themeColor="text1"/>
          <w:lang w:eastAsia="ru-RU"/>
        </w:rPr>
        <w:t>regiunea transnistreană</w:t>
      </w:r>
      <w:r w:rsidR="005F1C95" w:rsidRPr="00C43E6D">
        <w:rPr>
          <w:b w:val="0"/>
          <w:bCs w:val="0"/>
          <w:color w:val="000000" w:themeColor="text1"/>
          <w:lang w:eastAsia="ru-RU"/>
        </w:rPr>
        <w:t>, SRL „Tiraspoltransgaz”</w:t>
      </w:r>
      <w:r w:rsidR="007433FF">
        <w:rPr>
          <w:b w:val="0"/>
          <w:bCs w:val="0"/>
          <w:color w:val="000000" w:themeColor="text1"/>
          <w:lang w:eastAsia="ru-RU"/>
        </w:rPr>
        <w:t>,</w:t>
      </w:r>
      <w:r w:rsidR="005F1C95" w:rsidRPr="00C43E6D">
        <w:rPr>
          <w:b w:val="0"/>
          <w:bCs w:val="0"/>
          <w:color w:val="000000" w:themeColor="text1"/>
          <w:lang w:eastAsia="ru-RU"/>
        </w:rPr>
        <w:t xml:space="preserve"> a anunțat și a </w:t>
      </w:r>
      <w:r w:rsidR="00062900">
        <w:rPr>
          <w:b w:val="0"/>
          <w:bCs w:val="0"/>
          <w:color w:val="000000" w:themeColor="text1"/>
          <w:lang w:eastAsia="ru-RU"/>
        </w:rPr>
        <w:t>inițiat</w:t>
      </w:r>
      <w:r w:rsidR="005F1C95" w:rsidRPr="00C43E6D">
        <w:rPr>
          <w:b w:val="0"/>
          <w:bCs w:val="0"/>
          <w:color w:val="000000" w:themeColor="text1"/>
          <w:lang w:eastAsia="ru-RU"/>
        </w:rPr>
        <w:t xml:space="preserve"> </w:t>
      </w:r>
      <w:r w:rsidR="001A5ABE" w:rsidRPr="001A5ABE">
        <w:rPr>
          <w:b w:val="0"/>
          <w:bCs w:val="0"/>
          <w:color w:val="000000" w:themeColor="text1"/>
          <w:lang w:eastAsia="ru-RU"/>
        </w:rPr>
        <w:t>întreruperea livrări</w:t>
      </w:r>
      <w:r w:rsidR="001A5ABE">
        <w:rPr>
          <w:b w:val="0"/>
          <w:bCs w:val="0"/>
          <w:color w:val="000000" w:themeColor="text1"/>
          <w:lang w:eastAsia="ru-RU"/>
        </w:rPr>
        <w:t>lor de</w:t>
      </w:r>
      <w:r w:rsidR="001A5ABE" w:rsidRPr="001A5ABE">
        <w:rPr>
          <w:b w:val="0"/>
          <w:bCs w:val="0"/>
          <w:color w:val="000000" w:themeColor="text1"/>
          <w:lang w:eastAsia="ru-RU"/>
        </w:rPr>
        <w:t xml:space="preserve"> gaze naturale </w:t>
      </w:r>
      <w:r w:rsidR="001A5ABE">
        <w:rPr>
          <w:b w:val="0"/>
          <w:bCs w:val="0"/>
          <w:color w:val="000000" w:themeColor="text1"/>
          <w:lang w:eastAsia="ru-RU"/>
        </w:rPr>
        <w:t xml:space="preserve">către </w:t>
      </w:r>
      <w:r w:rsidR="005F1C95" w:rsidRPr="00C43E6D">
        <w:rPr>
          <w:b w:val="0"/>
          <w:bCs w:val="0"/>
          <w:color w:val="000000" w:themeColor="text1"/>
          <w:lang w:eastAsia="ru-RU"/>
        </w:rPr>
        <w:t>consumatori</w:t>
      </w:r>
      <w:r w:rsidR="001A5ABE">
        <w:rPr>
          <w:b w:val="0"/>
          <w:bCs w:val="0"/>
          <w:color w:val="000000" w:themeColor="text1"/>
          <w:lang w:eastAsia="ru-RU"/>
        </w:rPr>
        <w:t>i</w:t>
      </w:r>
      <w:r w:rsidR="005F1C95" w:rsidRPr="00C43E6D">
        <w:rPr>
          <w:b w:val="0"/>
          <w:bCs w:val="0"/>
          <w:color w:val="000000" w:themeColor="text1"/>
          <w:lang w:eastAsia="ru-RU"/>
        </w:rPr>
        <w:t xml:space="preserve"> industriali începând cu </w:t>
      </w:r>
      <w:r w:rsidR="00AD50FC" w:rsidRPr="00C43E6D">
        <w:rPr>
          <w:b w:val="0"/>
          <w:bCs w:val="0"/>
          <w:color w:val="000000" w:themeColor="text1"/>
          <w:lang w:eastAsia="ru-RU"/>
        </w:rPr>
        <w:t xml:space="preserve">28 </w:t>
      </w:r>
      <w:r w:rsidR="005F1C95" w:rsidRPr="00C43E6D">
        <w:rPr>
          <w:b w:val="0"/>
          <w:bCs w:val="0"/>
          <w:color w:val="000000" w:themeColor="text1"/>
          <w:lang w:eastAsia="ru-RU"/>
        </w:rPr>
        <w:t xml:space="preserve">decembrie 2024, ulterior </w:t>
      </w:r>
      <w:r w:rsidR="001A5ABE">
        <w:rPr>
          <w:b w:val="0"/>
          <w:bCs w:val="0"/>
          <w:color w:val="000000" w:themeColor="text1"/>
          <w:lang w:eastAsia="ru-RU"/>
        </w:rPr>
        <w:t xml:space="preserve">a fost </w:t>
      </w:r>
      <w:r w:rsidR="001A5ABE" w:rsidRPr="001A5ABE">
        <w:rPr>
          <w:b w:val="0"/>
          <w:bCs w:val="0"/>
          <w:color w:val="000000" w:themeColor="text1"/>
          <w:lang w:eastAsia="ru-RU"/>
        </w:rPr>
        <w:t xml:space="preserve">întreruptă livrarea gazelor naturale </w:t>
      </w:r>
      <w:r w:rsidR="001A5ABE">
        <w:rPr>
          <w:b w:val="0"/>
          <w:bCs w:val="0"/>
          <w:color w:val="000000" w:themeColor="text1"/>
          <w:lang w:eastAsia="ru-RU"/>
        </w:rPr>
        <w:t xml:space="preserve">către </w:t>
      </w:r>
      <w:r w:rsidR="005F1C95" w:rsidRPr="00C43E6D">
        <w:rPr>
          <w:b w:val="0"/>
          <w:bCs w:val="0"/>
          <w:color w:val="000000" w:themeColor="text1"/>
          <w:lang w:eastAsia="ru-RU"/>
        </w:rPr>
        <w:t>gospodăriil</w:t>
      </w:r>
      <w:r w:rsidR="001A5ABE">
        <w:rPr>
          <w:b w:val="0"/>
          <w:bCs w:val="0"/>
          <w:color w:val="000000" w:themeColor="text1"/>
          <w:lang w:eastAsia="ru-RU"/>
        </w:rPr>
        <w:t>e</w:t>
      </w:r>
      <w:r w:rsidR="005F1C95" w:rsidRPr="00C43E6D">
        <w:rPr>
          <w:b w:val="0"/>
          <w:bCs w:val="0"/>
          <w:color w:val="000000" w:themeColor="text1"/>
          <w:lang w:eastAsia="ru-RU"/>
        </w:rPr>
        <w:t xml:space="preserve"> individuale, păstrând furnizarea gazelor naturale către blocurile locative și unele edificii cu caracter social. </w:t>
      </w:r>
    </w:p>
    <w:p w14:paraId="1F94C335" w14:textId="7244F154" w:rsidR="00B5253C" w:rsidRDefault="00B5253C" w:rsidP="009140E8">
      <w:pPr>
        <w:pStyle w:val="cb"/>
        <w:spacing w:after="60" w:line="276" w:lineRule="auto"/>
        <w:jc w:val="both"/>
        <w:rPr>
          <w:b w:val="0"/>
          <w:bCs w:val="0"/>
          <w:color w:val="000000" w:themeColor="text1"/>
          <w:lang w:eastAsia="ru-RU"/>
        </w:rPr>
      </w:pPr>
      <w:r w:rsidRPr="00B5253C">
        <w:rPr>
          <w:b w:val="0"/>
          <w:bCs w:val="0"/>
          <w:color w:val="000000" w:themeColor="text1"/>
          <w:lang w:eastAsia="ru-RU"/>
        </w:rPr>
        <w:t xml:space="preserve">Conform unui plan comun de acțiuni semnat de întreprinderile de gaze din </w:t>
      </w:r>
      <w:r w:rsidR="00007C94" w:rsidRPr="00007C94">
        <w:rPr>
          <w:b w:val="0"/>
          <w:bCs w:val="0"/>
          <w:color w:val="000000" w:themeColor="text1"/>
          <w:lang w:eastAsia="ru-RU"/>
        </w:rPr>
        <w:t>regiunea transnistreană</w:t>
      </w:r>
      <w:r w:rsidRPr="00B5253C">
        <w:rPr>
          <w:b w:val="0"/>
          <w:bCs w:val="0"/>
          <w:color w:val="000000" w:themeColor="text1"/>
          <w:lang w:eastAsia="ru-RU"/>
        </w:rPr>
        <w:t xml:space="preserve">, a fost secționată infrastructura de gaze naturale din </w:t>
      </w:r>
      <w:r w:rsidR="00007C94" w:rsidRPr="00007C94">
        <w:rPr>
          <w:b w:val="0"/>
          <w:bCs w:val="0"/>
          <w:color w:val="000000" w:themeColor="text1"/>
          <w:lang w:eastAsia="ru-RU"/>
        </w:rPr>
        <w:t xml:space="preserve">regiunea transnistreană </w:t>
      </w:r>
      <w:r w:rsidRPr="00B5253C">
        <w:rPr>
          <w:b w:val="0"/>
          <w:bCs w:val="0"/>
          <w:color w:val="000000" w:themeColor="text1"/>
          <w:lang w:eastAsia="ru-RU"/>
        </w:rPr>
        <w:t xml:space="preserve">de la cea din </w:t>
      </w:r>
      <w:r w:rsidR="00007C94">
        <w:rPr>
          <w:b w:val="0"/>
          <w:bCs w:val="0"/>
          <w:color w:val="000000" w:themeColor="text1"/>
          <w:lang w:eastAsia="ru-RU"/>
        </w:rPr>
        <w:t>malul drept al râului Nistru</w:t>
      </w:r>
      <w:r w:rsidRPr="00B5253C">
        <w:rPr>
          <w:b w:val="0"/>
          <w:bCs w:val="0"/>
          <w:color w:val="000000" w:themeColor="text1"/>
          <w:lang w:eastAsia="ru-RU"/>
        </w:rPr>
        <w:t xml:space="preserve"> și Ucraina. La situația din 1 ianuarie 2025 în momentul sistării de către SAP „Gazprom” a furnizării gazelor naturale către </w:t>
      </w:r>
      <w:r w:rsidR="007433FF">
        <w:rPr>
          <w:b w:val="0"/>
          <w:bCs w:val="0"/>
          <w:color w:val="000000" w:themeColor="text1"/>
          <w:lang w:eastAsia="ru-RU"/>
        </w:rPr>
        <w:t>regiunea transnistreană</w:t>
      </w:r>
      <w:r w:rsidRPr="00B5253C">
        <w:rPr>
          <w:b w:val="0"/>
          <w:bCs w:val="0"/>
          <w:color w:val="000000" w:themeColor="text1"/>
          <w:lang w:eastAsia="ru-RU"/>
        </w:rPr>
        <w:t xml:space="preserve">, SRL „Tiraspoltransgaz” a acumulat stocuri de gaze naturale </w:t>
      </w:r>
      <w:r w:rsidRPr="00B5253C">
        <w:rPr>
          <w:b w:val="0"/>
          <w:bCs w:val="0"/>
          <w:color w:val="000000" w:themeColor="text1"/>
          <w:lang w:eastAsia="ru-RU"/>
        </w:rPr>
        <w:lastRenderedPageBreak/>
        <w:t>în rețelele de transport în volum de 14,75 mil. m</w:t>
      </w:r>
      <w:r w:rsidRPr="00B5253C">
        <w:rPr>
          <w:b w:val="0"/>
          <w:bCs w:val="0"/>
          <w:color w:val="000000" w:themeColor="text1"/>
          <w:vertAlign w:val="superscript"/>
          <w:lang w:eastAsia="ru-RU"/>
        </w:rPr>
        <w:t>3</w:t>
      </w:r>
      <w:r w:rsidRPr="00B5253C">
        <w:rPr>
          <w:b w:val="0"/>
          <w:bCs w:val="0"/>
          <w:color w:val="000000" w:themeColor="text1"/>
          <w:lang w:eastAsia="ru-RU"/>
        </w:rPr>
        <w:t xml:space="preserve">, consumul mediu zilnic de gaze naturale pentru necesități proprii ale </w:t>
      </w:r>
      <w:r w:rsidR="007433FF">
        <w:rPr>
          <w:b w:val="0"/>
          <w:bCs w:val="0"/>
          <w:color w:val="000000" w:themeColor="text1"/>
          <w:lang w:eastAsia="ru-RU"/>
        </w:rPr>
        <w:t>consumatorilor din regiunea transnistreană</w:t>
      </w:r>
      <w:r w:rsidRPr="00B5253C">
        <w:rPr>
          <w:b w:val="0"/>
          <w:bCs w:val="0"/>
          <w:color w:val="000000" w:themeColor="text1"/>
          <w:lang w:eastAsia="ru-RU"/>
        </w:rPr>
        <w:t xml:space="preserve"> fiind redus în luna ianuarie de la aproximativ 3,7 mil. m</w:t>
      </w:r>
      <w:r w:rsidRPr="00B5253C">
        <w:rPr>
          <w:b w:val="0"/>
          <w:bCs w:val="0"/>
          <w:color w:val="000000" w:themeColor="text1"/>
          <w:vertAlign w:val="superscript"/>
          <w:lang w:eastAsia="ru-RU"/>
        </w:rPr>
        <w:t>3</w:t>
      </w:r>
      <w:r w:rsidRPr="00B5253C">
        <w:rPr>
          <w:b w:val="0"/>
          <w:bCs w:val="0"/>
          <w:color w:val="000000" w:themeColor="text1"/>
          <w:lang w:eastAsia="ru-RU"/>
        </w:rPr>
        <w:t>/zi în anul 2024 la doar 0,3-0,5 mil. m</w:t>
      </w:r>
      <w:r w:rsidRPr="00B5253C">
        <w:rPr>
          <w:b w:val="0"/>
          <w:bCs w:val="0"/>
          <w:color w:val="000000" w:themeColor="text1"/>
          <w:vertAlign w:val="superscript"/>
          <w:lang w:eastAsia="ru-RU"/>
        </w:rPr>
        <w:t>3</w:t>
      </w:r>
      <w:r w:rsidRPr="00B5253C">
        <w:rPr>
          <w:b w:val="0"/>
          <w:bCs w:val="0"/>
          <w:color w:val="000000" w:themeColor="text1"/>
          <w:lang w:eastAsia="ru-RU"/>
        </w:rPr>
        <w:t>/zi în anul 2025.</w:t>
      </w:r>
    </w:p>
    <w:p w14:paraId="51A28556" w14:textId="49E17CD3" w:rsidR="00F806FB" w:rsidRPr="00C43E6D" w:rsidRDefault="005F1C95" w:rsidP="009140E8">
      <w:pPr>
        <w:pStyle w:val="cb"/>
        <w:spacing w:after="60" w:line="276" w:lineRule="auto"/>
        <w:jc w:val="both"/>
        <w:rPr>
          <w:b w:val="0"/>
          <w:bCs w:val="0"/>
          <w:color w:val="000000" w:themeColor="text1"/>
          <w:lang w:eastAsia="ru-RU"/>
        </w:rPr>
      </w:pPr>
      <w:r w:rsidRPr="00C43E6D">
        <w:rPr>
          <w:b w:val="0"/>
          <w:bCs w:val="0"/>
          <w:color w:val="000000" w:themeColor="text1"/>
          <w:lang w:eastAsia="ru-RU"/>
        </w:rPr>
        <w:t>Ca urmare a reducerii drastice a consumului de gaze naturale al consumatorilor din regiunea transnistreană a Republicii Moldova, volumele de gaze naturale stocate în rețelele de transport au fost suficiente pentru a fi utilizate practic pe parcursul întregii luni ianuarie 2025.</w:t>
      </w:r>
    </w:p>
    <w:p w14:paraId="1A524A34" w14:textId="2067D347" w:rsidR="00F806FB" w:rsidRDefault="004E1A83" w:rsidP="009140E8">
      <w:pPr>
        <w:pStyle w:val="cb"/>
        <w:spacing w:after="60" w:line="276" w:lineRule="auto"/>
        <w:ind w:firstLine="540"/>
        <w:jc w:val="both"/>
        <w:rPr>
          <w:b w:val="0"/>
          <w:bCs w:val="0"/>
          <w:color w:val="000000" w:themeColor="text1"/>
          <w:lang w:eastAsia="ru-RU"/>
        </w:rPr>
      </w:pPr>
      <w:r w:rsidRPr="00C43E6D">
        <w:rPr>
          <w:color w:val="000000" w:themeColor="text1"/>
          <w:lang w:eastAsia="ru-RU"/>
        </w:rPr>
        <w:t>4</w:t>
      </w:r>
      <w:r w:rsidR="00A94902">
        <w:rPr>
          <w:color w:val="000000" w:themeColor="text1"/>
          <w:lang w:eastAsia="ru-RU"/>
        </w:rPr>
        <w:t>1</w:t>
      </w:r>
      <w:r w:rsidR="00F806FB" w:rsidRPr="00C43E6D">
        <w:rPr>
          <w:color w:val="000000" w:themeColor="text1"/>
          <w:lang w:eastAsia="ru-RU"/>
        </w:rPr>
        <w:t>.</w:t>
      </w:r>
      <w:r w:rsidR="00F806FB" w:rsidRPr="00C43E6D">
        <w:rPr>
          <w:b w:val="0"/>
          <w:bCs w:val="0"/>
          <w:color w:val="000000" w:themeColor="text1"/>
          <w:lang w:eastAsia="ru-RU"/>
        </w:rPr>
        <w:t xml:space="preserve"> În contextul situației critice din regiunea transnistreană a Republicii Moldova, au fost examinate și propuse de către părți mai multe scenarii de aprovizionare cu gaze naturale a </w:t>
      </w:r>
      <w:r w:rsidR="007433FF">
        <w:rPr>
          <w:b w:val="0"/>
          <w:bCs w:val="0"/>
          <w:color w:val="000000" w:themeColor="text1"/>
          <w:lang w:eastAsia="ru-RU"/>
        </w:rPr>
        <w:t>regiunii transnistrene</w:t>
      </w:r>
      <w:r w:rsidR="00F806FB" w:rsidRPr="00C43E6D">
        <w:rPr>
          <w:b w:val="0"/>
          <w:bCs w:val="0"/>
          <w:color w:val="000000" w:themeColor="text1"/>
          <w:lang w:eastAsia="ru-RU"/>
        </w:rPr>
        <w:t>. Datorită intervenției Comisei pentru Situații Excepționale a Republicii Moldova</w:t>
      </w:r>
      <w:r w:rsidR="004A045D">
        <w:rPr>
          <w:b w:val="0"/>
          <w:bCs w:val="0"/>
          <w:color w:val="000000" w:themeColor="text1"/>
          <w:lang w:eastAsia="ru-RU"/>
        </w:rPr>
        <w:t xml:space="preserve"> (CSE)</w:t>
      </w:r>
      <w:r w:rsidR="00F806FB" w:rsidRPr="00C43E6D">
        <w:rPr>
          <w:b w:val="0"/>
          <w:bCs w:val="0"/>
          <w:color w:val="000000" w:themeColor="text1"/>
          <w:lang w:eastAsia="ru-RU"/>
        </w:rPr>
        <w:t xml:space="preserve"> și suportului Uniunii Europene, au fost diminuate riscurile apariției unei crize umanitare în această regiune. </w:t>
      </w:r>
    </w:p>
    <w:p w14:paraId="16187430" w14:textId="1A06CDCA" w:rsidR="004A045D" w:rsidRPr="00C43E6D" w:rsidRDefault="006A408A" w:rsidP="009140E8">
      <w:pPr>
        <w:pStyle w:val="cb"/>
        <w:spacing w:after="60" w:line="276" w:lineRule="auto"/>
        <w:ind w:firstLine="540"/>
        <w:jc w:val="both"/>
        <w:rPr>
          <w:b w:val="0"/>
          <w:bCs w:val="0"/>
          <w:color w:val="000000" w:themeColor="text1"/>
          <w:lang w:eastAsia="ru-RU"/>
        </w:rPr>
      </w:pPr>
      <w:r w:rsidRPr="00C43E6D">
        <w:rPr>
          <w:color w:val="000000" w:themeColor="text1"/>
          <w:lang w:eastAsia="ru-RU"/>
        </w:rPr>
        <w:t>4</w:t>
      </w:r>
      <w:r w:rsidR="00A94902">
        <w:rPr>
          <w:color w:val="000000" w:themeColor="text1"/>
          <w:lang w:eastAsia="ru-RU"/>
        </w:rPr>
        <w:t>2</w:t>
      </w:r>
      <w:r w:rsidRPr="00C43E6D">
        <w:rPr>
          <w:color w:val="000000" w:themeColor="text1"/>
          <w:lang w:eastAsia="ru-RU"/>
        </w:rPr>
        <w:t>.</w:t>
      </w:r>
      <w:r>
        <w:rPr>
          <w:color w:val="000000" w:themeColor="text1"/>
          <w:lang w:eastAsia="ru-RU"/>
        </w:rPr>
        <w:t xml:space="preserve"> </w:t>
      </w:r>
      <w:hyperlink r:id="rId30" w:history="1">
        <w:r w:rsidR="004A045D" w:rsidRPr="004A045D">
          <w:rPr>
            <w:rStyle w:val="Hyperlink"/>
            <w:b w:val="0"/>
            <w:bCs w:val="0"/>
            <w:lang w:eastAsia="ru-RU"/>
          </w:rPr>
          <w:t>La data de 27 ianuarie 2025, UE a anunțat despre oferirea unui pachet de asistență de urgență în valoare de 30 milioane EUR</w:t>
        </w:r>
      </w:hyperlink>
      <w:r w:rsidR="004A045D">
        <w:rPr>
          <w:rStyle w:val="FootnoteReference"/>
          <w:b w:val="0"/>
          <w:bCs w:val="0"/>
          <w:color w:val="000000" w:themeColor="text1"/>
          <w:lang w:eastAsia="ru-RU"/>
        </w:rPr>
        <w:footnoteReference w:id="8"/>
      </w:r>
      <w:r w:rsidR="004A045D" w:rsidRPr="004A045D">
        <w:rPr>
          <w:b w:val="0"/>
          <w:bCs w:val="0"/>
          <w:color w:val="000000" w:themeColor="text1"/>
          <w:lang w:eastAsia="ru-RU"/>
        </w:rPr>
        <w:t xml:space="preserve"> (conform pct. 1.2 din Dispoziția CSE nr. 6 din 31 ianuarie 2025: 20 milioane euro pentru achiziți</w:t>
      </w:r>
      <w:r>
        <w:rPr>
          <w:b w:val="0"/>
          <w:bCs w:val="0"/>
          <w:color w:val="000000" w:themeColor="text1"/>
          <w:lang w:eastAsia="ru-RU"/>
        </w:rPr>
        <w:t>a</w:t>
      </w:r>
      <w:r w:rsidR="004A045D" w:rsidRPr="004A045D">
        <w:rPr>
          <w:b w:val="0"/>
          <w:bCs w:val="0"/>
          <w:color w:val="000000" w:themeColor="text1"/>
          <w:lang w:eastAsia="ru-RU"/>
        </w:rPr>
        <w:t xml:space="preserve"> gazelor naturale în calitate de ajutor umanitar destinat regiunii transnistrene a Republicii Moldova și 10 milioane euro pentru achiziți</w:t>
      </w:r>
      <w:r>
        <w:rPr>
          <w:b w:val="0"/>
          <w:bCs w:val="0"/>
          <w:color w:val="000000" w:themeColor="text1"/>
          <w:lang w:eastAsia="ru-RU"/>
        </w:rPr>
        <w:t>a</w:t>
      </w:r>
      <w:r w:rsidR="004A045D" w:rsidRPr="004A045D">
        <w:rPr>
          <w:b w:val="0"/>
          <w:bCs w:val="0"/>
          <w:color w:val="000000" w:themeColor="text1"/>
          <w:lang w:eastAsia="ru-RU"/>
        </w:rPr>
        <w:t xml:space="preserve"> energiei electrice pentru necesitățile malului drept al </w:t>
      </w:r>
      <w:r w:rsidR="007433FF">
        <w:rPr>
          <w:b w:val="0"/>
          <w:bCs w:val="0"/>
          <w:color w:val="000000" w:themeColor="text1"/>
          <w:lang w:eastAsia="ru-RU"/>
        </w:rPr>
        <w:t xml:space="preserve">râului </w:t>
      </w:r>
      <w:r w:rsidR="004A045D" w:rsidRPr="004A045D">
        <w:rPr>
          <w:b w:val="0"/>
          <w:bCs w:val="0"/>
          <w:color w:val="000000" w:themeColor="text1"/>
          <w:lang w:eastAsia="ru-RU"/>
        </w:rPr>
        <w:t>Nistru</w:t>
      </w:r>
      <w:r w:rsidR="00007C94">
        <w:rPr>
          <w:b w:val="0"/>
          <w:bCs w:val="0"/>
          <w:color w:val="000000" w:themeColor="text1"/>
          <w:lang w:eastAsia="ru-RU"/>
        </w:rPr>
        <w:t>)</w:t>
      </w:r>
      <w:r w:rsidR="004A045D" w:rsidRPr="004A045D">
        <w:rPr>
          <w:b w:val="0"/>
          <w:bCs w:val="0"/>
          <w:color w:val="000000" w:themeColor="text1"/>
          <w:lang w:eastAsia="ru-RU"/>
        </w:rPr>
        <w:t>, ca un prim pas pentru a sprijini Republica Moldova în soluționarea crizei energetice provocate de SAP ,,Gazprom”. Prin acest pachet, UE a finanțat achiziționarea și transportul de gaze naturale către regiunea transnistreană</w:t>
      </w:r>
      <w:r w:rsidR="00D46117">
        <w:rPr>
          <w:b w:val="0"/>
          <w:bCs w:val="0"/>
          <w:color w:val="000000" w:themeColor="text1"/>
          <w:lang w:eastAsia="ru-RU"/>
        </w:rPr>
        <w:t xml:space="preserve"> a Republicii Moldova</w:t>
      </w:r>
      <w:r w:rsidR="004A045D" w:rsidRPr="004A045D">
        <w:rPr>
          <w:b w:val="0"/>
          <w:bCs w:val="0"/>
          <w:color w:val="000000" w:themeColor="text1"/>
          <w:lang w:eastAsia="ru-RU"/>
        </w:rPr>
        <w:t xml:space="preserve">, pentru a contribui la restabilirea alimentării cu energie electrică și termică a celor peste 350 000 de locuitori ai regiunii până la 10 februarie 2025. </w:t>
      </w:r>
    </w:p>
    <w:p w14:paraId="2616995D" w14:textId="180051AD" w:rsidR="00F806FB" w:rsidRPr="00C43E6D" w:rsidRDefault="004E1A83" w:rsidP="009140E8">
      <w:pPr>
        <w:pStyle w:val="cb"/>
        <w:spacing w:after="60" w:line="276" w:lineRule="auto"/>
        <w:ind w:firstLine="540"/>
        <w:jc w:val="both"/>
        <w:rPr>
          <w:b w:val="0"/>
          <w:bCs w:val="0"/>
          <w:color w:val="000000" w:themeColor="text1"/>
          <w:lang w:eastAsia="ru-RU"/>
        </w:rPr>
      </w:pPr>
      <w:r w:rsidRPr="00642FA8">
        <w:rPr>
          <w:color w:val="000000" w:themeColor="text1"/>
          <w:lang w:eastAsia="ru-RU"/>
        </w:rPr>
        <w:t>4</w:t>
      </w:r>
      <w:r w:rsidR="00A94902">
        <w:rPr>
          <w:color w:val="000000" w:themeColor="text1"/>
          <w:lang w:eastAsia="ru-RU"/>
        </w:rPr>
        <w:t>3</w:t>
      </w:r>
      <w:r w:rsidR="00F806FB" w:rsidRPr="00642FA8">
        <w:rPr>
          <w:color w:val="000000" w:themeColor="text1"/>
          <w:lang w:eastAsia="ru-RU"/>
        </w:rPr>
        <w:t>.</w:t>
      </w:r>
      <w:r w:rsidR="00F806FB" w:rsidRPr="00642FA8">
        <w:rPr>
          <w:b w:val="0"/>
          <w:bCs w:val="0"/>
          <w:color w:val="000000" w:themeColor="text1"/>
          <w:lang w:eastAsia="ru-RU"/>
        </w:rPr>
        <w:t xml:space="preserve"> La data de 4 februarie 2025, Comisia Europeană și Republica Moldova au convenit asupra unei strategii cuprinzătoare</w:t>
      </w:r>
      <w:r w:rsidR="00F806FB" w:rsidRPr="00C43E6D">
        <w:rPr>
          <w:b w:val="0"/>
          <w:bCs w:val="0"/>
          <w:color w:val="000000" w:themeColor="text1"/>
          <w:lang w:eastAsia="ru-RU"/>
        </w:rPr>
        <w:t xml:space="preserve"> pe doi ani pentru independența și reziliența energetică a Republicii Moldova. Strategia are un dublu obiectiv: detașarea Republicii Moldova de nesiguranța aprovizionării cu gaze naturale din Rus</w:t>
      </w:r>
      <w:r w:rsidR="006416D6">
        <w:rPr>
          <w:b w:val="0"/>
          <w:bCs w:val="0"/>
          <w:color w:val="000000" w:themeColor="text1"/>
          <w:lang w:eastAsia="ru-RU"/>
        </w:rPr>
        <w:t>ia</w:t>
      </w:r>
      <w:r w:rsidR="00F806FB" w:rsidRPr="00C43E6D">
        <w:rPr>
          <w:b w:val="0"/>
          <w:bCs w:val="0"/>
          <w:color w:val="000000" w:themeColor="text1"/>
          <w:lang w:eastAsia="ru-RU"/>
        </w:rPr>
        <w:t xml:space="preserve"> și integrarea deplină a acesteia pe piața energetică a Uniunii Europene. </w:t>
      </w:r>
    </w:p>
    <w:p w14:paraId="46FBE2FD" w14:textId="3A4EB468" w:rsidR="00F806FB" w:rsidRPr="00C43E6D" w:rsidRDefault="00F806FB" w:rsidP="009140E8">
      <w:pPr>
        <w:pStyle w:val="cb"/>
        <w:spacing w:after="60" w:line="276" w:lineRule="auto"/>
        <w:jc w:val="both"/>
        <w:rPr>
          <w:b w:val="0"/>
          <w:bCs w:val="0"/>
          <w:color w:val="000000" w:themeColor="text1"/>
          <w:lang w:eastAsia="ru-RU"/>
        </w:rPr>
      </w:pPr>
      <w:r w:rsidRPr="00C43E6D">
        <w:rPr>
          <w:b w:val="0"/>
          <w:bCs w:val="0"/>
          <w:color w:val="000000" w:themeColor="text1"/>
          <w:lang w:eastAsia="ru-RU"/>
        </w:rPr>
        <w:t xml:space="preserve">În cadrul acestei strategii, </w:t>
      </w:r>
      <w:r w:rsidR="00AD50FC" w:rsidRPr="00C43E6D">
        <w:rPr>
          <w:b w:val="0"/>
          <w:bCs w:val="0"/>
          <w:color w:val="000000" w:themeColor="text1"/>
          <w:lang w:eastAsia="ru-RU"/>
        </w:rPr>
        <w:t>suportul financiar</w:t>
      </w:r>
      <w:r w:rsidRPr="00C43E6D">
        <w:rPr>
          <w:b w:val="0"/>
          <w:bCs w:val="0"/>
          <w:color w:val="000000" w:themeColor="text1"/>
          <w:lang w:eastAsia="ru-RU"/>
        </w:rPr>
        <w:t xml:space="preserve"> pentru Republica Moldova se va ridica la 250 milioane </w:t>
      </w:r>
      <w:r w:rsidR="001A5ABE">
        <w:rPr>
          <w:b w:val="0"/>
          <w:bCs w:val="0"/>
          <w:color w:val="000000" w:themeColor="text1"/>
          <w:lang w:eastAsia="ru-RU"/>
        </w:rPr>
        <w:t>E</w:t>
      </w:r>
      <w:r w:rsidRPr="00C43E6D">
        <w:rPr>
          <w:b w:val="0"/>
          <w:bCs w:val="0"/>
          <w:color w:val="000000" w:themeColor="text1"/>
          <w:lang w:eastAsia="ru-RU"/>
        </w:rPr>
        <w:t>uro pentru anul 2025</w:t>
      </w:r>
      <w:r w:rsidR="00D001CA">
        <w:rPr>
          <w:b w:val="0"/>
          <w:bCs w:val="0"/>
          <w:color w:val="000000" w:themeColor="text1"/>
          <w:lang w:eastAsia="ru-RU"/>
        </w:rPr>
        <w:t xml:space="preserve">, </w:t>
      </w:r>
      <w:r w:rsidR="00D001CA" w:rsidRPr="00D001CA">
        <w:rPr>
          <w:b w:val="0"/>
          <w:bCs w:val="0"/>
          <w:color w:val="000000" w:themeColor="text1"/>
          <w:lang w:eastAsia="ru-RU"/>
        </w:rPr>
        <w:t>cu condiția realizării anumitor măsuri de aliniere la standardele energetice ale UE, consolidarea infrastructurii și promovarea securității energetice, a eficienței și a progresului în materie de energie verde, asumate de autoritățile Republicii Moldova prin Scrisoarea de intenție semnată de Guvernul Republicii Moldova și Comisia Europeană la data de 4 februarie 2025</w:t>
      </w:r>
      <w:r w:rsidR="00D001CA">
        <w:rPr>
          <w:rStyle w:val="FootnoteReference"/>
          <w:b w:val="0"/>
          <w:bCs w:val="0"/>
          <w:color w:val="000000" w:themeColor="text1"/>
          <w:lang w:eastAsia="ru-RU"/>
        </w:rPr>
        <w:footnoteReference w:id="9"/>
      </w:r>
      <w:r w:rsidR="00D001CA">
        <w:rPr>
          <w:b w:val="0"/>
          <w:bCs w:val="0"/>
          <w:color w:val="000000" w:themeColor="text1"/>
          <w:lang w:eastAsia="ru-RU"/>
        </w:rPr>
        <w:t>.</w:t>
      </w:r>
    </w:p>
    <w:p w14:paraId="196FAE0B" w14:textId="14C26C72" w:rsidR="00082EF6" w:rsidRPr="00C43E6D" w:rsidRDefault="00F806FB" w:rsidP="009140E8">
      <w:pPr>
        <w:pStyle w:val="cb"/>
        <w:spacing w:after="60" w:line="276" w:lineRule="auto"/>
        <w:jc w:val="both"/>
        <w:rPr>
          <w:b w:val="0"/>
          <w:bCs w:val="0"/>
          <w:color w:val="000000" w:themeColor="text1"/>
          <w:lang w:eastAsia="ru-RU"/>
        </w:rPr>
      </w:pPr>
      <w:r w:rsidRPr="00B5253C">
        <w:rPr>
          <w:b w:val="0"/>
          <w:bCs w:val="0"/>
          <w:color w:val="000000" w:themeColor="text1"/>
          <w:lang w:eastAsia="ru-RU"/>
        </w:rPr>
        <w:t xml:space="preserve">Adițional la acest suport financiar și ca parte a aceleiași strategii, o ofertă de 60 de milioane </w:t>
      </w:r>
      <w:r w:rsidR="001A5ABE">
        <w:rPr>
          <w:b w:val="0"/>
          <w:bCs w:val="0"/>
          <w:color w:val="000000" w:themeColor="text1"/>
          <w:lang w:eastAsia="ru-RU"/>
        </w:rPr>
        <w:t>E</w:t>
      </w:r>
      <w:r w:rsidRPr="00B5253C">
        <w:rPr>
          <w:b w:val="0"/>
          <w:bCs w:val="0"/>
          <w:color w:val="000000" w:themeColor="text1"/>
          <w:lang w:eastAsia="ru-RU"/>
        </w:rPr>
        <w:t xml:space="preserve">uro </w:t>
      </w:r>
      <w:r w:rsidR="00B5253C" w:rsidRPr="00B5253C">
        <w:rPr>
          <w:b w:val="0"/>
          <w:bCs w:val="0"/>
          <w:color w:val="000000" w:themeColor="text1"/>
          <w:lang w:eastAsia="ru-RU"/>
        </w:rPr>
        <w:t>a fost</w:t>
      </w:r>
      <w:r w:rsidRPr="00B5253C">
        <w:rPr>
          <w:b w:val="0"/>
          <w:bCs w:val="0"/>
          <w:color w:val="000000" w:themeColor="text1"/>
          <w:lang w:eastAsia="ru-RU"/>
        </w:rPr>
        <w:t xml:space="preserve"> pusă la dispoziția </w:t>
      </w:r>
      <w:r w:rsidR="00C40CB5">
        <w:rPr>
          <w:b w:val="0"/>
          <w:bCs w:val="0"/>
          <w:color w:val="000000" w:themeColor="text1"/>
          <w:lang w:eastAsia="ru-RU"/>
        </w:rPr>
        <w:t xml:space="preserve">Guvernului pentru </w:t>
      </w:r>
      <w:r w:rsidR="00C40CB5" w:rsidRPr="00B5253C">
        <w:rPr>
          <w:b w:val="0"/>
          <w:bCs w:val="0"/>
          <w:color w:val="000000" w:themeColor="text1"/>
          <w:lang w:eastAsia="ru-RU"/>
        </w:rPr>
        <w:t>populați</w:t>
      </w:r>
      <w:r w:rsidR="00C40CB5">
        <w:rPr>
          <w:b w:val="0"/>
          <w:bCs w:val="0"/>
          <w:color w:val="000000" w:themeColor="text1"/>
          <w:lang w:eastAsia="ru-RU"/>
        </w:rPr>
        <w:t>a</w:t>
      </w:r>
      <w:r w:rsidRPr="00B5253C">
        <w:rPr>
          <w:b w:val="0"/>
          <w:bCs w:val="0"/>
          <w:color w:val="000000" w:themeColor="text1"/>
          <w:lang w:eastAsia="ru-RU"/>
        </w:rPr>
        <w:t xml:space="preserve"> din regiunea transnistreană a Republicii Moldova, sub rezerva anumitor condiții.</w:t>
      </w:r>
      <w:r w:rsidR="00B5253C">
        <w:rPr>
          <w:b w:val="0"/>
          <w:bCs w:val="0"/>
          <w:color w:val="000000" w:themeColor="text1"/>
          <w:lang w:eastAsia="ru-RU"/>
        </w:rPr>
        <w:t xml:space="preserve"> </w:t>
      </w:r>
      <w:r w:rsidR="00082EF6" w:rsidRPr="00C43E6D">
        <w:rPr>
          <w:b w:val="0"/>
          <w:bCs w:val="0"/>
          <w:color w:val="000000" w:themeColor="text1"/>
          <w:lang w:eastAsia="ru-RU"/>
        </w:rPr>
        <w:t xml:space="preserve">Cu toate acestea, </w:t>
      </w:r>
      <w:r w:rsidR="00B5253C">
        <w:rPr>
          <w:b w:val="0"/>
          <w:bCs w:val="0"/>
          <w:color w:val="000000" w:themeColor="text1"/>
          <w:lang w:eastAsia="ru-RU"/>
        </w:rPr>
        <w:t xml:space="preserve">așa-numitele </w:t>
      </w:r>
      <w:r w:rsidR="00082EF6" w:rsidRPr="00C43E6D">
        <w:rPr>
          <w:b w:val="0"/>
          <w:bCs w:val="0"/>
          <w:color w:val="000000" w:themeColor="text1"/>
          <w:lang w:eastAsia="ru-RU"/>
        </w:rPr>
        <w:t>structuri din regiunea transnistreană</w:t>
      </w:r>
      <w:r w:rsidR="00B5253C">
        <w:rPr>
          <w:b w:val="0"/>
          <w:bCs w:val="0"/>
          <w:color w:val="000000" w:themeColor="text1"/>
          <w:lang w:eastAsia="ru-RU"/>
        </w:rPr>
        <w:t xml:space="preserve"> a Republicii Moldova</w:t>
      </w:r>
      <w:r w:rsidR="00082EF6" w:rsidRPr="00C43E6D">
        <w:rPr>
          <w:b w:val="0"/>
          <w:bCs w:val="0"/>
          <w:color w:val="000000" w:themeColor="text1"/>
          <w:lang w:eastAsia="ru-RU"/>
        </w:rPr>
        <w:t xml:space="preserve"> </w:t>
      </w:r>
      <w:r w:rsidR="00B5253C">
        <w:rPr>
          <w:b w:val="0"/>
          <w:bCs w:val="0"/>
          <w:color w:val="000000" w:themeColor="text1"/>
          <w:lang w:eastAsia="ru-RU"/>
        </w:rPr>
        <w:t xml:space="preserve">nu </w:t>
      </w:r>
      <w:r w:rsidR="0061281B">
        <w:rPr>
          <w:b w:val="0"/>
          <w:bCs w:val="0"/>
          <w:color w:val="000000" w:themeColor="text1"/>
          <w:lang w:eastAsia="ru-RU"/>
        </w:rPr>
        <w:t xml:space="preserve">au </w:t>
      </w:r>
      <w:r w:rsidR="00B5253C">
        <w:rPr>
          <w:b w:val="0"/>
          <w:bCs w:val="0"/>
          <w:color w:val="000000" w:themeColor="text1"/>
          <w:lang w:eastAsia="ru-RU"/>
        </w:rPr>
        <w:t xml:space="preserve">răspuns la </w:t>
      </w:r>
      <w:r w:rsidR="00082EF6" w:rsidRPr="00C43E6D">
        <w:rPr>
          <w:b w:val="0"/>
          <w:bCs w:val="0"/>
          <w:color w:val="000000" w:themeColor="text1"/>
          <w:lang w:eastAsia="ru-RU"/>
        </w:rPr>
        <w:t xml:space="preserve">ajutorul oferit de </w:t>
      </w:r>
      <w:r w:rsidR="00B5253C">
        <w:rPr>
          <w:b w:val="0"/>
          <w:bCs w:val="0"/>
          <w:color w:val="000000" w:themeColor="text1"/>
          <w:lang w:eastAsia="ru-RU"/>
        </w:rPr>
        <w:t>UE</w:t>
      </w:r>
      <w:r w:rsidR="00082EF6" w:rsidRPr="00C43E6D">
        <w:rPr>
          <w:b w:val="0"/>
          <w:bCs w:val="0"/>
          <w:color w:val="000000" w:themeColor="text1"/>
          <w:lang w:eastAsia="ru-RU"/>
        </w:rPr>
        <w:t xml:space="preserve">, în prezent fiind asigurată livrarea gazelor naturale către </w:t>
      </w:r>
      <w:r w:rsidR="007433FF">
        <w:rPr>
          <w:b w:val="0"/>
          <w:bCs w:val="0"/>
          <w:color w:val="000000" w:themeColor="text1"/>
          <w:lang w:eastAsia="ru-RU"/>
        </w:rPr>
        <w:t>regiunea transnistreană</w:t>
      </w:r>
      <w:r w:rsidR="00082EF6" w:rsidRPr="00C43E6D">
        <w:rPr>
          <w:b w:val="0"/>
          <w:bCs w:val="0"/>
          <w:color w:val="000000" w:themeColor="text1"/>
          <w:lang w:eastAsia="ru-RU"/>
        </w:rPr>
        <w:t xml:space="preserve"> prin intermediul </w:t>
      </w:r>
      <w:r w:rsidR="00B5253C">
        <w:rPr>
          <w:b w:val="0"/>
          <w:bCs w:val="0"/>
          <w:color w:val="000000" w:themeColor="text1"/>
          <w:lang w:eastAsia="ru-RU"/>
        </w:rPr>
        <w:t xml:space="preserve">companiei </w:t>
      </w:r>
      <w:r w:rsidR="00B5253C" w:rsidRPr="00B5253C">
        <w:rPr>
          <w:b w:val="0"/>
          <w:bCs w:val="0"/>
          <w:color w:val="000000" w:themeColor="text1"/>
          <w:lang w:eastAsia="ru-RU"/>
        </w:rPr>
        <w:t>MET Gas and Energy Marketing AG</w:t>
      </w:r>
      <w:r w:rsidR="00082EF6" w:rsidRPr="00C43E6D">
        <w:rPr>
          <w:b w:val="0"/>
          <w:bCs w:val="0"/>
          <w:color w:val="000000" w:themeColor="text1"/>
          <w:lang w:eastAsia="ru-RU"/>
        </w:rPr>
        <w:t xml:space="preserve">, cu condiția respectării prevederilor Dispoziției </w:t>
      </w:r>
      <w:r w:rsidR="00D46117">
        <w:rPr>
          <w:b w:val="0"/>
          <w:bCs w:val="0"/>
          <w:color w:val="000000" w:themeColor="text1"/>
          <w:lang w:eastAsia="ru-RU"/>
        </w:rPr>
        <w:t>CSE</w:t>
      </w:r>
      <w:r w:rsidR="00082EF6" w:rsidRPr="00C43E6D">
        <w:rPr>
          <w:b w:val="0"/>
          <w:bCs w:val="0"/>
          <w:color w:val="000000" w:themeColor="text1"/>
          <w:lang w:eastAsia="ru-RU"/>
        </w:rPr>
        <w:t xml:space="preserve"> nr. 8 din 10 februarie 2025, care stabilește că, în vederea asigurării livrării de gaze naturale către regiunea transnistreană a Republicii Moldova ca urmare a stopării livrărilor de către SAP ,,Gazprom”, prin derogare de la art. 13 alin. (2) din Legea nr. 108/2016 cu privire la gazele naturale și de la normele privind aprobarea deciziilor de către consiliu și/sau de către adunarea generală a acționarilor, SA ,,Moldovagaz” poate încheia contracte de vânzare-cumpărare a gazelor naturale pentru a fi livrate către SRL ,,Tiraspoltransgaz”, cu condiția recepționării plăților în avans pentru gazele naturale și serviciile de transport.</w:t>
      </w:r>
    </w:p>
    <w:p w14:paraId="7ACCAF58" w14:textId="01C71501" w:rsidR="00082EF6" w:rsidRPr="00C43E6D" w:rsidRDefault="004E1A83" w:rsidP="009140E8">
      <w:pPr>
        <w:pStyle w:val="cb"/>
        <w:spacing w:after="60" w:line="276" w:lineRule="auto"/>
        <w:ind w:firstLine="540"/>
        <w:jc w:val="both"/>
        <w:rPr>
          <w:b w:val="0"/>
          <w:bCs w:val="0"/>
          <w:color w:val="000000" w:themeColor="text1"/>
          <w:lang w:eastAsia="ru-RU"/>
        </w:rPr>
      </w:pPr>
      <w:r w:rsidRPr="00C43E6D">
        <w:rPr>
          <w:color w:val="000000" w:themeColor="text1"/>
          <w:lang w:eastAsia="ru-RU"/>
        </w:rPr>
        <w:t>44</w:t>
      </w:r>
      <w:r w:rsidR="00082EF6" w:rsidRPr="00C43E6D">
        <w:rPr>
          <w:color w:val="000000" w:themeColor="text1"/>
          <w:lang w:eastAsia="ru-RU"/>
        </w:rPr>
        <w:t>.</w:t>
      </w:r>
      <w:r w:rsidR="00082EF6" w:rsidRPr="00C43E6D">
        <w:rPr>
          <w:b w:val="0"/>
          <w:bCs w:val="0"/>
          <w:color w:val="000000" w:themeColor="text1"/>
          <w:lang w:eastAsia="ru-RU"/>
        </w:rPr>
        <w:t xml:space="preserve"> Întru identificarea unui mecanism mai durabil de aprovizionare cu gaze naturale a regiunii transnistrene a Republicii Moldova, unde </w:t>
      </w:r>
      <w:r w:rsidR="00BC7F4C" w:rsidRPr="00C43E6D">
        <w:rPr>
          <w:b w:val="0"/>
          <w:bCs w:val="0"/>
          <w:color w:val="000000" w:themeColor="text1"/>
          <w:lang w:eastAsia="ru-RU"/>
        </w:rPr>
        <w:t>activează</w:t>
      </w:r>
      <w:r w:rsidR="00082EF6" w:rsidRPr="00C43E6D">
        <w:rPr>
          <w:b w:val="0"/>
          <w:bCs w:val="0"/>
          <w:color w:val="000000" w:themeColor="text1"/>
          <w:lang w:eastAsia="ru-RU"/>
        </w:rPr>
        <w:t xml:space="preserve"> întreprinderi</w:t>
      </w:r>
      <w:r w:rsidR="00BC7F4C" w:rsidRPr="00C43E6D">
        <w:rPr>
          <w:b w:val="0"/>
          <w:bCs w:val="0"/>
          <w:color w:val="000000" w:themeColor="text1"/>
          <w:lang w:eastAsia="ru-RU"/>
        </w:rPr>
        <w:t xml:space="preserve"> nelicențiate</w:t>
      </w:r>
      <w:r w:rsidR="00082EF6" w:rsidRPr="00C43E6D">
        <w:rPr>
          <w:b w:val="0"/>
          <w:bCs w:val="0"/>
          <w:color w:val="000000" w:themeColor="text1"/>
          <w:lang w:eastAsia="ru-RU"/>
        </w:rPr>
        <w:t xml:space="preserve"> din sector</w:t>
      </w:r>
      <w:r w:rsidR="00BC7F4C" w:rsidRPr="00C43E6D">
        <w:rPr>
          <w:b w:val="0"/>
          <w:bCs w:val="0"/>
          <w:color w:val="000000" w:themeColor="text1"/>
          <w:lang w:eastAsia="ru-RU"/>
        </w:rPr>
        <w:t>ul energetic</w:t>
      </w:r>
      <w:r w:rsidR="00082EF6" w:rsidRPr="00C43E6D">
        <w:rPr>
          <w:b w:val="0"/>
          <w:bCs w:val="0"/>
          <w:color w:val="000000" w:themeColor="text1"/>
          <w:lang w:eastAsia="ru-RU"/>
        </w:rPr>
        <w:t xml:space="preserve">, </w:t>
      </w:r>
      <w:r w:rsidR="003E77A0">
        <w:rPr>
          <w:b w:val="0"/>
          <w:bCs w:val="0"/>
          <w:color w:val="000000" w:themeColor="text1"/>
          <w:lang w:eastAsia="ru-RU"/>
        </w:rPr>
        <w:t xml:space="preserve">prin Legea nr. 152/2025 </w:t>
      </w:r>
      <w:r w:rsidR="003E77A0" w:rsidRPr="003E77A0">
        <w:rPr>
          <w:b w:val="0"/>
          <w:bCs w:val="0"/>
          <w:color w:val="000000" w:themeColor="text1"/>
          <w:lang w:eastAsia="ru-RU"/>
        </w:rPr>
        <w:t>cu privire la modificarea unor acte normative (securitatea aprovizionării cu gaze naturale și alte aspecte ce țin de sectorul gazelor naturale)</w:t>
      </w:r>
      <w:r w:rsidR="00082EF6" w:rsidRPr="00C43E6D">
        <w:rPr>
          <w:b w:val="0"/>
          <w:bCs w:val="0"/>
          <w:color w:val="000000" w:themeColor="text1"/>
          <w:lang w:eastAsia="ru-RU"/>
        </w:rPr>
        <w:t xml:space="preserve"> au fost efectuate modificări la Legea nr. 108/2016 cu privire la gazele naturale.</w:t>
      </w:r>
    </w:p>
    <w:p w14:paraId="04BC392A" w14:textId="553B2856" w:rsidR="00082EF6" w:rsidRPr="00C43E6D" w:rsidRDefault="004E1A83" w:rsidP="009140E8">
      <w:pPr>
        <w:pStyle w:val="NormalWeb"/>
        <w:spacing w:before="0" w:after="60" w:line="276" w:lineRule="auto"/>
        <w:ind w:firstLine="540"/>
        <w:jc w:val="both"/>
        <w:rPr>
          <w:color w:val="000000" w:themeColor="text1"/>
          <w:lang w:val="ro-MD" w:eastAsia="ru-RU"/>
        </w:rPr>
      </w:pPr>
      <w:r w:rsidRPr="00C43E6D">
        <w:rPr>
          <w:b/>
          <w:bCs/>
          <w:color w:val="000000" w:themeColor="text1"/>
          <w:lang w:val="ro-MD" w:eastAsia="ru-RU"/>
        </w:rPr>
        <w:lastRenderedPageBreak/>
        <w:t>45</w:t>
      </w:r>
      <w:r w:rsidR="00082EF6" w:rsidRPr="00C43E6D">
        <w:rPr>
          <w:b/>
          <w:bCs/>
          <w:color w:val="000000" w:themeColor="text1"/>
          <w:lang w:val="ro-MD" w:eastAsia="ru-RU"/>
        </w:rPr>
        <w:t>.</w:t>
      </w:r>
      <w:r w:rsidR="00082EF6" w:rsidRPr="00C43E6D">
        <w:rPr>
          <w:color w:val="000000" w:themeColor="text1"/>
          <w:lang w:val="ro-MD" w:eastAsia="ru-RU"/>
        </w:rPr>
        <w:t xml:space="preserve"> În temeiul art. 108</w:t>
      </w:r>
      <w:r w:rsidR="00082EF6" w:rsidRPr="00C43E6D">
        <w:rPr>
          <w:color w:val="000000" w:themeColor="text1"/>
          <w:vertAlign w:val="superscript"/>
          <w:lang w:val="ro-MD" w:eastAsia="ru-RU"/>
        </w:rPr>
        <w:t>1</w:t>
      </w:r>
      <w:r w:rsidR="00082EF6" w:rsidRPr="00C43E6D">
        <w:rPr>
          <w:b/>
          <w:bCs/>
          <w:color w:val="000000" w:themeColor="text1"/>
          <w:lang w:val="ro-MD" w:eastAsia="ru-RU"/>
        </w:rPr>
        <w:t xml:space="preserve"> </w:t>
      </w:r>
      <w:r w:rsidR="00082EF6" w:rsidRPr="00C43E6D">
        <w:rPr>
          <w:color w:val="000000" w:themeColor="text1"/>
          <w:lang w:val="ro-MD" w:eastAsia="ru-RU"/>
        </w:rPr>
        <w:t xml:space="preserve">din Legea nr. 108/2016 cu privire la gazele naturale, Guvernul prin Hotărârea </w:t>
      </w:r>
      <w:r w:rsidR="00082EF6" w:rsidRPr="00C43E6D">
        <w:rPr>
          <w:color w:val="000000" w:themeColor="text1"/>
          <w:lang w:val="ro-MD" w:eastAsia="ru-RU"/>
        </w:rPr>
        <w:br/>
        <w:t>nr. 668</w:t>
      </w:r>
      <w:r w:rsidR="0061281B">
        <w:rPr>
          <w:color w:val="000000" w:themeColor="text1"/>
          <w:lang w:val="ro-MD" w:eastAsia="ru-RU"/>
        </w:rPr>
        <w:t>/</w:t>
      </w:r>
      <w:r w:rsidR="00082EF6" w:rsidRPr="00C43E6D">
        <w:rPr>
          <w:color w:val="000000" w:themeColor="text1"/>
          <w:lang w:val="ro-MD" w:eastAsia="ru-RU"/>
        </w:rPr>
        <w:t>2022 a desemnat SA „Energocom” în calitate de entitate pentru crearea și menținerea stocurilor de securitate de gaze naturale.</w:t>
      </w:r>
    </w:p>
    <w:p w14:paraId="43E9BC0D" w14:textId="77777777" w:rsidR="00082EF6" w:rsidRPr="00C43E6D" w:rsidRDefault="00082EF6" w:rsidP="009140E8">
      <w:pPr>
        <w:pStyle w:val="NormalWeb"/>
        <w:spacing w:before="0" w:after="60" w:line="276" w:lineRule="auto"/>
        <w:jc w:val="both"/>
        <w:rPr>
          <w:lang w:val="ro-MD"/>
        </w:rPr>
      </w:pPr>
      <w:r w:rsidRPr="00C43E6D">
        <w:rPr>
          <w:color w:val="000000" w:themeColor="text1"/>
          <w:lang w:val="ro-MD" w:eastAsia="ru-RU"/>
        </w:rPr>
        <w:t>Potrivit art. VI alin. (11) din Legea nr. 249/2022, crearea stocurilor de securitate se realizează gradual, conform cantităților stabilite de Guvern, care trebuie să corespundă cu:</w:t>
      </w:r>
    </w:p>
    <w:p w14:paraId="78E0169C" w14:textId="77777777" w:rsidR="00082EF6" w:rsidRPr="00C43E6D" w:rsidRDefault="00082EF6" w:rsidP="009140E8">
      <w:pPr>
        <w:pStyle w:val="cb"/>
        <w:spacing w:after="60" w:line="276" w:lineRule="auto"/>
        <w:ind w:firstLine="720"/>
        <w:jc w:val="both"/>
        <w:rPr>
          <w:b w:val="0"/>
          <w:bCs w:val="0"/>
          <w:color w:val="000000" w:themeColor="text1"/>
          <w:lang w:eastAsia="ru-RU"/>
        </w:rPr>
      </w:pPr>
      <w:r w:rsidRPr="00C43E6D">
        <w:rPr>
          <w:b w:val="0"/>
          <w:bCs w:val="0"/>
          <w:color w:val="000000" w:themeColor="text1"/>
          <w:lang w:eastAsia="ru-RU"/>
        </w:rPr>
        <w:t>a) nu mai puțin de 4 zile de consum – începând cu 15 septembrie 2022;</w:t>
      </w:r>
    </w:p>
    <w:p w14:paraId="47D06159" w14:textId="77777777" w:rsidR="00082EF6" w:rsidRPr="00C43E6D" w:rsidRDefault="00082EF6" w:rsidP="009140E8">
      <w:pPr>
        <w:pStyle w:val="cb"/>
        <w:spacing w:after="60" w:line="276" w:lineRule="auto"/>
        <w:ind w:firstLine="720"/>
        <w:jc w:val="both"/>
        <w:rPr>
          <w:b w:val="0"/>
          <w:bCs w:val="0"/>
          <w:color w:val="000000" w:themeColor="text1"/>
          <w:lang w:eastAsia="ru-RU"/>
        </w:rPr>
      </w:pPr>
      <w:r w:rsidRPr="00C43E6D">
        <w:rPr>
          <w:b w:val="0"/>
          <w:bCs w:val="0"/>
          <w:color w:val="000000" w:themeColor="text1"/>
          <w:lang w:eastAsia="ru-RU"/>
        </w:rPr>
        <w:t>b) nu mai puțin de 8 zile de consum – începând cu 1 octombrie 2023;</w:t>
      </w:r>
    </w:p>
    <w:p w14:paraId="203364C8" w14:textId="77777777" w:rsidR="00082EF6" w:rsidRPr="00C43E6D" w:rsidRDefault="00082EF6" w:rsidP="009140E8">
      <w:pPr>
        <w:pStyle w:val="cb"/>
        <w:spacing w:after="60" w:line="276" w:lineRule="auto"/>
        <w:ind w:firstLine="720"/>
        <w:jc w:val="both"/>
        <w:rPr>
          <w:b w:val="0"/>
          <w:bCs w:val="0"/>
          <w:color w:val="000000" w:themeColor="text1"/>
          <w:lang w:eastAsia="ru-RU"/>
        </w:rPr>
      </w:pPr>
      <w:r w:rsidRPr="00C43E6D">
        <w:rPr>
          <w:b w:val="0"/>
          <w:bCs w:val="0"/>
          <w:color w:val="000000" w:themeColor="text1"/>
          <w:lang w:eastAsia="ru-RU"/>
        </w:rPr>
        <w:t>c) nu mai puțin de 10 zile de consum – începând cu 1 octombrie 2024.</w:t>
      </w:r>
    </w:p>
    <w:p w14:paraId="6EAE1123" w14:textId="77777777" w:rsidR="00082EF6" w:rsidRPr="00C43E6D" w:rsidRDefault="00082EF6" w:rsidP="009140E8">
      <w:pPr>
        <w:pStyle w:val="cb"/>
        <w:spacing w:after="60" w:line="276" w:lineRule="auto"/>
        <w:jc w:val="both"/>
        <w:rPr>
          <w:b w:val="0"/>
          <w:bCs w:val="0"/>
          <w:color w:val="000000" w:themeColor="text1"/>
          <w:lang w:eastAsia="ru-RU"/>
        </w:rPr>
      </w:pPr>
      <w:r w:rsidRPr="00C43E6D">
        <w:rPr>
          <w:b w:val="0"/>
          <w:bCs w:val="0"/>
          <w:color w:val="000000" w:themeColor="text1"/>
          <w:lang w:eastAsia="ru-RU"/>
        </w:rPr>
        <w:t xml:space="preserve">Corespunzător, în conformitate cu pct. 6 din Hotărârea Guvernului nr. 668/2022, în anul 2022 </w:t>
      </w:r>
      <w:r w:rsidRPr="00C43E6D">
        <w:rPr>
          <w:b w:val="0"/>
          <w:bCs w:val="0"/>
          <w:color w:val="000000" w:themeColor="text1"/>
          <w:lang w:eastAsia="ru-RU"/>
        </w:rPr>
        <w:br/>
        <w:t>SA „Energocom” a constituit stocuri de securitate de gaze naturale în mărime de 22,8 mil. m</w:t>
      </w:r>
      <w:r w:rsidRPr="00C43E6D">
        <w:rPr>
          <w:b w:val="0"/>
          <w:bCs w:val="0"/>
          <w:color w:val="000000" w:themeColor="text1"/>
          <w:vertAlign w:val="superscript"/>
          <w:lang w:eastAsia="ru-RU"/>
        </w:rPr>
        <w:t>3</w:t>
      </w:r>
      <w:r w:rsidRPr="00C43E6D">
        <w:rPr>
          <w:b w:val="0"/>
          <w:bCs w:val="0"/>
          <w:color w:val="000000" w:themeColor="text1"/>
          <w:lang w:eastAsia="ru-RU"/>
        </w:rPr>
        <w:t xml:space="preserve">. </w:t>
      </w:r>
    </w:p>
    <w:p w14:paraId="26D46CAB" w14:textId="206992D3" w:rsidR="00082EF6" w:rsidRPr="00C43E6D" w:rsidRDefault="00082EF6" w:rsidP="009140E8">
      <w:pPr>
        <w:pStyle w:val="cb"/>
        <w:spacing w:after="60" w:line="276" w:lineRule="auto"/>
        <w:jc w:val="both"/>
        <w:rPr>
          <w:b w:val="0"/>
          <w:bCs w:val="0"/>
          <w:color w:val="000000" w:themeColor="text1"/>
          <w:lang w:eastAsia="ru-RU"/>
        </w:rPr>
      </w:pPr>
      <w:r w:rsidRPr="00C43E6D">
        <w:rPr>
          <w:b w:val="0"/>
          <w:bCs w:val="0"/>
          <w:color w:val="000000" w:themeColor="text1"/>
          <w:lang w:eastAsia="ru-RU"/>
        </w:rPr>
        <w:t>În anul 2023, prin Hotărârea Guvernului nr. 331/2023, cantitatea de gaze naturale stocată în calitate de stocuri de securitate s-a stabilit la nivelul de 45,6 mil. m</w:t>
      </w:r>
      <w:r w:rsidRPr="00C43E6D">
        <w:rPr>
          <w:b w:val="0"/>
          <w:bCs w:val="0"/>
          <w:color w:val="000000" w:themeColor="text1"/>
          <w:vertAlign w:val="superscript"/>
          <w:lang w:eastAsia="ru-RU"/>
        </w:rPr>
        <w:t>3</w:t>
      </w:r>
      <w:r w:rsidRPr="00C43E6D">
        <w:rPr>
          <w:b w:val="0"/>
          <w:bCs w:val="0"/>
          <w:color w:val="000000" w:themeColor="text1"/>
          <w:lang w:eastAsia="ru-RU"/>
        </w:rPr>
        <w:t>, respectiv SA „Energocom” a mai procurat 22,8 mil. m</w:t>
      </w:r>
      <w:r w:rsidRPr="00C43E6D">
        <w:rPr>
          <w:b w:val="0"/>
          <w:bCs w:val="0"/>
          <w:color w:val="000000" w:themeColor="text1"/>
          <w:vertAlign w:val="superscript"/>
          <w:lang w:eastAsia="ru-RU"/>
        </w:rPr>
        <w:t>3</w:t>
      </w:r>
      <w:r w:rsidRPr="00C43E6D">
        <w:rPr>
          <w:b w:val="0"/>
          <w:bCs w:val="0"/>
          <w:color w:val="000000" w:themeColor="text1"/>
          <w:lang w:eastAsia="ru-RU"/>
        </w:rPr>
        <w:t xml:space="preserve"> de gaze naturale pentru a fi stocate.</w:t>
      </w:r>
    </w:p>
    <w:p w14:paraId="18DC0E12" w14:textId="54DE5865" w:rsidR="00082EF6" w:rsidRPr="00C43E6D" w:rsidRDefault="00082EF6" w:rsidP="009140E8">
      <w:pPr>
        <w:pStyle w:val="cb"/>
        <w:spacing w:after="60" w:line="276" w:lineRule="auto"/>
        <w:jc w:val="both"/>
        <w:rPr>
          <w:b w:val="0"/>
          <w:bCs w:val="0"/>
          <w:color w:val="000000" w:themeColor="text1"/>
          <w:lang w:eastAsia="ru-RU"/>
        </w:rPr>
      </w:pPr>
      <w:r w:rsidRPr="00C43E6D">
        <w:rPr>
          <w:b w:val="0"/>
          <w:bCs w:val="0"/>
          <w:color w:val="000000" w:themeColor="text1"/>
          <w:lang w:eastAsia="ru-RU"/>
        </w:rPr>
        <w:t>În anul 2024, prin Hotărârea Guvernului nr. 364/2024, cantitatea de gaze naturale stocată în calitate de stocuri de securitate s-a stabilit la nivelul de 47,1 mil. m</w:t>
      </w:r>
      <w:r w:rsidRPr="00C43E6D">
        <w:rPr>
          <w:b w:val="0"/>
          <w:bCs w:val="0"/>
          <w:color w:val="000000" w:themeColor="text1"/>
          <w:vertAlign w:val="superscript"/>
          <w:lang w:eastAsia="ru-RU"/>
        </w:rPr>
        <w:t>3</w:t>
      </w:r>
      <w:r w:rsidRPr="00C43E6D">
        <w:rPr>
          <w:b w:val="0"/>
          <w:bCs w:val="0"/>
          <w:color w:val="000000" w:themeColor="text1"/>
          <w:lang w:eastAsia="ru-RU"/>
        </w:rPr>
        <w:t>, respectiv SA „Energocom” a mai procurat 1,5 mil. m</w:t>
      </w:r>
      <w:r w:rsidRPr="00C43E6D">
        <w:rPr>
          <w:b w:val="0"/>
          <w:bCs w:val="0"/>
          <w:color w:val="000000" w:themeColor="text1"/>
          <w:vertAlign w:val="superscript"/>
          <w:lang w:eastAsia="ru-RU"/>
        </w:rPr>
        <w:t>3</w:t>
      </w:r>
      <w:r w:rsidRPr="00C43E6D">
        <w:rPr>
          <w:b w:val="0"/>
          <w:bCs w:val="0"/>
          <w:color w:val="000000" w:themeColor="text1"/>
          <w:lang w:eastAsia="ru-RU"/>
        </w:rPr>
        <w:t xml:space="preserve"> de gaze naturale pentru a fi stocate și pentru a respecta prevederile legale.</w:t>
      </w:r>
    </w:p>
    <w:p w14:paraId="3E59A6D3" w14:textId="02252625" w:rsidR="00082EF6" w:rsidRPr="00C43E6D" w:rsidRDefault="00082EF6" w:rsidP="009140E8">
      <w:pPr>
        <w:pStyle w:val="cb"/>
        <w:spacing w:after="60" w:line="276" w:lineRule="auto"/>
        <w:jc w:val="both"/>
        <w:rPr>
          <w:b w:val="0"/>
          <w:bCs w:val="0"/>
          <w:color w:val="000000" w:themeColor="text1"/>
          <w:lang w:eastAsia="ru-RU"/>
        </w:rPr>
      </w:pPr>
      <w:r w:rsidRPr="00C43E6D">
        <w:rPr>
          <w:b w:val="0"/>
          <w:bCs w:val="0"/>
          <w:color w:val="000000" w:themeColor="text1"/>
          <w:lang w:eastAsia="ru-RU"/>
        </w:rPr>
        <w:t>În anul 2025, prin Hotărârea Guvernului nr. 302/2025, cantitatea de gaze naturale stocată în calitate de stocuri de securitate s-a stabilit la nivelul de 50 mil. m</w:t>
      </w:r>
      <w:r w:rsidRPr="00C43E6D">
        <w:rPr>
          <w:b w:val="0"/>
          <w:bCs w:val="0"/>
          <w:color w:val="000000" w:themeColor="text1"/>
          <w:vertAlign w:val="superscript"/>
          <w:lang w:eastAsia="ru-RU"/>
        </w:rPr>
        <w:t>3</w:t>
      </w:r>
      <w:r w:rsidRPr="00C43E6D">
        <w:rPr>
          <w:b w:val="0"/>
          <w:bCs w:val="0"/>
          <w:color w:val="000000" w:themeColor="text1"/>
          <w:lang w:eastAsia="ru-RU"/>
        </w:rPr>
        <w:t>, respectiv SA „Energocom” urmează să procure până la 1 octombrie 2025, 2,9 mil. m</w:t>
      </w:r>
      <w:r w:rsidRPr="00C43E6D">
        <w:rPr>
          <w:b w:val="0"/>
          <w:bCs w:val="0"/>
          <w:color w:val="000000" w:themeColor="text1"/>
          <w:vertAlign w:val="superscript"/>
          <w:lang w:eastAsia="ru-RU"/>
        </w:rPr>
        <w:t>3</w:t>
      </w:r>
      <w:r w:rsidRPr="00C43E6D">
        <w:rPr>
          <w:b w:val="0"/>
          <w:bCs w:val="0"/>
          <w:color w:val="000000" w:themeColor="text1"/>
          <w:lang w:eastAsia="ru-RU"/>
        </w:rPr>
        <w:t xml:space="preserve"> de gaze naturale pentru a asigura nivelul stocurilor de securitate stabilit și pentru a respecta prevederile legale.</w:t>
      </w:r>
    </w:p>
    <w:p w14:paraId="22E78C73" w14:textId="177BF9C1" w:rsidR="008A3DB5" w:rsidRPr="00C43E6D" w:rsidRDefault="004E1A83" w:rsidP="009140E8">
      <w:pPr>
        <w:pStyle w:val="cb"/>
        <w:spacing w:after="60" w:line="276" w:lineRule="auto"/>
        <w:ind w:firstLine="540"/>
        <w:jc w:val="both"/>
        <w:rPr>
          <w:b w:val="0"/>
          <w:bCs w:val="0"/>
          <w:color w:val="000000" w:themeColor="text1"/>
          <w:lang w:eastAsia="ru-RU"/>
        </w:rPr>
      </w:pPr>
      <w:r w:rsidRPr="00C43E6D">
        <w:rPr>
          <w:color w:val="000000" w:themeColor="text1"/>
          <w:lang w:eastAsia="ru-RU"/>
        </w:rPr>
        <w:t>46</w:t>
      </w:r>
      <w:r w:rsidR="00082EF6" w:rsidRPr="00C43E6D">
        <w:rPr>
          <w:color w:val="000000" w:themeColor="text1"/>
          <w:lang w:eastAsia="ru-RU"/>
        </w:rPr>
        <w:t>.</w:t>
      </w:r>
      <w:r w:rsidR="00082EF6" w:rsidRPr="00C43E6D">
        <w:rPr>
          <w:b w:val="0"/>
          <w:bCs w:val="0"/>
          <w:color w:val="000000" w:themeColor="text1"/>
          <w:lang w:eastAsia="ru-RU"/>
        </w:rPr>
        <w:t xml:space="preserve"> Republica Moldova a transpus Regulamentul (CE) nr. 2022/1032 </w:t>
      </w:r>
      <w:bookmarkStart w:id="10" w:name="_Hlk200725121"/>
      <w:r w:rsidR="00082EF6" w:rsidRPr="00C43E6D">
        <w:rPr>
          <w:b w:val="0"/>
          <w:bCs w:val="0"/>
          <w:color w:val="000000" w:themeColor="text1"/>
          <w:lang w:eastAsia="ru-RU"/>
        </w:rPr>
        <w:t xml:space="preserve">în ceea ce privește </w:t>
      </w:r>
      <w:r w:rsidR="00DA771E">
        <w:rPr>
          <w:b w:val="0"/>
          <w:bCs w:val="0"/>
          <w:color w:val="000000" w:themeColor="text1"/>
          <w:lang w:eastAsia="ru-RU"/>
        </w:rPr>
        <w:t>stocarea</w:t>
      </w:r>
      <w:r w:rsidR="00082EF6" w:rsidRPr="00C43E6D">
        <w:rPr>
          <w:b w:val="0"/>
          <w:bCs w:val="0"/>
          <w:color w:val="000000" w:themeColor="text1"/>
          <w:lang w:eastAsia="ru-RU"/>
        </w:rPr>
        <w:t xml:space="preserve"> gazelor </w:t>
      </w:r>
      <w:r w:rsidR="00642FA8">
        <w:rPr>
          <w:b w:val="0"/>
          <w:bCs w:val="0"/>
          <w:color w:val="000000" w:themeColor="text1"/>
          <w:lang w:eastAsia="ru-RU"/>
        </w:rPr>
        <w:t>naturale</w:t>
      </w:r>
      <w:bookmarkEnd w:id="10"/>
      <w:r w:rsidR="00642FA8">
        <w:rPr>
          <w:b w:val="0"/>
          <w:bCs w:val="0"/>
          <w:color w:val="000000" w:themeColor="text1"/>
          <w:lang w:eastAsia="ru-RU"/>
        </w:rPr>
        <w:t xml:space="preserve"> </w:t>
      </w:r>
      <w:r w:rsidR="00082EF6" w:rsidRPr="00C43E6D">
        <w:rPr>
          <w:b w:val="0"/>
          <w:bCs w:val="0"/>
          <w:color w:val="000000" w:themeColor="text1"/>
          <w:lang w:eastAsia="ru-RU"/>
        </w:rPr>
        <w:t>prin modificările efectuate la Legea nr. 108/2016 cu privire la gazele naturale prin Legea nr. 429/2023</w:t>
      </w:r>
      <w:r w:rsidR="00082EF6" w:rsidRPr="00C43E6D">
        <w:t xml:space="preserve"> </w:t>
      </w:r>
      <w:r w:rsidR="00082EF6" w:rsidRPr="00C43E6D">
        <w:rPr>
          <w:b w:val="0"/>
          <w:bCs w:val="0"/>
          <w:color w:val="000000" w:themeColor="text1"/>
          <w:lang w:eastAsia="ru-RU"/>
        </w:rPr>
        <w:t xml:space="preserve">pentru modificarea unor acte normative. </w:t>
      </w:r>
      <w:r w:rsidR="00745583">
        <w:rPr>
          <w:b w:val="0"/>
          <w:bCs w:val="0"/>
          <w:color w:val="000000" w:themeColor="text1"/>
          <w:lang w:eastAsia="ru-RU"/>
        </w:rPr>
        <w:t xml:space="preserve">În </w:t>
      </w:r>
      <w:r w:rsidR="00745583" w:rsidRPr="00745583">
        <w:rPr>
          <w:b w:val="0"/>
          <w:bCs w:val="0"/>
          <w:color w:val="000000" w:themeColor="text1"/>
          <w:lang w:eastAsia="ru-RU"/>
        </w:rPr>
        <w:t xml:space="preserve">Raportul </w:t>
      </w:r>
      <w:r w:rsidR="00745583">
        <w:rPr>
          <w:b w:val="0"/>
          <w:bCs w:val="0"/>
          <w:color w:val="000000" w:themeColor="text1"/>
          <w:lang w:eastAsia="ru-RU"/>
        </w:rPr>
        <w:t xml:space="preserve">pentru anul 2024 al </w:t>
      </w:r>
      <w:r w:rsidR="00745583" w:rsidRPr="00745583">
        <w:rPr>
          <w:b w:val="0"/>
          <w:bCs w:val="0"/>
          <w:color w:val="000000" w:themeColor="text1"/>
          <w:lang w:eastAsia="ru-RU"/>
        </w:rPr>
        <w:t>Secretariatului Comunității Energiei privind punerea în aplicare a Regulamentului (UE) 2022/1032</w:t>
      </w:r>
      <w:r w:rsidR="00DB1F51">
        <w:rPr>
          <w:rStyle w:val="FootnoteReference"/>
          <w:b w:val="0"/>
          <w:bCs w:val="0"/>
          <w:color w:val="000000" w:themeColor="text1"/>
          <w:lang w:eastAsia="ru-RU"/>
        </w:rPr>
        <w:footnoteReference w:id="10"/>
      </w:r>
      <w:r w:rsidR="00745583">
        <w:rPr>
          <w:b w:val="0"/>
          <w:bCs w:val="0"/>
          <w:color w:val="000000" w:themeColor="text1"/>
          <w:lang w:eastAsia="ru-RU"/>
        </w:rPr>
        <w:t>, este menționat că</w:t>
      </w:r>
      <w:r w:rsidR="00DB1F51">
        <w:rPr>
          <w:b w:val="0"/>
          <w:bCs w:val="0"/>
          <w:color w:val="000000" w:themeColor="text1"/>
          <w:lang w:eastAsia="ru-RU"/>
        </w:rPr>
        <w:t xml:space="preserve">, Republica </w:t>
      </w:r>
      <w:r w:rsidR="00DB1F51" w:rsidRPr="00DB1F51">
        <w:rPr>
          <w:b w:val="0"/>
          <w:bCs w:val="0"/>
          <w:color w:val="000000" w:themeColor="text1"/>
          <w:lang w:eastAsia="ru-RU"/>
        </w:rPr>
        <w:t xml:space="preserve">Moldova a transpus cu succes regulamentul în legislația națională și l-a pus în practică prin stocarea gazelor </w:t>
      </w:r>
      <w:r w:rsidR="00DB1F51">
        <w:rPr>
          <w:b w:val="0"/>
          <w:bCs w:val="0"/>
          <w:color w:val="000000" w:themeColor="text1"/>
          <w:lang w:eastAsia="ru-RU"/>
        </w:rPr>
        <w:t xml:space="preserve">naturale </w:t>
      </w:r>
      <w:r w:rsidR="00DB1F51" w:rsidRPr="00DB1F51">
        <w:rPr>
          <w:b w:val="0"/>
          <w:bCs w:val="0"/>
          <w:color w:val="000000" w:themeColor="text1"/>
          <w:lang w:eastAsia="ru-RU"/>
        </w:rPr>
        <w:t xml:space="preserve">în instalațiile </w:t>
      </w:r>
      <w:r w:rsidR="00DB1F51">
        <w:rPr>
          <w:b w:val="0"/>
          <w:bCs w:val="0"/>
          <w:color w:val="000000" w:themeColor="text1"/>
          <w:lang w:eastAsia="ru-RU"/>
        </w:rPr>
        <w:t xml:space="preserve">de stocare din </w:t>
      </w:r>
      <w:r w:rsidR="00DB1F51" w:rsidRPr="00DB1F51">
        <w:rPr>
          <w:b w:val="0"/>
          <w:bCs w:val="0"/>
          <w:color w:val="000000" w:themeColor="text1"/>
          <w:lang w:eastAsia="ru-RU"/>
        </w:rPr>
        <w:t>țăril</w:t>
      </w:r>
      <w:r w:rsidR="00DB1F51">
        <w:rPr>
          <w:b w:val="0"/>
          <w:bCs w:val="0"/>
          <w:color w:val="000000" w:themeColor="text1"/>
          <w:lang w:eastAsia="ru-RU"/>
        </w:rPr>
        <w:t>e</w:t>
      </w:r>
      <w:r w:rsidR="00DB1F51" w:rsidRPr="00DB1F51">
        <w:rPr>
          <w:b w:val="0"/>
          <w:bCs w:val="0"/>
          <w:color w:val="000000" w:themeColor="text1"/>
          <w:lang w:eastAsia="ru-RU"/>
        </w:rPr>
        <w:t xml:space="preserve"> vecine, </w:t>
      </w:r>
      <w:r w:rsidR="00DB1F51">
        <w:rPr>
          <w:b w:val="0"/>
          <w:bCs w:val="0"/>
          <w:color w:val="000000" w:themeColor="text1"/>
          <w:lang w:eastAsia="ru-RU"/>
        </w:rPr>
        <w:t xml:space="preserve">oferind </w:t>
      </w:r>
      <w:r w:rsidR="00DB1F51" w:rsidRPr="00DB1F51">
        <w:rPr>
          <w:b w:val="0"/>
          <w:bCs w:val="0"/>
          <w:color w:val="000000" w:themeColor="text1"/>
          <w:lang w:eastAsia="ru-RU"/>
        </w:rPr>
        <w:t>astfel un exemplu altor țări care nu dispun de capacități interne de stocare</w:t>
      </w:r>
      <w:r w:rsidR="00745583" w:rsidRPr="00745583">
        <w:rPr>
          <w:b w:val="0"/>
          <w:bCs w:val="0"/>
          <w:color w:val="000000" w:themeColor="text1"/>
          <w:lang w:eastAsia="ru-RU"/>
        </w:rPr>
        <w:t>.</w:t>
      </w:r>
      <w:r w:rsidR="00DB1F51">
        <w:rPr>
          <w:b w:val="0"/>
          <w:bCs w:val="0"/>
          <w:color w:val="000000" w:themeColor="text1"/>
          <w:lang w:eastAsia="ru-RU"/>
        </w:rPr>
        <w:t xml:space="preserve"> Totodată, p</w:t>
      </w:r>
      <w:r w:rsidR="00DB1F51" w:rsidRPr="00DB1F51">
        <w:rPr>
          <w:b w:val="0"/>
          <w:bCs w:val="0"/>
          <w:color w:val="000000" w:themeColor="text1"/>
          <w:lang w:eastAsia="ru-RU"/>
        </w:rPr>
        <w:t xml:space="preserve">ărțile contractante care nu dispun de capacități de stocare </w:t>
      </w:r>
      <w:r w:rsidR="00DB1F51">
        <w:rPr>
          <w:b w:val="0"/>
          <w:bCs w:val="0"/>
          <w:color w:val="000000" w:themeColor="text1"/>
          <w:lang w:eastAsia="ru-RU"/>
        </w:rPr>
        <w:t>au fost</w:t>
      </w:r>
      <w:r w:rsidR="00DB1F51" w:rsidRPr="00DB1F51">
        <w:rPr>
          <w:b w:val="0"/>
          <w:bCs w:val="0"/>
          <w:color w:val="000000" w:themeColor="text1"/>
          <w:lang w:eastAsia="ru-RU"/>
        </w:rPr>
        <w:t xml:space="preserve"> îndemnate să urmeze </w:t>
      </w:r>
      <w:r w:rsidR="00DB1F51">
        <w:rPr>
          <w:b w:val="0"/>
          <w:bCs w:val="0"/>
          <w:color w:val="000000" w:themeColor="text1"/>
          <w:lang w:eastAsia="ru-RU"/>
        </w:rPr>
        <w:t>exemplul Republicii</w:t>
      </w:r>
      <w:r w:rsidR="00DB1F51" w:rsidRPr="00DB1F51">
        <w:rPr>
          <w:b w:val="0"/>
          <w:bCs w:val="0"/>
          <w:color w:val="000000" w:themeColor="text1"/>
          <w:lang w:eastAsia="ru-RU"/>
        </w:rPr>
        <w:t xml:space="preserve"> Moldov</w:t>
      </w:r>
      <w:r w:rsidR="00DB1F51">
        <w:rPr>
          <w:b w:val="0"/>
          <w:bCs w:val="0"/>
          <w:color w:val="000000" w:themeColor="text1"/>
          <w:lang w:eastAsia="ru-RU"/>
        </w:rPr>
        <w:t>a</w:t>
      </w:r>
      <w:r w:rsidR="00DB1F51" w:rsidRPr="00DB1F51">
        <w:rPr>
          <w:b w:val="0"/>
          <w:bCs w:val="0"/>
          <w:color w:val="000000" w:themeColor="text1"/>
          <w:lang w:eastAsia="ru-RU"/>
        </w:rPr>
        <w:t xml:space="preserve"> de a-și îndeplini obligațiile de stocare prin intermediul unor acorduri cu țările vecine, vizând cel puțin 15% din cererea lor națională</w:t>
      </w:r>
      <w:r w:rsidR="00DB1F51">
        <w:rPr>
          <w:b w:val="0"/>
          <w:bCs w:val="0"/>
          <w:color w:val="000000" w:themeColor="text1"/>
          <w:lang w:eastAsia="ru-RU"/>
        </w:rPr>
        <w:t xml:space="preserve"> de gaze naturale</w:t>
      </w:r>
      <w:r w:rsidR="00DB1F51" w:rsidRPr="00DB1F51">
        <w:rPr>
          <w:b w:val="0"/>
          <w:bCs w:val="0"/>
          <w:color w:val="000000" w:themeColor="text1"/>
          <w:lang w:eastAsia="ru-RU"/>
        </w:rPr>
        <w:t>.</w:t>
      </w:r>
    </w:p>
    <w:p w14:paraId="52869B33" w14:textId="70A24970" w:rsidR="008A3DB5" w:rsidRPr="00C43E6D" w:rsidRDefault="008A3DB5" w:rsidP="009140E8">
      <w:pPr>
        <w:pStyle w:val="cb"/>
        <w:spacing w:after="60" w:line="276" w:lineRule="auto"/>
        <w:jc w:val="both"/>
        <w:rPr>
          <w:b w:val="0"/>
          <w:bCs w:val="0"/>
          <w:color w:val="000000" w:themeColor="text1"/>
          <w:lang w:eastAsia="ru-RU"/>
        </w:rPr>
      </w:pPr>
      <w:r w:rsidRPr="00C43E6D">
        <w:rPr>
          <w:b w:val="0"/>
          <w:bCs w:val="0"/>
          <w:color w:val="000000" w:themeColor="text1"/>
          <w:lang w:eastAsia="ru-RU"/>
        </w:rPr>
        <w:t xml:space="preserve">În conformitate cu prevederile Hotărârii Guvernului nr. 365/2024, cantitatea totală de gaze naturale a fi constituită până la 1 octombrie 2024, ce face obiectul obligație de stocare și ce corespunde unui nivel de 15% din consumul mediu anual de gaze naturale al consumatorilor finali din Republica Moldova, </w:t>
      </w:r>
      <w:r w:rsidR="001A5ABE">
        <w:rPr>
          <w:b w:val="0"/>
          <w:bCs w:val="0"/>
          <w:color w:val="000000" w:themeColor="text1"/>
          <w:lang w:eastAsia="ru-RU"/>
        </w:rPr>
        <w:t xml:space="preserve">instalațiile de utilizare ale cărora sunt </w:t>
      </w:r>
      <w:r w:rsidRPr="00C43E6D">
        <w:rPr>
          <w:b w:val="0"/>
          <w:bCs w:val="0"/>
          <w:color w:val="000000" w:themeColor="text1"/>
          <w:lang w:eastAsia="ru-RU"/>
        </w:rPr>
        <w:t>racorda</w:t>
      </w:r>
      <w:r w:rsidR="001A5ABE">
        <w:rPr>
          <w:b w:val="0"/>
          <w:bCs w:val="0"/>
          <w:color w:val="000000" w:themeColor="text1"/>
          <w:lang w:eastAsia="ru-RU"/>
        </w:rPr>
        <w:t>te</w:t>
      </w:r>
      <w:r w:rsidRPr="00C43E6D">
        <w:rPr>
          <w:b w:val="0"/>
          <w:bCs w:val="0"/>
          <w:color w:val="000000" w:themeColor="text1"/>
          <w:lang w:eastAsia="ru-RU"/>
        </w:rPr>
        <w:t xml:space="preserve"> la rețelele de gaze naturale ale operatorilor de sistem licențiați, determinat pentru ultimii 5 ani calendaristici (2019-2023), </w:t>
      </w:r>
      <w:r w:rsidR="0061281B">
        <w:rPr>
          <w:b w:val="0"/>
          <w:bCs w:val="0"/>
          <w:color w:val="000000" w:themeColor="text1"/>
          <w:lang w:eastAsia="ru-RU"/>
        </w:rPr>
        <w:t>a fost</w:t>
      </w:r>
      <w:r w:rsidRPr="00C43E6D">
        <w:rPr>
          <w:b w:val="0"/>
          <w:bCs w:val="0"/>
          <w:color w:val="000000" w:themeColor="text1"/>
          <w:lang w:eastAsia="ru-RU"/>
        </w:rPr>
        <w:t xml:space="preserve"> calculată la nivelul de 149,5 milioane de m</w:t>
      </w:r>
      <w:r w:rsidRPr="00C43E6D">
        <w:rPr>
          <w:b w:val="0"/>
          <w:bCs w:val="0"/>
          <w:color w:val="000000" w:themeColor="text1"/>
          <w:vertAlign w:val="superscript"/>
          <w:lang w:eastAsia="ru-RU"/>
        </w:rPr>
        <w:t>3</w:t>
      </w:r>
      <w:r w:rsidRPr="00C43E6D">
        <w:rPr>
          <w:b w:val="0"/>
          <w:bCs w:val="0"/>
          <w:color w:val="000000" w:themeColor="text1"/>
          <w:lang w:eastAsia="ru-RU"/>
        </w:rPr>
        <w:t>. La determinarea cantității de gaze naturale care face obiectul obligației de stocare, din cantitatea totală de gaze naturale de 149,5 milioane de m</w:t>
      </w:r>
      <w:r w:rsidRPr="00C43E6D">
        <w:rPr>
          <w:b w:val="0"/>
          <w:bCs w:val="0"/>
          <w:color w:val="000000" w:themeColor="text1"/>
          <w:vertAlign w:val="superscript"/>
          <w:lang w:eastAsia="ru-RU"/>
        </w:rPr>
        <w:t>3</w:t>
      </w:r>
      <w:r w:rsidRPr="00C43E6D">
        <w:rPr>
          <w:b w:val="0"/>
          <w:bCs w:val="0"/>
          <w:color w:val="000000" w:themeColor="text1"/>
          <w:lang w:eastAsia="ru-RU"/>
        </w:rPr>
        <w:t xml:space="preserve"> s</w:t>
      </w:r>
      <w:r w:rsidR="0061281B">
        <w:rPr>
          <w:b w:val="0"/>
          <w:bCs w:val="0"/>
          <w:color w:val="000000" w:themeColor="text1"/>
          <w:lang w:eastAsia="ru-RU"/>
        </w:rPr>
        <w:t>-a</w:t>
      </w:r>
      <w:r w:rsidRPr="00C43E6D">
        <w:rPr>
          <w:b w:val="0"/>
          <w:bCs w:val="0"/>
          <w:color w:val="000000" w:themeColor="text1"/>
          <w:lang w:eastAsia="ru-RU"/>
        </w:rPr>
        <w:t xml:space="preserve"> dedu</w:t>
      </w:r>
      <w:r w:rsidR="0061281B">
        <w:rPr>
          <w:b w:val="0"/>
          <w:bCs w:val="0"/>
          <w:color w:val="000000" w:themeColor="text1"/>
          <w:lang w:eastAsia="ru-RU"/>
        </w:rPr>
        <w:t>s</w:t>
      </w:r>
      <w:r w:rsidRPr="00C43E6D">
        <w:rPr>
          <w:b w:val="0"/>
          <w:bCs w:val="0"/>
          <w:color w:val="000000" w:themeColor="text1"/>
          <w:lang w:eastAsia="ru-RU"/>
        </w:rPr>
        <w:t xml:space="preserve"> cantitatea de gaze naturale de 47,1 milioane de m</w:t>
      </w:r>
      <w:r w:rsidRPr="00C43E6D">
        <w:rPr>
          <w:b w:val="0"/>
          <w:bCs w:val="0"/>
          <w:color w:val="000000" w:themeColor="text1"/>
          <w:vertAlign w:val="superscript"/>
          <w:lang w:eastAsia="ru-RU"/>
        </w:rPr>
        <w:t>3</w:t>
      </w:r>
      <w:r w:rsidRPr="00C43E6D">
        <w:rPr>
          <w:b w:val="0"/>
          <w:bCs w:val="0"/>
          <w:color w:val="000000" w:themeColor="text1"/>
          <w:lang w:eastAsia="ru-RU"/>
        </w:rPr>
        <w:t xml:space="preserve"> ce </w:t>
      </w:r>
      <w:r w:rsidR="00E54B14">
        <w:rPr>
          <w:b w:val="0"/>
          <w:bCs w:val="0"/>
          <w:color w:val="000000" w:themeColor="text1"/>
          <w:lang w:eastAsia="ru-RU"/>
        </w:rPr>
        <w:t>a fost</w:t>
      </w:r>
      <w:r w:rsidRPr="00C43E6D">
        <w:rPr>
          <w:b w:val="0"/>
          <w:bCs w:val="0"/>
          <w:color w:val="000000" w:themeColor="text1"/>
          <w:lang w:eastAsia="ru-RU"/>
        </w:rPr>
        <w:t xml:space="preserve"> stocată în calitate de stocuri de securitate începând cu 1 octombrie 2024.</w:t>
      </w:r>
    </w:p>
    <w:p w14:paraId="3722F10F" w14:textId="029BB519" w:rsidR="008A3DB5" w:rsidRPr="00C43E6D" w:rsidRDefault="008A3DB5" w:rsidP="009140E8">
      <w:pPr>
        <w:pStyle w:val="cb"/>
        <w:spacing w:after="60" w:line="276" w:lineRule="auto"/>
        <w:jc w:val="both"/>
        <w:rPr>
          <w:b w:val="0"/>
          <w:bCs w:val="0"/>
          <w:color w:val="000000" w:themeColor="text1"/>
          <w:lang w:eastAsia="ru-RU"/>
        </w:rPr>
      </w:pPr>
      <w:r w:rsidRPr="00C43E6D">
        <w:rPr>
          <w:b w:val="0"/>
          <w:bCs w:val="0"/>
          <w:color w:val="000000" w:themeColor="text1"/>
          <w:lang w:eastAsia="ru-RU"/>
        </w:rPr>
        <w:t>În temeiul art. 108</w:t>
      </w:r>
      <w:r w:rsidRPr="00C43E6D">
        <w:rPr>
          <w:b w:val="0"/>
          <w:bCs w:val="0"/>
          <w:color w:val="000000" w:themeColor="text1"/>
          <w:vertAlign w:val="superscript"/>
          <w:lang w:eastAsia="ru-RU"/>
        </w:rPr>
        <w:t>2</w:t>
      </w:r>
      <w:r w:rsidRPr="00C43E6D">
        <w:rPr>
          <w:b w:val="0"/>
          <w:bCs w:val="0"/>
          <w:color w:val="000000" w:themeColor="text1"/>
          <w:lang w:eastAsia="ru-RU"/>
        </w:rPr>
        <w:t xml:space="preserve"> alin. (3) și (4) din Legea nr. 108/2016 cu privire la gazele naturale, din motive ce țin de existența unor limitări de ordin tehnic și din motive ce țin de existența unor riscuri majore în ceea ce privește asigurarea continuității livrării gazelor naturale prin interconexiuni în cantitățile necesare, urmare a solicitării titularul obligației de stocare SA ,,Energocom”, </w:t>
      </w:r>
      <w:r w:rsidR="00E54B14">
        <w:rPr>
          <w:b w:val="0"/>
          <w:bCs w:val="0"/>
          <w:color w:val="000000" w:themeColor="text1"/>
          <w:lang w:eastAsia="ru-RU"/>
        </w:rPr>
        <w:t>s-a</w:t>
      </w:r>
      <w:r w:rsidRPr="00C43E6D">
        <w:rPr>
          <w:b w:val="0"/>
          <w:bCs w:val="0"/>
          <w:color w:val="000000" w:themeColor="text1"/>
          <w:lang w:eastAsia="ru-RU"/>
        </w:rPr>
        <w:t xml:space="preserve"> propu</w:t>
      </w:r>
      <w:r w:rsidR="00E54B14">
        <w:rPr>
          <w:b w:val="0"/>
          <w:bCs w:val="0"/>
          <w:color w:val="000000" w:themeColor="text1"/>
          <w:lang w:eastAsia="ru-RU"/>
        </w:rPr>
        <w:t>s</w:t>
      </w:r>
      <w:r w:rsidRPr="00C43E6D">
        <w:rPr>
          <w:b w:val="0"/>
          <w:bCs w:val="0"/>
          <w:color w:val="000000" w:themeColor="text1"/>
          <w:lang w:eastAsia="ru-RU"/>
        </w:rPr>
        <w:t xml:space="preserve"> reducerea obligației de stocare a gazelor naturale impuse prin Hotărârea Guvernului nr. 365/2024, de la 102,4 mil. m</w:t>
      </w:r>
      <w:r w:rsidRPr="00C43E6D">
        <w:rPr>
          <w:b w:val="0"/>
          <w:bCs w:val="0"/>
          <w:color w:val="000000" w:themeColor="text1"/>
          <w:vertAlign w:val="superscript"/>
          <w:lang w:eastAsia="ru-RU"/>
        </w:rPr>
        <w:t>3</w:t>
      </w:r>
      <w:r w:rsidRPr="00C43E6D">
        <w:rPr>
          <w:b w:val="0"/>
          <w:bCs w:val="0"/>
          <w:color w:val="000000" w:themeColor="text1"/>
          <w:lang w:eastAsia="ru-RU"/>
        </w:rPr>
        <w:t xml:space="preserve"> la 50 mil. m</w:t>
      </w:r>
      <w:r w:rsidRPr="00C43E6D">
        <w:rPr>
          <w:b w:val="0"/>
          <w:bCs w:val="0"/>
          <w:color w:val="000000" w:themeColor="text1"/>
          <w:vertAlign w:val="superscript"/>
          <w:lang w:eastAsia="ru-RU"/>
        </w:rPr>
        <w:t>3</w:t>
      </w:r>
      <w:r w:rsidRPr="00C43E6D">
        <w:rPr>
          <w:b w:val="0"/>
          <w:bCs w:val="0"/>
          <w:color w:val="000000" w:themeColor="text1"/>
          <w:lang w:eastAsia="ru-RU"/>
        </w:rPr>
        <w:t xml:space="preserve">, ce </w:t>
      </w:r>
      <w:r w:rsidR="00E54B14">
        <w:rPr>
          <w:b w:val="0"/>
          <w:bCs w:val="0"/>
          <w:color w:val="000000" w:themeColor="text1"/>
          <w:lang w:eastAsia="ru-RU"/>
        </w:rPr>
        <w:t xml:space="preserve">a </w:t>
      </w:r>
      <w:r w:rsidRPr="00C43E6D">
        <w:rPr>
          <w:b w:val="0"/>
          <w:bCs w:val="0"/>
          <w:color w:val="000000" w:themeColor="text1"/>
          <w:lang w:eastAsia="ru-RU"/>
        </w:rPr>
        <w:t>rezult</w:t>
      </w:r>
      <w:r w:rsidR="00E54B14">
        <w:rPr>
          <w:b w:val="0"/>
          <w:bCs w:val="0"/>
          <w:color w:val="000000" w:themeColor="text1"/>
          <w:lang w:eastAsia="ru-RU"/>
        </w:rPr>
        <w:t>at</w:t>
      </w:r>
      <w:r w:rsidRPr="00C43E6D">
        <w:rPr>
          <w:b w:val="0"/>
          <w:bCs w:val="0"/>
          <w:color w:val="000000" w:themeColor="text1"/>
          <w:lang w:eastAsia="ru-RU"/>
        </w:rPr>
        <w:t xml:space="preserve"> în reducerea cantității totale de gaze naturale ce face obiectul obligației de stocare, de la 149,5 mil. </w:t>
      </w:r>
      <w:r w:rsidRPr="00C43E6D">
        <w:rPr>
          <w:b w:val="0"/>
          <w:bCs w:val="0"/>
          <w:color w:val="000000" w:themeColor="text1"/>
          <w:lang w:eastAsia="ru-RU"/>
        </w:rPr>
        <w:lastRenderedPageBreak/>
        <w:t>m</w:t>
      </w:r>
      <w:r w:rsidRPr="00C43E6D">
        <w:rPr>
          <w:b w:val="0"/>
          <w:bCs w:val="0"/>
          <w:color w:val="000000" w:themeColor="text1"/>
          <w:vertAlign w:val="superscript"/>
          <w:lang w:eastAsia="ru-RU"/>
        </w:rPr>
        <w:t>3</w:t>
      </w:r>
      <w:r w:rsidRPr="00C43E6D">
        <w:rPr>
          <w:b w:val="0"/>
          <w:bCs w:val="0"/>
          <w:color w:val="000000" w:themeColor="text1"/>
          <w:lang w:eastAsia="ru-RU"/>
        </w:rPr>
        <w:t xml:space="preserve"> la 97,1 mil. m</w:t>
      </w:r>
      <w:r w:rsidRPr="00C43E6D">
        <w:rPr>
          <w:b w:val="0"/>
          <w:bCs w:val="0"/>
          <w:color w:val="000000" w:themeColor="text1"/>
          <w:vertAlign w:val="superscript"/>
          <w:lang w:eastAsia="ru-RU"/>
        </w:rPr>
        <w:t>3</w:t>
      </w:r>
      <w:r w:rsidRPr="00C43E6D">
        <w:rPr>
          <w:b w:val="0"/>
          <w:bCs w:val="0"/>
          <w:color w:val="000000" w:themeColor="text1"/>
          <w:lang w:eastAsia="ru-RU"/>
        </w:rPr>
        <w:t>, din care 47,1 mil. m</w:t>
      </w:r>
      <w:r w:rsidRPr="00C43E6D">
        <w:rPr>
          <w:b w:val="0"/>
          <w:bCs w:val="0"/>
          <w:color w:val="000000" w:themeColor="text1"/>
          <w:vertAlign w:val="superscript"/>
          <w:lang w:eastAsia="ru-RU"/>
        </w:rPr>
        <w:t>3</w:t>
      </w:r>
      <w:r w:rsidRPr="00C43E6D">
        <w:rPr>
          <w:b w:val="0"/>
          <w:bCs w:val="0"/>
          <w:color w:val="000000" w:themeColor="text1"/>
          <w:lang w:eastAsia="ru-RU"/>
        </w:rPr>
        <w:t xml:space="preserve"> reprezint</w:t>
      </w:r>
      <w:r w:rsidR="00E54B14">
        <w:rPr>
          <w:b w:val="0"/>
          <w:bCs w:val="0"/>
          <w:color w:val="000000" w:themeColor="text1"/>
          <w:lang w:eastAsia="ru-RU"/>
        </w:rPr>
        <w:t>a</w:t>
      </w:r>
      <w:r w:rsidRPr="00C43E6D">
        <w:rPr>
          <w:b w:val="0"/>
          <w:bCs w:val="0"/>
          <w:color w:val="000000" w:themeColor="text1"/>
          <w:lang w:eastAsia="ru-RU"/>
        </w:rPr>
        <w:t xml:space="preserve"> cantitatea de gaze naturale ce </w:t>
      </w:r>
      <w:r w:rsidR="00E54B14">
        <w:rPr>
          <w:b w:val="0"/>
          <w:bCs w:val="0"/>
          <w:color w:val="000000" w:themeColor="text1"/>
          <w:lang w:eastAsia="ru-RU"/>
        </w:rPr>
        <w:t>a fost</w:t>
      </w:r>
      <w:r w:rsidRPr="00C43E6D">
        <w:rPr>
          <w:b w:val="0"/>
          <w:bCs w:val="0"/>
          <w:color w:val="000000" w:themeColor="text1"/>
          <w:lang w:eastAsia="ru-RU"/>
        </w:rPr>
        <w:t xml:space="preserve"> stocată în calitate de stocuri de securitate.</w:t>
      </w:r>
    </w:p>
    <w:p w14:paraId="19DEE056" w14:textId="64651EAE" w:rsidR="00082EF6" w:rsidRPr="00C43E6D" w:rsidRDefault="004E1A83" w:rsidP="009140E8">
      <w:pPr>
        <w:pStyle w:val="cb"/>
        <w:spacing w:after="60" w:line="276" w:lineRule="auto"/>
        <w:ind w:firstLine="540"/>
        <w:jc w:val="both"/>
        <w:rPr>
          <w:b w:val="0"/>
          <w:bCs w:val="0"/>
          <w:color w:val="000000" w:themeColor="text1"/>
          <w:lang w:eastAsia="ru-RU"/>
        </w:rPr>
      </w:pPr>
      <w:r w:rsidRPr="00C43E6D">
        <w:rPr>
          <w:color w:val="000000" w:themeColor="text1"/>
          <w:lang w:eastAsia="ru-RU"/>
        </w:rPr>
        <w:t>47</w:t>
      </w:r>
      <w:r w:rsidR="008A3DB5" w:rsidRPr="00C43E6D">
        <w:rPr>
          <w:color w:val="000000" w:themeColor="text1"/>
          <w:lang w:eastAsia="ru-RU"/>
        </w:rPr>
        <w:t>.</w:t>
      </w:r>
      <w:r w:rsidR="008A3DB5" w:rsidRPr="00C43E6D">
        <w:rPr>
          <w:b w:val="0"/>
          <w:bCs w:val="0"/>
          <w:color w:val="000000" w:themeColor="text1"/>
          <w:lang w:eastAsia="ru-RU"/>
        </w:rPr>
        <w:t xml:space="preserve"> </w:t>
      </w:r>
      <w:r w:rsidR="00082EF6" w:rsidRPr="00C43E6D">
        <w:rPr>
          <w:b w:val="0"/>
          <w:bCs w:val="0"/>
          <w:color w:val="000000" w:themeColor="text1"/>
          <w:lang w:eastAsia="ru-RU"/>
        </w:rPr>
        <w:t>Conform modificări</w:t>
      </w:r>
      <w:r w:rsidR="003E77A0">
        <w:rPr>
          <w:b w:val="0"/>
          <w:bCs w:val="0"/>
          <w:color w:val="000000" w:themeColor="text1"/>
          <w:lang w:eastAsia="ru-RU"/>
        </w:rPr>
        <w:t>lor</w:t>
      </w:r>
      <w:r w:rsidR="00082EF6" w:rsidRPr="00C43E6D">
        <w:rPr>
          <w:b w:val="0"/>
          <w:bCs w:val="0"/>
          <w:color w:val="000000" w:themeColor="text1"/>
          <w:lang w:eastAsia="ru-RU"/>
        </w:rPr>
        <w:t xml:space="preserve"> efectuate la Legea nr. 108/2016 cu privire la gazele naturale</w:t>
      </w:r>
      <w:r w:rsidR="003E77A0" w:rsidRPr="00A41F94">
        <w:rPr>
          <w:b w:val="0"/>
          <w:bCs w:val="0"/>
        </w:rPr>
        <w:t xml:space="preserve"> prin Legea nr. 152/2025 </w:t>
      </w:r>
      <w:r w:rsidR="003E77A0" w:rsidRPr="003E77A0">
        <w:rPr>
          <w:b w:val="0"/>
          <w:bCs w:val="0"/>
          <w:color w:val="000000" w:themeColor="text1"/>
          <w:lang w:eastAsia="ru-RU"/>
        </w:rPr>
        <w:t>cu privire la modificarea unor acte normative (securitatea aprovizionării cu gaze naturale și alte aspecte ce țin de sectorul gazelor naturale).</w:t>
      </w:r>
      <w:r w:rsidR="00082EF6" w:rsidRPr="00C43E6D">
        <w:rPr>
          <w:b w:val="0"/>
          <w:bCs w:val="0"/>
          <w:color w:val="000000" w:themeColor="text1"/>
          <w:lang w:eastAsia="ru-RU"/>
        </w:rPr>
        <w:t xml:space="preserve">, </w:t>
      </w:r>
      <w:r w:rsidR="008A3DB5" w:rsidRPr="00C43E6D">
        <w:rPr>
          <w:b w:val="0"/>
          <w:bCs w:val="0"/>
          <w:color w:val="000000" w:themeColor="text1"/>
          <w:lang w:eastAsia="ru-RU"/>
        </w:rPr>
        <w:t xml:space="preserve">dispozițiile referitoare la obligația de stocare a gazelor naturale de 15% au fost extinse după 2025 și distribuite între furnizorii de </w:t>
      </w:r>
      <w:r w:rsidR="00921354">
        <w:rPr>
          <w:b w:val="0"/>
          <w:bCs w:val="0"/>
          <w:color w:val="000000" w:themeColor="text1"/>
          <w:lang w:eastAsia="ru-RU"/>
        </w:rPr>
        <w:t xml:space="preserve">pe </w:t>
      </w:r>
      <w:r w:rsidR="008A3DB5" w:rsidRPr="00C43E6D">
        <w:rPr>
          <w:b w:val="0"/>
          <w:bCs w:val="0"/>
          <w:color w:val="000000" w:themeColor="text1"/>
          <w:lang w:eastAsia="ru-RU"/>
        </w:rPr>
        <w:t>piața cu amănuntul a gazelor naturale prin mecanisme bazate pe piață.</w:t>
      </w:r>
    </w:p>
    <w:p w14:paraId="2DB86BC4" w14:textId="5C0C3148" w:rsidR="00082EF6" w:rsidRPr="00C43E6D" w:rsidRDefault="008A3DB5" w:rsidP="009140E8">
      <w:pPr>
        <w:pStyle w:val="cb"/>
        <w:spacing w:after="60" w:line="276" w:lineRule="auto"/>
        <w:jc w:val="both"/>
        <w:rPr>
          <w:b w:val="0"/>
          <w:bCs w:val="0"/>
          <w:color w:val="000000" w:themeColor="text1"/>
          <w:lang w:eastAsia="ru-RU"/>
        </w:rPr>
      </w:pPr>
      <w:r w:rsidRPr="00C43E6D">
        <w:rPr>
          <w:b w:val="0"/>
          <w:bCs w:val="0"/>
          <w:color w:val="000000" w:themeColor="text1"/>
          <w:lang w:eastAsia="ru-RU"/>
        </w:rPr>
        <w:t xml:space="preserve">Totodată, urmare a sistării livrărilor de gaze naturale către regiunea transnistreană a Republicii Moldova de către SAP „Gazprom începând cu 1 ianuarie 2025 și ținând cont de faptul că la moment pe teritoriul regiunii transnistrene nu activează operatori de sistem licențiați, întru asigurarea continuității securității aprovizionării cu gaze naturale a regiunii și diminuarea riscurilor de aprovizionare, Legea </w:t>
      </w:r>
      <w:r w:rsidR="00BC7F4C" w:rsidRPr="00C43E6D">
        <w:rPr>
          <w:b w:val="0"/>
          <w:bCs w:val="0"/>
          <w:color w:val="000000" w:themeColor="text1"/>
          <w:lang w:eastAsia="ru-RU"/>
        </w:rPr>
        <w:t xml:space="preserve">nr. </w:t>
      </w:r>
      <w:r w:rsidRPr="00C43E6D">
        <w:rPr>
          <w:b w:val="0"/>
          <w:bCs w:val="0"/>
          <w:color w:val="000000" w:themeColor="text1"/>
          <w:lang w:eastAsia="ru-RU"/>
        </w:rPr>
        <w:t xml:space="preserve">108/2016 </w:t>
      </w:r>
      <w:r w:rsidR="00BC7F4C" w:rsidRPr="00C43E6D">
        <w:rPr>
          <w:b w:val="0"/>
          <w:bCs w:val="0"/>
          <w:color w:val="000000" w:themeColor="text1"/>
          <w:lang w:eastAsia="ru-RU"/>
        </w:rPr>
        <w:t xml:space="preserve">cu privire la gazele naturale </w:t>
      </w:r>
      <w:r w:rsidRPr="00C43E6D">
        <w:rPr>
          <w:b w:val="0"/>
          <w:bCs w:val="0"/>
          <w:color w:val="000000" w:themeColor="text1"/>
          <w:lang w:eastAsia="ru-RU"/>
        </w:rPr>
        <w:t>a fost completată cu art. 85</w:t>
      </w:r>
      <w:r w:rsidRPr="00C43E6D">
        <w:rPr>
          <w:b w:val="0"/>
          <w:bCs w:val="0"/>
          <w:color w:val="000000" w:themeColor="text1"/>
          <w:vertAlign w:val="superscript"/>
          <w:lang w:eastAsia="ru-RU"/>
        </w:rPr>
        <w:t>1</w:t>
      </w:r>
      <w:r w:rsidRPr="00C43E6D">
        <w:rPr>
          <w:b w:val="0"/>
          <w:bCs w:val="0"/>
          <w:color w:val="000000" w:themeColor="text1"/>
          <w:lang w:eastAsia="ru-RU"/>
        </w:rPr>
        <w:t xml:space="preserve"> care prevede </w:t>
      </w:r>
      <w:bookmarkStart w:id="11" w:name="_Hlk203030458"/>
      <w:r w:rsidRPr="00C43E6D">
        <w:rPr>
          <w:b w:val="0"/>
          <w:bCs w:val="0"/>
          <w:color w:val="000000" w:themeColor="text1"/>
          <w:lang w:eastAsia="ru-RU"/>
        </w:rPr>
        <w:t xml:space="preserve">desemnarea de către ANRE a unei entități ce va livra gaze naturale către regiunea </w:t>
      </w:r>
      <w:r w:rsidR="00BC7F4C" w:rsidRPr="00C43E6D">
        <w:rPr>
          <w:b w:val="0"/>
          <w:bCs w:val="0"/>
          <w:color w:val="000000" w:themeColor="text1"/>
          <w:lang w:eastAsia="ru-RU"/>
        </w:rPr>
        <w:t>transnistreană a Republicii Moldova</w:t>
      </w:r>
      <w:r w:rsidRPr="00C43E6D">
        <w:rPr>
          <w:b w:val="0"/>
          <w:bCs w:val="0"/>
          <w:color w:val="000000" w:themeColor="text1"/>
          <w:lang w:eastAsia="ru-RU"/>
        </w:rPr>
        <w:t xml:space="preserve"> și </w:t>
      </w:r>
      <w:r w:rsidR="00E83011">
        <w:rPr>
          <w:b w:val="0"/>
          <w:bCs w:val="0"/>
          <w:color w:val="000000" w:themeColor="text1"/>
          <w:lang w:eastAsia="ru-RU"/>
        </w:rPr>
        <w:t>urmează</w:t>
      </w:r>
      <w:r w:rsidRPr="00C43E6D">
        <w:rPr>
          <w:b w:val="0"/>
          <w:bCs w:val="0"/>
          <w:color w:val="000000" w:themeColor="text1"/>
          <w:lang w:eastAsia="ru-RU"/>
        </w:rPr>
        <w:t xml:space="preserve"> să creeze gradual și să mențină stocuri de gaze naturale pentru a asigura acoperirea a cel puțin 15% din consumul mediu anual de gaze naturale al consumatorilor casnici și întreprinderilor și instituțiilor care prestează servicii sociale esențiale, din regiunea în care operează operatorii de sistem nelicențiați, determinat pentru ultimii 5 ani calendaristici.</w:t>
      </w:r>
      <w:bookmarkEnd w:id="11"/>
    </w:p>
    <w:p w14:paraId="675A7B64" w14:textId="6C438E3E" w:rsidR="00634CD0" w:rsidRPr="00C43E6D" w:rsidRDefault="00634CD0" w:rsidP="00E9616E">
      <w:pPr>
        <w:pStyle w:val="cb"/>
        <w:spacing w:after="60" w:line="276" w:lineRule="auto"/>
        <w:jc w:val="both"/>
        <w:rPr>
          <w:b w:val="0"/>
          <w:bCs w:val="0"/>
          <w:color w:val="000000" w:themeColor="text1"/>
          <w:lang w:eastAsia="ru-RU"/>
        </w:rPr>
      </w:pPr>
      <w:r w:rsidRPr="00C43E6D">
        <w:rPr>
          <w:b w:val="0"/>
          <w:bCs w:val="0"/>
          <w:color w:val="000000" w:themeColor="text1"/>
          <w:lang w:eastAsia="ru-RU"/>
        </w:rPr>
        <w:t xml:space="preserve">În scopul promovării dezvoltării în continuare a liberalizării treptate a pieței gazelor naturale și creșterii lichidității acesteia, conform </w:t>
      </w:r>
      <w:r w:rsidR="00E9616E">
        <w:rPr>
          <w:b w:val="0"/>
          <w:bCs w:val="0"/>
          <w:color w:val="000000" w:themeColor="text1"/>
          <w:lang w:eastAsia="ru-RU"/>
        </w:rPr>
        <w:t>prevederilor</w:t>
      </w:r>
      <w:r w:rsidR="00E9616E" w:rsidRPr="00E9616E">
        <w:rPr>
          <w:b w:val="0"/>
          <w:bCs w:val="0"/>
          <w:color w:val="000000" w:themeColor="text1"/>
          <w:lang w:eastAsia="ru-RU"/>
        </w:rPr>
        <w:t xml:space="preserve"> Leg</w:t>
      </w:r>
      <w:r w:rsidR="00E9616E">
        <w:rPr>
          <w:b w:val="0"/>
          <w:bCs w:val="0"/>
          <w:color w:val="000000" w:themeColor="text1"/>
          <w:lang w:eastAsia="ru-RU"/>
        </w:rPr>
        <w:t>ii</w:t>
      </w:r>
      <w:r w:rsidR="00E9616E" w:rsidRPr="00E9616E">
        <w:rPr>
          <w:b w:val="0"/>
          <w:bCs w:val="0"/>
          <w:color w:val="000000" w:themeColor="text1"/>
          <w:lang w:eastAsia="ru-RU"/>
        </w:rPr>
        <w:t xml:space="preserve"> nr. 152/2025 cu privire la modificarea unor acte normative</w:t>
      </w:r>
      <w:r w:rsidRPr="00C43E6D">
        <w:rPr>
          <w:b w:val="0"/>
          <w:bCs w:val="0"/>
          <w:color w:val="000000" w:themeColor="text1"/>
          <w:lang w:eastAsia="ru-RU"/>
        </w:rPr>
        <w:t xml:space="preserve">, ANRE va stabili </w:t>
      </w:r>
      <w:r w:rsidR="00737BBA">
        <w:rPr>
          <w:b w:val="0"/>
          <w:bCs w:val="0"/>
          <w:color w:val="000000" w:themeColor="text1"/>
          <w:lang w:eastAsia="ru-RU"/>
        </w:rPr>
        <w:t xml:space="preserve"> </w:t>
      </w:r>
      <w:r w:rsidRPr="00C43E6D">
        <w:rPr>
          <w:b w:val="0"/>
          <w:bCs w:val="0"/>
          <w:color w:val="000000" w:themeColor="text1"/>
          <w:lang w:eastAsia="ru-RU"/>
        </w:rPr>
        <w:t xml:space="preserve">pragurile de consum pentru identificarea și atribuirea categoriilor de consumatori non-casnici în funcție de consumul de gaze naturale al acestora după cum urmează: consumatori </w:t>
      </w:r>
      <w:r w:rsidR="00E9616E" w:rsidRPr="00E9616E">
        <w:rPr>
          <w:b w:val="0"/>
          <w:bCs w:val="0"/>
          <w:color w:val="000000" w:themeColor="text1"/>
          <w:lang w:eastAsia="ru-RU"/>
        </w:rPr>
        <w:t xml:space="preserve">non-casnici </w:t>
      </w:r>
      <w:r w:rsidRPr="00C43E6D">
        <w:rPr>
          <w:b w:val="0"/>
          <w:bCs w:val="0"/>
          <w:color w:val="000000" w:themeColor="text1"/>
          <w:lang w:eastAsia="ru-RU"/>
        </w:rPr>
        <w:t xml:space="preserve">mari, consumatori </w:t>
      </w:r>
      <w:r w:rsidR="00E9616E" w:rsidRPr="00E9616E">
        <w:rPr>
          <w:b w:val="0"/>
          <w:bCs w:val="0"/>
          <w:color w:val="000000" w:themeColor="text1"/>
          <w:lang w:eastAsia="ru-RU"/>
        </w:rPr>
        <w:t xml:space="preserve">non-casnici </w:t>
      </w:r>
      <w:r w:rsidRPr="00C43E6D">
        <w:rPr>
          <w:b w:val="0"/>
          <w:bCs w:val="0"/>
          <w:color w:val="000000" w:themeColor="text1"/>
          <w:lang w:eastAsia="ru-RU"/>
        </w:rPr>
        <w:t xml:space="preserve">mijlocii și consumatori </w:t>
      </w:r>
      <w:r w:rsidR="00E9616E" w:rsidRPr="00E9616E">
        <w:rPr>
          <w:b w:val="0"/>
          <w:bCs w:val="0"/>
          <w:color w:val="000000" w:themeColor="text1"/>
          <w:lang w:eastAsia="ru-RU"/>
        </w:rPr>
        <w:t xml:space="preserve">non-casnici </w:t>
      </w:r>
      <w:r w:rsidRPr="00C43E6D">
        <w:rPr>
          <w:b w:val="0"/>
          <w:bCs w:val="0"/>
          <w:color w:val="000000" w:themeColor="text1"/>
          <w:lang w:eastAsia="ru-RU"/>
        </w:rPr>
        <w:t xml:space="preserve">mici, care în </w:t>
      </w:r>
      <w:r w:rsidR="00717824">
        <w:rPr>
          <w:b w:val="0"/>
          <w:bCs w:val="0"/>
          <w:color w:val="000000" w:themeColor="text1"/>
          <w:lang w:eastAsia="ru-RU"/>
        </w:rPr>
        <w:t xml:space="preserve">funcție </w:t>
      </w:r>
      <w:r w:rsidRPr="00C43E6D">
        <w:rPr>
          <w:b w:val="0"/>
          <w:bCs w:val="0"/>
          <w:color w:val="000000" w:themeColor="text1"/>
          <w:lang w:eastAsia="ru-RU"/>
        </w:rPr>
        <w:t xml:space="preserve">de categoria de consum urmează treptat să achiziționeze gaze naturale doar </w:t>
      </w:r>
      <w:r w:rsidR="00717824">
        <w:rPr>
          <w:b w:val="0"/>
          <w:bCs w:val="0"/>
          <w:color w:val="000000" w:themeColor="text1"/>
          <w:lang w:eastAsia="ru-RU"/>
        </w:rPr>
        <w:t>la prețuri negociate</w:t>
      </w:r>
      <w:r w:rsidRPr="00C43E6D">
        <w:rPr>
          <w:b w:val="0"/>
          <w:bCs w:val="0"/>
          <w:color w:val="000000" w:themeColor="text1"/>
          <w:lang w:eastAsia="ru-RU"/>
        </w:rPr>
        <w:t xml:space="preserve"> </w:t>
      </w:r>
      <w:r w:rsidR="00717824">
        <w:rPr>
          <w:b w:val="0"/>
          <w:bCs w:val="0"/>
          <w:color w:val="000000" w:themeColor="text1"/>
          <w:lang w:eastAsia="ru-RU"/>
        </w:rPr>
        <w:t xml:space="preserve">pe </w:t>
      </w:r>
      <w:r w:rsidRPr="00C43E6D">
        <w:rPr>
          <w:b w:val="0"/>
          <w:bCs w:val="0"/>
          <w:color w:val="000000" w:themeColor="text1"/>
          <w:lang w:eastAsia="ru-RU"/>
        </w:rPr>
        <w:t>piață. Doar consumatorii casnici, consumatorii non</w:t>
      </w:r>
      <w:r w:rsidR="00062900">
        <w:rPr>
          <w:b w:val="0"/>
          <w:bCs w:val="0"/>
          <w:color w:val="000000" w:themeColor="text1"/>
          <w:lang w:eastAsia="ru-RU"/>
        </w:rPr>
        <w:t>-</w:t>
      </w:r>
      <w:r w:rsidRPr="00C43E6D">
        <w:rPr>
          <w:b w:val="0"/>
          <w:bCs w:val="0"/>
          <w:color w:val="000000" w:themeColor="text1"/>
          <w:lang w:eastAsia="ru-RU"/>
        </w:rPr>
        <w:t xml:space="preserve">casnici mici, precum și întreprinderile și instituțiile care prestează servicii sociale esențiale vor avea dreptul de a fi </w:t>
      </w:r>
      <w:r w:rsidR="00922EC6" w:rsidRPr="00C43E6D">
        <w:rPr>
          <w:b w:val="0"/>
          <w:bCs w:val="0"/>
          <w:color w:val="000000" w:themeColor="text1"/>
          <w:lang w:eastAsia="ru-RU"/>
        </w:rPr>
        <w:t>aprovizionați</w:t>
      </w:r>
      <w:r w:rsidRPr="00C43E6D">
        <w:rPr>
          <w:b w:val="0"/>
          <w:bCs w:val="0"/>
          <w:color w:val="000000" w:themeColor="text1"/>
          <w:lang w:eastAsia="ru-RU"/>
        </w:rPr>
        <w:t xml:space="preserve"> cu gaze naturale de către furnizorii cărora le-a fost impusă </w:t>
      </w:r>
      <w:r w:rsidR="00922EC6" w:rsidRPr="00C43E6D">
        <w:rPr>
          <w:b w:val="0"/>
          <w:bCs w:val="0"/>
          <w:color w:val="000000" w:themeColor="text1"/>
          <w:lang w:eastAsia="ru-RU"/>
        </w:rPr>
        <w:t>obligația</w:t>
      </w:r>
      <w:r w:rsidRPr="00C43E6D">
        <w:rPr>
          <w:b w:val="0"/>
          <w:bCs w:val="0"/>
          <w:color w:val="000000" w:themeColor="text1"/>
          <w:lang w:eastAsia="ru-RU"/>
        </w:rPr>
        <w:t xml:space="preserve"> de serviciu public prevăzută la art. 89 din Legea nr. 108/2016</w:t>
      </w:r>
      <w:r w:rsidR="00032766" w:rsidRPr="00032766">
        <w:rPr>
          <w:b w:val="0"/>
          <w:bCs w:val="0"/>
          <w:color w:val="000000" w:themeColor="text1"/>
          <w:lang w:eastAsia="ru-RU"/>
        </w:rPr>
        <w:t xml:space="preserve"> </w:t>
      </w:r>
      <w:r w:rsidR="00032766" w:rsidRPr="00C43E6D">
        <w:rPr>
          <w:b w:val="0"/>
          <w:bCs w:val="0"/>
          <w:color w:val="000000" w:themeColor="text1"/>
          <w:lang w:eastAsia="ru-RU"/>
        </w:rPr>
        <w:t>cu privire la gazele naturale</w:t>
      </w:r>
      <w:r w:rsidRPr="00C43E6D">
        <w:rPr>
          <w:b w:val="0"/>
          <w:bCs w:val="0"/>
          <w:color w:val="000000" w:themeColor="text1"/>
          <w:lang w:eastAsia="ru-RU"/>
        </w:rPr>
        <w:t>. Totodată, având la bază o analiză a pieței cu amănuntul a gazelor naturale, ANRE urmează să stabilească până la 1 oc</w:t>
      </w:r>
      <w:r w:rsidR="00BC7F4C" w:rsidRPr="00C43E6D">
        <w:rPr>
          <w:b w:val="0"/>
          <w:bCs w:val="0"/>
          <w:color w:val="000000" w:themeColor="text1"/>
          <w:lang w:eastAsia="ru-RU"/>
        </w:rPr>
        <w:t>to</w:t>
      </w:r>
      <w:r w:rsidRPr="00C43E6D">
        <w:rPr>
          <w:b w:val="0"/>
          <w:bCs w:val="0"/>
          <w:color w:val="000000" w:themeColor="text1"/>
          <w:lang w:eastAsia="ru-RU"/>
        </w:rPr>
        <w:t>mbrie 2025, un calendar privind restricționarea accesului consumatorilor finali, alții decât cei prevăzuți la articolul 89 alin. (1), condițiile specifice de furnizare a gazelor naturale către aceste categorii de consumatori finali, precum și obligațiile furnizorilor.</w:t>
      </w:r>
    </w:p>
    <w:p w14:paraId="3DC22BBB" w14:textId="46769745" w:rsidR="00F806FB" w:rsidRPr="00C43E6D" w:rsidRDefault="004E1A83" w:rsidP="009140E8">
      <w:pPr>
        <w:pStyle w:val="cb"/>
        <w:spacing w:after="60" w:line="276" w:lineRule="auto"/>
        <w:ind w:firstLine="540"/>
        <w:jc w:val="both"/>
        <w:rPr>
          <w:b w:val="0"/>
          <w:bCs w:val="0"/>
          <w:color w:val="000000" w:themeColor="text1"/>
          <w:lang w:eastAsia="ru-RU"/>
        </w:rPr>
      </w:pPr>
      <w:r w:rsidRPr="00C43E6D">
        <w:rPr>
          <w:color w:val="000000" w:themeColor="text1"/>
          <w:lang w:eastAsia="ru-RU"/>
        </w:rPr>
        <w:t>48</w:t>
      </w:r>
      <w:r w:rsidR="00F806FB" w:rsidRPr="00C43E6D">
        <w:rPr>
          <w:color w:val="000000" w:themeColor="text1"/>
          <w:lang w:eastAsia="ru-RU"/>
        </w:rPr>
        <w:t>.</w:t>
      </w:r>
      <w:r w:rsidR="00F806FB" w:rsidRPr="00C43E6D">
        <w:rPr>
          <w:b w:val="0"/>
          <w:bCs w:val="0"/>
          <w:color w:val="000000" w:themeColor="text1"/>
          <w:lang w:eastAsia="ru-RU"/>
        </w:rPr>
        <w:t xml:space="preserve"> Cu referire la sectorul electroenergetic, este necesar a fi menționat că sincronizarea sistemelor electroenergetice ale Republicii Moldova și Ucrainei cu sistemul electroenergetic European ENTSO-E, din data de 16 martie 2022, a permis asigurarea stabilității sistemului electroenergetic și a oferit posibilitatea de a realiza schimburi comerciale de energie electrică de pe piața de energie electrică europeană. Prin urmare, chiar și în contextul geopolitic complicat a fost asigurată continuitatea aprovizionării cu energie electrică.</w:t>
      </w:r>
    </w:p>
    <w:p w14:paraId="5F3E72D8" w14:textId="017B5461" w:rsidR="008A3DB5" w:rsidRPr="00C43E6D" w:rsidRDefault="004E1A83" w:rsidP="009140E8">
      <w:pPr>
        <w:pStyle w:val="cb"/>
        <w:spacing w:after="60" w:line="276" w:lineRule="auto"/>
        <w:ind w:firstLine="540"/>
        <w:jc w:val="both"/>
        <w:rPr>
          <w:b w:val="0"/>
          <w:bCs w:val="0"/>
          <w:color w:val="000000" w:themeColor="text1"/>
          <w:lang w:eastAsia="ru-RU"/>
        </w:rPr>
      </w:pPr>
      <w:r w:rsidRPr="00C43E6D">
        <w:rPr>
          <w:color w:val="000000" w:themeColor="text1"/>
          <w:lang w:eastAsia="ru-RU"/>
        </w:rPr>
        <w:t>49</w:t>
      </w:r>
      <w:r w:rsidR="00F806FB" w:rsidRPr="00C43E6D">
        <w:rPr>
          <w:color w:val="000000" w:themeColor="text1"/>
          <w:lang w:eastAsia="ru-RU"/>
        </w:rPr>
        <w:t>.</w:t>
      </w:r>
      <w:r w:rsidR="00F806FB" w:rsidRPr="00C43E6D">
        <w:rPr>
          <w:b w:val="0"/>
          <w:bCs w:val="0"/>
          <w:color w:val="000000" w:themeColor="text1"/>
          <w:lang w:eastAsia="ru-RU"/>
        </w:rPr>
        <w:t xml:space="preserve"> Pentru a menține gradul de siguranță în aprovizionare</w:t>
      </w:r>
      <w:r w:rsidR="008A3DB5" w:rsidRPr="00C43E6D">
        <w:rPr>
          <w:b w:val="0"/>
          <w:bCs w:val="0"/>
          <w:color w:val="000000" w:themeColor="text1"/>
          <w:lang w:eastAsia="ru-RU"/>
        </w:rPr>
        <w:t>a</w:t>
      </w:r>
      <w:r w:rsidR="00F806FB" w:rsidRPr="00C43E6D">
        <w:rPr>
          <w:b w:val="0"/>
          <w:bCs w:val="0"/>
          <w:color w:val="000000" w:themeColor="text1"/>
          <w:lang w:eastAsia="ru-RU"/>
        </w:rPr>
        <w:t xml:space="preserve"> cu energie electrică, au fost diversificate sursele de aprovizionare cu energie electrică prin încheierea mai multor contracte bilaterale, atât cu producători din Ucraina, cât și cu producători și furnizori din România. Urmărind intensificarea relațiilor bilaterale dintre Republica Moldova și România, a fost posibilă înregistrarea SA „Energocom” la bursa OPCOM din România și efectuarea tranzacțiilor pe această platformă.</w:t>
      </w:r>
      <w:r w:rsidR="008A3DB5" w:rsidRPr="00C43E6D">
        <w:rPr>
          <w:b w:val="0"/>
          <w:bCs w:val="0"/>
          <w:color w:val="000000" w:themeColor="text1"/>
          <w:lang w:eastAsia="ru-RU"/>
        </w:rPr>
        <w:t xml:space="preserve"> </w:t>
      </w:r>
    </w:p>
    <w:p w14:paraId="79968172" w14:textId="5A98F014" w:rsidR="008A3DB5" w:rsidRPr="00C43E6D" w:rsidRDefault="004E1A83" w:rsidP="009140E8">
      <w:pPr>
        <w:pStyle w:val="cb"/>
        <w:spacing w:after="60" w:line="276" w:lineRule="auto"/>
        <w:ind w:firstLine="540"/>
        <w:jc w:val="both"/>
        <w:rPr>
          <w:b w:val="0"/>
          <w:bCs w:val="0"/>
          <w:color w:val="000000" w:themeColor="text1"/>
          <w:lang w:eastAsia="ru-RU"/>
        </w:rPr>
      </w:pPr>
      <w:r w:rsidRPr="00C43E6D">
        <w:rPr>
          <w:color w:val="000000" w:themeColor="text1"/>
          <w:lang w:eastAsia="ru-RU"/>
        </w:rPr>
        <w:t>50</w:t>
      </w:r>
      <w:r w:rsidR="008A3DB5" w:rsidRPr="00C43E6D">
        <w:rPr>
          <w:color w:val="000000" w:themeColor="text1"/>
          <w:lang w:eastAsia="ru-RU"/>
        </w:rPr>
        <w:t>.</w:t>
      </w:r>
      <w:r w:rsidR="008A3DB5" w:rsidRPr="00C43E6D">
        <w:rPr>
          <w:b w:val="0"/>
          <w:bCs w:val="0"/>
          <w:color w:val="000000" w:themeColor="text1"/>
          <w:lang w:eastAsia="ru-RU"/>
        </w:rPr>
        <w:t xml:space="preserve"> </w:t>
      </w:r>
      <w:r w:rsidR="00F806FB" w:rsidRPr="00C43E6D">
        <w:rPr>
          <w:b w:val="0"/>
          <w:bCs w:val="0"/>
          <w:color w:val="000000" w:themeColor="text1"/>
          <w:lang w:eastAsia="ru-RU"/>
        </w:rPr>
        <w:t xml:space="preserve">Securitatea aprovizionării cu energie electrică a malului drept </w:t>
      </w:r>
      <w:r w:rsidR="007427F2">
        <w:rPr>
          <w:b w:val="0"/>
          <w:bCs w:val="0"/>
          <w:color w:val="000000" w:themeColor="text1"/>
          <w:lang w:eastAsia="ru-RU"/>
        </w:rPr>
        <w:t xml:space="preserve">al </w:t>
      </w:r>
      <w:r w:rsidR="007433FF">
        <w:rPr>
          <w:b w:val="0"/>
          <w:bCs w:val="0"/>
          <w:color w:val="000000" w:themeColor="text1"/>
          <w:lang w:eastAsia="ru-RU"/>
        </w:rPr>
        <w:t xml:space="preserve">râului </w:t>
      </w:r>
      <w:r w:rsidR="007427F2">
        <w:rPr>
          <w:b w:val="0"/>
          <w:bCs w:val="0"/>
          <w:color w:val="000000" w:themeColor="text1"/>
          <w:lang w:eastAsia="ru-RU"/>
        </w:rPr>
        <w:t xml:space="preserve">Nistru </w:t>
      </w:r>
      <w:r w:rsidR="00F806FB" w:rsidRPr="00C43E6D">
        <w:rPr>
          <w:b w:val="0"/>
          <w:bCs w:val="0"/>
          <w:color w:val="000000" w:themeColor="text1"/>
          <w:lang w:eastAsia="ru-RU"/>
        </w:rPr>
        <w:t xml:space="preserve">este cea mai vulnerabilă. Comparativ cu situația anului 2022, riscurile sunt crescute din cauza pierderii capacității de generare din Ucraina, care a schimbat situația regională, Ucraina devenind o țară importatoare de energie electrică cu care Republica Moldova trebuie să concureze la importul energiei electrice. </w:t>
      </w:r>
    </w:p>
    <w:p w14:paraId="04FF9E5F" w14:textId="6B372D44" w:rsidR="00A320FF" w:rsidRPr="00C43E6D" w:rsidRDefault="00F806FB" w:rsidP="009140E8">
      <w:pPr>
        <w:pStyle w:val="cb"/>
        <w:spacing w:after="60" w:line="276" w:lineRule="auto"/>
        <w:jc w:val="both"/>
        <w:rPr>
          <w:b w:val="0"/>
          <w:bCs w:val="0"/>
          <w:color w:val="000000" w:themeColor="text1"/>
          <w:lang w:eastAsia="ru-RU"/>
        </w:rPr>
      </w:pPr>
      <w:r w:rsidRPr="00C43E6D">
        <w:rPr>
          <w:b w:val="0"/>
          <w:bCs w:val="0"/>
          <w:color w:val="000000" w:themeColor="text1"/>
          <w:lang w:eastAsia="ru-RU"/>
        </w:rPr>
        <w:t xml:space="preserve">Accesarea surselor (alternative) sigure și competitive pentru achiziționarea energiei electrice la prețuri rezonabile și transportul acesteia către Republica Moldova rămâne o provocare în condițiile în care </w:t>
      </w:r>
      <w:r w:rsidRPr="00C43E6D">
        <w:rPr>
          <w:b w:val="0"/>
          <w:bCs w:val="0"/>
          <w:color w:val="000000" w:themeColor="text1"/>
          <w:lang w:eastAsia="ru-RU"/>
        </w:rPr>
        <w:lastRenderedPageBreak/>
        <w:t>importurile din Ucraina practic au fost sistate, ca urmare a bombardamentelor rusești asupra infrastructurii sale energetice. Importul de energie electrică din România (OPCOM sau contracte directe cu anumiți producători) nu garantează prețuri accesibile, România fiind la fel un importator de energie electrică în perioada rece a anului. Din cauza capacității insuficiente a interconexiunilor cu sistemul electroenergetic din România există riscuri atât de ordin tehnic, cât și de ordin comercial.</w:t>
      </w:r>
      <w:r w:rsidR="008A3DB5" w:rsidRPr="00C43E6D">
        <w:rPr>
          <w:b w:val="0"/>
          <w:bCs w:val="0"/>
          <w:color w:val="000000" w:themeColor="text1"/>
          <w:lang w:eastAsia="ru-RU"/>
        </w:rPr>
        <w:t xml:space="preserve"> </w:t>
      </w:r>
    </w:p>
    <w:p w14:paraId="403831A1" w14:textId="7561C3A7" w:rsidR="00D57922" w:rsidRPr="007E6BC4" w:rsidRDefault="004E1A83" w:rsidP="009140E8">
      <w:pPr>
        <w:pStyle w:val="cb"/>
        <w:shd w:val="clear" w:color="auto" w:fill="FFFFFF" w:themeFill="background1"/>
        <w:spacing w:after="60" w:line="276" w:lineRule="auto"/>
        <w:ind w:firstLine="540"/>
        <w:jc w:val="both"/>
        <w:rPr>
          <w:b w:val="0"/>
          <w:bCs w:val="0"/>
          <w:color w:val="000000" w:themeColor="text1"/>
          <w:lang w:eastAsia="ru-RU"/>
        </w:rPr>
      </w:pPr>
      <w:r w:rsidRPr="00C43E6D">
        <w:rPr>
          <w:color w:val="000000" w:themeColor="text1"/>
          <w:lang w:eastAsia="ru-RU"/>
        </w:rPr>
        <w:t>5</w:t>
      </w:r>
      <w:r w:rsidR="00C958F1">
        <w:rPr>
          <w:color w:val="000000" w:themeColor="text1"/>
          <w:lang w:eastAsia="ru-RU"/>
        </w:rPr>
        <w:t>1</w:t>
      </w:r>
      <w:r w:rsidR="00A320FF" w:rsidRPr="00C43E6D">
        <w:rPr>
          <w:color w:val="000000" w:themeColor="text1"/>
          <w:lang w:eastAsia="ru-RU"/>
        </w:rPr>
        <w:t>.</w:t>
      </w:r>
      <w:r w:rsidR="00A320FF" w:rsidRPr="00C43E6D">
        <w:rPr>
          <w:b w:val="0"/>
          <w:bCs w:val="0"/>
          <w:color w:val="000000" w:themeColor="text1"/>
          <w:lang w:eastAsia="ru-RU"/>
        </w:rPr>
        <w:t xml:space="preserve"> </w:t>
      </w:r>
      <w:r w:rsidR="00D57922" w:rsidRPr="007E6BC4">
        <w:rPr>
          <w:b w:val="0"/>
          <w:bCs w:val="0"/>
          <w:color w:val="000000" w:themeColor="text1"/>
          <w:lang w:eastAsia="ru-RU"/>
        </w:rPr>
        <w:t>Capacitatea comercială de 2100 MW</w:t>
      </w:r>
      <w:r w:rsidR="0078000B" w:rsidRPr="007E6BC4">
        <w:rPr>
          <w:b w:val="0"/>
          <w:bCs w:val="0"/>
          <w:color w:val="000000" w:themeColor="text1"/>
          <w:lang w:eastAsia="ru-RU"/>
        </w:rPr>
        <w:t>,</w:t>
      </w:r>
      <w:r w:rsidR="00D57922" w:rsidRPr="007E6BC4">
        <w:rPr>
          <w:b w:val="0"/>
          <w:bCs w:val="0"/>
          <w:color w:val="000000" w:themeColor="text1"/>
          <w:lang w:eastAsia="ru-RU"/>
        </w:rPr>
        <w:t xml:space="preserve"> care a fost permisă de ENTSO-E în perioada rece </w:t>
      </w:r>
      <w:r w:rsidR="007E6BC4" w:rsidRPr="007E6BC4">
        <w:rPr>
          <w:b w:val="0"/>
          <w:bCs w:val="0"/>
          <w:color w:val="000000" w:themeColor="text1"/>
          <w:lang w:eastAsia="ru-RU"/>
        </w:rPr>
        <w:t xml:space="preserve">a </w:t>
      </w:r>
      <w:r w:rsidR="00D57922" w:rsidRPr="007E6BC4">
        <w:rPr>
          <w:b w:val="0"/>
          <w:bCs w:val="0"/>
          <w:color w:val="000000" w:themeColor="text1"/>
          <w:lang w:eastAsia="ru-RU"/>
        </w:rPr>
        <w:t xml:space="preserve">anului pentru importul de energie electrică pentru blocul Ucraina - Republica Moldova (din care doar 315 MW exclusiv pentru Republica Moldova prin intermediul interconexiunii cu sistemul electroenergetic al României), precum și capacitatea comercială actuală din perioada de vară de 1700 MW </w:t>
      </w:r>
      <w:r w:rsidR="007E6BC4" w:rsidRPr="007E6BC4">
        <w:rPr>
          <w:b w:val="0"/>
          <w:bCs w:val="0"/>
          <w:color w:val="000000" w:themeColor="text1"/>
          <w:lang w:eastAsia="ru-RU"/>
        </w:rPr>
        <w:t>(</w:t>
      </w:r>
      <w:r w:rsidR="00D57922" w:rsidRPr="007E6BC4">
        <w:rPr>
          <w:b w:val="0"/>
          <w:bCs w:val="0"/>
          <w:color w:val="000000" w:themeColor="text1"/>
          <w:lang w:eastAsia="ru-RU"/>
        </w:rPr>
        <w:t>din</w:t>
      </w:r>
      <w:r w:rsidR="007E6BC4" w:rsidRPr="007E6BC4">
        <w:rPr>
          <w:b w:val="0"/>
          <w:bCs w:val="0"/>
          <w:color w:val="000000" w:themeColor="text1"/>
          <w:lang w:eastAsia="ru-RU"/>
        </w:rPr>
        <w:t xml:space="preserve"> care</w:t>
      </w:r>
      <w:r w:rsidR="00D57922" w:rsidRPr="007E6BC4">
        <w:rPr>
          <w:b w:val="0"/>
          <w:bCs w:val="0"/>
          <w:color w:val="000000" w:themeColor="text1"/>
          <w:lang w:eastAsia="ru-RU"/>
        </w:rPr>
        <w:t xml:space="preserve"> </w:t>
      </w:r>
      <w:r w:rsidR="007E6BC4" w:rsidRPr="007E6BC4">
        <w:rPr>
          <w:b w:val="0"/>
          <w:bCs w:val="0"/>
          <w:color w:val="000000" w:themeColor="text1"/>
          <w:lang w:eastAsia="ru-RU"/>
        </w:rPr>
        <w:t>doar</w:t>
      </w:r>
      <w:r w:rsidR="00D57922" w:rsidRPr="007E6BC4">
        <w:rPr>
          <w:b w:val="0"/>
          <w:bCs w:val="0"/>
          <w:color w:val="000000" w:themeColor="text1"/>
          <w:lang w:eastAsia="ru-RU"/>
        </w:rPr>
        <w:t xml:space="preserve"> 255 MW exclusiv pentru Republica Moldova</w:t>
      </w:r>
      <w:r w:rsidR="007E6BC4" w:rsidRPr="007E6BC4">
        <w:rPr>
          <w:b w:val="0"/>
          <w:bCs w:val="0"/>
          <w:color w:val="000000" w:themeColor="text1"/>
          <w:lang w:eastAsia="ru-RU"/>
        </w:rPr>
        <w:t>)</w:t>
      </w:r>
      <w:r w:rsidR="00D57922" w:rsidRPr="007E6BC4">
        <w:rPr>
          <w:b w:val="0"/>
          <w:bCs w:val="0"/>
          <w:color w:val="000000" w:themeColor="text1"/>
          <w:lang w:eastAsia="ru-RU"/>
        </w:rPr>
        <w:t xml:space="preserve">, nu garantează </w:t>
      </w:r>
      <w:r w:rsidR="007E6BC4" w:rsidRPr="007E6BC4">
        <w:rPr>
          <w:b w:val="0"/>
          <w:bCs w:val="0"/>
          <w:color w:val="000000" w:themeColor="text1"/>
          <w:lang w:eastAsia="ru-RU"/>
        </w:rPr>
        <w:t>asigurarea integrală a importurilor necesare</w:t>
      </w:r>
      <w:r w:rsidR="00D57922" w:rsidRPr="007E6BC4">
        <w:rPr>
          <w:b w:val="0"/>
          <w:bCs w:val="0"/>
          <w:color w:val="000000" w:themeColor="text1"/>
          <w:lang w:eastAsia="ru-RU"/>
        </w:rPr>
        <w:t xml:space="preserve"> acoperir</w:t>
      </w:r>
      <w:r w:rsidR="007E6BC4" w:rsidRPr="007E6BC4">
        <w:rPr>
          <w:b w:val="0"/>
          <w:bCs w:val="0"/>
          <w:color w:val="000000" w:themeColor="text1"/>
          <w:lang w:eastAsia="ru-RU"/>
        </w:rPr>
        <w:t xml:space="preserve">ii </w:t>
      </w:r>
      <w:r w:rsidR="00D57922" w:rsidRPr="007E6BC4">
        <w:rPr>
          <w:b w:val="0"/>
          <w:bCs w:val="0"/>
          <w:color w:val="000000" w:themeColor="text1"/>
          <w:lang w:eastAsia="ru-RU"/>
        </w:rPr>
        <w:t>integral</w:t>
      </w:r>
      <w:r w:rsidR="007E6BC4" w:rsidRPr="007E6BC4">
        <w:rPr>
          <w:b w:val="0"/>
          <w:bCs w:val="0"/>
          <w:color w:val="000000" w:themeColor="text1"/>
          <w:lang w:eastAsia="ru-RU"/>
        </w:rPr>
        <w:t>e</w:t>
      </w:r>
      <w:r w:rsidR="00D57922" w:rsidRPr="007E6BC4">
        <w:rPr>
          <w:b w:val="0"/>
          <w:bCs w:val="0"/>
          <w:color w:val="000000" w:themeColor="text1"/>
          <w:lang w:eastAsia="ru-RU"/>
        </w:rPr>
        <w:t xml:space="preserve"> din import a consumului de energie electrică a malului drept al </w:t>
      </w:r>
      <w:r w:rsidR="007433FF">
        <w:rPr>
          <w:b w:val="0"/>
          <w:bCs w:val="0"/>
          <w:color w:val="000000" w:themeColor="text1"/>
          <w:lang w:eastAsia="ru-RU"/>
        </w:rPr>
        <w:t xml:space="preserve">râului </w:t>
      </w:r>
      <w:r w:rsidR="00D57922" w:rsidRPr="007E6BC4">
        <w:rPr>
          <w:b w:val="0"/>
          <w:bCs w:val="0"/>
          <w:color w:val="000000" w:themeColor="text1"/>
          <w:lang w:eastAsia="ru-RU"/>
        </w:rPr>
        <w:t xml:space="preserve">Nistru, fiind necesare acțiuni privind majorarea la cel puțin 600 MW a capacității comerciale, exclusiv pentru Republica Moldova, pentru a asigura acoperirea cererii de energie electrică în orele de vârf. </w:t>
      </w:r>
    </w:p>
    <w:p w14:paraId="46D4D14B" w14:textId="628D1DDB" w:rsidR="00D57922" w:rsidRPr="007E6BC4" w:rsidRDefault="00D57922" w:rsidP="009140E8">
      <w:pPr>
        <w:pStyle w:val="cb"/>
        <w:shd w:val="clear" w:color="auto" w:fill="FFFFFF" w:themeFill="background1"/>
        <w:spacing w:after="60" w:line="276" w:lineRule="auto"/>
        <w:jc w:val="both"/>
        <w:rPr>
          <w:b w:val="0"/>
          <w:bCs w:val="0"/>
          <w:color w:val="000000" w:themeColor="text1"/>
          <w:lang w:eastAsia="ru-RU"/>
        </w:rPr>
      </w:pPr>
      <w:r w:rsidRPr="007E6BC4">
        <w:rPr>
          <w:b w:val="0"/>
          <w:bCs w:val="0"/>
          <w:color w:val="000000" w:themeColor="text1"/>
          <w:lang w:eastAsia="ru-RU"/>
        </w:rPr>
        <w:t xml:space="preserve">De menționat că, în timpul sezonului de încălzire, Republica Moldova are nevoie de importuri de energie electrică de aproximativ 400-450 MW în orele de vârf. Începând cu luna aprilie, necesitatea de import a energiei electrice crește la aproximativ 600 MW în orele de vârf din cauza micșorării semnificative a capacității de producere a energiei electrice a centralelor electrice cu termoficare (CET) ce depinde în mare parte de sarcina termică de consum. </w:t>
      </w:r>
    </w:p>
    <w:p w14:paraId="6D6E01FC" w14:textId="7C1D3043" w:rsidR="00D57922" w:rsidRPr="007E6BC4" w:rsidRDefault="0078000B" w:rsidP="009140E8">
      <w:pPr>
        <w:pStyle w:val="cb"/>
        <w:shd w:val="clear" w:color="auto" w:fill="FFFFFF" w:themeFill="background1"/>
        <w:spacing w:after="60" w:line="276" w:lineRule="auto"/>
        <w:jc w:val="both"/>
        <w:rPr>
          <w:b w:val="0"/>
          <w:bCs w:val="0"/>
          <w:color w:val="000000" w:themeColor="text1"/>
          <w:lang w:eastAsia="ru-RU"/>
        </w:rPr>
      </w:pPr>
      <w:r w:rsidRPr="007E6BC4">
        <w:rPr>
          <w:b w:val="0"/>
          <w:bCs w:val="0"/>
          <w:color w:val="000000" w:themeColor="text1"/>
          <w:lang w:eastAsia="ru-RU"/>
        </w:rPr>
        <w:t>C</w:t>
      </w:r>
      <w:r w:rsidR="00D57922" w:rsidRPr="007E6BC4">
        <w:rPr>
          <w:b w:val="0"/>
          <w:bCs w:val="0"/>
          <w:color w:val="000000" w:themeColor="text1"/>
          <w:lang w:eastAsia="ru-RU"/>
        </w:rPr>
        <w:t xml:space="preserve">apacitatea totală instalată a centralelor electrice din surse regenerabile </w:t>
      </w:r>
      <w:r w:rsidRPr="007E6BC4">
        <w:rPr>
          <w:b w:val="0"/>
          <w:bCs w:val="0"/>
          <w:color w:val="000000" w:themeColor="text1"/>
          <w:lang w:eastAsia="ru-RU"/>
        </w:rPr>
        <w:t xml:space="preserve">a atins nivelul </w:t>
      </w:r>
      <w:r w:rsidR="00D57922" w:rsidRPr="007E6BC4">
        <w:rPr>
          <w:b w:val="0"/>
          <w:bCs w:val="0"/>
          <w:color w:val="000000" w:themeColor="text1"/>
          <w:lang w:eastAsia="ru-RU"/>
        </w:rPr>
        <w:t xml:space="preserve">de 665 MW, </w:t>
      </w:r>
      <w:r w:rsidRPr="007E6BC4">
        <w:rPr>
          <w:b w:val="0"/>
          <w:bCs w:val="0"/>
          <w:color w:val="000000" w:themeColor="text1"/>
          <w:lang w:eastAsia="ru-RU"/>
        </w:rPr>
        <w:t xml:space="preserve">însă </w:t>
      </w:r>
      <w:r w:rsidR="00D57922" w:rsidRPr="007E6BC4">
        <w:rPr>
          <w:b w:val="0"/>
          <w:bCs w:val="0"/>
          <w:color w:val="000000" w:themeColor="text1"/>
          <w:lang w:eastAsia="ru-RU"/>
        </w:rPr>
        <w:t xml:space="preserve">marea majoritate </w:t>
      </w:r>
      <w:r w:rsidRPr="007E6BC4">
        <w:rPr>
          <w:b w:val="0"/>
          <w:bCs w:val="0"/>
          <w:color w:val="000000" w:themeColor="text1"/>
          <w:lang w:eastAsia="ru-RU"/>
        </w:rPr>
        <w:t>sunt</w:t>
      </w:r>
      <w:r w:rsidR="00D57922" w:rsidRPr="007E6BC4">
        <w:rPr>
          <w:b w:val="0"/>
          <w:bCs w:val="0"/>
          <w:color w:val="000000" w:themeColor="text1"/>
          <w:lang w:eastAsia="ru-RU"/>
        </w:rPr>
        <w:t xml:space="preserve"> surse intermitente (fotovoltaice și eoliene)</w:t>
      </w:r>
      <w:r w:rsidRPr="007E6BC4">
        <w:rPr>
          <w:b w:val="0"/>
          <w:bCs w:val="0"/>
          <w:color w:val="000000" w:themeColor="text1"/>
          <w:lang w:eastAsia="ru-RU"/>
        </w:rPr>
        <w:t>. Astfel,</w:t>
      </w:r>
      <w:r w:rsidR="00D57922" w:rsidRPr="007E6BC4">
        <w:rPr>
          <w:b w:val="0"/>
          <w:bCs w:val="0"/>
          <w:color w:val="000000" w:themeColor="text1"/>
          <w:lang w:eastAsia="ru-RU"/>
        </w:rPr>
        <w:t xml:space="preserve"> singura sursă fiabilă care poate acoperi integral cererea de energie electrică a Republicii Moldova este energia importată prin intermediul conexiunii transfrontaliere România-Republica Moldova.</w:t>
      </w:r>
    </w:p>
    <w:p w14:paraId="799F358B" w14:textId="2DE8A2A8" w:rsidR="00D57922" w:rsidRPr="007E6BC4" w:rsidRDefault="00D57922" w:rsidP="009140E8">
      <w:pPr>
        <w:pStyle w:val="cb"/>
        <w:shd w:val="clear" w:color="auto" w:fill="FFFFFF" w:themeFill="background1"/>
        <w:spacing w:after="60" w:line="276" w:lineRule="auto"/>
        <w:jc w:val="both"/>
        <w:rPr>
          <w:b w:val="0"/>
          <w:bCs w:val="0"/>
          <w:color w:val="000000" w:themeColor="text1"/>
          <w:lang w:eastAsia="ru-RU"/>
        </w:rPr>
      </w:pPr>
      <w:r w:rsidRPr="007E6BC4">
        <w:rPr>
          <w:b w:val="0"/>
          <w:bCs w:val="0"/>
          <w:color w:val="000000" w:themeColor="text1"/>
          <w:lang w:eastAsia="ru-RU"/>
        </w:rPr>
        <w:t xml:space="preserve">Având în vedere riscurile privind asigurarea securității aprovizionării cu energie electrice, ENTSO-E a permis aplicarea unui mecanism de realocare a capacității comerciale neutilizate de Ucraina pentru a fi </w:t>
      </w:r>
      <w:r w:rsidR="007E6BC4" w:rsidRPr="007E6BC4">
        <w:rPr>
          <w:b w:val="0"/>
          <w:bCs w:val="0"/>
          <w:color w:val="000000" w:themeColor="text1"/>
          <w:lang w:eastAsia="ru-RU"/>
        </w:rPr>
        <w:t>utilizată</w:t>
      </w:r>
      <w:r w:rsidRPr="007E6BC4">
        <w:rPr>
          <w:b w:val="0"/>
          <w:bCs w:val="0"/>
          <w:color w:val="000000" w:themeColor="text1"/>
          <w:lang w:eastAsia="ru-RU"/>
        </w:rPr>
        <w:t xml:space="preserve"> la granița România-Republica Moldova, în limita a maxim 21% din capacitatea totală a blocului, ceea ce permite la moment importul suplimentar </w:t>
      </w:r>
      <w:r w:rsidR="0078000B" w:rsidRPr="007E6BC4">
        <w:rPr>
          <w:b w:val="0"/>
          <w:bCs w:val="0"/>
          <w:color w:val="000000" w:themeColor="text1"/>
          <w:lang w:eastAsia="ru-RU"/>
        </w:rPr>
        <w:t xml:space="preserve">a </w:t>
      </w:r>
      <w:r w:rsidRPr="007E6BC4">
        <w:rPr>
          <w:b w:val="0"/>
          <w:bCs w:val="0"/>
          <w:color w:val="000000" w:themeColor="text1"/>
          <w:lang w:eastAsia="ru-RU"/>
        </w:rPr>
        <w:t>până la 350 MW în orele de vârf în special</w:t>
      </w:r>
      <w:r w:rsidR="007E6BC4" w:rsidRPr="007E6BC4">
        <w:rPr>
          <w:b w:val="0"/>
          <w:bCs w:val="0"/>
          <w:color w:val="000000" w:themeColor="text1"/>
          <w:lang w:eastAsia="ru-RU"/>
        </w:rPr>
        <w:t xml:space="preserve"> ore</w:t>
      </w:r>
      <w:r w:rsidRPr="007E6BC4">
        <w:rPr>
          <w:b w:val="0"/>
          <w:bCs w:val="0"/>
          <w:color w:val="000000" w:themeColor="text1"/>
          <w:lang w:eastAsia="ru-RU"/>
        </w:rPr>
        <w:t xml:space="preserve"> de seară.</w:t>
      </w:r>
    </w:p>
    <w:p w14:paraId="02E065E4" w14:textId="14498099" w:rsidR="00E83011" w:rsidRPr="00C43E6D" w:rsidRDefault="00E83011" w:rsidP="009140E8">
      <w:pPr>
        <w:pStyle w:val="cb"/>
        <w:shd w:val="clear" w:color="auto" w:fill="FFFFFF" w:themeFill="background1"/>
        <w:spacing w:after="60" w:line="276" w:lineRule="auto"/>
        <w:jc w:val="both"/>
        <w:rPr>
          <w:b w:val="0"/>
          <w:bCs w:val="0"/>
          <w:color w:val="000000" w:themeColor="text1"/>
          <w:lang w:eastAsia="ru-RU"/>
        </w:rPr>
      </w:pPr>
      <w:r w:rsidRPr="007E6BC4">
        <w:rPr>
          <w:b w:val="0"/>
          <w:bCs w:val="0"/>
          <w:color w:val="000000" w:themeColor="text1"/>
          <w:lang w:eastAsia="ru-RU"/>
        </w:rPr>
        <w:t>Astfel, ținând cont de această măsură de realocare și contractele privind furnizarea energiei electrice încheiate cu Ucraina, este posibilă acoperirea consumului intern de energie electrică, inclusiv în orele de vârf. Totodată, în cazul în care furnizorii de energiei electrică din Ucraina nu vor avea posibilitate de a furniza energie electrică către Republica Moldova, iar mecanismul de realocare a capacității comerciale neutilizate de Ucraina nu va mai funcționa, capacitatea comercială actuală garantată exclusiv pentru Republica Moldova ar putea să nu fie suficientă, fiind astfel necesar a acoperi consumul total intern al țării în orele de vârf prin intermediul Acordurilor privind achiziționarea energiei electrice de urgență.</w:t>
      </w:r>
    </w:p>
    <w:p w14:paraId="67171FF7" w14:textId="6E1410DB" w:rsidR="00F806FB" w:rsidRPr="00C43E6D" w:rsidRDefault="004E1A83" w:rsidP="009140E8">
      <w:pPr>
        <w:pStyle w:val="cb"/>
        <w:spacing w:after="60" w:line="276" w:lineRule="auto"/>
        <w:ind w:firstLine="540"/>
        <w:jc w:val="both"/>
        <w:rPr>
          <w:b w:val="0"/>
          <w:bCs w:val="0"/>
          <w:color w:val="000000" w:themeColor="text1"/>
          <w:lang w:eastAsia="ru-RU"/>
        </w:rPr>
      </w:pPr>
      <w:r w:rsidRPr="00C43E6D">
        <w:rPr>
          <w:color w:val="000000" w:themeColor="text1"/>
          <w:lang w:eastAsia="ru-RU"/>
        </w:rPr>
        <w:t>5</w:t>
      </w:r>
      <w:r w:rsidR="00C958F1">
        <w:rPr>
          <w:color w:val="000000" w:themeColor="text1"/>
          <w:lang w:eastAsia="ru-RU"/>
        </w:rPr>
        <w:t>2</w:t>
      </w:r>
      <w:r w:rsidR="00A320FF" w:rsidRPr="00C43E6D">
        <w:rPr>
          <w:color w:val="000000" w:themeColor="text1"/>
          <w:lang w:eastAsia="ru-RU"/>
        </w:rPr>
        <w:t>.</w:t>
      </w:r>
      <w:r w:rsidR="00A320FF" w:rsidRPr="00C43E6D">
        <w:rPr>
          <w:b w:val="0"/>
          <w:bCs w:val="0"/>
          <w:color w:val="000000" w:themeColor="text1"/>
          <w:lang w:eastAsia="ru-RU"/>
        </w:rPr>
        <w:t xml:space="preserve"> </w:t>
      </w:r>
      <w:r w:rsidR="0092464C" w:rsidRPr="00C43E6D">
        <w:rPr>
          <w:b w:val="0"/>
          <w:bCs w:val="0"/>
        </w:rPr>
        <w:t>Interconectarea cu rețelele energetice din Uniunea Europeană reprezintă un prim pas important spre diversificarea surselor de energie și reducerea dependenței. Investițiile în surse de energie alternative pot contribui semnificativ la diversificarea mixului energetic, reducând astfel dependența de combustibilii fosili, Republica Moldova având un potențial considerabil în acest sens, în special de energie solară și eoliană.</w:t>
      </w:r>
      <w:r w:rsidR="0063590D" w:rsidRPr="00C43E6D">
        <w:rPr>
          <w:b w:val="0"/>
          <w:bCs w:val="0"/>
          <w:color w:val="000000" w:themeColor="text1"/>
          <w:lang w:eastAsia="ru-RU"/>
        </w:rPr>
        <w:t xml:space="preserve"> </w:t>
      </w:r>
    </w:p>
    <w:p w14:paraId="52DC39FF" w14:textId="4AFB89DA" w:rsidR="00AD3333" w:rsidRPr="00C43E6D" w:rsidRDefault="004E1A83" w:rsidP="009140E8">
      <w:pPr>
        <w:pStyle w:val="cb"/>
        <w:spacing w:after="60" w:line="276" w:lineRule="auto"/>
        <w:ind w:firstLine="540"/>
        <w:jc w:val="both"/>
        <w:rPr>
          <w:b w:val="0"/>
          <w:bCs w:val="0"/>
          <w:color w:val="000000" w:themeColor="text1"/>
          <w:lang w:eastAsia="ru-RU"/>
        </w:rPr>
        <w:sectPr w:rsidR="00AD3333" w:rsidRPr="00C43E6D" w:rsidSect="00EC3E7B">
          <w:footerReference w:type="default" r:id="rId31"/>
          <w:pgSz w:w="11907" w:h="16840" w:code="9"/>
          <w:pgMar w:top="720" w:right="720" w:bottom="720" w:left="1008" w:header="144" w:footer="86" w:gutter="0"/>
          <w:cols w:space="720"/>
          <w:docGrid w:linePitch="360"/>
        </w:sectPr>
      </w:pPr>
      <w:r w:rsidRPr="00C43E6D">
        <w:rPr>
          <w:color w:val="000000" w:themeColor="text1"/>
          <w:lang w:eastAsia="ru-RU"/>
        </w:rPr>
        <w:t>5</w:t>
      </w:r>
      <w:r w:rsidR="00C958F1">
        <w:rPr>
          <w:color w:val="000000" w:themeColor="text1"/>
          <w:lang w:eastAsia="ru-RU"/>
        </w:rPr>
        <w:t>3</w:t>
      </w:r>
      <w:r w:rsidR="0061350A" w:rsidRPr="00C43E6D">
        <w:rPr>
          <w:color w:val="000000" w:themeColor="text1"/>
          <w:lang w:eastAsia="ru-RU"/>
        </w:rPr>
        <w:t>.</w:t>
      </w:r>
      <w:r w:rsidR="0061350A" w:rsidRPr="00C43E6D">
        <w:rPr>
          <w:b w:val="0"/>
          <w:bCs w:val="0"/>
          <w:color w:val="000000" w:themeColor="text1"/>
          <w:lang w:eastAsia="ru-RU"/>
        </w:rPr>
        <w:t xml:space="preserve"> </w:t>
      </w:r>
      <w:r w:rsidR="002E035B" w:rsidRPr="00C43E6D">
        <w:rPr>
          <w:b w:val="0"/>
          <w:bCs w:val="0"/>
          <w:color w:val="000000" w:themeColor="text1"/>
          <w:lang w:eastAsia="ru-RU"/>
        </w:rPr>
        <w:t>În continuare sunt prezentate</w:t>
      </w:r>
      <w:r w:rsidR="00054825" w:rsidRPr="00C43E6D">
        <w:rPr>
          <w:b w:val="0"/>
          <w:bCs w:val="0"/>
          <w:color w:val="000000" w:themeColor="text1"/>
          <w:lang w:eastAsia="ru-RU"/>
        </w:rPr>
        <w:t xml:space="preserve"> </w:t>
      </w:r>
      <w:r w:rsidR="005F1C95" w:rsidRPr="00C43E6D">
        <w:rPr>
          <w:b w:val="0"/>
          <w:bCs w:val="0"/>
          <w:color w:val="000000" w:themeColor="text1"/>
          <w:lang w:eastAsia="ru-RU"/>
        </w:rPr>
        <w:t xml:space="preserve">cantitățile estimate a fi necesar de livrat în sezonul de încălzire </w:t>
      </w:r>
      <w:r w:rsidRPr="00C43E6D">
        <w:rPr>
          <w:b w:val="0"/>
          <w:bCs w:val="0"/>
          <w:color w:val="000000" w:themeColor="text1"/>
          <w:lang w:eastAsia="ru-RU"/>
        </w:rPr>
        <w:br/>
      </w:r>
      <w:r w:rsidR="005F1C95" w:rsidRPr="00C43E6D">
        <w:rPr>
          <w:b w:val="0"/>
          <w:bCs w:val="0"/>
          <w:color w:val="000000" w:themeColor="text1"/>
          <w:lang w:eastAsia="ru-RU"/>
        </w:rPr>
        <w:t xml:space="preserve">2025-2026 pentru acoperirea consumului de energie electrică și gaze naturale a consumatorilor malului drept al </w:t>
      </w:r>
      <w:r w:rsidR="007433FF">
        <w:rPr>
          <w:b w:val="0"/>
          <w:bCs w:val="0"/>
          <w:color w:val="000000" w:themeColor="text1"/>
          <w:lang w:eastAsia="ru-RU"/>
        </w:rPr>
        <w:t xml:space="preserve">râului </w:t>
      </w:r>
      <w:r w:rsidR="005F1C95" w:rsidRPr="00C43E6D">
        <w:rPr>
          <w:b w:val="0"/>
          <w:bCs w:val="0"/>
          <w:color w:val="000000" w:themeColor="text1"/>
          <w:lang w:eastAsia="ru-RU"/>
        </w:rPr>
        <w:t>Nistru</w:t>
      </w:r>
      <w:r w:rsidR="007433FF">
        <w:rPr>
          <w:b w:val="0"/>
          <w:bCs w:val="0"/>
          <w:color w:val="000000" w:themeColor="text1"/>
          <w:lang w:eastAsia="ru-RU"/>
        </w:rPr>
        <w:t xml:space="preserve"> și regiunii transnistrene</w:t>
      </w:r>
      <w:r w:rsidR="005F1C95" w:rsidRPr="00C43E6D">
        <w:rPr>
          <w:b w:val="0"/>
          <w:bCs w:val="0"/>
          <w:color w:val="000000" w:themeColor="text1"/>
          <w:lang w:eastAsia="ru-RU"/>
        </w:rPr>
        <w:t>.</w:t>
      </w:r>
    </w:p>
    <w:p w14:paraId="24963463" w14:textId="724DA4B9" w:rsidR="003E7DC4" w:rsidRPr="00C43E6D" w:rsidRDefault="008C3886" w:rsidP="00C958F1">
      <w:pPr>
        <w:pStyle w:val="cb"/>
        <w:spacing w:after="120"/>
        <w:ind w:left="1134" w:hanging="1134"/>
        <w:jc w:val="left"/>
        <w:rPr>
          <w:b w:val="0"/>
          <w:bCs w:val="0"/>
          <w:color w:val="000000" w:themeColor="text1"/>
          <w:sz w:val="22"/>
          <w:szCs w:val="22"/>
          <w:lang w:eastAsia="ru-RU"/>
        </w:rPr>
      </w:pPr>
      <w:r w:rsidRPr="00C43E6D">
        <w:rPr>
          <w:color w:val="000000" w:themeColor="text1"/>
          <w:lang w:eastAsia="ru-RU"/>
        </w:rPr>
        <w:lastRenderedPageBreak/>
        <w:t xml:space="preserve">Tabelul </w:t>
      </w:r>
      <w:r w:rsidR="006B7A1A">
        <w:rPr>
          <w:color w:val="000000" w:themeColor="text1"/>
          <w:lang w:eastAsia="ru-RU"/>
        </w:rPr>
        <w:t>4</w:t>
      </w:r>
      <w:r w:rsidRPr="00C43E6D">
        <w:rPr>
          <w:color w:val="000000" w:themeColor="text1"/>
          <w:lang w:eastAsia="ru-RU"/>
        </w:rPr>
        <w:t>.</w:t>
      </w:r>
      <w:r w:rsidRPr="00C43E6D">
        <w:rPr>
          <w:b w:val="0"/>
          <w:bCs w:val="0"/>
          <w:color w:val="000000" w:themeColor="text1"/>
          <w:lang w:eastAsia="ru-RU"/>
        </w:rPr>
        <w:t xml:space="preserve"> </w:t>
      </w:r>
      <w:r w:rsidR="00343521" w:rsidRPr="00C43E6D">
        <w:rPr>
          <w:b w:val="0"/>
          <w:bCs w:val="0"/>
          <w:color w:val="000000" w:themeColor="text1"/>
          <w:sz w:val="22"/>
          <w:szCs w:val="22"/>
          <w:lang w:eastAsia="ru-RU"/>
        </w:rPr>
        <w:t xml:space="preserve">Cantități estimate a fi necesare </w:t>
      </w:r>
      <w:r w:rsidR="005F1C95" w:rsidRPr="00C43E6D">
        <w:rPr>
          <w:b w:val="0"/>
          <w:bCs w:val="0"/>
          <w:color w:val="000000" w:themeColor="text1"/>
          <w:sz w:val="22"/>
          <w:szCs w:val="22"/>
          <w:lang w:eastAsia="ru-RU"/>
        </w:rPr>
        <w:t xml:space="preserve">de livrat în sezonul de încălzire 2025-2026 </w:t>
      </w:r>
      <w:r w:rsidR="00343521" w:rsidRPr="00C43E6D">
        <w:rPr>
          <w:b w:val="0"/>
          <w:bCs w:val="0"/>
          <w:color w:val="000000" w:themeColor="text1"/>
          <w:sz w:val="22"/>
          <w:szCs w:val="22"/>
          <w:lang w:eastAsia="ru-RU"/>
        </w:rPr>
        <w:t xml:space="preserve">pentru acoperirea consumului de energie electrică și gaze naturale a consumatorilor malului drept </w:t>
      </w:r>
      <w:r w:rsidR="007433FF" w:rsidRPr="00C43E6D">
        <w:rPr>
          <w:b w:val="0"/>
          <w:bCs w:val="0"/>
          <w:color w:val="000000" w:themeColor="text1"/>
          <w:lang w:eastAsia="ru-RU"/>
        </w:rPr>
        <w:t xml:space="preserve">al </w:t>
      </w:r>
      <w:r w:rsidR="007433FF">
        <w:rPr>
          <w:b w:val="0"/>
          <w:bCs w:val="0"/>
          <w:color w:val="000000" w:themeColor="text1"/>
          <w:lang w:eastAsia="ru-RU"/>
        </w:rPr>
        <w:t xml:space="preserve">râului </w:t>
      </w:r>
      <w:r w:rsidR="007433FF" w:rsidRPr="00C43E6D">
        <w:rPr>
          <w:b w:val="0"/>
          <w:bCs w:val="0"/>
          <w:color w:val="000000" w:themeColor="text1"/>
          <w:lang w:eastAsia="ru-RU"/>
        </w:rPr>
        <w:t>Nistru</w:t>
      </w:r>
      <w:r w:rsidR="007433FF">
        <w:rPr>
          <w:b w:val="0"/>
          <w:bCs w:val="0"/>
          <w:color w:val="000000" w:themeColor="text1"/>
          <w:lang w:eastAsia="ru-RU"/>
        </w:rPr>
        <w:t xml:space="preserve"> și regiunii transnistrene</w:t>
      </w:r>
    </w:p>
    <w:tbl>
      <w:tblPr>
        <w:tblW w:w="14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6129"/>
        <w:gridCol w:w="847"/>
        <w:gridCol w:w="985"/>
        <w:gridCol w:w="1016"/>
        <w:gridCol w:w="949"/>
        <w:gridCol w:w="949"/>
        <w:gridCol w:w="886"/>
        <w:gridCol w:w="1099"/>
        <w:gridCol w:w="1127"/>
      </w:tblGrid>
      <w:tr w:rsidR="00C2175D" w:rsidRPr="00C43E6D" w14:paraId="504EA2FF" w14:textId="77777777" w:rsidTr="0055742A">
        <w:trPr>
          <w:trHeight w:val="300"/>
          <w:jc w:val="center"/>
        </w:trPr>
        <w:tc>
          <w:tcPr>
            <w:tcW w:w="556" w:type="dxa"/>
            <w:vMerge w:val="restart"/>
            <w:shd w:val="clear" w:color="000000" w:fill="DEEAF6"/>
            <w:vAlign w:val="center"/>
            <w:hideMark/>
          </w:tcPr>
          <w:p w14:paraId="3C01D2AC" w14:textId="2C2A9233" w:rsidR="00C2175D" w:rsidRPr="00C43E6D" w:rsidRDefault="00C2175D" w:rsidP="00DB2EB6">
            <w:pPr>
              <w:spacing w:after="0" w:line="240" w:lineRule="auto"/>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N</w:t>
            </w:r>
            <w:r w:rsidR="005103E9">
              <w:rPr>
                <w:rFonts w:ascii="Times New Roman" w:eastAsia="Times New Roman" w:hAnsi="Times New Roman" w:cs="Times New Roman"/>
                <w:b/>
                <w:bCs/>
                <w:color w:val="000000"/>
                <w:sz w:val="20"/>
                <w:szCs w:val="20"/>
              </w:rPr>
              <w:t>r</w:t>
            </w:r>
            <w:r w:rsidRPr="00C43E6D">
              <w:rPr>
                <w:rFonts w:ascii="Times New Roman" w:eastAsia="Times New Roman" w:hAnsi="Times New Roman" w:cs="Times New Roman"/>
                <w:b/>
                <w:bCs/>
                <w:color w:val="000000"/>
                <w:sz w:val="20"/>
                <w:szCs w:val="20"/>
              </w:rPr>
              <w:t>.</w:t>
            </w:r>
          </w:p>
        </w:tc>
        <w:tc>
          <w:tcPr>
            <w:tcW w:w="6177" w:type="dxa"/>
            <w:vMerge w:val="restart"/>
            <w:shd w:val="clear" w:color="000000" w:fill="DEEAF6"/>
            <w:vAlign w:val="center"/>
            <w:hideMark/>
          </w:tcPr>
          <w:p w14:paraId="2CFBD725" w14:textId="29C3130F" w:rsidR="00C2175D" w:rsidRPr="00C43E6D" w:rsidRDefault="001B6EA1" w:rsidP="00DB2EB6">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F</w:t>
            </w:r>
            <w:r w:rsidR="00C2175D" w:rsidRPr="00C43E6D">
              <w:rPr>
                <w:rFonts w:ascii="Times New Roman" w:eastAsia="Times New Roman" w:hAnsi="Times New Roman" w:cs="Times New Roman"/>
                <w:b/>
                <w:bCs/>
                <w:color w:val="000000"/>
                <w:sz w:val="20"/>
                <w:szCs w:val="20"/>
              </w:rPr>
              <w:t>urnizare</w:t>
            </w:r>
            <w:r w:rsidRPr="00C43E6D">
              <w:rPr>
                <w:rFonts w:ascii="Times New Roman" w:eastAsia="Times New Roman" w:hAnsi="Times New Roman" w:cs="Times New Roman"/>
                <w:b/>
                <w:bCs/>
                <w:color w:val="000000"/>
                <w:sz w:val="20"/>
                <w:szCs w:val="20"/>
              </w:rPr>
              <w:t>a</w:t>
            </w:r>
            <w:r w:rsidR="00C2175D" w:rsidRPr="00C43E6D">
              <w:rPr>
                <w:rFonts w:ascii="Times New Roman" w:eastAsia="Times New Roman" w:hAnsi="Times New Roman" w:cs="Times New Roman"/>
                <w:b/>
                <w:bCs/>
                <w:color w:val="000000"/>
                <w:sz w:val="20"/>
                <w:szCs w:val="20"/>
              </w:rPr>
              <w:t xml:space="preserve"> gazelor naturale/energie</w:t>
            </w:r>
            <w:r w:rsidRPr="00C43E6D">
              <w:rPr>
                <w:rFonts w:ascii="Times New Roman" w:eastAsia="Times New Roman" w:hAnsi="Times New Roman" w:cs="Times New Roman"/>
                <w:b/>
                <w:bCs/>
                <w:color w:val="000000"/>
                <w:sz w:val="20"/>
                <w:szCs w:val="20"/>
              </w:rPr>
              <w:t>i</w:t>
            </w:r>
            <w:r w:rsidR="00C2175D" w:rsidRPr="00C43E6D">
              <w:rPr>
                <w:rFonts w:ascii="Times New Roman" w:eastAsia="Times New Roman" w:hAnsi="Times New Roman" w:cs="Times New Roman"/>
                <w:b/>
                <w:bCs/>
                <w:color w:val="000000"/>
                <w:sz w:val="20"/>
                <w:szCs w:val="20"/>
              </w:rPr>
              <w:t xml:space="preserve"> electrică </w:t>
            </w:r>
          </w:p>
        </w:tc>
        <w:tc>
          <w:tcPr>
            <w:tcW w:w="2857" w:type="dxa"/>
            <w:gridSpan w:val="3"/>
            <w:shd w:val="clear" w:color="000000" w:fill="DEEAF6"/>
            <w:vAlign w:val="center"/>
            <w:hideMark/>
          </w:tcPr>
          <w:p w14:paraId="547964EE" w14:textId="26046C49" w:rsidR="00C2175D" w:rsidRPr="00C43E6D" w:rsidRDefault="00C2175D" w:rsidP="00DB2EB6">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202</w:t>
            </w:r>
            <w:r w:rsidR="00EF77E8" w:rsidRPr="00C43E6D">
              <w:rPr>
                <w:rFonts w:ascii="Times New Roman" w:eastAsia="Times New Roman" w:hAnsi="Times New Roman" w:cs="Times New Roman"/>
                <w:b/>
                <w:bCs/>
                <w:color w:val="000000"/>
                <w:sz w:val="20"/>
                <w:szCs w:val="20"/>
              </w:rPr>
              <w:t>5</w:t>
            </w:r>
          </w:p>
        </w:tc>
        <w:tc>
          <w:tcPr>
            <w:tcW w:w="3896" w:type="dxa"/>
            <w:gridSpan w:val="4"/>
            <w:shd w:val="clear" w:color="000000" w:fill="DEEAF6"/>
            <w:vAlign w:val="center"/>
            <w:hideMark/>
          </w:tcPr>
          <w:p w14:paraId="5021EB08" w14:textId="26A5E602" w:rsidR="00C2175D" w:rsidRPr="00C43E6D" w:rsidRDefault="00C2175D" w:rsidP="00DB2EB6">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202</w:t>
            </w:r>
            <w:r w:rsidR="00EF77E8" w:rsidRPr="00C43E6D">
              <w:rPr>
                <w:rFonts w:ascii="Times New Roman" w:eastAsia="Times New Roman" w:hAnsi="Times New Roman" w:cs="Times New Roman"/>
                <w:b/>
                <w:bCs/>
                <w:color w:val="000000"/>
                <w:sz w:val="20"/>
                <w:szCs w:val="20"/>
              </w:rPr>
              <w:t>6</w:t>
            </w:r>
          </w:p>
        </w:tc>
        <w:tc>
          <w:tcPr>
            <w:tcW w:w="1057" w:type="dxa"/>
            <w:vMerge w:val="restart"/>
            <w:shd w:val="clear" w:color="000000" w:fill="DEEAF6"/>
            <w:vAlign w:val="center"/>
            <w:hideMark/>
          </w:tcPr>
          <w:p w14:paraId="40427350" w14:textId="17CB039F" w:rsidR="00C2175D" w:rsidRPr="00C43E6D" w:rsidRDefault="00C2175D" w:rsidP="00DB2EB6">
            <w:pPr>
              <w:spacing w:after="0" w:line="240" w:lineRule="auto"/>
              <w:jc w:val="center"/>
              <w:rPr>
                <w:rFonts w:ascii="Times New Roman" w:eastAsia="Times New Roman" w:hAnsi="Times New Roman" w:cs="Times New Roman"/>
                <w:b/>
                <w:bCs/>
                <w:color w:val="0563C1"/>
              </w:rPr>
            </w:pPr>
            <w:r w:rsidRPr="00C43E6D">
              <w:rPr>
                <w:rFonts w:ascii="Times New Roman" w:eastAsia="Times New Roman" w:hAnsi="Times New Roman" w:cs="Times New Roman"/>
                <w:b/>
                <w:bCs/>
              </w:rPr>
              <w:t>TOTAL</w:t>
            </w:r>
            <w:r w:rsidRPr="00C43E6D">
              <w:rPr>
                <w:rStyle w:val="FootnoteReference"/>
                <w:rFonts w:ascii="Times New Roman" w:eastAsia="Times New Roman" w:hAnsi="Times New Roman" w:cs="Times New Roman"/>
                <w:b/>
                <w:bCs/>
              </w:rPr>
              <w:footnoteReference w:id="11"/>
            </w:r>
          </w:p>
        </w:tc>
      </w:tr>
      <w:tr w:rsidR="00C2175D" w:rsidRPr="00C43E6D" w14:paraId="66ED1D04" w14:textId="77777777" w:rsidTr="0055742A">
        <w:trPr>
          <w:trHeight w:val="300"/>
          <w:jc w:val="center"/>
        </w:trPr>
        <w:tc>
          <w:tcPr>
            <w:tcW w:w="556" w:type="dxa"/>
            <w:vMerge/>
            <w:vAlign w:val="center"/>
            <w:hideMark/>
          </w:tcPr>
          <w:p w14:paraId="73CFEFCB" w14:textId="77777777" w:rsidR="00C2175D" w:rsidRPr="00C43E6D" w:rsidRDefault="00C2175D" w:rsidP="00DB2EB6">
            <w:pPr>
              <w:spacing w:after="0" w:line="240" w:lineRule="auto"/>
              <w:rPr>
                <w:rFonts w:ascii="Times New Roman" w:eastAsia="Times New Roman" w:hAnsi="Times New Roman" w:cs="Times New Roman"/>
                <w:b/>
                <w:bCs/>
                <w:color w:val="000000"/>
                <w:sz w:val="20"/>
                <w:szCs w:val="20"/>
              </w:rPr>
            </w:pPr>
          </w:p>
        </w:tc>
        <w:tc>
          <w:tcPr>
            <w:tcW w:w="6177" w:type="dxa"/>
            <w:vMerge/>
            <w:vAlign w:val="center"/>
            <w:hideMark/>
          </w:tcPr>
          <w:p w14:paraId="0B2F32D0" w14:textId="77777777" w:rsidR="00C2175D" w:rsidRPr="00C43E6D" w:rsidRDefault="00C2175D" w:rsidP="00DB2EB6">
            <w:pPr>
              <w:spacing w:after="0" w:line="240" w:lineRule="auto"/>
              <w:rPr>
                <w:rFonts w:ascii="Times New Roman" w:eastAsia="Times New Roman" w:hAnsi="Times New Roman" w:cs="Times New Roman"/>
                <w:b/>
                <w:bCs/>
                <w:color w:val="000000"/>
                <w:sz w:val="20"/>
                <w:szCs w:val="20"/>
              </w:rPr>
            </w:pPr>
          </w:p>
        </w:tc>
        <w:tc>
          <w:tcPr>
            <w:tcW w:w="849" w:type="dxa"/>
            <w:shd w:val="clear" w:color="000000" w:fill="DEEAF6"/>
            <w:vAlign w:val="center"/>
            <w:hideMark/>
          </w:tcPr>
          <w:p w14:paraId="2CBD16FA" w14:textId="77777777" w:rsidR="00C2175D" w:rsidRPr="00C43E6D" w:rsidRDefault="00C2175D" w:rsidP="001F0FAD">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Oct.</w:t>
            </w:r>
          </w:p>
        </w:tc>
        <w:tc>
          <w:tcPr>
            <w:tcW w:w="988" w:type="dxa"/>
            <w:shd w:val="clear" w:color="000000" w:fill="DEEAF6"/>
            <w:vAlign w:val="center"/>
            <w:hideMark/>
          </w:tcPr>
          <w:p w14:paraId="6D273E3F" w14:textId="77777777" w:rsidR="00C2175D" w:rsidRPr="00C43E6D" w:rsidRDefault="00C2175D" w:rsidP="001F0FAD">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Nov.</w:t>
            </w:r>
          </w:p>
        </w:tc>
        <w:tc>
          <w:tcPr>
            <w:tcW w:w="1020" w:type="dxa"/>
            <w:shd w:val="clear" w:color="000000" w:fill="DEEAF6"/>
            <w:vAlign w:val="center"/>
            <w:hideMark/>
          </w:tcPr>
          <w:p w14:paraId="158BF764" w14:textId="77777777" w:rsidR="00C2175D" w:rsidRPr="00C43E6D" w:rsidRDefault="00C2175D" w:rsidP="001F0FAD">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Dec.</w:t>
            </w:r>
          </w:p>
        </w:tc>
        <w:tc>
          <w:tcPr>
            <w:tcW w:w="952" w:type="dxa"/>
            <w:shd w:val="clear" w:color="000000" w:fill="DEEAF6"/>
            <w:vAlign w:val="center"/>
            <w:hideMark/>
          </w:tcPr>
          <w:p w14:paraId="359E7E96" w14:textId="77777777" w:rsidR="00C2175D" w:rsidRPr="00C43E6D" w:rsidRDefault="00C2175D" w:rsidP="001F0FAD">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Ian.</w:t>
            </w:r>
          </w:p>
        </w:tc>
        <w:tc>
          <w:tcPr>
            <w:tcW w:w="952" w:type="dxa"/>
            <w:shd w:val="clear" w:color="000000" w:fill="DEEAF6"/>
            <w:vAlign w:val="center"/>
            <w:hideMark/>
          </w:tcPr>
          <w:p w14:paraId="1C6B105E" w14:textId="77777777" w:rsidR="00C2175D" w:rsidRPr="00C43E6D" w:rsidRDefault="00C2175D" w:rsidP="001F0FAD">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Febr.</w:t>
            </w:r>
          </w:p>
        </w:tc>
        <w:tc>
          <w:tcPr>
            <w:tcW w:w="888" w:type="dxa"/>
            <w:shd w:val="clear" w:color="000000" w:fill="DEEAF6"/>
            <w:vAlign w:val="center"/>
            <w:hideMark/>
          </w:tcPr>
          <w:p w14:paraId="525FB1C0" w14:textId="77777777" w:rsidR="00C2175D" w:rsidRPr="00C43E6D" w:rsidRDefault="00C2175D" w:rsidP="001F0FAD">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Mart.</w:t>
            </w:r>
          </w:p>
        </w:tc>
        <w:tc>
          <w:tcPr>
            <w:tcW w:w="1104" w:type="dxa"/>
            <w:shd w:val="clear" w:color="000000" w:fill="DEEAF6"/>
            <w:vAlign w:val="center"/>
            <w:hideMark/>
          </w:tcPr>
          <w:p w14:paraId="3C32F728" w14:textId="77777777" w:rsidR="00C2175D" w:rsidRPr="00C43E6D" w:rsidRDefault="00C2175D" w:rsidP="001F0FAD">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Apr.</w:t>
            </w:r>
          </w:p>
        </w:tc>
        <w:tc>
          <w:tcPr>
            <w:tcW w:w="1057" w:type="dxa"/>
            <w:vMerge/>
            <w:vAlign w:val="center"/>
            <w:hideMark/>
          </w:tcPr>
          <w:p w14:paraId="0A407C4C" w14:textId="77777777" w:rsidR="00C2175D" w:rsidRPr="00C43E6D" w:rsidRDefault="00C2175D" w:rsidP="00DB2EB6">
            <w:pPr>
              <w:spacing w:after="0" w:line="240" w:lineRule="auto"/>
              <w:rPr>
                <w:rFonts w:ascii="Times New Roman" w:eastAsia="Times New Roman" w:hAnsi="Times New Roman" w:cs="Times New Roman"/>
                <w:color w:val="0563C1"/>
                <w:u w:val="single"/>
              </w:rPr>
            </w:pPr>
          </w:p>
        </w:tc>
      </w:tr>
      <w:tr w:rsidR="00EF77E8" w:rsidRPr="00C43E6D" w14:paraId="75E7A8D8" w14:textId="77777777" w:rsidTr="0055742A">
        <w:trPr>
          <w:trHeight w:val="474"/>
          <w:jc w:val="center"/>
        </w:trPr>
        <w:tc>
          <w:tcPr>
            <w:tcW w:w="556" w:type="dxa"/>
            <w:vMerge/>
            <w:vAlign w:val="center"/>
            <w:hideMark/>
          </w:tcPr>
          <w:p w14:paraId="317EFF24" w14:textId="77777777" w:rsidR="00EF77E8" w:rsidRPr="00C43E6D" w:rsidRDefault="00EF77E8" w:rsidP="00DB2EB6">
            <w:pPr>
              <w:spacing w:after="0" w:line="240" w:lineRule="auto"/>
              <w:rPr>
                <w:rFonts w:ascii="Times New Roman" w:eastAsia="Times New Roman" w:hAnsi="Times New Roman" w:cs="Times New Roman"/>
                <w:b/>
                <w:bCs/>
                <w:color w:val="000000"/>
                <w:sz w:val="20"/>
                <w:szCs w:val="20"/>
              </w:rPr>
            </w:pPr>
          </w:p>
        </w:tc>
        <w:tc>
          <w:tcPr>
            <w:tcW w:w="13987" w:type="dxa"/>
            <w:gridSpan w:val="9"/>
            <w:shd w:val="clear" w:color="000000" w:fill="DEEAF6"/>
            <w:vAlign w:val="center"/>
            <w:hideMark/>
          </w:tcPr>
          <w:p w14:paraId="2316B638" w14:textId="44C28782" w:rsidR="00343521" w:rsidRPr="00C43E6D" w:rsidRDefault="001B6EA1" w:rsidP="00DB2EB6">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 xml:space="preserve">Cantități estimate a fi necesare pentru acoperirea consumului </w:t>
            </w:r>
            <w:r w:rsidR="00343521" w:rsidRPr="00C43E6D">
              <w:rPr>
                <w:rFonts w:ascii="Times New Roman" w:eastAsia="Times New Roman" w:hAnsi="Times New Roman" w:cs="Times New Roman"/>
                <w:b/>
                <w:bCs/>
                <w:color w:val="000000"/>
                <w:sz w:val="20"/>
                <w:szCs w:val="20"/>
              </w:rPr>
              <w:t xml:space="preserve">de energie electrică și gaze naturale </w:t>
            </w:r>
            <w:r w:rsidR="0078000B">
              <w:rPr>
                <w:rFonts w:ascii="Times New Roman" w:eastAsia="Times New Roman" w:hAnsi="Times New Roman" w:cs="Times New Roman"/>
                <w:b/>
                <w:bCs/>
                <w:color w:val="000000"/>
                <w:sz w:val="20"/>
                <w:szCs w:val="20"/>
              </w:rPr>
              <w:t xml:space="preserve">a </w:t>
            </w:r>
            <w:r w:rsidRPr="00C43E6D">
              <w:rPr>
                <w:rFonts w:ascii="Times New Roman" w:eastAsia="Times New Roman" w:hAnsi="Times New Roman" w:cs="Times New Roman"/>
                <w:b/>
                <w:bCs/>
                <w:color w:val="000000"/>
                <w:sz w:val="20"/>
                <w:szCs w:val="20"/>
              </w:rPr>
              <w:t xml:space="preserve">consumatorilor </w:t>
            </w:r>
          </w:p>
          <w:p w14:paraId="0434BA9C" w14:textId="686E5A4C" w:rsidR="00EF77E8" w:rsidRPr="00C43E6D" w:rsidRDefault="001B6EA1" w:rsidP="00DB2EB6">
            <w:pPr>
              <w:spacing w:after="0" w:line="240" w:lineRule="auto"/>
              <w:jc w:val="center"/>
              <w:rPr>
                <w:rFonts w:ascii="Times New Roman" w:eastAsia="Times New Roman" w:hAnsi="Times New Roman" w:cs="Times New Roman"/>
                <w:b/>
                <w:bCs/>
                <w:color w:val="000000"/>
                <w:sz w:val="20"/>
                <w:szCs w:val="20"/>
              </w:rPr>
            </w:pPr>
            <w:r w:rsidRPr="00C43E6D">
              <w:rPr>
                <w:rFonts w:ascii="Times New Roman" w:eastAsia="Times New Roman" w:hAnsi="Times New Roman" w:cs="Times New Roman"/>
                <w:b/>
                <w:bCs/>
                <w:color w:val="000000"/>
                <w:sz w:val="20"/>
                <w:szCs w:val="20"/>
              </w:rPr>
              <w:t xml:space="preserve">malului drept al </w:t>
            </w:r>
            <w:r w:rsidR="007433FF">
              <w:rPr>
                <w:rFonts w:ascii="Times New Roman" w:eastAsia="Times New Roman" w:hAnsi="Times New Roman" w:cs="Times New Roman"/>
                <w:b/>
                <w:bCs/>
                <w:color w:val="000000"/>
                <w:sz w:val="20"/>
                <w:szCs w:val="20"/>
              </w:rPr>
              <w:t xml:space="preserve">râului </w:t>
            </w:r>
            <w:r w:rsidRPr="00C43E6D">
              <w:rPr>
                <w:rFonts w:ascii="Times New Roman" w:eastAsia="Times New Roman" w:hAnsi="Times New Roman" w:cs="Times New Roman"/>
                <w:b/>
                <w:bCs/>
                <w:color w:val="000000"/>
                <w:sz w:val="20"/>
                <w:szCs w:val="20"/>
              </w:rPr>
              <w:t>Nistru</w:t>
            </w:r>
          </w:p>
        </w:tc>
      </w:tr>
      <w:tr w:rsidR="00856328" w:rsidRPr="00C43E6D" w14:paraId="48D52896" w14:textId="77777777" w:rsidTr="0055742A">
        <w:trPr>
          <w:trHeight w:val="300"/>
          <w:jc w:val="center"/>
        </w:trPr>
        <w:tc>
          <w:tcPr>
            <w:tcW w:w="556" w:type="dxa"/>
            <w:vMerge w:val="restart"/>
            <w:shd w:val="clear" w:color="auto" w:fill="auto"/>
            <w:vAlign w:val="center"/>
            <w:hideMark/>
          </w:tcPr>
          <w:p w14:paraId="53454CD2" w14:textId="38AA0A2C" w:rsidR="00856328" w:rsidRPr="005103E9" w:rsidRDefault="005103E9" w:rsidP="00856328">
            <w:pPr>
              <w:spacing w:after="0" w:line="240" w:lineRule="auto"/>
              <w:jc w:val="center"/>
              <w:rPr>
                <w:rFonts w:ascii="Times New Roman" w:eastAsia="Times New Roman" w:hAnsi="Times New Roman" w:cs="Times New Roman"/>
                <w:color w:val="000000"/>
                <w:sz w:val="20"/>
                <w:szCs w:val="20"/>
              </w:rPr>
            </w:pPr>
            <w:r w:rsidRPr="005103E9">
              <w:rPr>
                <w:rFonts w:ascii="Times New Roman" w:eastAsia="Times New Roman" w:hAnsi="Times New Roman" w:cs="Times New Roman"/>
                <w:color w:val="000000"/>
                <w:sz w:val="20"/>
                <w:szCs w:val="20"/>
              </w:rPr>
              <w:t>1</w:t>
            </w:r>
          </w:p>
        </w:tc>
        <w:tc>
          <w:tcPr>
            <w:tcW w:w="6177" w:type="dxa"/>
            <w:shd w:val="clear" w:color="auto" w:fill="auto"/>
            <w:vAlign w:val="center"/>
            <w:hideMark/>
          </w:tcPr>
          <w:p w14:paraId="24A0F2ED" w14:textId="17BEA9B7" w:rsidR="00856328" w:rsidRPr="00C43E6D" w:rsidRDefault="0090170D" w:rsidP="00856328">
            <w:pPr>
              <w:spacing w:after="0" w:line="240" w:lineRule="auto"/>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 xml:space="preserve">1.1. </w:t>
            </w:r>
            <w:r w:rsidR="00856328" w:rsidRPr="00C43E6D">
              <w:rPr>
                <w:rFonts w:ascii="Times New Roman" w:eastAsia="Times New Roman" w:hAnsi="Times New Roman" w:cs="Times New Roman"/>
                <w:color w:val="000000"/>
                <w:sz w:val="20"/>
                <w:szCs w:val="20"/>
              </w:rPr>
              <w:t>Gaze naturale estimate a fi livrate către malul drept</w:t>
            </w:r>
            <w:r w:rsidR="00745583">
              <w:rPr>
                <w:rFonts w:ascii="Times New Roman" w:eastAsia="Times New Roman" w:hAnsi="Times New Roman" w:cs="Times New Roman"/>
                <w:color w:val="000000"/>
                <w:sz w:val="20"/>
                <w:szCs w:val="20"/>
              </w:rPr>
              <w:t xml:space="preserve"> </w:t>
            </w:r>
            <w:r w:rsidR="007433FF" w:rsidRPr="007433FF">
              <w:rPr>
                <w:rFonts w:ascii="Times New Roman" w:eastAsia="Times New Roman" w:hAnsi="Times New Roman" w:cs="Times New Roman"/>
                <w:color w:val="000000"/>
                <w:sz w:val="20"/>
                <w:szCs w:val="20"/>
              </w:rPr>
              <w:t>al râului Nistru</w:t>
            </w:r>
            <w:r w:rsidR="00856328" w:rsidRPr="00C43E6D">
              <w:rPr>
                <w:rFonts w:ascii="Times New Roman" w:eastAsia="Times New Roman" w:hAnsi="Times New Roman" w:cs="Times New Roman"/>
                <w:color w:val="000000"/>
                <w:sz w:val="20"/>
                <w:szCs w:val="20"/>
              </w:rPr>
              <w:t>, mil. m</w:t>
            </w:r>
            <w:r w:rsidR="00856328" w:rsidRPr="00C43E6D">
              <w:rPr>
                <w:rFonts w:ascii="Times New Roman" w:eastAsia="Times New Roman" w:hAnsi="Times New Roman" w:cs="Times New Roman"/>
                <w:color w:val="000000"/>
                <w:sz w:val="20"/>
                <w:szCs w:val="20"/>
                <w:vertAlign w:val="superscript"/>
              </w:rPr>
              <w:t>3</w:t>
            </w:r>
          </w:p>
        </w:tc>
        <w:tc>
          <w:tcPr>
            <w:tcW w:w="849" w:type="dxa"/>
            <w:shd w:val="clear" w:color="auto" w:fill="FFFFFF" w:themeFill="background1"/>
            <w:vAlign w:val="center"/>
          </w:tcPr>
          <w:p w14:paraId="4D943162" w14:textId="2C4AB22B" w:rsidR="00856328" w:rsidRPr="00C43E6D" w:rsidRDefault="00856328" w:rsidP="00856328">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57.6</w:t>
            </w:r>
          </w:p>
        </w:tc>
        <w:tc>
          <w:tcPr>
            <w:tcW w:w="988" w:type="dxa"/>
            <w:shd w:val="clear" w:color="auto" w:fill="FFFFFF" w:themeFill="background1"/>
            <w:vAlign w:val="center"/>
          </w:tcPr>
          <w:p w14:paraId="49375AC9" w14:textId="48A1E3B4" w:rsidR="00856328" w:rsidRPr="00C43E6D" w:rsidRDefault="00856328" w:rsidP="00856328">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123.8</w:t>
            </w:r>
          </w:p>
        </w:tc>
        <w:tc>
          <w:tcPr>
            <w:tcW w:w="1020" w:type="dxa"/>
            <w:shd w:val="clear" w:color="auto" w:fill="FFFFFF" w:themeFill="background1"/>
            <w:vAlign w:val="center"/>
          </w:tcPr>
          <w:p w14:paraId="6BA2B738" w14:textId="05A94031" w:rsidR="00856328" w:rsidRPr="00C43E6D" w:rsidRDefault="00856328" w:rsidP="00856328">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164.3</w:t>
            </w:r>
          </w:p>
        </w:tc>
        <w:tc>
          <w:tcPr>
            <w:tcW w:w="952" w:type="dxa"/>
            <w:shd w:val="clear" w:color="auto" w:fill="FFFFFF" w:themeFill="background1"/>
            <w:vAlign w:val="center"/>
          </w:tcPr>
          <w:p w14:paraId="5C5BD641" w14:textId="49105C6F" w:rsidR="00856328" w:rsidRPr="00C43E6D" w:rsidRDefault="00856328" w:rsidP="00856328">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167.0</w:t>
            </w:r>
          </w:p>
        </w:tc>
        <w:tc>
          <w:tcPr>
            <w:tcW w:w="952" w:type="dxa"/>
            <w:shd w:val="clear" w:color="auto" w:fill="FFFFFF" w:themeFill="background1"/>
            <w:vAlign w:val="center"/>
          </w:tcPr>
          <w:p w14:paraId="4A375FA4" w14:textId="13B6F6DA" w:rsidR="00856328" w:rsidRPr="00C43E6D" w:rsidRDefault="00856328" w:rsidP="00856328">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143.0</w:t>
            </w:r>
          </w:p>
        </w:tc>
        <w:tc>
          <w:tcPr>
            <w:tcW w:w="888" w:type="dxa"/>
            <w:shd w:val="clear" w:color="auto" w:fill="FFFFFF" w:themeFill="background1"/>
            <w:vAlign w:val="center"/>
          </w:tcPr>
          <w:p w14:paraId="495D0339" w14:textId="6D28CB94" w:rsidR="00856328" w:rsidRPr="00C43E6D" w:rsidRDefault="00856328" w:rsidP="00856328">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120.7</w:t>
            </w:r>
          </w:p>
        </w:tc>
        <w:tc>
          <w:tcPr>
            <w:tcW w:w="1104" w:type="dxa"/>
            <w:shd w:val="clear" w:color="auto" w:fill="FFFFFF" w:themeFill="background1"/>
            <w:vAlign w:val="center"/>
          </w:tcPr>
          <w:p w14:paraId="10518A16" w14:textId="5116EA6B" w:rsidR="00856328" w:rsidRPr="00C43E6D" w:rsidRDefault="00856328" w:rsidP="00856328">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60.7</w:t>
            </w:r>
          </w:p>
        </w:tc>
        <w:tc>
          <w:tcPr>
            <w:tcW w:w="1057" w:type="dxa"/>
            <w:shd w:val="clear" w:color="auto" w:fill="FFFFFF" w:themeFill="background1"/>
            <w:vAlign w:val="center"/>
          </w:tcPr>
          <w:p w14:paraId="232B2272" w14:textId="772BFC3C" w:rsidR="00856328" w:rsidRPr="00C43E6D" w:rsidRDefault="00856328" w:rsidP="00856328">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837.1</w:t>
            </w:r>
          </w:p>
        </w:tc>
      </w:tr>
      <w:tr w:rsidR="00856328" w:rsidRPr="00C43E6D" w14:paraId="518D0492" w14:textId="77777777" w:rsidTr="0055742A">
        <w:trPr>
          <w:trHeight w:val="300"/>
          <w:jc w:val="center"/>
        </w:trPr>
        <w:tc>
          <w:tcPr>
            <w:tcW w:w="556" w:type="dxa"/>
            <w:vMerge/>
            <w:vAlign w:val="center"/>
            <w:hideMark/>
          </w:tcPr>
          <w:p w14:paraId="555987C9" w14:textId="77777777" w:rsidR="00856328" w:rsidRPr="00C43E6D" w:rsidRDefault="00856328" w:rsidP="00856328">
            <w:pPr>
              <w:spacing w:after="0" w:line="240" w:lineRule="auto"/>
              <w:rPr>
                <w:rFonts w:ascii="Times New Roman" w:eastAsia="Times New Roman" w:hAnsi="Times New Roman" w:cs="Times New Roman"/>
                <w:b/>
                <w:bCs/>
                <w:color w:val="000000"/>
                <w:sz w:val="20"/>
                <w:szCs w:val="20"/>
              </w:rPr>
            </w:pPr>
          </w:p>
        </w:tc>
        <w:tc>
          <w:tcPr>
            <w:tcW w:w="6177" w:type="dxa"/>
            <w:shd w:val="clear" w:color="auto" w:fill="auto"/>
            <w:vAlign w:val="center"/>
            <w:hideMark/>
          </w:tcPr>
          <w:p w14:paraId="66BB0761" w14:textId="62B8A7A4" w:rsidR="00856328" w:rsidRPr="00C43E6D" w:rsidRDefault="0090170D" w:rsidP="00856328">
            <w:pPr>
              <w:spacing w:after="0" w:line="240" w:lineRule="auto"/>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 xml:space="preserve">1.2. </w:t>
            </w:r>
            <w:r w:rsidR="00856328" w:rsidRPr="00C43E6D">
              <w:rPr>
                <w:rFonts w:ascii="Times New Roman" w:eastAsia="Times New Roman" w:hAnsi="Times New Roman" w:cs="Times New Roman"/>
                <w:color w:val="000000"/>
                <w:sz w:val="20"/>
                <w:szCs w:val="20"/>
              </w:rPr>
              <w:t>Energie electrică estimată a fi livrată către malul drept</w:t>
            </w:r>
            <w:r w:rsidR="00745583">
              <w:rPr>
                <w:rFonts w:ascii="Times New Roman" w:eastAsia="Times New Roman" w:hAnsi="Times New Roman" w:cs="Times New Roman"/>
                <w:color w:val="000000"/>
                <w:sz w:val="20"/>
                <w:szCs w:val="20"/>
              </w:rPr>
              <w:t xml:space="preserve"> </w:t>
            </w:r>
            <w:r w:rsidR="007433FF" w:rsidRPr="007433FF">
              <w:rPr>
                <w:rFonts w:ascii="Times New Roman" w:eastAsia="Times New Roman" w:hAnsi="Times New Roman" w:cs="Times New Roman"/>
                <w:color w:val="000000"/>
                <w:sz w:val="20"/>
                <w:szCs w:val="20"/>
              </w:rPr>
              <w:t>al râului Nistru</w:t>
            </w:r>
            <w:r w:rsidR="00856328" w:rsidRPr="00C43E6D">
              <w:rPr>
                <w:rFonts w:ascii="Times New Roman" w:eastAsia="Times New Roman" w:hAnsi="Times New Roman" w:cs="Times New Roman"/>
                <w:color w:val="000000"/>
                <w:sz w:val="20"/>
                <w:szCs w:val="20"/>
              </w:rPr>
              <w:t xml:space="preserve">, mil. kWh, </w:t>
            </w:r>
            <w:r w:rsidRPr="00C43E6D">
              <w:rPr>
                <w:rFonts w:ascii="Times New Roman" w:eastAsia="Times New Roman" w:hAnsi="Times New Roman" w:cs="Times New Roman"/>
                <w:color w:val="000000"/>
                <w:sz w:val="20"/>
                <w:szCs w:val="20"/>
              </w:rPr>
              <w:t>inclusiv:</w:t>
            </w:r>
          </w:p>
        </w:tc>
        <w:tc>
          <w:tcPr>
            <w:tcW w:w="849" w:type="dxa"/>
            <w:shd w:val="clear" w:color="auto" w:fill="auto"/>
            <w:vAlign w:val="center"/>
          </w:tcPr>
          <w:p w14:paraId="3016FA84" w14:textId="1E495452" w:rsidR="00856328" w:rsidRPr="00C43E6D" w:rsidRDefault="00856328" w:rsidP="00856328">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385.1</w:t>
            </w:r>
          </w:p>
        </w:tc>
        <w:tc>
          <w:tcPr>
            <w:tcW w:w="988" w:type="dxa"/>
            <w:shd w:val="clear" w:color="auto" w:fill="auto"/>
            <w:vAlign w:val="center"/>
          </w:tcPr>
          <w:p w14:paraId="7C957177" w14:textId="7E348648" w:rsidR="00856328" w:rsidRPr="00C43E6D" w:rsidRDefault="00856328" w:rsidP="00856328">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430.5</w:t>
            </w:r>
          </w:p>
        </w:tc>
        <w:tc>
          <w:tcPr>
            <w:tcW w:w="1020" w:type="dxa"/>
            <w:shd w:val="clear" w:color="auto" w:fill="auto"/>
            <w:vAlign w:val="center"/>
          </w:tcPr>
          <w:p w14:paraId="0C2EE86E" w14:textId="401076B6" w:rsidR="00856328" w:rsidRPr="00C43E6D" w:rsidRDefault="00856328" w:rsidP="00856328">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464.5</w:t>
            </w:r>
          </w:p>
        </w:tc>
        <w:tc>
          <w:tcPr>
            <w:tcW w:w="952" w:type="dxa"/>
            <w:shd w:val="clear" w:color="auto" w:fill="auto"/>
            <w:vAlign w:val="center"/>
          </w:tcPr>
          <w:p w14:paraId="7E9783B9" w14:textId="52A6F603" w:rsidR="00856328" w:rsidRPr="00C43E6D" w:rsidRDefault="00856328" w:rsidP="00856328">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421.0</w:t>
            </w:r>
          </w:p>
        </w:tc>
        <w:tc>
          <w:tcPr>
            <w:tcW w:w="952" w:type="dxa"/>
            <w:shd w:val="clear" w:color="auto" w:fill="auto"/>
            <w:vAlign w:val="center"/>
          </w:tcPr>
          <w:p w14:paraId="15A54027" w14:textId="6A38BF62" w:rsidR="00856328" w:rsidRPr="00C43E6D" w:rsidRDefault="00856328" w:rsidP="00856328">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405.5</w:t>
            </w:r>
          </w:p>
        </w:tc>
        <w:tc>
          <w:tcPr>
            <w:tcW w:w="888" w:type="dxa"/>
            <w:shd w:val="clear" w:color="auto" w:fill="auto"/>
            <w:vAlign w:val="center"/>
          </w:tcPr>
          <w:p w14:paraId="7F9ADA07" w14:textId="1E12FAD4" w:rsidR="00856328" w:rsidRPr="00C43E6D" w:rsidRDefault="00856328" w:rsidP="00856328">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389.9</w:t>
            </w:r>
          </w:p>
        </w:tc>
        <w:tc>
          <w:tcPr>
            <w:tcW w:w="1104" w:type="dxa"/>
            <w:shd w:val="clear" w:color="auto" w:fill="auto"/>
            <w:vAlign w:val="center"/>
          </w:tcPr>
          <w:p w14:paraId="72AB31C8" w14:textId="592D63E4" w:rsidR="00856328" w:rsidRPr="00C43E6D" w:rsidRDefault="00856328" w:rsidP="00856328">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310.8</w:t>
            </w:r>
          </w:p>
        </w:tc>
        <w:tc>
          <w:tcPr>
            <w:tcW w:w="1057" w:type="dxa"/>
            <w:shd w:val="clear" w:color="auto" w:fill="auto"/>
            <w:vAlign w:val="center"/>
          </w:tcPr>
          <w:p w14:paraId="2CA1AD95" w14:textId="3D5E099B" w:rsidR="00856328" w:rsidRPr="00C43E6D" w:rsidRDefault="00856328" w:rsidP="00856328">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2807.3</w:t>
            </w:r>
          </w:p>
        </w:tc>
      </w:tr>
      <w:tr w:rsidR="00856328" w:rsidRPr="00C43E6D" w14:paraId="7CAF931D" w14:textId="77777777" w:rsidTr="0055742A">
        <w:trPr>
          <w:trHeight w:val="300"/>
          <w:jc w:val="center"/>
        </w:trPr>
        <w:tc>
          <w:tcPr>
            <w:tcW w:w="556" w:type="dxa"/>
            <w:vMerge/>
            <w:vAlign w:val="center"/>
            <w:hideMark/>
          </w:tcPr>
          <w:p w14:paraId="29F52DE8" w14:textId="77777777" w:rsidR="00856328" w:rsidRPr="00C43E6D" w:rsidRDefault="00856328" w:rsidP="00856328">
            <w:pPr>
              <w:spacing w:after="0" w:line="240" w:lineRule="auto"/>
              <w:rPr>
                <w:rFonts w:ascii="Times New Roman" w:eastAsia="Times New Roman" w:hAnsi="Times New Roman" w:cs="Times New Roman"/>
                <w:b/>
                <w:bCs/>
                <w:color w:val="000000"/>
                <w:sz w:val="20"/>
                <w:szCs w:val="20"/>
              </w:rPr>
            </w:pPr>
          </w:p>
        </w:tc>
        <w:tc>
          <w:tcPr>
            <w:tcW w:w="6177" w:type="dxa"/>
            <w:shd w:val="clear" w:color="auto" w:fill="auto"/>
            <w:vAlign w:val="center"/>
            <w:hideMark/>
          </w:tcPr>
          <w:p w14:paraId="3DEEE118" w14:textId="2B5ADBBE" w:rsidR="00856328" w:rsidRPr="00C43E6D" w:rsidRDefault="0090170D" w:rsidP="0090170D">
            <w:pPr>
              <w:spacing w:after="0" w:line="240" w:lineRule="auto"/>
              <w:ind w:firstLine="179"/>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 xml:space="preserve">1.2.1. </w:t>
            </w:r>
            <w:r w:rsidR="00856328" w:rsidRPr="00C43E6D">
              <w:rPr>
                <w:rFonts w:ascii="Times New Roman" w:eastAsia="Times New Roman" w:hAnsi="Times New Roman" w:cs="Times New Roman"/>
                <w:color w:val="000000"/>
                <w:sz w:val="20"/>
                <w:szCs w:val="20"/>
              </w:rPr>
              <w:t>Producția locală de energie electrică, mil. kWh</w:t>
            </w:r>
          </w:p>
        </w:tc>
        <w:tc>
          <w:tcPr>
            <w:tcW w:w="849" w:type="dxa"/>
            <w:shd w:val="clear" w:color="auto" w:fill="auto"/>
            <w:vAlign w:val="center"/>
          </w:tcPr>
          <w:p w14:paraId="103E17F5" w14:textId="5BA348BD" w:rsidR="00856328" w:rsidRPr="00C43E6D" w:rsidRDefault="00856328" w:rsidP="00856328">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89.9</w:t>
            </w:r>
          </w:p>
        </w:tc>
        <w:tc>
          <w:tcPr>
            <w:tcW w:w="988" w:type="dxa"/>
            <w:shd w:val="clear" w:color="auto" w:fill="auto"/>
            <w:vAlign w:val="center"/>
          </w:tcPr>
          <w:p w14:paraId="3929DB5C" w14:textId="222A54CD" w:rsidR="00856328" w:rsidRPr="00C43E6D" w:rsidRDefault="00856328" w:rsidP="00856328">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153.3</w:t>
            </w:r>
          </w:p>
        </w:tc>
        <w:tc>
          <w:tcPr>
            <w:tcW w:w="1020" w:type="dxa"/>
            <w:shd w:val="clear" w:color="auto" w:fill="auto"/>
            <w:vAlign w:val="center"/>
          </w:tcPr>
          <w:p w14:paraId="15D12B98" w14:textId="4D0403A7" w:rsidR="00856328" w:rsidRPr="00C43E6D" w:rsidRDefault="00856328" w:rsidP="00856328">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170.6</w:t>
            </w:r>
          </w:p>
        </w:tc>
        <w:tc>
          <w:tcPr>
            <w:tcW w:w="952" w:type="dxa"/>
            <w:shd w:val="clear" w:color="auto" w:fill="auto"/>
            <w:vAlign w:val="center"/>
          </w:tcPr>
          <w:p w14:paraId="14823186" w14:textId="2E0D0CF0" w:rsidR="00856328" w:rsidRPr="00C43E6D" w:rsidRDefault="00856328" w:rsidP="00856328">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179.3</w:t>
            </w:r>
          </w:p>
        </w:tc>
        <w:tc>
          <w:tcPr>
            <w:tcW w:w="952" w:type="dxa"/>
            <w:shd w:val="clear" w:color="auto" w:fill="auto"/>
            <w:vAlign w:val="center"/>
          </w:tcPr>
          <w:p w14:paraId="61B2AA35" w14:textId="45B622E9" w:rsidR="00856328" w:rsidRPr="00C43E6D" w:rsidRDefault="00856328" w:rsidP="00856328">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179.7</w:t>
            </w:r>
          </w:p>
        </w:tc>
        <w:tc>
          <w:tcPr>
            <w:tcW w:w="888" w:type="dxa"/>
            <w:shd w:val="clear" w:color="auto" w:fill="auto"/>
            <w:vAlign w:val="center"/>
          </w:tcPr>
          <w:p w14:paraId="1E38ACDD" w14:textId="776628AC" w:rsidR="00856328" w:rsidRPr="00C43E6D" w:rsidRDefault="00856328" w:rsidP="00856328">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169.5</w:t>
            </w:r>
          </w:p>
        </w:tc>
        <w:tc>
          <w:tcPr>
            <w:tcW w:w="1104" w:type="dxa"/>
            <w:shd w:val="clear" w:color="auto" w:fill="auto"/>
            <w:vAlign w:val="center"/>
          </w:tcPr>
          <w:p w14:paraId="7F4C6C8E" w14:textId="25333B22" w:rsidR="00856328" w:rsidRPr="00C43E6D" w:rsidRDefault="00856328" w:rsidP="00856328">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82.1</w:t>
            </w:r>
          </w:p>
        </w:tc>
        <w:tc>
          <w:tcPr>
            <w:tcW w:w="1057" w:type="dxa"/>
            <w:shd w:val="clear" w:color="auto" w:fill="auto"/>
            <w:vAlign w:val="center"/>
          </w:tcPr>
          <w:p w14:paraId="31ED6E5C" w14:textId="39704984" w:rsidR="00856328" w:rsidRPr="00C43E6D" w:rsidRDefault="00856328" w:rsidP="00856328">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1024.4</w:t>
            </w:r>
          </w:p>
        </w:tc>
      </w:tr>
      <w:tr w:rsidR="00856328" w:rsidRPr="00C43E6D" w14:paraId="793854B1" w14:textId="77777777" w:rsidTr="0055742A">
        <w:trPr>
          <w:trHeight w:val="314"/>
          <w:jc w:val="center"/>
        </w:trPr>
        <w:tc>
          <w:tcPr>
            <w:tcW w:w="556" w:type="dxa"/>
            <w:vMerge/>
            <w:vAlign w:val="center"/>
            <w:hideMark/>
          </w:tcPr>
          <w:p w14:paraId="76ABBB9D" w14:textId="77777777" w:rsidR="00856328" w:rsidRPr="00C43E6D" w:rsidRDefault="00856328" w:rsidP="00856328">
            <w:pPr>
              <w:spacing w:after="0" w:line="240" w:lineRule="auto"/>
              <w:rPr>
                <w:rFonts w:ascii="Times New Roman" w:eastAsia="Times New Roman" w:hAnsi="Times New Roman" w:cs="Times New Roman"/>
                <w:b/>
                <w:bCs/>
                <w:color w:val="000000"/>
                <w:sz w:val="20"/>
                <w:szCs w:val="20"/>
              </w:rPr>
            </w:pPr>
          </w:p>
        </w:tc>
        <w:tc>
          <w:tcPr>
            <w:tcW w:w="6177" w:type="dxa"/>
            <w:shd w:val="clear" w:color="auto" w:fill="auto"/>
            <w:vAlign w:val="center"/>
            <w:hideMark/>
          </w:tcPr>
          <w:p w14:paraId="5D1EE15B" w14:textId="50751257" w:rsidR="00856328" w:rsidRPr="00C43E6D" w:rsidRDefault="0090170D" w:rsidP="0090170D">
            <w:pPr>
              <w:spacing w:after="0" w:line="240" w:lineRule="auto"/>
              <w:ind w:firstLine="179"/>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 xml:space="preserve">1.2.2. </w:t>
            </w:r>
            <w:r w:rsidR="00856328" w:rsidRPr="00C43E6D">
              <w:rPr>
                <w:rFonts w:ascii="Times New Roman" w:eastAsia="Times New Roman" w:hAnsi="Times New Roman" w:cs="Times New Roman"/>
                <w:color w:val="000000"/>
                <w:sz w:val="20"/>
                <w:szCs w:val="20"/>
              </w:rPr>
              <w:t>Energie electrică livrată din alte surse, mil. kWh, inclusiv</w:t>
            </w:r>
            <w:r w:rsidRPr="00C43E6D">
              <w:rPr>
                <w:rFonts w:ascii="Times New Roman" w:eastAsia="Times New Roman" w:hAnsi="Times New Roman" w:cs="Times New Roman"/>
                <w:color w:val="000000"/>
                <w:sz w:val="20"/>
                <w:szCs w:val="20"/>
              </w:rPr>
              <w:t>:</w:t>
            </w:r>
          </w:p>
        </w:tc>
        <w:tc>
          <w:tcPr>
            <w:tcW w:w="849" w:type="dxa"/>
            <w:shd w:val="clear" w:color="auto" w:fill="auto"/>
            <w:vAlign w:val="center"/>
          </w:tcPr>
          <w:p w14:paraId="04B84704" w14:textId="689CE319" w:rsidR="00856328" w:rsidRPr="00C43E6D" w:rsidRDefault="00856328" w:rsidP="00856328">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color w:val="000000"/>
                <w:sz w:val="20"/>
                <w:szCs w:val="20"/>
              </w:rPr>
              <w:t>295.2</w:t>
            </w:r>
          </w:p>
        </w:tc>
        <w:tc>
          <w:tcPr>
            <w:tcW w:w="988" w:type="dxa"/>
            <w:shd w:val="clear" w:color="auto" w:fill="auto"/>
            <w:vAlign w:val="center"/>
          </w:tcPr>
          <w:p w14:paraId="2C890799" w14:textId="65C11218" w:rsidR="00856328" w:rsidRPr="00C43E6D" w:rsidRDefault="00856328" w:rsidP="00856328">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color w:val="000000"/>
                <w:sz w:val="20"/>
                <w:szCs w:val="20"/>
              </w:rPr>
              <w:t>277.3</w:t>
            </w:r>
          </w:p>
        </w:tc>
        <w:tc>
          <w:tcPr>
            <w:tcW w:w="1020" w:type="dxa"/>
            <w:shd w:val="clear" w:color="auto" w:fill="auto"/>
            <w:vAlign w:val="center"/>
          </w:tcPr>
          <w:p w14:paraId="1FF53354" w14:textId="3ADFFEA8" w:rsidR="00856328" w:rsidRPr="00C43E6D" w:rsidRDefault="00856328" w:rsidP="00856328">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color w:val="000000"/>
                <w:sz w:val="20"/>
                <w:szCs w:val="20"/>
              </w:rPr>
              <w:t>293.8</w:t>
            </w:r>
          </w:p>
        </w:tc>
        <w:tc>
          <w:tcPr>
            <w:tcW w:w="952" w:type="dxa"/>
            <w:shd w:val="clear" w:color="auto" w:fill="auto"/>
            <w:vAlign w:val="center"/>
          </w:tcPr>
          <w:p w14:paraId="1CBEE094" w14:textId="3E394800" w:rsidR="00856328" w:rsidRPr="00C43E6D" w:rsidRDefault="00856328" w:rsidP="00856328">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color w:val="000000"/>
                <w:sz w:val="20"/>
                <w:szCs w:val="20"/>
              </w:rPr>
              <w:t>241.7</w:t>
            </w:r>
          </w:p>
        </w:tc>
        <w:tc>
          <w:tcPr>
            <w:tcW w:w="952" w:type="dxa"/>
            <w:shd w:val="clear" w:color="auto" w:fill="auto"/>
            <w:vAlign w:val="center"/>
          </w:tcPr>
          <w:p w14:paraId="61BA570B" w14:textId="368C0117" w:rsidR="00856328" w:rsidRPr="00C43E6D" w:rsidRDefault="00856328" w:rsidP="00856328">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color w:val="000000"/>
                <w:sz w:val="20"/>
                <w:szCs w:val="20"/>
              </w:rPr>
              <w:t>225.8</w:t>
            </w:r>
          </w:p>
        </w:tc>
        <w:tc>
          <w:tcPr>
            <w:tcW w:w="888" w:type="dxa"/>
            <w:shd w:val="clear" w:color="auto" w:fill="auto"/>
            <w:vAlign w:val="center"/>
          </w:tcPr>
          <w:p w14:paraId="44AA3390" w14:textId="3412A812" w:rsidR="00856328" w:rsidRPr="00C43E6D" w:rsidRDefault="00856328" w:rsidP="00856328">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color w:val="000000"/>
                <w:sz w:val="20"/>
                <w:szCs w:val="20"/>
              </w:rPr>
              <w:t>220.4</w:t>
            </w:r>
          </w:p>
        </w:tc>
        <w:tc>
          <w:tcPr>
            <w:tcW w:w="1104" w:type="dxa"/>
            <w:shd w:val="clear" w:color="auto" w:fill="auto"/>
            <w:vAlign w:val="center"/>
          </w:tcPr>
          <w:p w14:paraId="5088EABC" w14:textId="4AC696C7" w:rsidR="00856328" w:rsidRPr="00C43E6D" w:rsidRDefault="00856328" w:rsidP="00856328">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color w:val="000000"/>
                <w:sz w:val="20"/>
                <w:szCs w:val="20"/>
              </w:rPr>
              <w:t>228.7</w:t>
            </w:r>
          </w:p>
        </w:tc>
        <w:tc>
          <w:tcPr>
            <w:tcW w:w="1057" w:type="dxa"/>
            <w:shd w:val="clear" w:color="auto" w:fill="auto"/>
            <w:vAlign w:val="center"/>
          </w:tcPr>
          <w:p w14:paraId="2FA21CD1" w14:textId="3F931AC6" w:rsidR="00856328" w:rsidRPr="00C43E6D" w:rsidRDefault="00856328" w:rsidP="00856328">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1782.9</w:t>
            </w:r>
          </w:p>
        </w:tc>
      </w:tr>
      <w:tr w:rsidR="00884282" w:rsidRPr="00C43E6D" w14:paraId="25F117BA" w14:textId="77777777" w:rsidTr="0055742A">
        <w:trPr>
          <w:trHeight w:val="300"/>
          <w:jc w:val="center"/>
        </w:trPr>
        <w:tc>
          <w:tcPr>
            <w:tcW w:w="556" w:type="dxa"/>
            <w:vMerge/>
            <w:vAlign w:val="center"/>
            <w:hideMark/>
          </w:tcPr>
          <w:p w14:paraId="0115F12E" w14:textId="77777777" w:rsidR="00884282" w:rsidRPr="00C43E6D" w:rsidRDefault="00884282" w:rsidP="00856328">
            <w:pPr>
              <w:spacing w:after="0" w:line="240" w:lineRule="auto"/>
              <w:rPr>
                <w:rFonts w:ascii="Times New Roman" w:eastAsia="Times New Roman" w:hAnsi="Times New Roman" w:cs="Times New Roman"/>
                <w:b/>
                <w:bCs/>
                <w:color w:val="000000"/>
                <w:sz w:val="20"/>
                <w:szCs w:val="20"/>
              </w:rPr>
            </w:pPr>
          </w:p>
        </w:tc>
        <w:tc>
          <w:tcPr>
            <w:tcW w:w="6177" w:type="dxa"/>
            <w:shd w:val="clear" w:color="auto" w:fill="auto"/>
            <w:vAlign w:val="center"/>
            <w:hideMark/>
          </w:tcPr>
          <w:p w14:paraId="382E19FD" w14:textId="50F2BB84" w:rsidR="00884282" w:rsidRPr="00C43E6D" w:rsidRDefault="0090170D" w:rsidP="0090170D">
            <w:pPr>
              <w:spacing w:after="0" w:line="240" w:lineRule="auto"/>
              <w:ind w:firstLine="604"/>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 xml:space="preserve">1.2.2.1. </w:t>
            </w:r>
            <w:r w:rsidR="00884282" w:rsidRPr="00C43E6D">
              <w:rPr>
                <w:rFonts w:ascii="Times New Roman" w:eastAsia="Times New Roman" w:hAnsi="Times New Roman" w:cs="Times New Roman"/>
                <w:color w:val="000000"/>
                <w:sz w:val="20"/>
                <w:szCs w:val="20"/>
              </w:rPr>
              <w:t xml:space="preserve">Energie electrică livrată de </w:t>
            </w:r>
            <w:r w:rsidR="008E02C5" w:rsidRPr="00C43E6D">
              <w:rPr>
                <w:rFonts w:ascii="Times New Roman" w:eastAsia="Times New Roman" w:hAnsi="Times New Roman" w:cs="Times New Roman"/>
                <w:color w:val="000000"/>
                <w:sz w:val="20"/>
                <w:szCs w:val="20"/>
              </w:rPr>
              <w:t>MGRES</w:t>
            </w:r>
            <w:r w:rsidR="00884282" w:rsidRPr="00C43E6D">
              <w:rPr>
                <w:rFonts w:ascii="Times New Roman" w:eastAsia="Times New Roman" w:hAnsi="Times New Roman" w:cs="Times New Roman"/>
                <w:color w:val="000000"/>
                <w:sz w:val="20"/>
                <w:szCs w:val="20"/>
              </w:rPr>
              <w:t>, mil. kWh</w:t>
            </w:r>
          </w:p>
        </w:tc>
        <w:tc>
          <w:tcPr>
            <w:tcW w:w="849" w:type="dxa"/>
            <w:shd w:val="clear" w:color="000000" w:fill="FFFFFF"/>
            <w:vAlign w:val="center"/>
          </w:tcPr>
          <w:p w14:paraId="4C54E5B5" w14:textId="77777777" w:rsidR="00884282" w:rsidRPr="00C43E6D" w:rsidRDefault="00884282" w:rsidP="00856328">
            <w:pPr>
              <w:spacing w:after="0" w:line="240" w:lineRule="auto"/>
              <w:jc w:val="center"/>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0</w:t>
            </w:r>
          </w:p>
        </w:tc>
        <w:tc>
          <w:tcPr>
            <w:tcW w:w="988" w:type="dxa"/>
            <w:shd w:val="clear" w:color="000000" w:fill="FFFFFF"/>
            <w:vAlign w:val="center"/>
          </w:tcPr>
          <w:p w14:paraId="6FFD35AE" w14:textId="610CA659" w:rsidR="00884282" w:rsidRPr="00C43E6D" w:rsidRDefault="008E02C5" w:rsidP="00856328">
            <w:pPr>
              <w:spacing w:after="0" w:line="240" w:lineRule="auto"/>
              <w:jc w:val="center"/>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0</w:t>
            </w:r>
          </w:p>
        </w:tc>
        <w:tc>
          <w:tcPr>
            <w:tcW w:w="1020" w:type="dxa"/>
            <w:shd w:val="clear" w:color="000000" w:fill="FFFFFF"/>
            <w:vAlign w:val="center"/>
          </w:tcPr>
          <w:p w14:paraId="600147C0" w14:textId="3D5691BA" w:rsidR="00884282" w:rsidRPr="00C43E6D" w:rsidRDefault="008E02C5" w:rsidP="00856328">
            <w:pPr>
              <w:spacing w:after="0" w:line="240" w:lineRule="auto"/>
              <w:jc w:val="center"/>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0</w:t>
            </w:r>
          </w:p>
        </w:tc>
        <w:tc>
          <w:tcPr>
            <w:tcW w:w="952" w:type="dxa"/>
            <w:shd w:val="clear" w:color="000000" w:fill="FFFFFF"/>
            <w:vAlign w:val="center"/>
          </w:tcPr>
          <w:p w14:paraId="2C2A6E30" w14:textId="3D216DE7" w:rsidR="00884282" w:rsidRPr="00C43E6D" w:rsidRDefault="008E02C5" w:rsidP="00856328">
            <w:pPr>
              <w:spacing w:after="0" w:line="240" w:lineRule="auto"/>
              <w:jc w:val="center"/>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0</w:t>
            </w:r>
          </w:p>
        </w:tc>
        <w:tc>
          <w:tcPr>
            <w:tcW w:w="952" w:type="dxa"/>
            <w:shd w:val="clear" w:color="000000" w:fill="FFFFFF"/>
            <w:vAlign w:val="center"/>
          </w:tcPr>
          <w:p w14:paraId="72D1EE51" w14:textId="46820EE2" w:rsidR="00884282" w:rsidRPr="00C43E6D" w:rsidRDefault="008E02C5" w:rsidP="00856328">
            <w:pPr>
              <w:spacing w:after="0" w:line="240" w:lineRule="auto"/>
              <w:jc w:val="center"/>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0</w:t>
            </w:r>
          </w:p>
        </w:tc>
        <w:tc>
          <w:tcPr>
            <w:tcW w:w="888" w:type="dxa"/>
            <w:shd w:val="clear" w:color="000000" w:fill="FFFFFF"/>
            <w:vAlign w:val="center"/>
          </w:tcPr>
          <w:p w14:paraId="7AB0932E" w14:textId="0681D763" w:rsidR="00884282" w:rsidRPr="00C43E6D" w:rsidRDefault="008E02C5" w:rsidP="00856328">
            <w:pPr>
              <w:spacing w:after="0" w:line="240" w:lineRule="auto"/>
              <w:jc w:val="center"/>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0</w:t>
            </w:r>
          </w:p>
        </w:tc>
        <w:tc>
          <w:tcPr>
            <w:tcW w:w="1104" w:type="dxa"/>
            <w:shd w:val="clear" w:color="000000" w:fill="FFFFFF"/>
            <w:vAlign w:val="center"/>
          </w:tcPr>
          <w:p w14:paraId="630B525B" w14:textId="3E3097EE" w:rsidR="00884282" w:rsidRPr="00C43E6D" w:rsidRDefault="008E02C5" w:rsidP="00856328">
            <w:pPr>
              <w:spacing w:after="0" w:line="240" w:lineRule="auto"/>
              <w:jc w:val="center"/>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0</w:t>
            </w:r>
          </w:p>
        </w:tc>
        <w:tc>
          <w:tcPr>
            <w:tcW w:w="1057" w:type="dxa"/>
            <w:shd w:val="clear" w:color="000000" w:fill="FFFFFF"/>
            <w:vAlign w:val="center"/>
          </w:tcPr>
          <w:p w14:paraId="6CAF8E40" w14:textId="69414A51" w:rsidR="00884282" w:rsidRPr="00C43E6D" w:rsidRDefault="008E02C5" w:rsidP="00856328">
            <w:pPr>
              <w:spacing w:after="0" w:line="240" w:lineRule="auto"/>
              <w:jc w:val="center"/>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0</w:t>
            </w:r>
          </w:p>
        </w:tc>
      </w:tr>
      <w:tr w:rsidR="00856328" w:rsidRPr="00C43E6D" w14:paraId="2B81F480" w14:textId="77777777" w:rsidTr="0055742A">
        <w:trPr>
          <w:trHeight w:val="300"/>
          <w:jc w:val="center"/>
        </w:trPr>
        <w:tc>
          <w:tcPr>
            <w:tcW w:w="556" w:type="dxa"/>
            <w:vMerge/>
            <w:vAlign w:val="center"/>
            <w:hideMark/>
          </w:tcPr>
          <w:p w14:paraId="2D27F265" w14:textId="77777777" w:rsidR="00856328" w:rsidRPr="00C43E6D" w:rsidRDefault="00856328" w:rsidP="00856328">
            <w:pPr>
              <w:spacing w:after="0" w:line="240" w:lineRule="auto"/>
              <w:rPr>
                <w:rFonts w:ascii="Times New Roman" w:eastAsia="Times New Roman" w:hAnsi="Times New Roman" w:cs="Times New Roman"/>
                <w:b/>
                <w:bCs/>
                <w:color w:val="000000"/>
                <w:sz w:val="20"/>
                <w:szCs w:val="20"/>
              </w:rPr>
            </w:pPr>
          </w:p>
        </w:tc>
        <w:tc>
          <w:tcPr>
            <w:tcW w:w="6177" w:type="dxa"/>
            <w:shd w:val="clear" w:color="auto" w:fill="auto"/>
            <w:vAlign w:val="center"/>
            <w:hideMark/>
          </w:tcPr>
          <w:p w14:paraId="17D54DF5" w14:textId="42141C9E" w:rsidR="00856328" w:rsidRPr="00C43E6D" w:rsidRDefault="0090170D" w:rsidP="0090170D">
            <w:pPr>
              <w:spacing w:after="0" w:line="240" w:lineRule="auto"/>
              <w:ind w:firstLine="604"/>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 xml:space="preserve">1.2.2.2. </w:t>
            </w:r>
            <w:r w:rsidR="00856328" w:rsidRPr="00C43E6D">
              <w:rPr>
                <w:rFonts w:ascii="Times New Roman" w:eastAsia="Times New Roman" w:hAnsi="Times New Roman" w:cs="Times New Roman"/>
                <w:color w:val="000000"/>
                <w:sz w:val="20"/>
                <w:szCs w:val="20"/>
              </w:rPr>
              <w:t>Energie electrică livrată din surse externe, mil. kWh</w:t>
            </w:r>
          </w:p>
        </w:tc>
        <w:tc>
          <w:tcPr>
            <w:tcW w:w="849" w:type="dxa"/>
            <w:shd w:val="clear" w:color="auto" w:fill="auto"/>
            <w:vAlign w:val="center"/>
          </w:tcPr>
          <w:p w14:paraId="6D1C6DAB" w14:textId="16C35AAA" w:rsidR="00856328" w:rsidRPr="00C43E6D" w:rsidRDefault="00856328" w:rsidP="00856328">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295.2</w:t>
            </w:r>
          </w:p>
        </w:tc>
        <w:tc>
          <w:tcPr>
            <w:tcW w:w="988" w:type="dxa"/>
            <w:shd w:val="clear" w:color="auto" w:fill="auto"/>
            <w:vAlign w:val="center"/>
          </w:tcPr>
          <w:p w14:paraId="76A825C4" w14:textId="5F79E5FA" w:rsidR="00856328" w:rsidRPr="00C43E6D" w:rsidRDefault="00856328" w:rsidP="00856328">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277.3</w:t>
            </w:r>
          </w:p>
        </w:tc>
        <w:tc>
          <w:tcPr>
            <w:tcW w:w="1020" w:type="dxa"/>
            <w:shd w:val="clear" w:color="auto" w:fill="auto"/>
            <w:vAlign w:val="center"/>
          </w:tcPr>
          <w:p w14:paraId="2BBDB8BB" w14:textId="627886D4" w:rsidR="00856328" w:rsidRPr="00C43E6D" w:rsidRDefault="00856328" w:rsidP="00856328">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293.8</w:t>
            </w:r>
          </w:p>
        </w:tc>
        <w:tc>
          <w:tcPr>
            <w:tcW w:w="952" w:type="dxa"/>
            <w:shd w:val="clear" w:color="auto" w:fill="auto"/>
            <w:vAlign w:val="center"/>
          </w:tcPr>
          <w:p w14:paraId="2864A066" w14:textId="44D95925" w:rsidR="00856328" w:rsidRPr="00C43E6D" w:rsidRDefault="00856328" w:rsidP="00856328">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241.7</w:t>
            </w:r>
          </w:p>
        </w:tc>
        <w:tc>
          <w:tcPr>
            <w:tcW w:w="952" w:type="dxa"/>
            <w:shd w:val="clear" w:color="auto" w:fill="auto"/>
            <w:vAlign w:val="center"/>
          </w:tcPr>
          <w:p w14:paraId="376A20F4" w14:textId="613DAA05" w:rsidR="00856328" w:rsidRPr="00C43E6D" w:rsidRDefault="00856328" w:rsidP="00856328">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225.8</w:t>
            </w:r>
          </w:p>
        </w:tc>
        <w:tc>
          <w:tcPr>
            <w:tcW w:w="888" w:type="dxa"/>
            <w:shd w:val="clear" w:color="auto" w:fill="auto"/>
            <w:vAlign w:val="center"/>
          </w:tcPr>
          <w:p w14:paraId="7D7EF772" w14:textId="15B069E5" w:rsidR="00856328" w:rsidRPr="00C43E6D" w:rsidRDefault="00856328" w:rsidP="00856328">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220.4</w:t>
            </w:r>
          </w:p>
        </w:tc>
        <w:tc>
          <w:tcPr>
            <w:tcW w:w="1104" w:type="dxa"/>
            <w:shd w:val="clear" w:color="auto" w:fill="auto"/>
            <w:vAlign w:val="center"/>
          </w:tcPr>
          <w:p w14:paraId="0AE7C335" w14:textId="2BDB3522" w:rsidR="00856328" w:rsidRPr="00C43E6D" w:rsidRDefault="00856328" w:rsidP="00856328">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228.7</w:t>
            </w:r>
          </w:p>
        </w:tc>
        <w:tc>
          <w:tcPr>
            <w:tcW w:w="1057" w:type="dxa"/>
            <w:shd w:val="clear" w:color="auto" w:fill="auto"/>
            <w:vAlign w:val="center"/>
            <w:hideMark/>
          </w:tcPr>
          <w:p w14:paraId="78388637" w14:textId="13922302" w:rsidR="00856328" w:rsidRPr="00C43E6D" w:rsidRDefault="00856328" w:rsidP="00856328">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b/>
                <w:bCs/>
                <w:color w:val="000000"/>
                <w:sz w:val="20"/>
                <w:szCs w:val="20"/>
              </w:rPr>
              <w:t>1782.9</w:t>
            </w:r>
          </w:p>
        </w:tc>
      </w:tr>
      <w:tr w:rsidR="00856328" w:rsidRPr="00C43E6D" w14:paraId="57230C6F" w14:textId="77777777" w:rsidTr="0055742A">
        <w:trPr>
          <w:trHeight w:val="434"/>
          <w:jc w:val="center"/>
        </w:trPr>
        <w:tc>
          <w:tcPr>
            <w:tcW w:w="556" w:type="dxa"/>
            <w:vMerge w:val="restart"/>
            <w:shd w:val="clear" w:color="auto" w:fill="auto"/>
            <w:vAlign w:val="center"/>
            <w:hideMark/>
          </w:tcPr>
          <w:p w14:paraId="338DAA8B" w14:textId="77777777" w:rsidR="00856328" w:rsidRPr="005103E9" w:rsidRDefault="00856328" w:rsidP="00856328">
            <w:pPr>
              <w:spacing w:after="0" w:line="240" w:lineRule="auto"/>
              <w:jc w:val="center"/>
              <w:rPr>
                <w:rFonts w:ascii="Times New Roman" w:eastAsia="Times New Roman" w:hAnsi="Times New Roman" w:cs="Times New Roman"/>
                <w:color w:val="000000"/>
                <w:sz w:val="20"/>
                <w:szCs w:val="20"/>
              </w:rPr>
            </w:pPr>
            <w:r w:rsidRPr="005103E9">
              <w:rPr>
                <w:rFonts w:ascii="Times New Roman" w:eastAsia="Times New Roman" w:hAnsi="Times New Roman" w:cs="Times New Roman"/>
                <w:color w:val="000000"/>
                <w:sz w:val="20"/>
                <w:szCs w:val="20"/>
              </w:rPr>
              <w:t>2</w:t>
            </w:r>
          </w:p>
        </w:tc>
        <w:tc>
          <w:tcPr>
            <w:tcW w:w="13987" w:type="dxa"/>
            <w:gridSpan w:val="9"/>
            <w:shd w:val="clear" w:color="000000" w:fill="DEEAF6"/>
            <w:vAlign w:val="center"/>
          </w:tcPr>
          <w:p w14:paraId="3246BEDD" w14:textId="75D56409" w:rsidR="00856328" w:rsidRPr="00C43E6D" w:rsidRDefault="00856328" w:rsidP="00856328">
            <w:pPr>
              <w:spacing w:after="0" w:line="240" w:lineRule="auto"/>
              <w:jc w:val="center"/>
              <w:rPr>
                <w:rFonts w:ascii="Times New Roman" w:eastAsia="Times New Roman" w:hAnsi="Times New Roman" w:cs="Times New Roman"/>
                <w:b/>
                <w:bCs/>
                <w:color w:val="000000"/>
                <w:sz w:val="20"/>
                <w:szCs w:val="20"/>
              </w:rPr>
            </w:pPr>
            <w:bookmarkStart w:id="12" w:name="_Hlk200321603"/>
            <w:r w:rsidRPr="00C43E6D">
              <w:rPr>
                <w:rFonts w:ascii="Times New Roman" w:eastAsia="Times New Roman" w:hAnsi="Times New Roman" w:cs="Times New Roman"/>
                <w:b/>
                <w:bCs/>
                <w:color w:val="000000"/>
                <w:sz w:val="20"/>
                <w:szCs w:val="20"/>
              </w:rPr>
              <w:t xml:space="preserve">Cantități estimate a fi necesare pentru acoperirea consumului de energie electrică și gaze naturale a consumatorilor </w:t>
            </w:r>
          </w:p>
          <w:bookmarkEnd w:id="12"/>
          <w:p w14:paraId="599C2ACE" w14:textId="7EF9821A" w:rsidR="00856328" w:rsidRPr="00C43E6D" w:rsidRDefault="007433FF" w:rsidP="00856328">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Din regiunea transnistreană</w:t>
            </w:r>
          </w:p>
        </w:tc>
      </w:tr>
      <w:tr w:rsidR="005519E2" w:rsidRPr="00C43E6D" w14:paraId="6D25A1D7" w14:textId="77777777" w:rsidTr="0055742A">
        <w:trPr>
          <w:trHeight w:val="300"/>
          <w:jc w:val="center"/>
        </w:trPr>
        <w:tc>
          <w:tcPr>
            <w:tcW w:w="556" w:type="dxa"/>
            <w:vMerge/>
            <w:vAlign w:val="center"/>
          </w:tcPr>
          <w:p w14:paraId="29627990" w14:textId="77777777" w:rsidR="005519E2" w:rsidRPr="00C43E6D" w:rsidRDefault="005519E2" w:rsidP="005519E2">
            <w:pPr>
              <w:spacing w:after="0" w:line="240" w:lineRule="auto"/>
              <w:rPr>
                <w:rFonts w:ascii="Times New Roman" w:eastAsia="Times New Roman" w:hAnsi="Times New Roman" w:cs="Times New Roman"/>
                <w:b/>
                <w:bCs/>
                <w:color w:val="000000"/>
                <w:sz w:val="20"/>
                <w:szCs w:val="20"/>
              </w:rPr>
            </w:pPr>
          </w:p>
        </w:tc>
        <w:tc>
          <w:tcPr>
            <w:tcW w:w="6177" w:type="dxa"/>
            <w:shd w:val="clear" w:color="auto" w:fill="auto"/>
            <w:vAlign w:val="center"/>
          </w:tcPr>
          <w:p w14:paraId="41DE45EC" w14:textId="31438DAB" w:rsidR="005519E2" w:rsidRPr="00C43E6D" w:rsidRDefault="0090170D" w:rsidP="005519E2">
            <w:pPr>
              <w:spacing w:after="0" w:line="240" w:lineRule="auto"/>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 xml:space="preserve">2.1. </w:t>
            </w:r>
            <w:r w:rsidR="005519E2" w:rsidRPr="00C43E6D">
              <w:rPr>
                <w:rFonts w:ascii="Times New Roman" w:eastAsia="Times New Roman" w:hAnsi="Times New Roman" w:cs="Times New Roman"/>
                <w:color w:val="000000"/>
                <w:sz w:val="20"/>
                <w:szCs w:val="20"/>
              </w:rPr>
              <w:t xml:space="preserve">Gaze naturale estimate a fi necesar de livrat către </w:t>
            </w:r>
            <w:r w:rsidR="007433FF">
              <w:rPr>
                <w:rFonts w:ascii="Times New Roman" w:eastAsia="Times New Roman" w:hAnsi="Times New Roman" w:cs="Times New Roman"/>
                <w:color w:val="000000"/>
                <w:sz w:val="20"/>
                <w:szCs w:val="20"/>
              </w:rPr>
              <w:t>regiunea transnistreană</w:t>
            </w:r>
            <w:r w:rsidR="005519E2" w:rsidRPr="00C43E6D">
              <w:rPr>
                <w:rFonts w:ascii="Times New Roman" w:eastAsia="Times New Roman" w:hAnsi="Times New Roman" w:cs="Times New Roman"/>
                <w:color w:val="000000"/>
                <w:sz w:val="20"/>
                <w:szCs w:val="20"/>
              </w:rPr>
              <w:t xml:space="preserve"> pentru acoperirea consumului propriu, mil. m</w:t>
            </w:r>
            <w:r w:rsidR="005519E2" w:rsidRPr="00C43E6D">
              <w:rPr>
                <w:rFonts w:ascii="Times New Roman" w:eastAsia="Times New Roman" w:hAnsi="Times New Roman" w:cs="Times New Roman"/>
                <w:color w:val="000000"/>
                <w:sz w:val="20"/>
                <w:szCs w:val="20"/>
                <w:vertAlign w:val="superscript"/>
              </w:rPr>
              <w:t>3</w:t>
            </w:r>
            <w:r w:rsidR="005519E2" w:rsidRPr="00C43E6D">
              <w:rPr>
                <w:rFonts w:ascii="Times New Roman" w:eastAsia="Times New Roman" w:hAnsi="Times New Roman" w:cs="Times New Roman"/>
                <w:color w:val="000000"/>
                <w:sz w:val="20"/>
                <w:szCs w:val="20"/>
              </w:rPr>
              <w:t>, inclusiv</w:t>
            </w:r>
            <w:r w:rsidRPr="00C43E6D">
              <w:rPr>
                <w:rFonts w:ascii="Times New Roman" w:eastAsia="Times New Roman" w:hAnsi="Times New Roman" w:cs="Times New Roman"/>
                <w:color w:val="000000"/>
                <w:sz w:val="20"/>
                <w:szCs w:val="20"/>
              </w:rPr>
              <w:t>:</w:t>
            </w:r>
          </w:p>
        </w:tc>
        <w:tc>
          <w:tcPr>
            <w:tcW w:w="849" w:type="dxa"/>
            <w:shd w:val="clear" w:color="auto" w:fill="FFFFFF" w:themeFill="background1"/>
            <w:vAlign w:val="center"/>
          </w:tcPr>
          <w:p w14:paraId="072D374E" w14:textId="0913DDF1" w:rsidR="005519E2" w:rsidRPr="00C43E6D" w:rsidRDefault="005519E2" w:rsidP="005519E2">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69.1</w:t>
            </w:r>
          </w:p>
        </w:tc>
        <w:tc>
          <w:tcPr>
            <w:tcW w:w="988" w:type="dxa"/>
            <w:shd w:val="clear" w:color="auto" w:fill="FFFFFF" w:themeFill="background1"/>
            <w:vAlign w:val="center"/>
          </w:tcPr>
          <w:p w14:paraId="6CAF6EEB" w14:textId="660A8D50" w:rsidR="005519E2" w:rsidRPr="00C43E6D" w:rsidRDefault="005519E2" w:rsidP="005519E2">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104.2</w:t>
            </w:r>
          </w:p>
        </w:tc>
        <w:tc>
          <w:tcPr>
            <w:tcW w:w="1020" w:type="dxa"/>
            <w:shd w:val="clear" w:color="auto" w:fill="FFFFFF" w:themeFill="background1"/>
            <w:vAlign w:val="center"/>
          </w:tcPr>
          <w:p w14:paraId="213F276E" w14:textId="3F43B81D" w:rsidR="005519E2" w:rsidRPr="00C43E6D" w:rsidRDefault="005519E2" w:rsidP="005519E2">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120.7</w:t>
            </w:r>
          </w:p>
        </w:tc>
        <w:tc>
          <w:tcPr>
            <w:tcW w:w="952" w:type="dxa"/>
            <w:shd w:val="clear" w:color="auto" w:fill="FFFFFF" w:themeFill="background1"/>
            <w:vAlign w:val="center"/>
          </w:tcPr>
          <w:p w14:paraId="0ED87CC2" w14:textId="72706388" w:rsidR="005519E2" w:rsidRPr="00C43E6D" w:rsidRDefault="005519E2" w:rsidP="005519E2">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114.5</w:t>
            </w:r>
          </w:p>
        </w:tc>
        <w:tc>
          <w:tcPr>
            <w:tcW w:w="952" w:type="dxa"/>
            <w:shd w:val="clear" w:color="auto" w:fill="FFFFFF" w:themeFill="background1"/>
            <w:vAlign w:val="center"/>
          </w:tcPr>
          <w:p w14:paraId="2236D121" w14:textId="1C217D49" w:rsidR="005519E2" w:rsidRPr="00C43E6D" w:rsidRDefault="005519E2" w:rsidP="005519E2">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95.0</w:t>
            </w:r>
          </w:p>
        </w:tc>
        <w:tc>
          <w:tcPr>
            <w:tcW w:w="888" w:type="dxa"/>
            <w:shd w:val="clear" w:color="auto" w:fill="FFFFFF" w:themeFill="background1"/>
            <w:vAlign w:val="center"/>
          </w:tcPr>
          <w:p w14:paraId="2C01B0BD" w14:textId="085B7B21" w:rsidR="005519E2" w:rsidRPr="00C43E6D" w:rsidRDefault="005519E2" w:rsidP="005519E2">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102.9</w:t>
            </w:r>
          </w:p>
        </w:tc>
        <w:tc>
          <w:tcPr>
            <w:tcW w:w="1104" w:type="dxa"/>
            <w:shd w:val="clear" w:color="auto" w:fill="FFFFFF" w:themeFill="background1"/>
            <w:vAlign w:val="center"/>
          </w:tcPr>
          <w:p w14:paraId="57E5FCA7" w14:textId="6FBBF2F9" w:rsidR="005519E2" w:rsidRPr="00C43E6D" w:rsidRDefault="005519E2" w:rsidP="005519E2">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49.6</w:t>
            </w:r>
          </w:p>
        </w:tc>
        <w:tc>
          <w:tcPr>
            <w:tcW w:w="1057" w:type="dxa"/>
            <w:shd w:val="clear" w:color="auto" w:fill="FFFFFF" w:themeFill="background1"/>
            <w:vAlign w:val="center"/>
          </w:tcPr>
          <w:p w14:paraId="2D1A8323" w14:textId="7F31CF95" w:rsidR="005519E2" w:rsidRPr="00C43E6D" w:rsidRDefault="005519E2" w:rsidP="005519E2">
            <w:pPr>
              <w:spacing w:after="0" w:line="240" w:lineRule="auto"/>
              <w:jc w:val="center"/>
              <w:rPr>
                <w:rFonts w:ascii="Times New Roman" w:eastAsia="Times New Roman" w:hAnsi="Times New Roman" w:cs="Times New Roman"/>
                <w:b/>
                <w:bCs/>
                <w:color w:val="000000"/>
                <w:sz w:val="20"/>
                <w:szCs w:val="20"/>
              </w:rPr>
            </w:pPr>
            <w:r w:rsidRPr="00C43E6D">
              <w:rPr>
                <w:rFonts w:ascii="Times New Roman" w:hAnsi="Times New Roman" w:cs="Times New Roman"/>
                <w:b/>
                <w:bCs/>
                <w:color w:val="000000"/>
                <w:sz w:val="20"/>
                <w:szCs w:val="20"/>
              </w:rPr>
              <w:t>656.0</w:t>
            </w:r>
          </w:p>
        </w:tc>
      </w:tr>
      <w:tr w:rsidR="005519E2" w:rsidRPr="00C43E6D" w14:paraId="0EE06EB1" w14:textId="77777777" w:rsidTr="0055742A">
        <w:trPr>
          <w:trHeight w:val="300"/>
          <w:jc w:val="center"/>
        </w:trPr>
        <w:tc>
          <w:tcPr>
            <w:tcW w:w="556" w:type="dxa"/>
            <w:vMerge/>
            <w:vAlign w:val="center"/>
          </w:tcPr>
          <w:p w14:paraId="502B5088" w14:textId="77777777" w:rsidR="005519E2" w:rsidRPr="00C43E6D" w:rsidRDefault="005519E2" w:rsidP="005519E2">
            <w:pPr>
              <w:spacing w:after="0" w:line="240" w:lineRule="auto"/>
              <w:rPr>
                <w:rFonts w:ascii="Times New Roman" w:eastAsia="Times New Roman" w:hAnsi="Times New Roman" w:cs="Times New Roman"/>
                <w:b/>
                <w:bCs/>
                <w:color w:val="000000"/>
                <w:sz w:val="20"/>
                <w:szCs w:val="20"/>
              </w:rPr>
            </w:pPr>
          </w:p>
        </w:tc>
        <w:tc>
          <w:tcPr>
            <w:tcW w:w="6177" w:type="dxa"/>
            <w:shd w:val="clear" w:color="auto" w:fill="auto"/>
            <w:vAlign w:val="center"/>
          </w:tcPr>
          <w:p w14:paraId="28BD4507" w14:textId="64FAC8C4" w:rsidR="005519E2" w:rsidRPr="00C43E6D" w:rsidRDefault="0090170D" w:rsidP="0090170D">
            <w:pPr>
              <w:spacing w:after="0" w:line="240" w:lineRule="auto"/>
              <w:ind w:firstLine="179"/>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 xml:space="preserve">2.1.1. </w:t>
            </w:r>
            <w:r w:rsidR="005519E2" w:rsidRPr="00C43E6D">
              <w:rPr>
                <w:rFonts w:ascii="Times New Roman" w:eastAsia="Times New Roman" w:hAnsi="Times New Roman" w:cs="Times New Roman"/>
                <w:color w:val="000000"/>
                <w:sz w:val="20"/>
                <w:szCs w:val="20"/>
              </w:rPr>
              <w:t xml:space="preserve">Consumatori casnici </w:t>
            </w:r>
            <w:r w:rsidR="000F16A4">
              <w:rPr>
                <w:rFonts w:ascii="Times New Roman" w:eastAsia="Times New Roman" w:hAnsi="Times New Roman" w:cs="Times New Roman"/>
                <w:color w:val="000000"/>
                <w:sz w:val="20"/>
                <w:szCs w:val="20"/>
              </w:rPr>
              <w:t xml:space="preserve">și </w:t>
            </w:r>
            <w:r w:rsidR="005519E2" w:rsidRPr="000F16A4">
              <w:rPr>
                <w:rFonts w:ascii="Times New Roman" w:eastAsia="Times New Roman" w:hAnsi="Times New Roman" w:cs="Times New Roman"/>
                <w:color w:val="000000"/>
                <w:sz w:val="20"/>
                <w:szCs w:val="20"/>
              </w:rPr>
              <w:t>public</w:t>
            </w:r>
            <w:r w:rsidR="000B163D">
              <w:rPr>
                <w:rFonts w:ascii="Times New Roman" w:eastAsia="Times New Roman" w:hAnsi="Times New Roman" w:cs="Times New Roman"/>
                <w:color w:val="000000"/>
                <w:sz w:val="20"/>
                <w:szCs w:val="20"/>
              </w:rPr>
              <w:t>i</w:t>
            </w:r>
          </w:p>
        </w:tc>
        <w:tc>
          <w:tcPr>
            <w:tcW w:w="849" w:type="dxa"/>
            <w:shd w:val="clear" w:color="auto" w:fill="auto"/>
            <w:vAlign w:val="center"/>
          </w:tcPr>
          <w:p w14:paraId="000DEC4C" w14:textId="4A69B8CC" w:rsidR="005519E2" w:rsidRPr="00C43E6D" w:rsidRDefault="005519E2" w:rsidP="005519E2">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13</w:t>
            </w:r>
          </w:p>
        </w:tc>
        <w:tc>
          <w:tcPr>
            <w:tcW w:w="988" w:type="dxa"/>
            <w:shd w:val="clear" w:color="auto" w:fill="auto"/>
            <w:vAlign w:val="center"/>
          </w:tcPr>
          <w:p w14:paraId="312ECF6A" w14:textId="2B654D76" w:rsidR="005519E2" w:rsidRPr="00C43E6D" w:rsidRDefault="005519E2" w:rsidP="005519E2">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23.2</w:t>
            </w:r>
          </w:p>
        </w:tc>
        <w:tc>
          <w:tcPr>
            <w:tcW w:w="1020" w:type="dxa"/>
            <w:shd w:val="clear" w:color="auto" w:fill="auto"/>
            <w:vAlign w:val="center"/>
          </w:tcPr>
          <w:p w14:paraId="6BD7EB00" w14:textId="4CE02DC7" w:rsidR="005519E2" w:rsidRPr="00C43E6D" w:rsidRDefault="005519E2" w:rsidP="005519E2">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33</w:t>
            </w:r>
          </w:p>
        </w:tc>
        <w:tc>
          <w:tcPr>
            <w:tcW w:w="952" w:type="dxa"/>
            <w:shd w:val="clear" w:color="auto" w:fill="auto"/>
            <w:vAlign w:val="center"/>
          </w:tcPr>
          <w:p w14:paraId="555F5024" w14:textId="41EEBD26" w:rsidR="005519E2" w:rsidRPr="00C43E6D" w:rsidRDefault="005519E2" w:rsidP="005519E2">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36.7</w:t>
            </w:r>
          </w:p>
        </w:tc>
        <w:tc>
          <w:tcPr>
            <w:tcW w:w="952" w:type="dxa"/>
            <w:shd w:val="clear" w:color="auto" w:fill="auto"/>
            <w:vAlign w:val="center"/>
          </w:tcPr>
          <w:p w14:paraId="449259B5" w14:textId="3B7F441B" w:rsidR="005519E2" w:rsidRPr="00C43E6D" w:rsidRDefault="005519E2" w:rsidP="005519E2">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27.5</w:t>
            </w:r>
          </w:p>
        </w:tc>
        <w:tc>
          <w:tcPr>
            <w:tcW w:w="888" w:type="dxa"/>
            <w:shd w:val="clear" w:color="auto" w:fill="auto"/>
            <w:vAlign w:val="center"/>
          </w:tcPr>
          <w:p w14:paraId="3D884C6C" w14:textId="571FECBD" w:rsidR="005519E2" w:rsidRPr="00C43E6D" w:rsidRDefault="005519E2" w:rsidP="005519E2">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27</w:t>
            </w:r>
          </w:p>
        </w:tc>
        <w:tc>
          <w:tcPr>
            <w:tcW w:w="1104" w:type="dxa"/>
            <w:shd w:val="clear" w:color="auto" w:fill="auto"/>
            <w:vAlign w:val="center"/>
          </w:tcPr>
          <w:p w14:paraId="30E892A4" w14:textId="24F470A3" w:rsidR="005519E2" w:rsidRPr="00C43E6D" w:rsidRDefault="005519E2" w:rsidP="005519E2">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7.9</w:t>
            </w:r>
          </w:p>
        </w:tc>
        <w:tc>
          <w:tcPr>
            <w:tcW w:w="1057" w:type="dxa"/>
            <w:shd w:val="clear" w:color="auto" w:fill="auto"/>
            <w:vAlign w:val="center"/>
          </w:tcPr>
          <w:p w14:paraId="654E7B63" w14:textId="0783CB02" w:rsidR="005519E2" w:rsidRPr="00C43E6D" w:rsidRDefault="005519E2" w:rsidP="005519E2">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b/>
                <w:bCs/>
                <w:color w:val="000000"/>
                <w:sz w:val="20"/>
                <w:szCs w:val="20"/>
              </w:rPr>
              <w:t>168.3</w:t>
            </w:r>
          </w:p>
        </w:tc>
      </w:tr>
      <w:tr w:rsidR="005519E2" w:rsidRPr="00C43E6D" w14:paraId="06AD93A2" w14:textId="77777777" w:rsidTr="0055742A">
        <w:trPr>
          <w:trHeight w:val="300"/>
          <w:jc w:val="center"/>
        </w:trPr>
        <w:tc>
          <w:tcPr>
            <w:tcW w:w="556" w:type="dxa"/>
            <w:vMerge/>
            <w:vAlign w:val="center"/>
          </w:tcPr>
          <w:p w14:paraId="28D208B1" w14:textId="77777777" w:rsidR="005519E2" w:rsidRPr="00C43E6D" w:rsidRDefault="005519E2" w:rsidP="005519E2">
            <w:pPr>
              <w:spacing w:after="0" w:line="240" w:lineRule="auto"/>
              <w:rPr>
                <w:rFonts w:ascii="Times New Roman" w:eastAsia="Times New Roman" w:hAnsi="Times New Roman" w:cs="Times New Roman"/>
                <w:b/>
                <w:bCs/>
                <w:color w:val="000000"/>
                <w:sz w:val="20"/>
                <w:szCs w:val="20"/>
              </w:rPr>
            </w:pPr>
          </w:p>
        </w:tc>
        <w:tc>
          <w:tcPr>
            <w:tcW w:w="6177" w:type="dxa"/>
            <w:shd w:val="clear" w:color="auto" w:fill="auto"/>
            <w:vAlign w:val="center"/>
          </w:tcPr>
          <w:p w14:paraId="1CA433B0" w14:textId="121628F4" w:rsidR="005519E2" w:rsidRPr="00C43E6D" w:rsidRDefault="0090170D" w:rsidP="0090170D">
            <w:pPr>
              <w:spacing w:after="0" w:line="240" w:lineRule="auto"/>
              <w:ind w:firstLine="179"/>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 xml:space="preserve">2.1.2. </w:t>
            </w:r>
            <w:r w:rsidR="005519E2" w:rsidRPr="00C43E6D">
              <w:rPr>
                <w:rFonts w:ascii="Times New Roman" w:eastAsia="Times New Roman" w:hAnsi="Times New Roman" w:cs="Times New Roman"/>
                <w:color w:val="000000"/>
                <w:sz w:val="20"/>
                <w:szCs w:val="20"/>
              </w:rPr>
              <w:t>Sectorul termoenergetic</w:t>
            </w:r>
          </w:p>
        </w:tc>
        <w:tc>
          <w:tcPr>
            <w:tcW w:w="849" w:type="dxa"/>
            <w:shd w:val="clear" w:color="auto" w:fill="auto"/>
            <w:vAlign w:val="center"/>
          </w:tcPr>
          <w:p w14:paraId="625FA20E" w14:textId="04B9C47B" w:rsidR="005519E2" w:rsidRPr="00C43E6D" w:rsidRDefault="005519E2" w:rsidP="005519E2">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12.1</w:t>
            </w:r>
          </w:p>
        </w:tc>
        <w:tc>
          <w:tcPr>
            <w:tcW w:w="988" w:type="dxa"/>
            <w:shd w:val="clear" w:color="auto" w:fill="auto"/>
            <w:vAlign w:val="center"/>
          </w:tcPr>
          <w:p w14:paraId="09D8D8FE" w14:textId="2C64AFEA" w:rsidR="005519E2" w:rsidRPr="00C43E6D" w:rsidRDefault="005519E2" w:rsidP="005519E2">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25.2</w:t>
            </w:r>
          </w:p>
        </w:tc>
        <w:tc>
          <w:tcPr>
            <w:tcW w:w="1020" w:type="dxa"/>
            <w:shd w:val="clear" w:color="auto" w:fill="auto"/>
            <w:vAlign w:val="center"/>
          </w:tcPr>
          <w:p w14:paraId="5F093CF2" w14:textId="548439B3" w:rsidR="005519E2" w:rsidRPr="00C43E6D" w:rsidRDefault="005519E2" w:rsidP="005519E2">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33.9</w:t>
            </w:r>
          </w:p>
        </w:tc>
        <w:tc>
          <w:tcPr>
            <w:tcW w:w="952" w:type="dxa"/>
            <w:shd w:val="clear" w:color="auto" w:fill="auto"/>
            <w:vAlign w:val="center"/>
          </w:tcPr>
          <w:p w14:paraId="0074045B" w14:textId="5EE83D98" w:rsidR="005519E2" w:rsidRPr="00C43E6D" w:rsidRDefault="005519E2" w:rsidP="005519E2">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33.2</w:t>
            </w:r>
          </w:p>
        </w:tc>
        <w:tc>
          <w:tcPr>
            <w:tcW w:w="952" w:type="dxa"/>
            <w:shd w:val="clear" w:color="auto" w:fill="auto"/>
            <w:vAlign w:val="center"/>
          </w:tcPr>
          <w:p w14:paraId="7DD7D4DF" w14:textId="3CF6F6BE" w:rsidR="005519E2" w:rsidRPr="00C43E6D" w:rsidRDefault="005519E2" w:rsidP="005519E2">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23.9</w:t>
            </w:r>
          </w:p>
        </w:tc>
        <w:tc>
          <w:tcPr>
            <w:tcW w:w="888" w:type="dxa"/>
            <w:shd w:val="clear" w:color="auto" w:fill="auto"/>
            <w:vAlign w:val="center"/>
          </w:tcPr>
          <w:p w14:paraId="5C0E6998" w14:textId="56DC2037" w:rsidR="005519E2" w:rsidRPr="00C43E6D" w:rsidRDefault="005519E2" w:rsidP="005519E2">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24.5</w:t>
            </w:r>
          </w:p>
        </w:tc>
        <w:tc>
          <w:tcPr>
            <w:tcW w:w="1104" w:type="dxa"/>
            <w:shd w:val="clear" w:color="auto" w:fill="auto"/>
            <w:vAlign w:val="center"/>
          </w:tcPr>
          <w:p w14:paraId="2FF5D7E4" w14:textId="2ADFB783" w:rsidR="005519E2" w:rsidRPr="00C43E6D" w:rsidRDefault="005519E2" w:rsidP="005519E2">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5.1</w:t>
            </w:r>
          </w:p>
        </w:tc>
        <w:tc>
          <w:tcPr>
            <w:tcW w:w="1057" w:type="dxa"/>
            <w:shd w:val="clear" w:color="auto" w:fill="auto"/>
            <w:vAlign w:val="center"/>
          </w:tcPr>
          <w:p w14:paraId="05682058" w14:textId="23DF77CB" w:rsidR="005519E2" w:rsidRPr="00C43E6D" w:rsidRDefault="005519E2" w:rsidP="005519E2">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b/>
                <w:bCs/>
                <w:color w:val="000000"/>
                <w:sz w:val="20"/>
                <w:szCs w:val="20"/>
              </w:rPr>
              <w:t>157.9</w:t>
            </w:r>
          </w:p>
        </w:tc>
      </w:tr>
      <w:tr w:rsidR="005519E2" w:rsidRPr="00C43E6D" w14:paraId="0CA5635B" w14:textId="77777777" w:rsidTr="0055742A">
        <w:trPr>
          <w:trHeight w:val="300"/>
          <w:jc w:val="center"/>
        </w:trPr>
        <w:tc>
          <w:tcPr>
            <w:tcW w:w="556" w:type="dxa"/>
            <w:vMerge/>
            <w:vAlign w:val="center"/>
          </w:tcPr>
          <w:p w14:paraId="26648583" w14:textId="77777777" w:rsidR="005519E2" w:rsidRPr="00C43E6D" w:rsidRDefault="005519E2" w:rsidP="005519E2">
            <w:pPr>
              <w:spacing w:after="0" w:line="240" w:lineRule="auto"/>
              <w:rPr>
                <w:rFonts w:ascii="Times New Roman" w:eastAsia="Times New Roman" w:hAnsi="Times New Roman" w:cs="Times New Roman"/>
                <w:b/>
                <w:bCs/>
                <w:color w:val="000000"/>
                <w:sz w:val="20"/>
                <w:szCs w:val="20"/>
              </w:rPr>
            </w:pPr>
          </w:p>
        </w:tc>
        <w:tc>
          <w:tcPr>
            <w:tcW w:w="6177" w:type="dxa"/>
            <w:shd w:val="clear" w:color="auto" w:fill="auto"/>
            <w:vAlign w:val="center"/>
          </w:tcPr>
          <w:p w14:paraId="7962CBE7" w14:textId="482EF0D1" w:rsidR="005519E2" w:rsidRPr="00C43E6D" w:rsidRDefault="0090170D" w:rsidP="0090170D">
            <w:pPr>
              <w:spacing w:after="0" w:line="240" w:lineRule="auto"/>
              <w:ind w:firstLine="179"/>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 xml:space="preserve">2.1.3. </w:t>
            </w:r>
            <w:r w:rsidR="005519E2" w:rsidRPr="00C43E6D">
              <w:rPr>
                <w:rFonts w:ascii="Times New Roman" w:eastAsia="Times New Roman" w:hAnsi="Times New Roman" w:cs="Times New Roman"/>
                <w:color w:val="000000"/>
                <w:sz w:val="20"/>
                <w:szCs w:val="20"/>
              </w:rPr>
              <w:t>MGRES</w:t>
            </w:r>
          </w:p>
        </w:tc>
        <w:tc>
          <w:tcPr>
            <w:tcW w:w="849" w:type="dxa"/>
            <w:shd w:val="clear" w:color="auto" w:fill="auto"/>
            <w:vAlign w:val="center"/>
          </w:tcPr>
          <w:p w14:paraId="5E354A89" w14:textId="4F2788B0" w:rsidR="005519E2" w:rsidRPr="00C43E6D" w:rsidRDefault="005519E2" w:rsidP="005519E2">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29.4</w:t>
            </w:r>
          </w:p>
        </w:tc>
        <w:tc>
          <w:tcPr>
            <w:tcW w:w="988" w:type="dxa"/>
            <w:shd w:val="clear" w:color="auto" w:fill="auto"/>
            <w:vAlign w:val="center"/>
          </w:tcPr>
          <w:p w14:paraId="3D796015" w14:textId="19D34FA3" w:rsidR="005519E2" w:rsidRPr="00C43E6D" w:rsidRDefault="005519E2" w:rsidP="005519E2">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29.7</w:t>
            </w:r>
          </w:p>
        </w:tc>
        <w:tc>
          <w:tcPr>
            <w:tcW w:w="1020" w:type="dxa"/>
            <w:shd w:val="clear" w:color="auto" w:fill="auto"/>
            <w:vAlign w:val="center"/>
          </w:tcPr>
          <w:p w14:paraId="7467D832" w14:textId="3709D7A9" w:rsidR="005519E2" w:rsidRPr="00C43E6D" w:rsidRDefault="005519E2" w:rsidP="005519E2">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27</w:t>
            </w:r>
          </w:p>
        </w:tc>
        <w:tc>
          <w:tcPr>
            <w:tcW w:w="952" w:type="dxa"/>
            <w:shd w:val="clear" w:color="auto" w:fill="auto"/>
            <w:vAlign w:val="center"/>
          </w:tcPr>
          <w:p w14:paraId="4EDDFCCF" w14:textId="023FE3B4" w:rsidR="005519E2" w:rsidRPr="00C43E6D" w:rsidRDefault="005519E2" w:rsidP="005519E2">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27.1</w:t>
            </w:r>
          </w:p>
        </w:tc>
        <w:tc>
          <w:tcPr>
            <w:tcW w:w="952" w:type="dxa"/>
            <w:shd w:val="clear" w:color="auto" w:fill="auto"/>
            <w:vAlign w:val="center"/>
          </w:tcPr>
          <w:p w14:paraId="35387AC6" w14:textId="264D5F6E" w:rsidR="005519E2" w:rsidRPr="00C43E6D" w:rsidRDefault="005519E2" w:rsidP="005519E2">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27.7</w:t>
            </w:r>
          </w:p>
        </w:tc>
        <w:tc>
          <w:tcPr>
            <w:tcW w:w="888" w:type="dxa"/>
            <w:shd w:val="clear" w:color="auto" w:fill="auto"/>
            <w:vAlign w:val="center"/>
          </w:tcPr>
          <w:p w14:paraId="52CAD525" w14:textId="602EFAD8" w:rsidR="005519E2" w:rsidRPr="00C43E6D" w:rsidRDefault="005519E2" w:rsidP="005519E2">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30.1</w:t>
            </w:r>
          </w:p>
        </w:tc>
        <w:tc>
          <w:tcPr>
            <w:tcW w:w="1104" w:type="dxa"/>
            <w:shd w:val="clear" w:color="auto" w:fill="auto"/>
            <w:vAlign w:val="center"/>
          </w:tcPr>
          <w:p w14:paraId="4A5FD6C4" w14:textId="6D32D456" w:rsidR="005519E2" w:rsidRPr="00C43E6D" w:rsidRDefault="005519E2" w:rsidP="005519E2">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28.7</w:t>
            </w:r>
          </w:p>
        </w:tc>
        <w:tc>
          <w:tcPr>
            <w:tcW w:w="1057" w:type="dxa"/>
            <w:shd w:val="clear" w:color="auto" w:fill="auto"/>
            <w:vAlign w:val="center"/>
          </w:tcPr>
          <w:p w14:paraId="59BEED60" w14:textId="3A649502" w:rsidR="005519E2" w:rsidRPr="00C43E6D" w:rsidRDefault="005519E2" w:rsidP="005519E2">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b/>
                <w:bCs/>
                <w:color w:val="000000"/>
                <w:sz w:val="20"/>
                <w:szCs w:val="20"/>
              </w:rPr>
              <w:t>199.7</w:t>
            </w:r>
          </w:p>
        </w:tc>
      </w:tr>
      <w:tr w:rsidR="005519E2" w:rsidRPr="00C43E6D" w14:paraId="65802C2D" w14:textId="77777777" w:rsidTr="0055742A">
        <w:trPr>
          <w:trHeight w:val="300"/>
          <w:jc w:val="center"/>
        </w:trPr>
        <w:tc>
          <w:tcPr>
            <w:tcW w:w="556" w:type="dxa"/>
            <w:vMerge/>
            <w:vAlign w:val="center"/>
          </w:tcPr>
          <w:p w14:paraId="6F2E1B2F" w14:textId="77777777" w:rsidR="005519E2" w:rsidRPr="00C43E6D" w:rsidRDefault="005519E2" w:rsidP="005519E2">
            <w:pPr>
              <w:spacing w:after="0" w:line="240" w:lineRule="auto"/>
              <w:rPr>
                <w:rFonts w:ascii="Times New Roman" w:eastAsia="Times New Roman" w:hAnsi="Times New Roman" w:cs="Times New Roman"/>
                <w:b/>
                <w:bCs/>
                <w:color w:val="000000"/>
                <w:sz w:val="20"/>
                <w:szCs w:val="20"/>
              </w:rPr>
            </w:pPr>
          </w:p>
        </w:tc>
        <w:tc>
          <w:tcPr>
            <w:tcW w:w="6177" w:type="dxa"/>
            <w:shd w:val="clear" w:color="auto" w:fill="auto"/>
            <w:vAlign w:val="center"/>
          </w:tcPr>
          <w:p w14:paraId="56D5BBB4" w14:textId="4ABD6448" w:rsidR="005519E2" w:rsidRPr="00C43E6D" w:rsidRDefault="0090170D" w:rsidP="0090170D">
            <w:pPr>
              <w:spacing w:after="0" w:line="240" w:lineRule="auto"/>
              <w:ind w:firstLine="179"/>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 xml:space="preserve">2.1.4. </w:t>
            </w:r>
            <w:r w:rsidR="005519E2" w:rsidRPr="00C43E6D">
              <w:rPr>
                <w:rFonts w:ascii="Times New Roman" w:eastAsia="Times New Roman" w:hAnsi="Times New Roman" w:cs="Times New Roman"/>
                <w:color w:val="000000"/>
                <w:sz w:val="20"/>
                <w:szCs w:val="20"/>
              </w:rPr>
              <w:t>Alte categorii de consumatori</w:t>
            </w:r>
          </w:p>
        </w:tc>
        <w:tc>
          <w:tcPr>
            <w:tcW w:w="849" w:type="dxa"/>
            <w:shd w:val="clear" w:color="auto" w:fill="auto"/>
            <w:vAlign w:val="center"/>
          </w:tcPr>
          <w:p w14:paraId="608EDC4E" w14:textId="3FB535A8" w:rsidR="005519E2" w:rsidRPr="00C43E6D" w:rsidRDefault="005519E2" w:rsidP="005519E2">
            <w:pPr>
              <w:spacing w:after="0" w:line="240" w:lineRule="auto"/>
              <w:jc w:val="center"/>
              <w:rPr>
                <w:rFonts w:ascii="Times New Roman" w:hAnsi="Times New Roman" w:cs="Times New Roman"/>
                <w:color w:val="000000"/>
                <w:sz w:val="20"/>
                <w:szCs w:val="20"/>
              </w:rPr>
            </w:pPr>
            <w:r w:rsidRPr="00C43E6D">
              <w:rPr>
                <w:rFonts w:ascii="Times New Roman" w:hAnsi="Times New Roman" w:cs="Times New Roman"/>
                <w:color w:val="000000"/>
                <w:sz w:val="20"/>
                <w:szCs w:val="20"/>
              </w:rPr>
              <w:t>14.6</w:t>
            </w:r>
          </w:p>
        </w:tc>
        <w:tc>
          <w:tcPr>
            <w:tcW w:w="988" w:type="dxa"/>
            <w:shd w:val="clear" w:color="auto" w:fill="auto"/>
            <w:vAlign w:val="center"/>
          </w:tcPr>
          <w:p w14:paraId="63A67619" w14:textId="25D85642" w:rsidR="005519E2" w:rsidRPr="00C43E6D" w:rsidRDefault="005519E2" w:rsidP="005519E2">
            <w:pPr>
              <w:spacing w:after="0" w:line="240" w:lineRule="auto"/>
              <w:jc w:val="center"/>
              <w:rPr>
                <w:rFonts w:ascii="Times New Roman" w:hAnsi="Times New Roman" w:cs="Times New Roman"/>
                <w:color w:val="000000"/>
                <w:sz w:val="20"/>
                <w:szCs w:val="20"/>
              </w:rPr>
            </w:pPr>
            <w:r w:rsidRPr="00C43E6D">
              <w:rPr>
                <w:rFonts w:ascii="Times New Roman" w:hAnsi="Times New Roman" w:cs="Times New Roman"/>
                <w:color w:val="000000"/>
                <w:sz w:val="20"/>
                <w:szCs w:val="20"/>
              </w:rPr>
              <w:t>26.1</w:t>
            </w:r>
          </w:p>
        </w:tc>
        <w:tc>
          <w:tcPr>
            <w:tcW w:w="1020" w:type="dxa"/>
            <w:shd w:val="clear" w:color="auto" w:fill="auto"/>
            <w:vAlign w:val="center"/>
          </w:tcPr>
          <w:p w14:paraId="040D8E27" w14:textId="7771EEDA" w:rsidR="005519E2" w:rsidRPr="00C43E6D" w:rsidRDefault="005519E2" w:rsidP="005519E2">
            <w:pPr>
              <w:spacing w:after="0" w:line="240" w:lineRule="auto"/>
              <w:jc w:val="center"/>
              <w:rPr>
                <w:rFonts w:ascii="Times New Roman" w:hAnsi="Times New Roman" w:cs="Times New Roman"/>
                <w:color w:val="000000"/>
                <w:sz w:val="20"/>
                <w:szCs w:val="20"/>
              </w:rPr>
            </w:pPr>
            <w:r w:rsidRPr="00C43E6D">
              <w:rPr>
                <w:rFonts w:ascii="Times New Roman" w:hAnsi="Times New Roman" w:cs="Times New Roman"/>
                <w:color w:val="000000"/>
                <w:sz w:val="20"/>
                <w:szCs w:val="20"/>
              </w:rPr>
              <w:t>26.8</w:t>
            </w:r>
          </w:p>
        </w:tc>
        <w:tc>
          <w:tcPr>
            <w:tcW w:w="952" w:type="dxa"/>
            <w:shd w:val="clear" w:color="auto" w:fill="auto"/>
            <w:vAlign w:val="center"/>
          </w:tcPr>
          <w:p w14:paraId="17132551" w14:textId="68E508F8" w:rsidR="005519E2" w:rsidRPr="00C43E6D" w:rsidRDefault="005519E2" w:rsidP="005519E2">
            <w:pPr>
              <w:spacing w:after="0" w:line="240" w:lineRule="auto"/>
              <w:jc w:val="center"/>
              <w:rPr>
                <w:rFonts w:ascii="Times New Roman" w:hAnsi="Times New Roman" w:cs="Times New Roman"/>
                <w:color w:val="000000"/>
                <w:sz w:val="20"/>
                <w:szCs w:val="20"/>
              </w:rPr>
            </w:pPr>
            <w:r w:rsidRPr="00C43E6D">
              <w:rPr>
                <w:rFonts w:ascii="Times New Roman" w:hAnsi="Times New Roman" w:cs="Times New Roman"/>
                <w:color w:val="000000"/>
                <w:sz w:val="20"/>
                <w:szCs w:val="20"/>
              </w:rPr>
              <w:t>17.5</w:t>
            </w:r>
          </w:p>
        </w:tc>
        <w:tc>
          <w:tcPr>
            <w:tcW w:w="952" w:type="dxa"/>
            <w:shd w:val="clear" w:color="auto" w:fill="auto"/>
            <w:vAlign w:val="center"/>
          </w:tcPr>
          <w:p w14:paraId="548B6246" w14:textId="359601F6" w:rsidR="005519E2" w:rsidRPr="00C43E6D" w:rsidRDefault="005519E2" w:rsidP="005519E2">
            <w:pPr>
              <w:spacing w:after="0" w:line="240" w:lineRule="auto"/>
              <w:jc w:val="center"/>
              <w:rPr>
                <w:rFonts w:ascii="Times New Roman" w:hAnsi="Times New Roman" w:cs="Times New Roman"/>
                <w:color w:val="000000"/>
                <w:sz w:val="20"/>
                <w:szCs w:val="20"/>
              </w:rPr>
            </w:pPr>
            <w:r w:rsidRPr="00C43E6D">
              <w:rPr>
                <w:rFonts w:ascii="Times New Roman" w:hAnsi="Times New Roman" w:cs="Times New Roman"/>
                <w:color w:val="000000"/>
                <w:sz w:val="20"/>
                <w:szCs w:val="20"/>
              </w:rPr>
              <w:t>15.9</w:t>
            </w:r>
          </w:p>
        </w:tc>
        <w:tc>
          <w:tcPr>
            <w:tcW w:w="888" w:type="dxa"/>
            <w:shd w:val="clear" w:color="auto" w:fill="auto"/>
            <w:vAlign w:val="center"/>
          </w:tcPr>
          <w:p w14:paraId="02460D12" w14:textId="56D61B79" w:rsidR="005519E2" w:rsidRPr="00C43E6D" w:rsidRDefault="005519E2" w:rsidP="005519E2">
            <w:pPr>
              <w:spacing w:after="0" w:line="240" w:lineRule="auto"/>
              <w:jc w:val="center"/>
              <w:rPr>
                <w:rFonts w:ascii="Times New Roman" w:hAnsi="Times New Roman" w:cs="Times New Roman"/>
                <w:color w:val="000000"/>
                <w:sz w:val="20"/>
                <w:szCs w:val="20"/>
              </w:rPr>
            </w:pPr>
            <w:r w:rsidRPr="00C43E6D">
              <w:rPr>
                <w:rFonts w:ascii="Times New Roman" w:hAnsi="Times New Roman" w:cs="Times New Roman"/>
                <w:color w:val="000000"/>
                <w:sz w:val="20"/>
                <w:szCs w:val="20"/>
              </w:rPr>
              <w:t>21.3</w:t>
            </w:r>
          </w:p>
        </w:tc>
        <w:tc>
          <w:tcPr>
            <w:tcW w:w="1104" w:type="dxa"/>
            <w:shd w:val="clear" w:color="auto" w:fill="auto"/>
            <w:vAlign w:val="center"/>
          </w:tcPr>
          <w:p w14:paraId="547025C2" w14:textId="6EE8DA61" w:rsidR="005519E2" w:rsidRPr="00C43E6D" w:rsidRDefault="005519E2" w:rsidP="005519E2">
            <w:pPr>
              <w:spacing w:after="0" w:line="240" w:lineRule="auto"/>
              <w:jc w:val="center"/>
              <w:rPr>
                <w:rFonts w:ascii="Times New Roman" w:hAnsi="Times New Roman" w:cs="Times New Roman"/>
                <w:color w:val="000000"/>
                <w:sz w:val="20"/>
                <w:szCs w:val="20"/>
              </w:rPr>
            </w:pPr>
            <w:r w:rsidRPr="00C43E6D">
              <w:rPr>
                <w:rFonts w:ascii="Times New Roman" w:hAnsi="Times New Roman" w:cs="Times New Roman"/>
                <w:color w:val="000000"/>
                <w:sz w:val="20"/>
                <w:szCs w:val="20"/>
              </w:rPr>
              <w:t>7.9</w:t>
            </w:r>
          </w:p>
        </w:tc>
        <w:tc>
          <w:tcPr>
            <w:tcW w:w="1057" w:type="dxa"/>
            <w:shd w:val="clear" w:color="auto" w:fill="auto"/>
            <w:vAlign w:val="center"/>
          </w:tcPr>
          <w:p w14:paraId="6D65627C" w14:textId="760EAAE1" w:rsidR="005519E2" w:rsidRPr="00C43E6D" w:rsidRDefault="005519E2" w:rsidP="005519E2">
            <w:pPr>
              <w:spacing w:after="0" w:line="240" w:lineRule="auto"/>
              <w:jc w:val="center"/>
              <w:rPr>
                <w:rFonts w:ascii="Times New Roman" w:hAnsi="Times New Roman" w:cs="Times New Roman"/>
                <w:b/>
                <w:bCs/>
                <w:color w:val="000000"/>
                <w:sz w:val="20"/>
                <w:szCs w:val="20"/>
              </w:rPr>
            </w:pPr>
            <w:r w:rsidRPr="00C43E6D">
              <w:rPr>
                <w:rFonts w:ascii="Times New Roman" w:hAnsi="Times New Roman" w:cs="Times New Roman"/>
                <w:b/>
                <w:bCs/>
                <w:color w:val="000000"/>
                <w:sz w:val="20"/>
                <w:szCs w:val="20"/>
              </w:rPr>
              <w:t>130.1</w:t>
            </w:r>
          </w:p>
        </w:tc>
      </w:tr>
      <w:tr w:rsidR="00D95F49" w:rsidRPr="00C43E6D" w14:paraId="68EC2ED4" w14:textId="77777777" w:rsidTr="0055742A">
        <w:trPr>
          <w:trHeight w:val="300"/>
          <w:jc w:val="center"/>
        </w:trPr>
        <w:tc>
          <w:tcPr>
            <w:tcW w:w="556" w:type="dxa"/>
            <w:vMerge/>
            <w:vAlign w:val="center"/>
            <w:hideMark/>
          </w:tcPr>
          <w:p w14:paraId="069FA464" w14:textId="77777777" w:rsidR="00D95F49" w:rsidRPr="00C43E6D" w:rsidRDefault="00D95F49" w:rsidP="00D95F49">
            <w:pPr>
              <w:spacing w:after="0" w:line="240" w:lineRule="auto"/>
              <w:rPr>
                <w:rFonts w:ascii="Times New Roman" w:eastAsia="Times New Roman" w:hAnsi="Times New Roman" w:cs="Times New Roman"/>
                <w:b/>
                <w:bCs/>
                <w:color w:val="000000"/>
                <w:sz w:val="20"/>
                <w:szCs w:val="20"/>
              </w:rPr>
            </w:pPr>
          </w:p>
        </w:tc>
        <w:tc>
          <w:tcPr>
            <w:tcW w:w="6177" w:type="dxa"/>
            <w:shd w:val="clear" w:color="auto" w:fill="auto"/>
            <w:vAlign w:val="center"/>
            <w:hideMark/>
          </w:tcPr>
          <w:p w14:paraId="35724E72" w14:textId="158BBB02" w:rsidR="00D95F49" w:rsidRPr="00C43E6D" w:rsidRDefault="0090170D" w:rsidP="00D95F49">
            <w:pPr>
              <w:spacing w:after="0" w:line="240" w:lineRule="auto"/>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 xml:space="preserve">2.2. </w:t>
            </w:r>
            <w:r w:rsidR="00D95F49" w:rsidRPr="00C43E6D">
              <w:rPr>
                <w:rFonts w:ascii="Times New Roman" w:eastAsia="Times New Roman" w:hAnsi="Times New Roman" w:cs="Times New Roman"/>
                <w:color w:val="000000"/>
                <w:sz w:val="20"/>
                <w:szCs w:val="20"/>
              </w:rPr>
              <w:t xml:space="preserve">Energie electrică estimată a fi necesară de livrat către </w:t>
            </w:r>
            <w:r w:rsidR="007433FF">
              <w:rPr>
                <w:rFonts w:ascii="Times New Roman" w:eastAsia="Times New Roman" w:hAnsi="Times New Roman" w:cs="Times New Roman"/>
                <w:color w:val="000000"/>
                <w:sz w:val="20"/>
                <w:szCs w:val="20"/>
              </w:rPr>
              <w:t>regiunea transnistreană</w:t>
            </w:r>
            <w:r w:rsidR="00745583">
              <w:rPr>
                <w:rFonts w:ascii="Times New Roman" w:eastAsia="Times New Roman" w:hAnsi="Times New Roman" w:cs="Times New Roman"/>
                <w:color w:val="000000"/>
                <w:sz w:val="20"/>
                <w:szCs w:val="20"/>
              </w:rPr>
              <w:t xml:space="preserve"> </w:t>
            </w:r>
            <w:r w:rsidR="00D95F49" w:rsidRPr="00C43E6D">
              <w:rPr>
                <w:rFonts w:ascii="Times New Roman" w:eastAsia="Times New Roman" w:hAnsi="Times New Roman" w:cs="Times New Roman"/>
                <w:color w:val="000000"/>
                <w:sz w:val="20"/>
                <w:szCs w:val="20"/>
              </w:rPr>
              <w:t>pentru acoperirea consumului propriu, mil. kWh, inclusiv</w:t>
            </w:r>
            <w:r w:rsidRPr="00C43E6D">
              <w:rPr>
                <w:rFonts w:ascii="Times New Roman" w:eastAsia="Times New Roman" w:hAnsi="Times New Roman" w:cs="Times New Roman"/>
                <w:color w:val="000000"/>
                <w:sz w:val="20"/>
                <w:szCs w:val="20"/>
              </w:rPr>
              <w:t>:</w:t>
            </w:r>
          </w:p>
        </w:tc>
        <w:tc>
          <w:tcPr>
            <w:tcW w:w="849" w:type="dxa"/>
            <w:shd w:val="clear" w:color="auto" w:fill="FFFFFF" w:themeFill="background1"/>
            <w:vAlign w:val="center"/>
          </w:tcPr>
          <w:p w14:paraId="7D383524" w14:textId="56A2EB9E" w:rsidR="00D95F49" w:rsidRPr="00C43E6D" w:rsidRDefault="00D95F49" w:rsidP="00D95F49">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b/>
                <w:bCs/>
                <w:color w:val="000000"/>
                <w:sz w:val="20"/>
                <w:szCs w:val="20"/>
              </w:rPr>
              <w:t>185.4</w:t>
            </w:r>
          </w:p>
        </w:tc>
        <w:tc>
          <w:tcPr>
            <w:tcW w:w="988" w:type="dxa"/>
            <w:shd w:val="clear" w:color="auto" w:fill="FFFFFF" w:themeFill="background1"/>
            <w:vAlign w:val="center"/>
          </w:tcPr>
          <w:p w14:paraId="705B9C16" w14:textId="06DF978D" w:rsidR="00D95F49" w:rsidRPr="00C43E6D" w:rsidRDefault="00D95F49" w:rsidP="00D95F49">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b/>
                <w:bCs/>
                <w:color w:val="000000"/>
                <w:sz w:val="20"/>
                <w:szCs w:val="20"/>
              </w:rPr>
              <w:t>178.8</w:t>
            </w:r>
          </w:p>
        </w:tc>
        <w:tc>
          <w:tcPr>
            <w:tcW w:w="1020" w:type="dxa"/>
            <w:shd w:val="clear" w:color="auto" w:fill="FFFFFF" w:themeFill="background1"/>
            <w:vAlign w:val="center"/>
          </w:tcPr>
          <w:p w14:paraId="057FFB7F" w14:textId="1BB3260F" w:rsidR="00D95F49" w:rsidRPr="00C43E6D" w:rsidRDefault="00D95F49" w:rsidP="00D95F49">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b/>
                <w:bCs/>
                <w:color w:val="000000"/>
                <w:sz w:val="20"/>
                <w:szCs w:val="20"/>
              </w:rPr>
              <w:t>148.0</w:t>
            </w:r>
          </w:p>
        </w:tc>
        <w:tc>
          <w:tcPr>
            <w:tcW w:w="952" w:type="dxa"/>
            <w:shd w:val="clear" w:color="auto" w:fill="FFFFFF" w:themeFill="background1"/>
            <w:vAlign w:val="center"/>
          </w:tcPr>
          <w:p w14:paraId="19DFE239" w14:textId="03BFBB98" w:rsidR="00D95F49" w:rsidRPr="00C43E6D" w:rsidRDefault="00D95F49" w:rsidP="00D95F49">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b/>
                <w:bCs/>
                <w:color w:val="000000"/>
                <w:sz w:val="20"/>
                <w:szCs w:val="20"/>
              </w:rPr>
              <w:t>155.8</w:t>
            </w:r>
          </w:p>
        </w:tc>
        <w:tc>
          <w:tcPr>
            <w:tcW w:w="952" w:type="dxa"/>
            <w:shd w:val="clear" w:color="auto" w:fill="FFFFFF" w:themeFill="background1"/>
            <w:vAlign w:val="center"/>
          </w:tcPr>
          <w:p w14:paraId="3CF66931" w14:textId="3DBA0F1B" w:rsidR="00D95F49" w:rsidRPr="00C43E6D" w:rsidRDefault="00D95F49" w:rsidP="00D95F49">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b/>
                <w:bCs/>
                <w:color w:val="000000"/>
                <w:sz w:val="20"/>
                <w:szCs w:val="20"/>
              </w:rPr>
              <w:t>160.4</w:t>
            </w:r>
          </w:p>
        </w:tc>
        <w:tc>
          <w:tcPr>
            <w:tcW w:w="888" w:type="dxa"/>
            <w:shd w:val="clear" w:color="auto" w:fill="FFFFFF" w:themeFill="background1"/>
            <w:vAlign w:val="center"/>
          </w:tcPr>
          <w:p w14:paraId="542E5763" w14:textId="7616B97E" w:rsidR="00D95F49" w:rsidRPr="00C43E6D" w:rsidRDefault="00D95F49" w:rsidP="00D95F49">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b/>
                <w:bCs/>
                <w:color w:val="000000"/>
                <w:sz w:val="20"/>
                <w:szCs w:val="20"/>
              </w:rPr>
              <w:t>172.2</w:t>
            </w:r>
          </w:p>
        </w:tc>
        <w:tc>
          <w:tcPr>
            <w:tcW w:w="1104" w:type="dxa"/>
            <w:shd w:val="clear" w:color="auto" w:fill="FFFFFF" w:themeFill="background1"/>
            <w:vAlign w:val="center"/>
          </w:tcPr>
          <w:p w14:paraId="10DB61F6" w14:textId="35E70E96" w:rsidR="00D95F49" w:rsidRPr="00C43E6D" w:rsidRDefault="00D95F49" w:rsidP="00D95F49">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b/>
                <w:bCs/>
                <w:color w:val="000000"/>
                <w:sz w:val="20"/>
                <w:szCs w:val="20"/>
              </w:rPr>
              <w:t>179.5</w:t>
            </w:r>
          </w:p>
        </w:tc>
        <w:tc>
          <w:tcPr>
            <w:tcW w:w="1057" w:type="dxa"/>
            <w:shd w:val="clear" w:color="auto" w:fill="FFFFFF" w:themeFill="background1"/>
            <w:vAlign w:val="center"/>
          </w:tcPr>
          <w:p w14:paraId="4B49CA8C" w14:textId="0E2CFBCE" w:rsidR="00D95F49" w:rsidRPr="00C43E6D" w:rsidRDefault="00D95F49" w:rsidP="00D95F49">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b/>
                <w:bCs/>
                <w:color w:val="000000"/>
                <w:sz w:val="20"/>
                <w:szCs w:val="20"/>
              </w:rPr>
              <w:t>1180.0</w:t>
            </w:r>
          </w:p>
        </w:tc>
      </w:tr>
      <w:tr w:rsidR="00D95F49" w:rsidRPr="00C43E6D" w14:paraId="352A49DB" w14:textId="77777777" w:rsidTr="0055742A">
        <w:trPr>
          <w:trHeight w:val="300"/>
          <w:jc w:val="center"/>
        </w:trPr>
        <w:tc>
          <w:tcPr>
            <w:tcW w:w="556" w:type="dxa"/>
            <w:vMerge/>
            <w:vAlign w:val="center"/>
            <w:hideMark/>
          </w:tcPr>
          <w:p w14:paraId="47CD7047" w14:textId="77777777" w:rsidR="00D95F49" w:rsidRPr="00C43E6D" w:rsidRDefault="00D95F49" w:rsidP="00D95F49">
            <w:pPr>
              <w:spacing w:after="0" w:line="240" w:lineRule="auto"/>
              <w:rPr>
                <w:rFonts w:ascii="Times New Roman" w:eastAsia="Times New Roman" w:hAnsi="Times New Roman" w:cs="Times New Roman"/>
                <w:b/>
                <w:bCs/>
                <w:color w:val="000000"/>
                <w:sz w:val="20"/>
                <w:szCs w:val="20"/>
              </w:rPr>
            </w:pPr>
          </w:p>
        </w:tc>
        <w:tc>
          <w:tcPr>
            <w:tcW w:w="6177" w:type="dxa"/>
            <w:shd w:val="clear" w:color="auto" w:fill="auto"/>
            <w:vAlign w:val="center"/>
            <w:hideMark/>
          </w:tcPr>
          <w:p w14:paraId="2F5937E6" w14:textId="1E9B7277" w:rsidR="00D95F49" w:rsidRPr="00C43E6D" w:rsidRDefault="0090170D" w:rsidP="0090170D">
            <w:pPr>
              <w:spacing w:after="0" w:line="240" w:lineRule="auto"/>
              <w:ind w:firstLine="179"/>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 xml:space="preserve">2.2.1. </w:t>
            </w:r>
            <w:r w:rsidR="00D95F49" w:rsidRPr="00C43E6D">
              <w:rPr>
                <w:rFonts w:ascii="Times New Roman" w:eastAsia="Times New Roman" w:hAnsi="Times New Roman" w:cs="Times New Roman"/>
                <w:color w:val="000000"/>
                <w:sz w:val="20"/>
                <w:szCs w:val="20"/>
              </w:rPr>
              <w:t>Consumatori casnici și public</w:t>
            </w:r>
            <w:r w:rsidR="000B163D">
              <w:rPr>
                <w:rFonts w:ascii="Times New Roman" w:eastAsia="Times New Roman" w:hAnsi="Times New Roman" w:cs="Times New Roman"/>
                <w:color w:val="000000"/>
                <w:sz w:val="20"/>
                <w:szCs w:val="20"/>
              </w:rPr>
              <w:t>i</w:t>
            </w:r>
          </w:p>
        </w:tc>
        <w:tc>
          <w:tcPr>
            <w:tcW w:w="849" w:type="dxa"/>
            <w:shd w:val="clear" w:color="auto" w:fill="FFFFFF" w:themeFill="background1"/>
            <w:vAlign w:val="center"/>
          </w:tcPr>
          <w:p w14:paraId="0CC23FCF" w14:textId="0F27557E" w:rsidR="00D95F49" w:rsidRPr="00C43E6D" w:rsidRDefault="00D95F49" w:rsidP="00D95F49">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89.0</w:t>
            </w:r>
          </w:p>
        </w:tc>
        <w:tc>
          <w:tcPr>
            <w:tcW w:w="988" w:type="dxa"/>
            <w:shd w:val="clear" w:color="auto" w:fill="FFFFFF" w:themeFill="background1"/>
            <w:vAlign w:val="center"/>
          </w:tcPr>
          <w:p w14:paraId="1316A618" w14:textId="034724C9" w:rsidR="00D95F49" w:rsidRPr="00C43E6D" w:rsidRDefault="00D95F49" w:rsidP="00D95F49">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85.8</w:t>
            </w:r>
          </w:p>
        </w:tc>
        <w:tc>
          <w:tcPr>
            <w:tcW w:w="1020" w:type="dxa"/>
            <w:shd w:val="clear" w:color="auto" w:fill="FFFFFF" w:themeFill="background1"/>
            <w:vAlign w:val="center"/>
          </w:tcPr>
          <w:p w14:paraId="66EE9B8B" w14:textId="472D0020" w:rsidR="00D95F49" w:rsidRPr="00C43E6D" w:rsidRDefault="00D95F49" w:rsidP="00D95F49">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71.1</w:t>
            </w:r>
          </w:p>
        </w:tc>
        <w:tc>
          <w:tcPr>
            <w:tcW w:w="952" w:type="dxa"/>
            <w:shd w:val="clear" w:color="auto" w:fill="FFFFFF" w:themeFill="background1"/>
            <w:vAlign w:val="center"/>
          </w:tcPr>
          <w:p w14:paraId="6AD1FF81" w14:textId="291B8642" w:rsidR="00D95F49" w:rsidRPr="00C43E6D" w:rsidRDefault="00D95F49" w:rsidP="00D95F49">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74.8</w:t>
            </w:r>
          </w:p>
        </w:tc>
        <w:tc>
          <w:tcPr>
            <w:tcW w:w="952" w:type="dxa"/>
            <w:shd w:val="clear" w:color="auto" w:fill="FFFFFF" w:themeFill="background1"/>
            <w:vAlign w:val="center"/>
          </w:tcPr>
          <w:p w14:paraId="1543FA2B" w14:textId="6485A86A" w:rsidR="00D95F49" w:rsidRPr="00C43E6D" w:rsidRDefault="00D95F49" w:rsidP="00D95F49">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77.0</w:t>
            </w:r>
          </w:p>
        </w:tc>
        <w:tc>
          <w:tcPr>
            <w:tcW w:w="888" w:type="dxa"/>
            <w:shd w:val="clear" w:color="auto" w:fill="FFFFFF" w:themeFill="background1"/>
            <w:vAlign w:val="center"/>
          </w:tcPr>
          <w:p w14:paraId="6BE0F24D" w14:textId="2F25858F" w:rsidR="00D95F49" w:rsidRPr="00C43E6D" w:rsidRDefault="00D95F49" w:rsidP="00D95F49">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82.6</w:t>
            </w:r>
          </w:p>
        </w:tc>
        <w:tc>
          <w:tcPr>
            <w:tcW w:w="1104" w:type="dxa"/>
            <w:shd w:val="clear" w:color="auto" w:fill="FFFFFF" w:themeFill="background1"/>
            <w:vAlign w:val="center"/>
          </w:tcPr>
          <w:p w14:paraId="2FBC5408" w14:textId="7E765E92" w:rsidR="00D95F49" w:rsidRPr="00C43E6D" w:rsidRDefault="00D95F49" w:rsidP="00D95F49">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86.1</w:t>
            </w:r>
          </w:p>
        </w:tc>
        <w:tc>
          <w:tcPr>
            <w:tcW w:w="1057" w:type="dxa"/>
            <w:shd w:val="clear" w:color="auto" w:fill="FFFFFF" w:themeFill="background1"/>
            <w:vAlign w:val="center"/>
          </w:tcPr>
          <w:p w14:paraId="66F08BA6" w14:textId="73CB6F49" w:rsidR="00D95F49" w:rsidRPr="00C43E6D" w:rsidRDefault="00D95F49" w:rsidP="00D95F49">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b/>
                <w:bCs/>
                <w:color w:val="000000"/>
                <w:sz w:val="20"/>
                <w:szCs w:val="20"/>
              </w:rPr>
              <w:t>566.4</w:t>
            </w:r>
          </w:p>
        </w:tc>
      </w:tr>
      <w:tr w:rsidR="00D95F49" w:rsidRPr="00C43E6D" w14:paraId="3931322E" w14:textId="77777777" w:rsidTr="0055742A">
        <w:trPr>
          <w:trHeight w:val="286"/>
          <w:jc w:val="center"/>
        </w:trPr>
        <w:tc>
          <w:tcPr>
            <w:tcW w:w="556" w:type="dxa"/>
            <w:vMerge/>
            <w:vAlign w:val="center"/>
            <w:hideMark/>
          </w:tcPr>
          <w:p w14:paraId="32601546" w14:textId="77777777" w:rsidR="00D95F49" w:rsidRPr="00C43E6D" w:rsidRDefault="00D95F49" w:rsidP="00D95F49">
            <w:pPr>
              <w:spacing w:after="0" w:line="240" w:lineRule="auto"/>
              <w:rPr>
                <w:rFonts w:ascii="Times New Roman" w:eastAsia="Times New Roman" w:hAnsi="Times New Roman" w:cs="Times New Roman"/>
                <w:b/>
                <w:bCs/>
                <w:color w:val="000000"/>
                <w:sz w:val="20"/>
                <w:szCs w:val="20"/>
              </w:rPr>
            </w:pPr>
          </w:p>
        </w:tc>
        <w:tc>
          <w:tcPr>
            <w:tcW w:w="6177" w:type="dxa"/>
            <w:shd w:val="clear" w:color="auto" w:fill="auto"/>
            <w:vAlign w:val="center"/>
            <w:hideMark/>
          </w:tcPr>
          <w:p w14:paraId="119E1E8B" w14:textId="3B90E24C" w:rsidR="00D95F49" w:rsidRPr="00C43E6D" w:rsidRDefault="0090170D" w:rsidP="0090170D">
            <w:pPr>
              <w:spacing w:after="0" w:line="240" w:lineRule="auto"/>
              <w:ind w:firstLine="179"/>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 xml:space="preserve">2.2.2. </w:t>
            </w:r>
            <w:r w:rsidR="00D95F49" w:rsidRPr="00C43E6D">
              <w:rPr>
                <w:rFonts w:ascii="Times New Roman" w:eastAsia="Times New Roman" w:hAnsi="Times New Roman" w:cs="Times New Roman"/>
                <w:color w:val="000000"/>
                <w:sz w:val="20"/>
                <w:szCs w:val="20"/>
              </w:rPr>
              <w:t>Agenți economici</w:t>
            </w:r>
          </w:p>
        </w:tc>
        <w:tc>
          <w:tcPr>
            <w:tcW w:w="849" w:type="dxa"/>
            <w:shd w:val="clear" w:color="auto" w:fill="FFFFFF" w:themeFill="background1"/>
            <w:vAlign w:val="center"/>
          </w:tcPr>
          <w:p w14:paraId="7A067430" w14:textId="6C2DCD21" w:rsidR="00D95F49" w:rsidRPr="00C43E6D" w:rsidRDefault="00D95F49" w:rsidP="00D95F49">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74.2</w:t>
            </w:r>
          </w:p>
        </w:tc>
        <w:tc>
          <w:tcPr>
            <w:tcW w:w="988" w:type="dxa"/>
            <w:shd w:val="clear" w:color="auto" w:fill="FFFFFF" w:themeFill="background1"/>
            <w:vAlign w:val="center"/>
          </w:tcPr>
          <w:p w14:paraId="64A45065" w14:textId="49FFD4B9" w:rsidR="00D95F49" w:rsidRPr="00C43E6D" w:rsidRDefault="00D95F49" w:rsidP="00D95F49">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71.5</w:t>
            </w:r>
          </w:p>
        </w:tc>
        <w:tc>
          <w:tcPr>
            <w:tcW w:w="1020" w:type="dxa"/>
            <w:shd w:val="clear" w:color="auto" w:fill="FFFFFF" w:themeFill="background1"/>
            <w:vAlign w:val="center"/>
          </w:tcPr>
          <w:p w14:paraId="0EAD0F62" w14:textId="23E59A32" w:rsidR="00D95F49" w:rsidRPr="00C43E6D" w:rsidRDefault="00D95F49" w:rsidP="00D95F49">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59.2</w:t>
            </w:r>
          </w:p>
        </w:tc>
        <w:tc>
          <w:tcPr>
            <w:tcW w:w="952" w:type="dxa"/>
            <w:shd w:val="clear" w:color="auto" w:fill="FFFFFF" w:themeFill="background1"/>
            <w:vAlign w:val="center"/>
          </w:tcPr>
          <w:p w14:paraId="2033CA2A" w14:textId="0E399CE2" w:rsidR="00D95F49" w:rsidRPr="00C43E6D" w:rsidRDefault="00D95F49" w:rsidP="00D95F49">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62.3</w:t>
            </w:r>
          </w:p>
        </w:tc>
        <w:tc>
          <w:tcPr>
            <w:tcW w:w="952" w:type="dxa"/>
            <w:shd w:val="clear" w:color="auto" w:fill="FFFFFF" w:themeFill="background1"/>
            <w:vAlign w:val="center"/>
          </w:tcPr>
          <w:p w14:paraId="7DDF837F" w14:textId="7E009128" w:rsidR="00D95F49" w:rsidRPr="00C43E6D" w:rsidRDefault="00D95F49" w:rsidP="00D95F49">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64.2</w:t>
            </w:r>
          </w:p>
        </w:tc>
        <w:tc>
          <w:tcPr>
            <w:tcW w:w="888" w:type="dxa"/>
            <w:shd w:val="clear" w:color="auto" w:fill="FFFFFF" w:themeFill="background1"/>
            <w:vAlign w:val="center"/>
          </w:tcPr>
          <w:p w14:paraId="02C4A1F7" w14:textId="49427410" w:rsidR="00D95F49" w:rsidRPr="00C43E6D" w:rsidRDefault="00D95F49" w:rsidP="00D95F49">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68.9</w:t>
            </w:r>
          </w:p>
        </w:tc>
        <w:tc>
          <w:tcPr>
            <w:tcW w:w="1104" w:type="dxa"/>
            <w:shd w:val="clear" w:color="auto" w:fill="FFFFFF" w:themeFill="background1"/>
            <w:vAlign w:val="center"/>
          </w:tcPr>
          <w:p w14:paraId="4C8639E6" w14:textId="5589FBF1" w:rsidR="00D95F49" w:rsidRPr="00C43E6D" w:rsidRDefault="00D95F49" w:rsidP="00D95F49">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71.8</w:t>
            </w:r>
          </w:p>
        </w:tc>
        <w:tc>
          <w:tcPr>
            <w:tcW w:w="1057" w:type="dxa"/>
            <w:shd w:val="clear" w:color="auto" w:fill="FFFFFF" w:themeFill="background1"/>
            <w:vAlign w:val="center"/>
          </w:tcPr>
          <w:p w14:paraId="54681D19" w14:textId="0C7CA448" w:rsidR="00D95F49" w:rsidRPr="00C43E6D" w:rsidRDefault="00D95F49" w:rsidP="00D95F49">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b/>
                <w:bCs/>
                <w:color w:val="000000"/>
                <w:sz w:val="20"/>
                <w:szCs w:val="20"/>
              </w:rPr>
              <w:t>472.0</w:t>
            </w:r>
          </w:p>
        </w:tc>
      </w:tr>
      <w:tr w:rsidR="00D95F49" w:rsidRPr="00C43E6D" w14:paraId="0EF91FBB" w14:textId="77777777" w:rsidTr="0055742A">
        <w:trPr>
          <w:trHeight w:val="300"/>
          <w:jc w:val="center"/>
        </w:trPr>
        <w:tc>
          <w:tcPr>
            <w:tcW w:w="556" w:type="dxa"/>
            <w:vMerge/>
            <w:vAlign w:val="center"/>
            <w:hideMark/>
          </w:tcPr>
          <w:p w14:paraId="2F5EF058" w14:textId="77777777" w:rsidR="00D95F49" w:rsidRPr="00C43E6D" w:rsidRDefault="00D95F49" w:rsidP="00D95F49">
            <w:pPr>
              <w:spacing w:after="0" w:line="240" w:lineRule="auto"/>
              <w:rPr>
                <w:rFonts w:ascii="Times New Roman" w:eastAsia="Times New Roman" w:hAnsi="Times New Roman" w:cs="Times New Roman"/>
                <w:b/>
                <w:bCs/>
                <w:color w:val="000000"/>
                <w:sz w:val="20"/>
                <w:szCs w:val="20"/>
              </w:rPr>
            </w:pPr>
          </w:p>
        </w:tc>
        <w:tc>
          <w:tcPr>
            <w:tcW w:w="6177" w:type="dxa"/>
            <w:shd w:val="clear" w:color="auto" w:fill="auto"/>
            <w:vAlign w:val="center"/>
            <w:hideMark/>
          </w:tcPr>
          <w:p w14:paraId="27D74136" w14:textId="4D433C26" w:rsidR="00D95F49" w:rsidRPr="00C43E6D" w:rsidRDefault="0090170D" w:rsidP="0090170D">
            <w:pPr>
              <w:spacing w:after="0" w:line="240" w:lineRule="auto"/>
              <w:ind w:firstLine="179"/>
              <w:rPr>
                <w:rFonts w:ascii="Times New Roman" w:eastAsia="Times New Roman" w:hAnsi="Times New Roman" w:cs="Times New Roman"/>
                <w:color w:val="000000"/>
                <w:sz w:val="20"/>
                <w:szCs w:val="20"/>
              </w:rPr>
            </w:pPr>
            <w:r w:rsidRPr="00C43E6D">
              <w:rPr>
                <w:rFonts w:ascii="Times New Roman" w:eastAsia="Times New Roman" w:hAnsi="Times New Roman" w:cs="Times New Roman"/>
                <w:color w:val="000000"/>
                <w:sz w:val="20"/>
                <w:szCs w:val="20"/>
              </w:rPr>
              <w:t xml:space="preserve">2.2.3. </w:t>
            </w:r>
            <w:r w:rsidR="00D95F49" w:rsidRPr="00C43E6D">
              <w:rPr>
                <w:rFonts w:ascii="Times New Roman" w:eastAsia="Times New Roman" w:hAnsi="Times New Roman" w:cs="Times New Roman"/>
                <w:color w:val="000000"/>
                <w:sz w:val="20"/>
                <w:szCs w:val="20"/>
              </w:rPr>
              <w:t>Alte categorii de consumatori</w:t>
            </w:r>
          </w:p>
        </w:tc>
        <w:tc>
          <w:tcPr>
            <w:tcW w:w="849" w:type="dxa"/>
            <w:shd w:val="clear" w:color="auto" w:fill="FFFFFF" w:themeFill="background1"/>
            <w:vAlign w:val="center"/>
          </w:tcPr>
          <w:p w14:paraId="07ED8372" w14:textId="1D630E94" w:rsidR="00D95F49" w:rsidRPr="00C43E6D" w:rsidRDefault="00D95F49" w:rsidP="00D95F49">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22.2</w:t>
            </w:r>
          </w:p>
        </w:tc>
        <w:tc>
          <w:tcPr>
            <w:tcW w:w="988" w:type="dxa"/>
            <w:shd w:val="clear" w:color="auto" w:fill="FFFFFF" w:themeFill="background1"/>
            <w:vAlign w:val="center"/>
          </w:tcPr>
          <w:p w14:paraId="3DD86330" w14:textId="4D2F3592" w:rsidR="00D95F49" w:rsidRPr="00C43E6D" w:rsidRDefault="00D95F49" w:rsidP="00D95F49">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21.5</w:t>
            </w:r>
          </w:p>
        </w:tc>
        <w:tc>
          <w:tcPr>
            <w:tcW w:w="1020" w:type="dxa"/>
            <w:shd w:val="clear" w:color="auto" w:fill="FFFFFF" w:themeFill="background1"/>
            <w:vAlign w:val="center"/>
          </w:tcPr>
          <w:p w14:paraId="3161F9D0" w14:textId="1DF5B446" w:rsidR="00D95F49" w:rsidRPr="00C43E6D" w:rsidRDefault="00D95F49" w:rsidP="00D95F49">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17.8</w:t>
            </w:r>
          </w:p>
        </w:tc>
        <w:tc>
          <w:tcPr>
            <w:tcW w:w="952" w:type="dxa"/>
            <w:shd w:val="clear" w:color="auto" w:fill="FFFFFF" w:themeFill="background1"/>
            <w:vAlign w:val="center"/>
          </w:tcPr>
          <w:p w14:paraId="16B95E15" w14:textId="1EB4F57C" w:rsidR="00D95F49" w:rsidRPr="00C43E6D" w:rsidRDefault="00D95F49" w:rsidP="00D95F49">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18.7</w:t>
            </w:r>
          </w:p>
        </w:tc>
        <w:tc>
          <w:tcPr>
            <w:tcW w:w="952" w:type="dxa"/>
            <w:shd w:val="clear" w:color="auto" w:fill="FFFFFF" w:themeFill="background1"/>
            <w:vAlign w:val="center"/>
          </w:tcPr>
          <w:p w14:paraId="605B03F9" w14:textId="1E22BD50" w:rsidR="00D95F49" w:rsidRPr="00C43E6D" w:rsidRDefault="00D95F49" w:rsidP="00D95F49">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19.3</w:t>
            </w:r>
          </w:p>
        </w:tc>
        <w:tc>
          <w:tcPr>
            <w:tcW w:w="888" w:type="dxa"/>
            <w:shd w:val="clear" w:color="auto" w:fill="FFFFFF" w:themeFill="background1"/>
            <w:vAlign w:val="center"/>
          </w:tcPr>
          <w:p w14:paraId="1EB45814" w14:textId="7352E366" w:rsidR="00D95F49" w:rsidRPr="00C43E6D" w:rsidRDefault="00D95F49" w:rsidP="00D95F49">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20.7</w:t>
            </w:r>
          </w:p>
        </w:tc>
        <w:tc>
          <w:tcPr>
            <w:tcW w:w="1104" w:type="dxa"/>
            <w:shd w:val="clear" w:color="auto" w:fill="FFFFFF" w:themeFill="background1"/>
            <w:vAlign w:val="center"/>
          </w:tcPr>
          <w:p w14:paraId="07A3AAF8" w14:textId="419978D4" w:rsidR="00D95F49" w:rsidRPr="00C43E6D" w:rsidRDefault="00D95F49" w:rsidP="00D95F49">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color w:val="000000"/>
                <w:sz w:val="20"/>
                <w:szCs w:val="20"/>
              </w:rPr>
              <w:t>21.5</w:t>
            </w:r>
          </w:p>
        </w:tc>
        <w:tc>
          <w:tcPr>
            <w:tcW w:w="1057" w:type="dxa"/>
            <w:shd w:val="clear" w:color="auto" w:fill="FFFFFF" w:themeFill="background1"/>
            <w:vAlign w:val="center"/>
          </w:tcPr>
          <w:p w14:paraId="2CE2AC4F" w14:textId="6F7B71E9" w:rsidR="00D95F49" w:rsidRPr="00C43E6D" w:rsidRDefault="00D95F49" w:rsidP="00D95F49">
            <w:pPr>
              <w:spacing w:after="0" w:line="240" w:lineRule="auto"/>
              <w:jc w:val="center"/>
              <w:rPr>
                <w:rFonts w:ascii="Times New Roman" w:eastAsia="Times New Roman" w:hAnsi="Times New Roman" w:cs="Times New Roman"/>
                <w:color w:val="000000"/>
                <w:sz w:val="20"/>
                <w:szCs w:val="20"/>
              </w:rPr>
            </w:pPr>
            <w:r w:rsidRPr="00C43E6D">
              <w:rPr>
                <w:rFonts w:ascii="Times New Roman" w:hAnsi="Times New Roman" w:cs="Times New Roman"/>
                <w:b/>
                <w:bCs/>
                <w:color w:val="000000"/>
                <w:sz w:val="20"/>
                <w:szCs w:val="20"/>
              </w:rPr>
              <w:t>141.6</w:t>
            </w:r>
          </w:p>
        </w:tc>
      </w:tr>
    </w:tbl>
    <w:p w14:paraId="68F7BDD6" w14:textId="77777777" w:rsidR="00C2175D" w:rsidRPr="00C43E6D" w:rsidRDefault="00C2175D" w:rsidP="00AD3333">
      <w:pPr>
        <w:pStyle w:val="cb"/>
        <w:spacing w:after="120"/>
        <w:jc w:val="both"/>
        <w:rPr>
          <w:b w:val="0"/>
          <w:bCs w:val="0"/>
          <w:color w:val="000000" w:themeColor="text1"/>
          <w:lang w:eastAsia="ru-RU"/>
        </w:rPr>
        <w:sectPr w:rsidR="00C2175D" w:rsidRPr="00C43E6D" w:rsidSect="00AD3333">
          <w:pgSz w:w="16840" w:h="11907" w:orient="landscape" w:code="9"/>
          <w:pgMar w:top="720" w:right="562" w:bottom="1008" w:left="1138" w:header="144" w:footer="86" w:gutter="0"/>
          <w:cols w:space="720"/>
          <w:docGrid w:linePitch="360"/>
        </w:sectPr>
      </w:pPr>
    </w:p>
    <w:p w14:paraId="041CEAD4" w14:textId="7AC22668" w:rsidR="0092566D" w:rsidRPr="00C43E6D" w:rsidRDefault="004E1A83" w:rsidP="009140E8">
      <w:pPr>
        <w:pStyle w:val="NormalWeb"/>
        <w:spacing w:before="0" w:after="60" w:line="276" w:lineRule="auto"/>
        <w:ind w:firstLine="540"/>
        <w:jc w:val="both"/>
        <w:rPr>
          <w:lang w:val="ro-MD"/>
        </w:rPr>
      </w:pPr>
      <w:r w:rsidRPr="00C43E6D">
        <w:rPr>
          <w:b/>
          <w:bCs/>
          <w:lang w:val="ro-MD"/>
        </w:rPr>
        <w:lastRenderedPageBreak/>
        <w:t>5</w:t>
      </w:r>
      <w:r w:rsidR="00C958F1">
        <w:rPr>
          <w:b/>
          <w:bCs/>
          <w:lang w:val="ro-MD"/>
        </w:rPr>
        <w:t>4</w:t>
      </w:r>
      <w:r w:rsidR="00C72A00" w:rsidRPr="00C43E6D">
        <w:rPr>
          <w:b/>
          <w:bCs/>
          <w:lang w:val="ro-MD"/>
        </w:rPr>
        <w:t>.</w:t>
      </w:r>
      <w:r w:rsidR="00C72A00" w:rsidRPr="00C43E6D">
        <w:rPr>
          <w:lang w:val="ro-MD"/>
        </w:rPr>
        <w:t xml:space="preserve"> </w:t>
      </w:r>
      <w:r w:rsidR="0092566D" w:rsidRPr="00C43E6D">
        <w:rPr>
          <w:lang w:val="ro-MD"/>
        </w:rPr>
        <w:t>Volumele lunare de gaze naturale prognozate pentru perioada octombrie 202</w:t>
      </w:r>
      <w:r w:rsidR="001B6EA1" w:rsidRPr="00C43E6D">
        <w:rPr>
          <w:lang w:val="ro-MD"/>
        </w:rPr>
        <w:t>5</w:t>
      </w:r>
      <w:r w:rsidR="0092566D" w:rsidRPr="00C43E6D">
        <w:rPr>
          <w:lang w:val="ro-MD"/>
        </w:rPr>
        <w:t xml:space="preserve"> – aprilie 202</w:t>
      </w:r>
      <w:r w:rsidR="001B6EA1" w:rsidRPr="00C43E6D">
        <w:rPr>
          <w:lang w:val="ro-MD"/>
        </w:rPr>
        <w:t>6</w:t>
      </w:r>
      <w:r w:rsidR="0092566D" w:rsidRPr="00C43E6D">
        <w:rPr>
          <w:lang w:val="ro-MD"/>
        </w:rPr>
        <w:t xml:space="preserve"> se bazează pe consumul </w:t>
      </w:r>
      <w:r w:rsidR="00A77B57" w:rsidRPr="00C43E6D">
        <w:rPr>
          <w:lang w:val="ro-MD"/>
        </w:rPr>
        <w:t xml:space="preserve">mediu </w:t>
      </w:r>
      <w:r w:rsidR="0092566D" w:rsidRPr="00C43E6D">
        <w:rPr>
          <w:lang w:val="ro-MD"/>
        </w:rPr>
        <w:t>lunar înregistrat în aceeași perioadă în anii precedenți (201</w:t>
      </w:r>
      <w:r w:rsidR="001B6EA1" w:rsidRPr="00C43E6D">
        <w:rPr>
          <w:lang w:val="ro-MD"/>
        </w:rPr>
        <w:t>8</w:t>
      </w:r>
      <w:r w:rsidR="0092566D" w:rsidRPr="00C43E6D">
        <w:rPr>
          <w:lang w:val="ro-MD"/>
        </w:rPr>
        <w:t>-202</w:t>
      </w:r>
      <w:r w:rsidR="001B6EA1" w:rsidRPr="00C43E6D">
        <w:rPr>
          <w:lang w:val="ro-MD"/>
        </w:rPr>
        <w:t>5</w:t>
      </w:r>
      <w:r w:rsidR="0092566D" w:rsidRPr="00C43E6D">
        <w:rPr>
          <w:lang w:val="ro-MD"/>
        </w:rPr>
        <w:t>), și reprezintă valori estimative</w:t>
      </w:r>
      <w:r w:rsidR="00256A9B" w:rsidRPr="00C43E6D">
        <w:rPr>
          <w:lang w:val="ro-MD"/>
        </w:rPr>
        <w:t>, care pot fi influențate de mai mulți factori</w:t>
      </w:r>
      <w:r w:rsidR="0092566D" w:rsidRPr="00C43E6D">
        <w:rPr>
          <w:lang w:val="ro-MD"/>
        </w:rPr>
        <w:t>.</w:t>
      </w:r>
      <w:r w:rsidR="00082EF6" w:rsidRPr="00C43E6D">
        <w:rPr>
          <w:lang w:val="ro-MD"/>
        </w:rPr>
        <w:t xml:space="preserve"> Cantități</w:t>
      </w:r>
      <w:r w:rsidR="00882303" w:rsidRPr="00C43E6D">
        <w:rPr>
          <w:lang w:val="ro-MD"/>
        </w:rPr>
        <w:t>le</w:t>
      </w:r>
      <w:r w:rsidR="00082EF6" w:rsidRPr="00C43E6D">
        <w:rPr>
          <w:lang w:val="ro-MD"/>
        </w:rPr>
        <w:t xml:space="preserve"> estimate a fi necesare pentru acoperirea consumului de energie electrică și gaze naturale a consumatorilor </w:t>
      </w:r>
      <w:r w:rsidR="007433FF">
        <w:rPr>
          <w:lang w:val="ro-MD"/>
        </w:rPr>
        <w:t>din regiunea transnistreană</w:t>
      </w:r>
      <w:r w:rsidR="00082EF6" w:rsidRPr="00C43E6D">
        <w:rPr>
          <w:lang w:val="ro-MD"/>
        </w:rPr>
        <w:t xml:space="preserve"> nu </w:t>
      </w:r>
      <w:r w:rsidR="00882303" w:rsidRPr="00C43E6D">
        <w:rPr>
          <w:lang w:val="ro-MD"/>
        </w:rPr>
        <w:t>sunt</w:t>
      </w:r>
      <w:r w:rsidR="00082EF6" w:rsidRPr="00C43E6D">
        <w:rPr>
          <w:lang w:val="ro-MD"/>
        </w:rPr>
        <w:t xml:space="preserve"> date oficiale</w:t>
      </w:r>
      <w:r w:rsidR="008A3DB5" w:rsidRPr="00C43E6D">
        <w:rPr>
          <w:lang w:val="ro-MD"/>
        </w:rPr>
        <w:t>, aceste</w:t>
      </w:r>
      <w:r w:rsidR="00DB1F51">
        <w:rPr>
          <w:lang w:val="ro-MD"/>
        </w:rPr>
        <w:t>a</w:t>
      </w:r>
      <w:r w:rsidR="008A3DB5" w:rsidRPr="00C43E6D">
        <w:rPr>
          <w:lang w:val="ro-MD"/>
        </w:rPr>
        <w:t xml:space="preserve"> reprezentând niște </w:t>
      </w:r>
      <w:r w:rsidR="005B41D4" w:rsidRPr="00C43E6D">
        <w:rPr>
          <w:lang w:val="ro-MD"/>
        </w:rPr>
        <w:t>estimări</w:t>
      </w:r>
      <w:r w:rsidR="008A3DB5" w:rsidRPr="00C43E6D">
        <w:rPr>
          <w:lang w:val="ro-MD"/>
        </w:rPr>
        <w:t xml:space="preserve"> </w:t>
      </w:r>
      <w:r w:rsidR="005B41D4" w:rsidRPr="00C43E6D">
        <w:rPr>
          <w:lang w:val="ro-MD"/>
        </w:rPr>
        <w:t>efectuate</w:t>
      </w:r>
      <w:r w:rsidR="008A3DB5" w:rsidRPr="00C43E6D">
        <w:rPr>
          <w:lang w:val="ro-MD"/>
        </w:rPr>
        <w:t xml:space="preserve"> în baza datelor </w:t>
      </w:r>
      <w:r w:rsidR="005B41D4" w:rsidRPr="00C43E6D">
        <w:rPr>
          <w:lang w:val="ro-MD"/>
        </w:rPr>
        <w:t>statistice</w:t>
      </w:r>
      <w:r w:rsidR="008A3DB5" w:rsidRPr="00C43E6D">
        <w:rPr>
          <w:lang w:val="ro-MD"/>
        </w:rPr>
        <w:t xml:space="preserve"> disponibile.</w:t>
      </w:r>
    </w:p>
    <w:p w14:paraId="109077E7" w14:textId="24177C6C" w:rsidR="00A77B57" w:rsidRPr="00C43E6D" w:rsidRDefault="00440999" w:rsidP="009140E8">
      <w:pPr>
        <w:pStyle w:val="NormalWeb"/>
        <w:spacing w:before="0" w:after="60" w:line="276" w:lineRule="auto"/>
        <w:jc w:val="both"/>
        <w:rPr>
          <w:lang w:val="ro-MD"/>
        </w:rPr>
      </w:pPr>
      <w:r w:rsidRPr="00C43E6D">
        <w:rPr>
          <w:lang w:val="ro-MD"/>
        </w:rPr>
        <w:t xml:space="preserve">Totodată, este de remarcat faptul că, prognoza consumului lunar de gaze naturale </w:t>
      </w:r>
      <w:r w:rsidR="00C65F5F" w:rsidRPr="00C43E6D">
        <w:rPr>
          <w:lang w:val="ro-MD"/>
        </w:rPr>
        <w:t>prezentată pentru</w:t>
      </w:r>
      <w:r w:rsidRPr="00C43E6D">
        <w:rPr>
          <w:lang w:val="ro-MD"/>
        </w:rPr>
        <w:t xml:space="preserve"> perioada octombrie 202</w:t>
      </w:r>
      <w:r w:rsidR="001B6EA1" w:rsidRPr="00C43E6D">
        <w:rPr>
          <w:lang w:val="ro-MD"/>
        </w:rPr>
        <w:t>5</w:t>
      </w:r>
      <w:r w:rsidRPr="00C43E6D">
        <w:rPr>
          <w:lang w:val="ro-MD"/>
        </w:rPr>
        <w:t>-aprilie 202</w:t>
      </w:r>
      <w:r w:rsidR="001B6EA1" w:rsidRPr="00C43E6D">
        <w:rPr>
          <w:lang w:val="ro-MD"/>
        </w:rPr>
        <w:t>6 la nivel de țară</w:t>
      </w:r>
      <w:r w:rsidRPr="00C43E6D">
        <w:rPr>
          <w:lang w:val="ro-MD"/>
        </w:rPr>
        <w:t xml:space="preserve"> nu poate servi drept </w:t>
      </w:r>
      <w:r w:rsidR="00BC01F5" w:rsidRPr="00C43E6D">
        <w:rPr>
          <w:lang w:val="ro-MD"/>
        </w:rPr>
        <w:t>reper</w:t>
      </w:r>
      <w:r w:rsidR="005B41D4">
        <w:rPr>
          <w:lang w:val="ro-MD"/>
        </w:rPr>
        <w:t xml:space="preserve"> </w:t>
      </w:r>
      <w:r w:rsidR="005B41D4" w:rsidRPr="00C43E6D">
        <w:rPr>
          <w:lang w:val="ro-MD"/>
        </w:rPr>
        <w:t>unic</w:t>
      </w:r>
      <w:r w:rsidRPr="00C43E6D">
        <w:rPr>
          <w:lang w:val="ro-MD"/>
        </w:rPr>
        <w:t xml:space="preserve"> pentru achizițiile de gaze naturale planificate de titularii de licențe pentru furnizarea gazelor naturale, reieșind din faptul că consumul estimat pentru perioada sezonului de încălzire poate fi influențat de mai mulți factori, cum ar fi: temperatura aerului atmosferic, prețurile de achiziție a gazelor naturale, funcționarea sau nu pe păcură a marilor consumatori de gaze naturale, nivelul prețurilor reglementate și capacitatea de plată a consumatorilor finali</w:t>
      </w:r>
      <w:r w:rsidR="001B6EA1" w:rsidRPr="00C43E6D">
        <w:rPr>
          <w:lang w:val="ro-MD"/>
        </w:rPr>
        <w:t xml:space="preserve">, cota de piață a furnizorilor, </w:t>
      </w:r>
      <w:r w:rsidRPr="00C43E6D">
        <w:rPr>
          <w:lang w:val="ro-MD"/>
        </w:rPr>
        <w:t xml:space="preserve">etc. Astfel, </w:t>
      </w:r>
      <w:r w:rsidR="00BC01F5" w:rsidRPr="00C43E6D">
        <w:rPr>
          <w:lang w:val="ro-MD"/>
        </w:rPr>
        <w:t xml:space="preserve">titularii de licență pentru furnizarea gazelor naturale urmează să-și ajusteze </w:t>
      </w:r>
      <w:r w:rsidR="00A77B57" w:rsidRPr="00C43E6D">
        <w:rPr>
          <w:lang w:val="ro-MD"/>
        </w:rPr>
        <w:t xml:space="preserve">individual </w:t>
      </w:r>
      <w:r w:rsidR="00BC01F5" w:rsidRPr="00C43E6D">
        <w:rPr>
          <w:lang w:val="ro-MD"/>
        </w:rPr>
        <w:t>cel puțin lunar prognoza consumului de gaze naturale pentru următorul sezon de încălzire 202</w:t>
      </w:r>
      <w:r w:rsidR="001B6EA1" w:rsidRPr="00C43E6D">
        <w:rPr>
          <w:lang w:val="ro-MD"/>
        </w:rPr>
        <w:t>5</w:t>
      </w:r>
      <w:r w:rsidR="00BC01F5" w:rsidRPr="00C43E6D">
        <w:rPr>
          <w:lang w:val="ro-MD"/>
        </w:rPr>
        <w:t>-202</w:t>
      </w:r>
      <w:r w:rsidR="001B6EA1" w:rsidRPr="00C43E6D">
        <w:rPr>
          <w:lang w:val="ro-MD"/>
        </w:rPr>
        <w:t>6</w:t>
      </w:r>
      <w:r w:rsidR="00BC01F5" w:rsidRPr="00C43E6D">
        <w:rPr>
          <w:lang w:val="ro-MD"/>
        </w:rPr>
        <w:t xml:space="preserve"> </w:t>
      </w:r>
      <w:r w:rsidRPr="00C43E6D">
        <w:rPr>
          <w:lang w:val="ro-MD"/>
        </w:rPr>
        <w:t>în</w:t>
      </w:r>
      <w:r w:rsidR="005B41D4">
        <w:rPr>
          <w:lang w:val="ro-MD"/>
        </w:rPr>
        <w:t xml:space="preserve"> funcție</w:t>
      </w:r>
      <w:r w:rsidRPr="00C43E6D">
        <w:rPr>
          <w:lang w:val="ro-MD"/>
        </w:rPr>
        <w:t xml:space="preserve"> de evoluția mai multor factori ce pot influența nivelul consumului de gaze naturale al consumatorilor finali.</w:t>
      </w:r>
    </w:p>
    <w:p w14:paraId="3AB629B7" w14:textId="1B683ACB" w:rsidR="005519E2" w:rsidRPr="00B74AD4" w:rsidRDefault="004E1A83" w:rsidP="009140E8">
      <w:pPr>
        <w:pStyle w:val="NormalWeb"/>
        <w:spacing w:before="0" w:after="60" w:line="276" w:lineRule="auto"/>
        <w:ind w:firstLine="540"/>
        <w:jc w:val="both"/>
        <w:rPr>
          <w:lang w:val="en-GB"/>
        </w:rPr>
      </w:pPr>
      <w:r w:rsidRPr="00C43E6D">
        <w:rPr>
          <w:b/>
          <w:bCs/>
          <w:lang w:val="ro-MD"/>
        </w:rPr>
        <w:t>5</w:t>
      </w:r>
      <w:r w:rsidR="00C958F1">
        <w:rPr>
          <w:b/>
          <w:bCs/>
          <w:lang w:val="ro-MD"/>
        </w:rPr>
        <w:t>5</w:t>
      </w:r>
      <w:r w:rsidR="00C72A00" w:rsidRPr="00C43E6D">
        <w:rPr>
          <w:b/>
          <w:bCs/>
          <w:lang w:val="ro-MD"/>
        </w:rPr>
        <w:t>.</w:t>
      </w:r>
      <w:r w:rsidR="00C72A00" w:rsidRPr="00C43E6D">
        <w:rPr>
          <w:lang w:val="ro-MD"/>
        </w:rPr>
        <w:t xml:space="preserve"> </w:t>
      </w:r>
      <w:r w:rsidR="00A42EBB" w:rsidRPr="00C43E6D">
        <w:rPr>
          <w:lang w:val="ro-MD"/>
        </w:rPr>
        <w:t xml:space="preserve">Reieșind din </w:t>
      </w:r>
      <w:r w:rsidR="001B6EA1" w:rsidRPr="00C43E6D">
        <w:rPr>
          <w:lang w:val="ro-MD"/>
        </w:rPr>
        <w:t>situația actuală în sectorul gazelor naturale din Republica Moldova</w:t>
      </w:r>
      <w:r w:rsidR="00A42EBB" w:rsidRPr="00C43E6D">
        <w:rPr>
          <w:lang w:val="ro-MD"/>
        </w:rPr>
        <w:t xml:space="preserve"> se poate conchide că, </w:t>
      </w:r>
      <w:r w:rsidR="00B56987" w:rsidRPr="00C43E6D">
        <w:rPr>
          <w:lang w:val="ro-MD"/>
        </w:rPr>
        <w:t xml:space="preserve">în condițiile în care vor fi realizate toate măsurile </w:t>
      </w:r>
      <w:r w:rsidR="00A77B57" w:rsidRPr="00C43E6D">
        <w:rPr>
          <w:lang w:val="ro-MD"/>
        </w:rPr>
        <w:t>de pregătire pentru sezonul de încălzire 202</w:t>
      </w:r>
      <w:r w:rsidR="001B6EA1" w:rsidRPr="00C43E6D">
        <w:rPr>
          <w:lang w:val="ro-MD"/>
        </w:rPr>
        <w:t>5</w:t>
      </w:r>
      <w:r w:rsidR="00A77B57" w:rsidRPr="00C43E6D">
        <w:rPr>
          <w:lang w:val="ro-MD"/>
        </w:rPr>
        <w:t>-202</w:t>
      </w:r>
      <w:r w:rsidR="001B6EA1" w:rsidRPr="00C43E6D">
        <w:rPr>
          <w:lang w:val="ro-MD"/>
        </w:rPr>
        <w:t>6</w:t>
      </w:r>
      <w:r w:rsidR="00B56987" w:rsidRPr="00C43E6D">
        <w:rPr>
          <w:lang w:val="ro-MD"/>
        </w:rPr>
        <w:t xml:space="preserve"> enumerate în Plan</w:t>
      </w:r>
      <w:r w:rsidR="00A42EBB" w:rsidRPr="00C43E6D">
        <w:rPr>
          <w:lang w:val="ro-MD"/>
        </w:rPr>
        <w:t xml:space="preserve">, </w:t>
      </w:r>
      <w:r w:rsidR="001B6EA1" w:rsidRPr="00C43E6D">
        <w:rPr>
          <w:lang w:val="ro-MD"/>
        </w:rPr>
        <w:t>n</w:t>
      </w:r>
      <w:r w:rsidR="005B41D4">
        <w:rPr>
          <w:lang w:val="ro-MD"/>
        </w:rPr>
        <w:t>u</w:t>
      </w:r>
      <w:r w:rsidR="001B6EA1" w:rsidRPr="00C43E6D">
        <w:rPr>
          <w:lang w:val="ro-MD"/>
        </w:rPr>
        <w:t xml:space="preserve"> se estimează înregistrarea unui deficit de gaze naturale pentru consumatorii malului drept</w:t>
      </w:r>
      <w:r w:rsidR="005B41D4">
        <w:rPr>
          <w:lang w:val="ro-MD"/>
        </w:rPr>
        <w:t xml:space="preserve"> al </w:t>
      </w:r>
      <w:r w:rsidR="007433FF">
        <w:rPr>
          <w:lang w:val="ro-MD"/>
        </w:rPr>
        <w:t xml:space="preserve">râului </w:t>
      </w:r>
      <w:r w:rsidR="005B41D4">
        <w:rPr>
          <w:lang w:val="ro-MD"/>
        </w:rPr>
        <w:t>Nistru</w:t>
      </w:r>
      <w:r w:rsidR="001B6EA1" w:rsidRPr="00C43E6D">
        <w:rPr>
          <w:lang w:val="ro-MD"/>
        </w:rPr>
        <w:t xml:space="preserve">, și respectiv </w:t>
      </w:r>
      <w:r w:rsidR="00B56987" w:rsidRPr="00C43E6D">
        <w:rPr>
          <w:lang w:val="ro-MD"/>
        </w:rPr>
        <w:t xml:space="preserve">nu </w:t>
      </w:r>
      <w:r w:rsidR="00A42EBB" w:rsidRPr="00C43E6D">
        <w:rPr>
          <w:lang w:val="ro-MD"/>
        </w:rPr>
        <w:t xml:space="preserve">va fi necesar </w:t>
      </w:r>
      <w:r w:rsidR="00717824">
        <w:rPr>
          <w:lang w:val="ro-MD"/>
        </w:rPr>
        <w:t xml:space="preserve">de </w:t>
      </w:r>
      <w:r w:rsidR="00A42EBB" w:rsidRPr="00C43E6D">
        <w:rPr>
          <w:lang w:val="ro-MD"/>
        </w:rPr>
        <w:t xml:space="preserve">a </w:t>
      </w:r>
      <w:r w:rsidR="001B6EA1" w:rsidRPr="00C43E6D">
        <w:rPr>
          <w:lang w:val="ro-MD"/>
        </w:rPr>
        <w:t>aplica</w:t>
      </w:r>
      <w:r w:rsidR="00A42EBB" w:rsidRPr="00C43E6D">
        <w:rPr>
          <w:lang w:val="ro-MD"/>
        </w:rPr>
        <w:t xml:space="preserve"> </w:t>
      </w:r>
      <w:r w:rsidR="0063107F" w:rsidRPr="00C43E6D">
        <w:rPr>
          <w:lang w:val="ro-MD"/>
        </w:rPr>
        <w:t>măsur</w:t>
      </w:r>
      <w:r w:rsidR="001B6EA1" w:rsidRPr="00C43E6D">
        <w:rPr>
          <w:lang w:val="ro-MD"/>
        </w:rPr>
        <w:t>i</w:t>
      </w:r>
      <w:r w:rsidR="0063107F" w:rsidRPr="00C43E6D">
        <w:rPr>
          <w:lang w:val="ro-MD"/>
        </w:rPr>
        <w:t xml:space="preserve"> de </w:t>
      </w:r>
      <w:r w:rsidR="00717824">
        <w:rPr>
          <w:lang w:val="ro-MD"/>
        </w:rPr>
        <w:t>întrerupere a livrării gazelor naturale către</w:t>
      </w:r>
      <w:r w:rsidR="0063107F" w:rsidRPr="00C43E6D">
        <w:rPr>
          <w:lang w:val="ro-MD"/>
        </w:rPr>
        <w:t xml:space="preserve"> consumatori</w:t>
      </w:r>
      <w:r w:rsidR="00717824">
        <w:rPr>
          <w:lang w:val="ro-MD"/>
        </w:rPr>
        <w:t>i</w:t>
      </w:r>
      <w:r w:rsidR="0063107F" w:rsidRPr="00C43E6D">
        <w:rPr>
          <w:lang w:val="ro-MD"/>
        </w:rPr>
        <w:t xml:space="preserve"> întreruptibili stabiliți de către operatorii de sistem în conformitate cu prevederile Hotărârii Guvernului </w:t>
      </w:r>
      <w:r w:rsidR="001B6EA1" w:rsidRPr="00C43E6D">
        <w:rPr>
          <w:lang w:val="ro-MD"/>
        </w:rPr>
        <w:t xml:space="preserve">nr. 728/2024 </w:t>
      </w:r>
      <w:r w:rsidR="0063107F" w:rsidRPr="00C43E6D">
        <w:rPr>
          <w:lang w:val="ro-MD"/>
        </w:rPr>
        <w:t xml:space="preserve">pentru aprobarea Regulamentului și Planului de acțiuni pentru situații excepționale </w:t>
      </w:r>
      <w:r w:rsidR="00C91DB5" w:rsidRPr="00C43E6D">
        <w:rPr>
          <w:lang w:val="ro-MD"/>
        </w:rPr>
        <w:t>în sectorul</w:t>
      </w:r>
      <w:r w:rsidR="0063107F" w:rsidRPr="00C43E6D">
        <w:rPr>
          <w:lang w:val="ro-MD"/>
        </w:rPr>
        <w:t xml:space="preserve"> gazelor naturale</w:t>
      </w:r>
      <w:r w:rsidR="00B56987" w:rsidRPr="00C43E6D">
        <w:rPr>
          <w:lang w:val="ro-MD"/>
        </w:rPr>
        <w:t xml:space="preserve">, </w:t>
      </w:r>
      <w:r w:rsidR="00DF7A23" w:rsidRPr="00C43E6D">
        <w:rPr>
          <w:lang w:val="ro-MD"/>
        </w:rPr>
        <w:t>SA „Energocom”</w:t>
      </w:r>
      <w:r w:rsidR="00B56987" w:rsidRPr="00C43E6D">
        <w:rPr>
          <w:lang w:val="ro-MD"/>
        </w:rPr>
        <w:t xml:space="preserve"> având asigurate capacitățile/instrumentele necesare pentru</w:t>
      </w:r>
      <w:r w:rsidR="00A42EBB" w:rsidRPr="00C43E6D">
        <w:rPr>
          <w:lang w:val="ro-MD"/>
        </w:rPr>
        <w:t xml:space="preserve"> procura</w:t>
      </w:r>
      <w:r w:rsidR="00B56987" w:rsidRPr="00C43E6D">
        <w:rPr>
          <w:lang w:val="ro-MD"/>
        </w:rPr>
        <w:t>rea</w:t>
      </w:r>
      <w:r w:rsidR="00C65F5F" w:rsidRPr="00C43E6D">
        <w:rPr>
          <w:lang w:val="ro-MD"/>
        </w:rPr>
        <w:t>, la necesitate, a</w:t>
      </w:r>
      <w:r w:rsidR="00A42EBB" w:rsidRPr="00C43E6D">
        <w:rPr>
          <w:lang w:val="ro-MD"/>
        </w:rPr>
        <w:t xml:space="preserve"> volume</w:t>
      </w:r>
      <w:r w:rsidR="00B56987" w:rsidRPr="00C43E6D">
        <w:rPr>
          <w:lang w:val="ro-MD"/>
        </w:rPr>
        <w:t>lor</w:t>
      </w:r>
      <w:r w:rsidR="00A42EBB" w:rsidRPr="00C43E6D">
        <w:rPr>
          <w:lang w:val="ro-MD"/>
        </w:rPr>
        <w:t xml:space="preserve"> suplimentare de gaze naturale din alte surse sau de pe piața spot pentru acoperirea consumului estimat.</w:t>
      </w:r>
      <w:r w:rsidR="00DB1F51">
        <w:rPr>
          <w:lang w:val="ro-MD"/>
        </w:rPr>
        <w:t xml:space="preserve"> </w:t>
      </w:r>
    </w:p>
    <w:p w14:paraId="253254FC" w14:textId="3487C348" w:rsidR="00882303" w:rsidRDefault="004E1A83" w:rsidP="009140E8">
      <w:pPr>
        <w:pStyle w:val="NormalWeb"/>
        <w:spacing w:before="0" w:after="60" w:line="276" w:lineRule="auto"/>
        <w:ind w:firstLine="540"/>
        <w:jc w:val="both"/>
        <w:rPr>
          <w:lang w:val="ro-MD"/>
        </w:rPr>
      </w:pPr>
      <w:r w:rsidRPr="00C43E6D">
        <w:rPr>
          <w:b/>
          <w:bCs/>
          <w:lang w:val="ro-MD"/>
        </w:rPr>
        <w:t>5</w:t>
      </w:r>
      <w:r w:rsidR="009140E8">
        <w:rPr>
          <w:b/>
          <w:bCs/>
          <w:lang w:val="ro-MD"/>
        </w:rPr>
        <w:t>6</w:t>
      </w:r>
      <w:r w:rsidR="005519E2" w:rsidRPr="00C43E6D">
        <w:rPr>
          <w:b/>
          <w:bCs/>
          <w:lang w:val="ro-MD"/>
        </w:rPr>
        <w:t>.</w:t>
      </w:r>
      <w:r w:rsidR="005519E2" w:rsidRPr="00C43E6D">
        <w:rPr>
          <w:lang w:val="ro-MD"/>
        </w:rPr>
        <w:t xml:space="preserve"> Întru diminuarea riscului iminent de revocare a obligațiilor de serviciu public impuse </w:t>
      </w:r>
      <w:r w:rsidR="00A21E28" w:rsidRPr="00C43E6D">
        <w:rPr>
          <w:lang w:val="ro-MD"/>
        </w:rPr>
        <w:br/>
      </w:r>
      <w:r w:rsidR="005519E2" w:rsidRPr="00C43E6D">
        <w:rPr>
          <w:lang w:val="ro-MD"/>
        </w:rPr>
        <w:t>SA „Moldovagaz” prin Hotărârile ANRE nr. 487/2019 și nr. 578/2024</w:t>
      </w:r>
      <w:r w:rsidR="00A21E28" w:rsidRPr="00C43E6D">
        <w:rPr>
          <w:lang w:val="ro-MD"/>
        </w:rPr>
        <w:t xml:space="preserve"> în cazul retragerii licenței de furnizare a gazelor naturale SA „Moldovagaz” urmare a neîndeplinirii în termen de până la 31 iulie 2025 a procesul de separare a proprietarilor rețelelor de transport a gazelor naturale în conformitate cu condițiile stipulate la art. 28 din Legea nr. 108/2016</w:t>
      </w:r>
      <w:r w:rsidR="00032766" w:rsidRPr="00032766">
        <w:rPr>
          <w:lang w:val="en-GB"/>
        </w:rPr>
        <w:t xml:space="preserve"> </w:t>
      </w:r>
      <w:r w:rsidR="00032766" w:rsidRPr="00032766">
        <w:rPr>
          <w:lang w:val="ro-MD"/>
        </w:rPr>
        <w:t>cu privire la gazele naturale</w:t>
      </w:r>
      <w:r w:rsidR="005519E2" w:rsidRPr="00C43E6D">
        <w:rPr>
          <w:lang w:val="ro-MD"/>
        </w:rPr>
        <w:t xml:space="preserve">, </w:t>
      </w:r>
      <w:r w:rsidR="00A21E28" w:rsidRPr="00C43E6D">
        <w:rPr>
          <w:lang w:val="ro-MD"/>
        </w:rPr>
        <w:t>prin Hotărârea nr. 248 din</w:t>
      </w:r>
      <w:r w:rsidR="005519E2" w:rsidRPr="00C43E6D">
        <w:rPr>
          <w:lang w:val="ro-MD"/>
        </w:rPr>
        <w:t xml:space="preserve"> 23 mai 2025, ANRE a desemnat SA „Energocom” în calitate de furnizor cu obligațiile de serviciu public prevăzute la art. 89 și art. 90 din Legea nr. 108/2016, titular de licență pentru furnizarea gazelor naturale căruia i-a fost impusă </w:t>
      </w:r>
      <w:r w:rsidR="005B41D4" w:rsidRPr="00C43E6D">
        <w:rPr>
          <w:lang w:val="ro-MD"/>
        </w:rPr>
        <w:t>obligația</w:t>
      </w:r>
      <w:r w:rsidR="005519E2" w:rsidRPr="00C43E6D">
        <w:rPr>
          <w:lang w:val="ro-MD"/>
        </w:rPr>
        <w:t xml:space="preserve"> de serviciu public în vederea asigurării </w:t>
      </w:r>
      <w:r w:rsidR="005B41D4" w:rsidRPr="00C43E6D">
        <w:rPr>
          <w:lang w:val="ro-MD"/>
        </w:rPr>
        <w:t>securității</w:t>
      </w:r>
      <w:r w:rsidR="005519E2" w:rsidRPr="00C43E6D">
        <w:rPr>
          <w:lang w:val="ro-MD"/>
        </w:rPr>
        <w:t xml:space="preserve"> aprovizionării cu gaze naturale în situație de urgență în conformitate cu Hotărârile Guvernului nr. 660/2019 și nr. 589/2022. Hotărârea ANRE respectivă urmează a intra în vigoare la data revocării obligațiilor de serviciu public prevăzute de art. 89 și art. 90 din Legea nr. 108/2016 executate de SA „Moldovagaz” în baza Hotărârilor ANRE nr. 487/2019 și nr. 578/2024.</w:t>
      </w:r>
    </w:p>
    <w:p w14:paraId="2D7342DB" w14:textId="04DFBEA4" w:rsidR="00924AF0" w:rsidRPr="00C43E6D" w:rsidRDefault="00924AF0" w:rsidP="009140E8">
      <w:pPr>
        <w:pStyle w:val="NormalWeb"/>
        <w:spacing w:before="0" w:after="60" w:line="276" w:lineRule="auto"/>
        <w:jc w:val="both"/>
        <w:rPr>
          <w:lang w:val="ro-MD"/>
        </w:rPr>
      </w:pPr>
      <w:r w:rsidRPr="000946B2">
        <w:rPr>
          <w:shd w:val="clear" w:color="auto" w:fill="FFFFFF" w:themeFill="background1"/>
          <w:lang w:val="ro-MD"/>
        </w:rPr>
        <w:t>În contextul riscului retragerii licenței de furnizare a gazelor naturale SA „Moldovagaz” în cazul neîndeplinirii în termen de până la 31 iulie 2025 a procesul</w:t>
      </w:r>
      <w:r w:rsidR="0078000B" w:rsidRPr="000946B2">
        <w:rPr>
          <w:shd w:val="clear" w:color="auto" w:fill="FFFFFF" w:themeFill="background1"/>
          <w:lang w:val="ro-MD"/>
        </w:rPr>
        <w:t>ui</w:t>
      </w:r>
      <w:r w:rsidRPr="000946B2">
        <w:rPr>
          <w:shd w:val="clear" w:color="auto" w:fill="FFFFFF" w:themeFill="background1"/>
          <w:lang w:val="ro-MD"/>
        </w:rPr>
        <w:t xml:space="preserve"> de separare a proprietarilor rețelelor de transport a gazelor naturale în conformitate cu condițiile stipulate la art. 28 din Legea nr. 108/2016 cu privire la gazele naturale, precum și ținând cont de situațiile excepționale în sectorul energetic create urmare a deciziilor SAP „Gazprom” de a limita și </w:t>
      </w:r>
      <w:r w:rsidR="00830FE9" w:rsidRPr="000946B2">
        <w:rPr>
          <w:shd w:val="clear" w:color="auto" w:fill="FFFFFF" w:themeFill="background1"/>
          <w:lang w:val="ro-MD"/>
        </w:rPr>
        <w:t xml:space="preserve">ulterior de a sista </w:t>
      </w:r>
      <w:r w:rsidRPr="000946B2">
        <w:rPr>
          <w:shd w:val="clear" w:color="auto" w:fill="FFFFFF" w:themeFill="background1"/>
          <w:lang w:val="ro-MD"/>
        </w:rPr>
        <w:t xml:space="preserve">începând cu 1 ianuarie 2025 livrările de gaze naturale către Republica Moldova, în perioada sezonului de încălzire 2025-2026 </w:t>
      </w:r>
      <w:r w:rsidRPr="000946B2">
        <w:rPr>
          <w:color w:val="000000" w:themeColor="text1"/>
          <w:shd w:val="clear" w:color="auto" w:fill="FFFFFF" w:themeFill="background1"/>
          <w:lang w:val="ro-MD"/>
        </w:rPr>
        <w:t xml:space="preserve">nu există premise </w:t>
      </w:r>
      <w:r w:rsidRPr="000946B2">
        <w:rPr>
          <w:shd w:val="clear" w:color="auto" w:fill="FFFFFF" w:themeFill="background1"/>
          <w:lang w:val="ro-MD"/>
        </w:rPr>
        <w:t xml:space="preserve">de a fi </w:t>
      </w:r>
      <w:r w:rsidR="00DC70F5" w:rsidRPr="000946B2">
        <w:rPr>
          <w:shd w:val="clear" w:color="auto" w:fill="FFFFFF" w:themeFill="background1"/>
          <w:lang w:val="ro-MD"/>
        </w:rPr>
        <w:t xml:space="preserve">reluat </w:t>
      </w:r>
      <w:r w:rsidRPr="000946B2">
        <w:rPr>
          <w:shd w:val="clear" w:color="auto" w:fill="FFFFFF" w:themeFill="background1"/>
          <w:lang w:val="ro-MD"/>
        </w:rPr>
        <w:t>import</w:t>
      </w:r>
      <w:r w:rsidR="00DC70F5" w:rsidRPr="000946B2">
        <w:rPr>
          <w:shd w:val="clear" w:color="auto" w:fill="FFFFFF" w:themeFill="background1"/>
          <w:lang w:val="ro-MD"/>
        </w:rPr>
        <w:t>ul de</w:t>
      </w:r>
      <w:r w:rsidRPr="000946B2">
        <w:rPr>
          <w:shd w:val="clear" w:color="auto" w:fill="FFFFFF" w:themeFill="background1"/>
          <w:lang w:val="ro-MD"/>
        </w:rPr>
        <w:t xml:space="preserve"> gaze naturale în baza Contractul</w:t>
      </w:r>
      <w:r w:rsidR="00DC70F5" w:rsidRPr="000946B2">
        <w:rPr>
          <w:shd w:val="clear" w:color="auto" w:fill="FFFFFF" w:themeFill="background1"/>
          <w:lang w:val="ro-MD"/>
        </w:rPr>
        <w:t>ui</w:t>
      </w:r>
      <w:r w:rsidRPr="000946B2">
        <w:rPr>
          <w:shd w:val="clear" w:color="auto" w:fill="FFFFFF" w:themeFill="background1"/>
          <w:lang w:val="ro-MD"/>
        </w:rPr>
        <w:t xml:space="preserve"> privind furnizarea gazelor naturale nr. 1ГM-07-11 din 29 decembrie 2006 încheiat între SA „Moldovagaz” și SAP „Gazprom”</w:t>
      </w:r>
      <w:r w:rsidRPr="000946B2">
        <w:rPr>
          <w:shd w:val="clear" w:color="auto" w:fill="FFFFFF" w:themeFill="background1"/>
          <w:lang w:val="en-GB"/>
        </w:rPr>
        <w:t>.</w:t>
      </w:r>
    </w:p>
    <w:p w14:paraId="04662447" w14:textId="1E07CF3D" w:rsidR="00E0079D" w:rsidRPr="00C43E6D" w:rsidRDefault="004E1A83" w:rsidP="009140E8">
      <w:pPr>
        <w:pStyle w:val="NormalWeb"/>
        <w:spacing w:before="0" w:after="60" w:line="276" w:lineRule="auto"/>
        <w:ind w:firstLine="547"/>
        <w:jc w:val="both"/>
        <w:rPr>
          <w:lang w:val="ro-MD"/>
        </w:rPr>
      </w:pPr>
      <w:r w:rsidRPr="00C43E6D">
        <w:rPr>
          <w:b/>
          <w:bCs/>
          <w:lang w:val="ro-MD"/>
        </w:rPr>
        <w:lastRenderedPageBreak/>
        <w:t>5</w:t>
      </w:r>
      <w:r w:rsidR="009140E8">
        <w:rPr>
          <w:b/>
          <w:bCs/>
          <w:lang w:val="ro-MD"/>
        </w:rPr>
        <w:t>7</w:t>
      </w:r>
      <w:r w:rsidR="00A21E28" w:rsidRPr="00C43E6D">
        <w:rPr>
          <w:b/>
          <w:bCs/>
          <w:lang w:val="ro-MD"/>
        </w:rPr>
        <w:t>.</w:t>
      </w:r>
      <w:r w:rsidR="00A21E28" w:rsidRPr="00C43E6D">
        <w:rPr>
          <w:lang w:val="ro-MD"/>
        </w:rPr>
        <w:t xml:space="preserve"> Sistarea furnizării gazelor naturale către regiunea transnistreană a Republicii Moldova de către SAP „Gazprom”, în baza Contractului existent privind furnizarea gazelor naturale încheiat între </w:t>
      </w:r>
      <w:r w:rsidR="00B74AD4">
        <w:rPr>
          <w:lang w:val="ro-MD"/>
        </w:rPr>
        <w:br/>
      </w:r>
      <w:r w:rsidR="00A21E28" w:rsidRPr="00C43E6D">
        <w:rPr>
          <w:lang w:val="ro-MD"/>
        </w:rPr>
        <w:t xml:space="preserve">SA „Moldovagaz” și SAP „Gazprom”, a </w:t>
      </w:r>
      <w:r w:rsidR="000946B2">
        <w:rPr>
          <w:lang w:val="ro-MD"/>
        </w:rPr>
        <w:t>condus la</w:t>
      </w:r>
      <w:r w:rsidR="00A21E28" w:rsidRPr="00C43E6D">
        <w:rPr>
          <w:lang w:val="ro-MD"/>
        </w:rPr>
        <w:t xml:space="preserve"> </w:t>
      </w:r>
      <w:r w:rsidR="000946B2">
        <w:rPr>
          <w:lang w:val="ro-MD"/>
        </w:rPr>
        <w:t>o situație critică</w:t>
      </w:r>
      <w:r w:rsidR="00A21E28" w:rsidRPr="00C43E6D">
        <w:rPr>
          <w:lang w:val="ro-MD"/>
        </w:rPr>
        <w:t xml:space="preserve"> în regiunea transnistreană a Republicii Moldova, precum și riscuri majore pentru asigurarea</w:t>
      </w:r>
      <w:r w:rsidR="00465B65">
        <w:rPr>
          <w:lang w:val="ro-MD"/>
        </w:rPr>
        <w:t xml:space="preserve"> funcționării fiabile a</w:t>
      </w:r>
      <w:r w:rsidR="00A21E28" w:rsidRPr="00C43E6D">
        <w:rPr>
          <w:lang w:val="ro-MD"/>
        </w:rPr>
        <w:t xml:space="preserve"> sectorului electroenergetic pe întreg teritoriul </w:t>
      </w:r>
      <w:r w:rsidR="00A21E28" w:rsidRPr="00465B65">
        <w:rPr>
          <w:lang w:val="ro-MD"/>
        </w:rPr>
        <w:t>Republicii Moldova.</w:t>
      </w:r>
    </w:p>
    <w:p w14:paraId="77E85321" w14:textId="409D71F6" w:rsidR="00AA1CB8" w:rsidRPr="005103E9" w:rsidRDefault="004E1A83" w:rsidP="005103E9">
      <w:pPr>
        <w:pStyle w:val="NormalWeb"/>
        <w:shd w:val="clear" w:color="auto" w:fill="FFFFFF" w:themeFill="background1"/>
        <w:spacing w:before="0" w:after="60" w:line="276" w:lineRule="auto"/>
        <w:ind w:firstLine="547"/>
        <w:jc w:val="both"/>
        <w:rPr>
          <w:lang w:val="ro-MD"/>
        </w:rPr>
      </w:pPr>
      <w:r w:rsidRPr="00C43E6D">
        <w:rPr>
          <w:b/>
          <w:bCs/>
          <w:lang w:val="ro-MD"/>
        </w:rPr>
        <w:t>5</w:t>
      </w:r>
      <w:r w:rsidR="009140E8">
        <w:rPr>
          <w:b/>
          <w:bCs/>
          <w:lang w:val="ro-MD"/>
        </w:rPr>
        <w:t>8</w:t>
      </w:r>
      <w:r w:rsidR="00AA1CB8" w:rsidRPr="00C43E6D">
        <w:rPr>
          <w:b/>
          <w:bCs/>
          <w:lang w:val="ro-MD"/>
        </w:rPr>
        <w:t>.</w:t>
      </w:r>
      <w:r w:rsidR="00AA1CB8" w:rsidRPr="00C43E6D">
        <w:rPr>
          <w:lang w:val="ro-MD"/>
        </w:rPr>
        <w:t xml:space="preserve"> </w:t>
      </w:r>
      <w:r w:rsidR="0061281B">
        <w:rPr>
          <w:lang w:val="ro-MD"/>
        </w:rPr>
        <w:t>Î</w:t>
      </w:r>
      <w:r w:rsidR="00AA1CB8" w:rsidRPr="00C43E6D">
        <w:rPr>
          <w:lang w:val="ro-MD"/>
        </w:rPr>
        <w:t xml:space="preserve">ncepând cu luna </w:t>
      </w:r>
      <w:r w:rsidR="005B41D4" w:rsidRPr="00C43E6D">
        <w:rPr>
          <w:lang w:val="ro-MD"/>
        </w:rPr>
        <w:t>februarie</w:t>
      </w:r>
      <w:r w:rsidR="00AA1CB8" w:rsidRPr="00C43E6D">
        <w:rPr>
          <w:lang w:val="ro-MD"/>
        </w:rPr>
        <w:t xml:space="preserve"> 2025</w:t>
      </w:r>
      <w:r w:rsidR="00465B65">
        <w:rPr>
          <w:lang w:val="ro-MD"/>
        </w:rPr>
        <w:t>,</w:t>
      </w:r>
      <w:r w:rsidR="00E0079D" w:rsidRPr="00C43E6D">
        <w:rPr>
          <w:lang w:val="ro-MD"/>
        </w:rPr>
        <w:t xml:space="preserve"> livrarea gazelor naturale către </w:t>
      </w:r>
      <w:r w:rsidR="007433FF">
        <w:rPr>
          <w:lang w:val="ro-MD"/>
        </w:rPr>
        <w:t>regiunea transnistreană</w:t>
      </w:r>
      <w:r w:rsidR="007433FF" w:rsidRPr="00C43E6D">
        <w:rPr>
          <w:lang w:val="ro-MD"/>
        </w:rPr>
        <w:t xml:space="preserve"> </w:t>
      </w:r>
      <w:r w:rsidR="00AA1CB8" w:rsidRPr="00C43E6D">
        <w:rPr>
          <w:lang w:val="ro-MD"/>
        </w:rPr>
        <w:t xml:space="preserve">este asigurat </w:t>
      </w:r>
      <w:r w:rsidR="00E0079D" w:rsidRPr="00C43E6D">
        <w:rPr>
          <w:lang w:val="ro-MD"/>
        </w:rPr>
        <w:t>prin intermediul</w:t>
      </w:r>
      <w:r w:rsidR="00AA1CB8" w:rsidRPr="00C43E6D">
        <w:rPr>
          <w:lang w:val="ro-MD"/>
        </w:rPr>
        <w:t xml:space="preserve"> contractelor-cadrul încheiate de SA „Moldovagaz” cu compania MET Gas and Energy Marketing AG</w:t>
      </w:r>
      <w:r w:rsidR="00E0079D" w:rsidRPr="00C43E6D">
        <w:rPr>
          <w:lang w:val="ro-MD"/>
        </w:rPr>
        <w:t xml:space="preserve">, cu condiția respectării prevederilor Dispoziției </w:t>
      </w:r>
      <w:r w:rsidR="005B41D4" w:rsidRPr="00C43E6D">
        <w:rPr>
          <w:lang w:val="ro-MD"/>
        </w:rPr>
        <w:t>Comisei</w:t>
      </w:r>
      <w:r w:rsidR="00E0079D" w:rsidRPr="00C43E6D">
        <w:rPr>
          <w:lang w:val="ro-MD"/>
        </w:rPr>
        <w:t xml:space="preserve"> pentru Situații Excepționale a Republicii Moldova nr. 8 din 10 februarie 2025, care stabilește că, în vederea asigurării livrării de gaze naturale către regiunea transnistreană a Republicii Moldova ca urmare a stopării livrărilor de către </w:t>
      </w:r>
      <w:r w:rsidR="00B74AD4">
        <w:rPr>
          <w:lang w:val="ro-MD"/>
        </w:rPr>
        <w:br/>
      </w:r>
      <w:r w:rsidR="00E0079D" w:rsidRPr="00C43E6D">
        <w:rPr>
          <w:lang w:val="ro-MD"/>
        </w:rPr>
        <w:t>SAP ,,Gazprom”, prin derogare de la art. 13 alin. (2) din Legea nr. 108/2016 cu privire la gazele naturale și de la normele privind aprobarea deciziilor de către consiliu și/sau de către adunarea generală a acționarilor, SA ,,Moldovagaz” poate încheia contracte de vânzare-cumpărare a gazelor naturale pentru a fi livrate către SRL ,,Tiraspoltransgaz”, cu condiția recepționării plăților în avans pentru gazele naturale și serviciile de transport.</w:t>
      </w:r>
      <w:r w:rsidR="00AA1CB8" w:rsidRPr="00C43E6D">
        <w:rPr>
          <w:lang w:val="ro-MD"/>
        </w:rPr>
        <w:t xml:space="preserve"> </w:t>
      </w:r>
      <w:r w:rsidR="000946B2" w:rsidRPr="005103E9">
        <w:rPr>
          <w:lang w:val="ro-MD"/>
        </w:rPr>
        <w:t>Cu toate că</w:t>
      </w:r>
      <w:r w:rsidR="00E0079D" w:rsidRPr="005103E9">
        <w:rPr>
          <w:lang w:val="ro-MD"/>
        </w:rPr>
        <w:t xml:space="preserve"> acest mecanism este în prezent funcțional, </w:t>
      </w:r>
      <w:bookmarkStart w:id="13" w:name="_Hlk203033479"/>
      <w:r w:rsidR="00E0079D" w:rsidRPr="005103E9">
        <w:rPr>
          <w:lang w:val="ro-MD"/>
        </w:rPr>
        <w:t xml:space="preserve">având în vedere </w:t>
      </w:r>
      <w:r w:rsidR="008A3275" w:rsidRPr="005103E9">
        <w:rPr>
          <w:lang w:val="ro-MD"/>
        </w:rPr>
        <w:t>sursele de</w:t>
      </w:r>
      <w:r w:rsidR="00E0079D" w:rsidRPr="005103E9">
        <w:rPr>
          <w:lang w:val="ro-MD"/>
        </w:rPr>
        <w:t xml:space="preserve"> finanțare a livrări</w:t>
      </w:r>
      <w:r w:rsidR="00717824" w:rsidRPr="005103E9">
        <w:rPr>
          <w:lang w:val="ro-MD"/>
        </w:rPr>
        <w:t>i</w:t>
      </w:r>
      <w:r w:rsidR="00E0079D" w:rsidRPr="005103E9">
        <w:rPr>
          <w:lang w:val="ro-MD"/>
        </w:rPr>
        <w:t xml:space="preserve"> gaze</w:t>
      </w:r>
      <w:r w:rsidR="00717824" w:rsidRPr="005103E9">
        <w:rPr>
          <w:lang w:val="ro-MD"/>
        </w:rPr>
        <w:t>lor</w:t>
      </w:r>
      <w:r w:rsidR="00E0079D" w:rsidRPr="005103E9">
        <w:rPr>
          <w:lang w:val="ro-MD"/>
        </w:rPr>
        <w:t xml:space="preserve"> naturale către </w:t>
      </w:r>
      <w:r w:rsidR="007433FF">
        <w:rPr>
          <w:lang w:val="ro-MD"/>
        </w:rPr>
        <w:t>regiunea transnistreană</w:t>
      </w:r>
      <w:r w:rsidR="00E0079D" w:rsidRPr="005103E9">
        <w:rPr>
          <w:lang w:val="ro-MD"/>
        </w:rPr>
        <w:t xml:space="preserve">, </w:t>
      </w:r>
      <w:r w:rsidR="00E04696" w:rsidRPr="005103E9">
        <w:rPr>
          <w:lang w:val="ro-MD"/>
        </w:rPr>
        <w:t>sunt în continuare</w:t>
      </w:r>
      <w:r w:rsidR="00E0079D" w:rsidRPr="005103E9">
        <w:rPr>
          <w:lang w:val="ro-MD"/>
        </w:rPr>
        <w:t xml:space="preserve"> riscuri </w:t>
      </w:r>
      <w:r w:rsidR="00E04696" w:rsidRPr="005103E9">
        <w:rPr>
          <w:lang w:val="ro-MD"/>
        </w:rPr>
        <w:t>de</w:t>
      </w:r>
      <w:r w:rsidR="00E0079D" w:rsidRPr="005103E9">
        <w:rPr>
          <w:lang w:val="ro-MD"/>
        </w:rPr>
        <w:t xml:space="preserve"> întreruper</w:t>
      </w:r>
      <w:r w:rsidR="00E04696" w:rsidRPr="005103E9">
        <w:rPr>
          <w:lang w:val="ro-MD"/>
        </w:rPr>
        <w:t>e</w:t>
      </w:r>
      <w:r w:rsidR="00E0079D" w:rsidRPr="005103E9">
        <w:rPr>
          <w:lang w:val="ro-MD"/>
        </w:rPr>
        <w:t xml:space="preserve"> neașteptat</w:t>
      </w:r>
      <w:r w:rsidR="00E04696" w:rsidRPr="005103E9">
        <w:rPr>
          <w:lang w:val="ro-MD"/>
        </w:rPr>
        <w:t>ă</w:t>
      </w:r>
      <w:r w:rsidR="00E0079D" w:rsidRPr="005103E9">
        <w:rPr>
          <w:lang w:val="ro-MD"/>
        </w:rPr>
        <w:t xml:space="preserve"> a livrărilor de gaze naturale către </w:t>
      </w:r>
      <w:r w:rsidR="00A37AAB" w:rsidRPr="005103E9">
        <w:rPr>
          <w:lang w:val="ro-MD"/>
        </w:rPr>
        <w:t xml:space="preserve">regiunea transnistreană </w:t>
      </w:r>
      <w:r w:rsidR="00E0079D" w:rsidRPr="005103E9">
        <w:rPr>
          <w:lang w:val="ro-MD"/>
        </w:rPr>
        <w:t xml:space="preserve">pe parcursul anului, </w:t>
      </w:r>
      <w:r w:rsidR="00E04696" w:rsidRPr="005103E9">
        <w:rPr>
          <w:lang w:val="ro-MD"/>
        </w:rPr>
        <w:t xml:space="preserve">riscuri </w:t>
      </w:r>
      <w:r w:rsidR="00E0079D" w:rsidRPr="005103E9">
        <w:rPr>
          <w:lang w:val="ro-MD"/>
        </w:rPr>
        <w:t>care ar putea crea dezechilibre ma</w:t>
      </w:r>
      <w:r w:rsidR="00AA1CB8" w:rsidRPr="005103E9">
        <w:rPr>
          <w:lang w:val="ro-MD"/>
        </w:rPr>
        <w:t xml:space="preserve">jore </w:t>
      </w:r>
      <w:r w:rsidR="00E04696" w:rsidRPr="005103E9">
        <w:rPr>
          <w:lang w:val="ro-MD"/>
        </w:rPr>
        <w:t xml:space="preserve">atât în sistemul de gaze naturale, cât și </w:t>
      </w:r>
      <w:r w:rsidR="00E0079D" w:rsidRPr="005103E9">
        <w:rPr>
          <w:lang w:val="ro-MD"/>
        </w:rPr>
        <w:t xml:space="preserve">în sistemul electroenergetic al Republicii Moldova. </w:t>
      </w:r>
    </w:p>
    <w:bookmarkEnd w:id="13"/>
    <w:p w14:paraId="315509B4" w14:textId="4104CBF2" w:rsidR="00D97864" w:rsidRPr="00C43E6D" w:rsidRDefault="009140E8" w:rsidP="005103E9">
      <w:pPr>
        <w:pStyle w:val="NormalWeb"/>
        <w:shd w:val="clear" w:color="auto" w:fill="FFFFFF" w:themeFill="background1"/>
        <w:spacing w:before="0" w:after="60" w:line="276" w:lineRule="auto"/>
        <w:ind w:firstLine="547"/>
        <w:jc w:val="both"/>
        <w:rPr>
          <w:lang w:val="ro-MD"/>
        </w:rPr>
      </w:pPr>
      <w:r w:rsidRPr="005103E9">
        <w:rPr>
          <w:b/>
          <w:bCs/>
          <w:lang w:val="ro-MD"/>
        </w:rPr>
        <w:t>59</w:t>
      </w:r>
      <w:r w:rsidR="00AA1CB8" w:rsidRPr="005103E9">
        <w:rPr>
          <w:b/>
          <w:bCs/>
          <w:lang w:val="ro-MD"/>
        </w:rPr>
        <w:t>.</w:t>
      </w:r>
      <w:r w:rsidR="00AA1CB8" w:rsidRPr="005103E9">
        <w:rPr>
          <w:lang w:val="ro-MD"/>
        </w:rPr>
        <w:t xml:space="preserve"> </w:t>
      </w:r>
      <w:r w:rsidR="00E0079D" w:rsidRPr="005103E9">
        <w:rPr>
          <w:lang w:val="ro-MD"/>
        </w:rPr>
        <w:t xml:space="preserve">Chiar dacă infrastructura </w:t>
      </w:r>
      <w:r w:rsidR="00717824" w:rsidRPr="005103E9">
        <w:rPr>
          <w:lang w:val="ro-MD"/>
        </w:rPr>
        <w:t xml:space="preserve">existentă </w:t>
      </w:r>
      <w:r w:rsidR="00E0079D" w:rsidRPr="005103E9">
        <w:rPr>
          <w:lang w:val="ro-MD"/>
        </w:rPr>
        <w:t xml:space="preserve">de transport </w:t>
      </w:r>
      <w:r w:rsidR="00A37AAB" w:rsidRPr="005103E9">
        <w:rPr>
          <w:lang w:val="ro-MD"/>
        </w:rPr>
        <w:t xml:space="preserve">a </w:t>
      </w:r>
      <w:r w:rsidR="00E0079D" w:rsidRPr="005103E9">
        <w:rPr>
          <w:lang w:val="ro-MD"/>
        </w:rPr>
        <w:t>gaze</w:t>
      </w:r>
      <w:r w:rsidR="00A37AAB" w:rsidRPr="005103E9">
        <w:rPr>
          <w:lang w:val="ro-MD"/>
        </w:rPr>
        <w:t>lor</w:t>
      </w:r>
      <w:r w:rsidR="00E0079D" w:rsidRPr="005103E9">
        <w:rPr>
          <w:lang w:val="ro-MD"/>
        </w:rPr>
        <w:t xml:space="preserve"> naturale permite asigurarea transportului de gaze naturale necesar pentru acoperirea consumului Republicii Moldova, există riscuri privind capacitatea consumatorilor </w:t>
      </w:r>
      <w:r w:rsidR="007433FF">
        <w:rPr>
          <w:lang w:val="ro-MD"/>
        </w:rPr>
        <w:t>din regiunea transnistreană</w:t>
      </w:r>
      <w:r w:rsidR="007433FF" w:rsidRPr="005103E9">
        <w:rPr>
          <w:lang w:val="ro-MD"/>
        </w:rPr>
        <w:t xml:space="preserve"> </w:t>
      </w:r>
      <w:r w:rsidR="00E0079D" w:rsidRPr="005103E9">
        <w:rPr>
          <w:lang w:val="ro-MD"/>
        </w:rPr>
        <w:t xml:space="preserve">de a achiziționa gaze naturale la prețuri de piață. </w:t>
      </w:r>
      <w:r w:rsidR="00E0079D" w:rsidRPr="00C43E6D">
        <w:rPr>
          <w:lang w:val="ro-MD"/>
        </w:rPr>
        <w:t>Conform modificări</w:t>
      </w:r>
      <w:r w:rsidR="003E77A0">
        <w:rPr>
          <w:lang w:val="ro-MD"/>
        </w:rPr>
        <w:t>lor</w:t>
      </w:r>
      <w:r w:rsidR="00E0079D" w:rsidRPr="00C43E6D">
        <w:rPr>
          <w:lang w:val="ro-MD"/>
        </w:rPr>
        <w:t xml:space="preserve"> efectuate la Legea nr. 108/2016 cu privire la gazele naturale</w:t>
      </w:r>
      <w:r w:rsidR="003E77A0">
        <w:rPr>
          <w:lang w:val="ro-MD"/>
        </w:rPr>
        <w:t xml:space="preserve"> prin Legea nr. 152/2025 </w:t>
      </w:r>
      <w:r w:rsidR="003E77A0" w:rsidRPr="003E77A0">
        <w:rPr>
          <w:lang w:val="ro-MD"/>
        </w:rPr>
        <w:t>cu privire la modificarea unor acte normative (securitatea aprovizionării cu gaze naturale și alte aspecte ce țin de sectorul gazelor naturale)</w:t>
      </w:r>
      <w:r w:rsidR="00E0079D" w:rsidRPr="00C43E6D">
        <w:rPr>
          <w:lang w:val="ro-MD"/>
        </w:rPr>
        <w:t xml:space="preserve">, entitatea de aprovizionare cu gaze naturale </w:t>
      </w:r>
      <w:r w:rsidR="0083382A">
        <w:rPr>
          <w:lang w:val="ro-MD"/>
        </w:rPr>
        <w:t xml:space="preserve">a regiunii transnistrene </w:t>
      </w:r>
      <w:r w:rsidR="00E0079D" w:rsidRPr="00C43E6D">
        <w:rPr>
          <w:lang w:val="ro-MD"/>
        </w:rPr>
        <w:t>prevăzută la art. 85</w:t>
      </w:r>
      <w:r w:rsidR="00E0079D" w:rsidRPr="00C43E6D">
        <w:rPr>
          <w:vertAlign w:val="superscript"/>
          <w:lang w:val="ro-MD"/>
        </w:rPr>
        <w:t>1</w:t>
      </w:r>
      <w:r w:rsidR="00E0079D" w:rsidRPr="00C43E6D">
        <w:rPr>
          <w:lang w:val="ro-MD"/>
        </w:rPr>
        <w:t xml:space="preserve"> alin. (1) din Legea nr. 108/2016 urmează să asigure livrarea gazelor naturale către regiunea transnistreană a Republicii Moldova pentru acoperirea consumului consumatorilor </w:t>
      </w:r>
      <w:r w:rsidR="007433FF">
        <w:rPr>
          <w:lang w:val="ro-MD"/>
        </w:rPr>
        <w:t>din regiunea transnistreană</w:t>
      </w:r>
      <w:r w:rsidR="00E0079D" w:rsidRPr="00C43E6D">
        <w:rPr>
          <w:lang w:val="ro-MD"/>
        </w:rPr>
        <w:t>.</w:t>
      </w:r>
      <w:bookmarkStart w:id="14" w:name="_Hlk172188407"/>
      <w:bookmarkStart w:id="15" w:name="_Hlk172188550"/>
    </w:p>
    <w:p w14:paraId="12A9F0EC" w14:textId="7AC4B21C" w:rsidR="00F85F80" w:rsidRDefault="004E1A83" w:rsidP="009140E8">
      <w:pPr>
        <w:pStyle w:val="NormalWeb"/>
        <w:spacing w:before="0" w:after="60" w:line="276" w:lineRule="auto"/>
        <w:ind w:firstLine="547"/>
        <w:jc w:val="both"/>
        <w:rPr>
          <w:lang w:val="ro-MD"/>
        </w:rPr>
      </w:pPr>
      <w:r w:rsidRPr="00C43E6D">
        <w:rPr>
          <w:b/>
          <w:bCs/>
          <w:lang w:val="ro-MD"/>
        </w:rPr>
        <w:t>6</w:t>
      </w:r>
      <w:r w:rsidR="009140E8">
        <w:rPr>
          <w:b/>
          <w:bCs/>
          <w:lang w:val="ro-MD"/>
        </w:rPr>
        <w:t>0</w:t>
      </w:r>
      <w:r w:rsidR="00C72A00" w:rsidRPr="00C43E6D">
        <w:rPr>
          <w:b/>
          <w:bCs/>
          <w:lang w:val="ro-MD"/>
        </w:rPr>
        <w:t>.</w:t>
      </w:r>
      <w:r w:rsidR="00C72A00" w:rsidRPr="00C43E6D">
        <w:rPr>
          <w:lang w:val="ro-MD"/>
        </w:rPr>
        <w:t xml:space="preserve"> </w:t>
      </w:r>
      <w:r w:rsidR="0092464C" w:rsidRPr="00C43E6D">
        <w:rPr>
          <w:lang w:val="ro-MD"/>
        </w:rPr>
        <w:t>Referitor la sectorul electroenergetic, în perioada 2022-2024, achizițiile de energie electrică pentru necesitățile furnizorilor serviciului universal, de ultimă opțiune și operatorilor de sistem au fost efectuate de către SA „Energocom” în baza obligației de serviciu public impuse prin Hotărârea Guvernului nr. 1059/2023 cu privire la impunerea obligației de serviciu public în vederea asigurării securității aprovizionării cu energie electrică, cea mai mare pondere fiind asigurată de la MGRES în baza contractului valabil până la 31 decembrie 2024.</w:t>
      </w:r>
      <w:r w:rsidR="00A21E28" w:rsidRPr="00C43E6D">
        <w:rPr>
          <w:lang w:val="ro-MD"/>
        </w:rPr>
        <w:t xml:space="preserve"> </w:t>
      </w:r>
      <w:r w:rsidR="00F85F80">
        <w:rPr>
          <w:lang w:val="ro-MD"/>
        </w:rPr>
        <w:t>Î</w:t>
      </w:r>
      <w:r w:rsidR="00F85F80" w:rsidRPr="00F85F80">
        <w:rPr>
          <w:lang w:val="ro-MD"/>
        </w:rPr>
        <w:t xml:space="preserve">ncepând cu 1 ianuarie 2025, urmare a stopării livrărilor de gaze naturale de către SAP „Gazprom”, MGRES nu mai produce energie electrică pentru malul drept al </w:t>
      </w:r>
      <w:r w:rsidR="007433FF">
        <w:rPr>
          <w:lang w:val="ro-MD"/>
        </w:rPr>
        <w:t xml:space="preserve">râului </w:t>
      </w:r>
      <w:r w:rsidR="00F85F80" w:rsidRPr="00F85F80">
        <w:rPr>
          <w:lang w:val="ro-MD"/>
        </w:rPr>
        <w:t>Nistru.</w:t>
      </w:r>
    </w:p>
    <w:p w14:paraId="26AF590F" w14:textId="7114FF7C" w:rsidR="002761D4" w:rsidRPr="00C43E6D" w:rsidRDefault="00E04696" w:rsidP="00E04696">
      <w:pPr>
        <w:pStyle w:val="NormalWeb"/>
        <w:shd w:val="clear" w:color="auto" w:fill="FFFFFF" w:themeFill="background1"/>
        <w:spacing w:before="0" w:after="60" w:line="276" w:lineRule="auto"/>
        <w:jc w:val="both"/>
        <w:rPr>
          <w:lang w:val="ro-MD"/>
        </w:rPr>
      </w:pPr>
      <w:r w:rsidRPr="00E04696">
        <w:rPr>
          <w:lang w:val="ro-MD"/>
        </w:rPr>
        <w:t xml:space="preserve">Obligația de serviciu public impusă SA „Energocom” în baza Hotărârii Guvernului nr. 1059/2023 </w:t>
      </w:r>
      <w:r>
        <w:rPr>
          <w:lang w:val="ro-MD"/>
        </w:rPr>
        <w:t>în scopul protejării consumatorilor de energie electrică,</w:t>
      </w:r>
      <w:r w:rsidRPr="00E04696">
        <w:rPr>
          <w:lang w:val="ro-MD"/>
        </w:rPr>
        <w:t xml:space="preserve"> expiră la 31 decembrie 2025</w:t>
      </w:r>
      <w:r>
        <w:rPr>
          <w:lang w:val="ro-MD"/>
        </w:rPr>
        <w:t xml:space="preserve">. </w:t>
      </w:r>
      <w:r w:rsidR="00A21E28" w:rsidRPr="00C43E6D">
        <w:rPr>
          <w:lang w:val="ro-MD"/>
        </w:rPr>
        <w:t xml:space="preserve">În acest context, </w:t>
      </w:r>
      <w:r w:rsidR="002761D4">
        <w:rPr>
          <w:lang w:val="ro-MD"/>
        </w:rPr>
        <w:t>precum și ț</w:t>
      </w:r>
      <w:r w:rsidR="002761D4" w:rsidRPr="002761D4">
        <w:rPr>
          <w:lang w:val="ro-MD"/>
        </w:rPr>
        <w:t xml:space="preserve">inând cont de vulnerabilitățile existente în Republica Moldova, situația de război în </w:t>
      </w:r>
      <w:r w:rsidR="003F2561">
        <w:rPr>
          <w:lang w:val="ro-MD"/>
        </w:rPr>
        <w:t>Ucraina</w:t>
      </w:r>
      <w:r w:rsidR="002761D4" w:rsidRPr="002761D4">
        <w:rPr>
          <w:lang w:val="ro-MD"/>
        </w:rPr>
        <w:t xml:space="preserve"> parte contractantă a Comunității Energetice, stabilitatea prețurilor la nivel regional</w:t>
      </w:r>
      <w:r w:rsidR="002761D4">
        <w:rPr>
          <w:lang w:val="ro-MD"/>
        </w:rPr>
        <w:t xml:space="preserve">, urmează a </w:t>
      </w:r>
      <w:r w:rsidR="002761D4" w:rsidRPr="002761D4">
        <w:rPr>
          <w:lang w:val="ro-MD"/>
        </w:rPr>
        <w:t>fi lans</w:t>
      </w:r>
      <w:r w:rsidR="002761D4">
        <w:rPr>
          <w:lang w:val="ro-MD"/>
        </w:rPr>
        <w:t>a</w:t>
      </w:r>
      <w:r w:rsidR="00DF1862">
        <w:rPr>
          <w:lang w:val="ro-MD"/>
        </w:rPr>
        <w:t>te</w:t>
      </w:r>
      <w:r w:rsidR="002761D4" w:rsidRPr="002761D4">
        <w:rPr>
          <w:lang w:val="ro-MD"/>
        </w:rPr>
        <w:t xml:space="preserve"> procedur</w:t>
      </w:r>
      <w:r w:rsidR="002761D4">
        <w:rPr>
          <w:lang w:val="ro-MD"/>
        </w:rPr>
        <w:t>i</w:t>
      </w:r>
      <w:r w:rsidR="00DF1862">
        <w:rPr>
          <w:lang w:val="ro-MD"/>
        </w:rPr>
        <w:t>le</w:t>
      </w:r>
      <w:r w:rsidR="002761D4" w:rsidRPr="002761D4">
        <w:rPr>
          <w:lang w:val="ro-MD"/>
        </w:rPr>
        <w:t xml:space="preserve"> anual</w:t>
      </w:r>
      <w:r w:rsidR="002761D4">
        <w:rPr>
          <w:lang w:val="ro-MD"/>
        </w:rPr>
        <w:t>e</w:t>
      </w:r>
      <w:r w:rsidR="002761D4" w:rsidRPr="002761D4">
        <w:rPr>
          <w:lang w:val="ro-MD"/>
        </w:rPr>
        <w:t xml:space="preserve"> de achiziție a energiei electrice printr-un proces de licitație competitiv, respectând principiile transparenței și nediscriminării și în conformitate cu prevederile actelor normative în vigoare, inclusiv prevederile Regulilor pieței de energie electrică aprobate prin Hotărârea ANRE nr. 283/2020 (Anexa nr. 1 la Regulile pieței de energie electrică).</w:t>
      </w:r>
    </w:p>
    <w:p w14:paraId="777B6E89" w14:textId="5B85953F" w:rsidR="00484F97" w:rsidRPr="00E04696" w:rsidRDefault="004E1A83" w:rsidP="00E04696">
      <w:pPr>
        <w:pStyle w:val="NormalWeb"/>
        <w:spacing w:before="0" w:after="60" w:line="276" w:lineRule="auto"/>
        <w:ind w:firstLine="547"/>
        <w:jc w:val="both"/>
        <w:rPr>
          <w:color w:val="000000"/>
          <w:lang w:val="en-GB"/>
        </w:rPr>
      </w:pPr>
      <w:r w:rsidRPr="00C43E6D">
        <w:rPr>
          <w:b/>
          <w:bCs/>
          <w:lang w:val="ro-MD"/>
        </w:rPr>
        <w:t>6</w:t>
      </w:r>
      <w:r w:rsidR="009140E8">
        <w:rPr>
          <w:b/>
          <w:bCs/>
          <w:lang w:val="ro-MD"/>
        </w:rPr>
        <w:t>1</w:t>
      </w:r>
      <w:r w:rsidR="0092464C" w:rsidRPr="00C43E6D">
        <w:rPr>
          <w:b/>
          <w:bCs/>
          <w:lang w:val="ro-MD"/>
        </w:rPr>
        <w:t>.</w:t>
      </w:r>
      <w:r w:rsidR="0092464C" w:rsidRPr="00C43E6D">
        <w:rPr>
          <w:lang w:val="ro-MD"/>
        </w:rPr>
        <w:t xml:space="preserve"> </w:t>
      </w:r>
      <w:r w:rsidR="00A21E28" w:rsidRPr="00C43E6D">
        <w:rPr>
          <w:lang w:val="ro-MD" w:eastAsia="ru-RU"/>
        </w:rPr>
        <w:t>Luând în considerare riscurile care se mențin în privința securității aprovizionării cu gaze naturale a regiunii transnistrene a Republicii Moldova și în privința asigurării stabilității sectorului electroenergetic al Republicii Moldova, s</w:t>
      </w:r>
      <w:r w:rsidR="00E04696">
        <w:rPr>
          <w:lang w:val="ro-MD" w:eastAsia="ru-RU"/>
        </w:rPr>
        <w:t>-a</w:t>
      </w:r>
      <w:r w:rsidR="00A21E28" w:rsidRPr="00C43E6D">
        <w:rPr>
          <w:lang w:val="ro-MD" w:eastAsia="ru-RU"/>
        </w:rPr>
        <w:t xml:space="preserve"> impu</w:t>
      </w:r>
      <w:r w:rsidR="00E04696">
        <w:rPr>
          <w:lang w:val="ro-MD" w:eastAsia="ru-RU"/>
        </w:rPr>
        <w:t>s</w:t>
      </w:r>
      <w:r w:rsidR="00A21E28" w:rsidRPr="00C43E6D">
        <w:rPr>
          <w:lang w:val="ro-MD" w:eastAsia="ru-RU"/>
        </w:rPr>
        <w:t xml:space="preserve"> elaborarea unui plan de măsuri care să asigure îmbunătățirea rezilienței </w:t>
      </w:r>
      <w:r w:rsidR="00A21E28" w:rsidRPr="00C43E6D">
        <w:rPr>
          <w:lang w:val="ro-MD" w:eastAsia="ru-RU"/>
        </w:rPr>
        <w:lastRenderedPageBreak/>
        <w:t>și securității energetice prin investiții și reforme în sectorul energetic și prin eliminarea completă a dependenței în aprovizionarea cu resurse energetice dintr-o singură sursă.</w:t>
      </w:r>
      <w:r w:rsidR="00E04696" w:rsidRPr="00E04696">
        <w:rPr>
          <w:color w:val="000000"/>
          <w:lang w:val="en-GB"/>
        </w:rPr>
        <w:t xml:space="preserve"> </w:t>
      </w:r>
      <w:r w:rsidR="00E04696" w:rsidRPr="00E04696">
        <w:rPr>
          <w:color w:val="000000"/>
          <w:lang w:val="ro-MD"/>
        </w:rPr>
        <w:t>Astfel, prin Hotărârea Guvernului nr. 119/2025 a fost aprobat Planul de măsuri privind consolidarea independenței energetice a Republicii Moldova.</w:t>
      </w:r>
    </w:p>
    <w:p w14:paraId="319EF2E7" w14:textId="73653C4E" w:rsidR="00A6403F" w:rsidRPr="00C43E6D" w:rsidRDefault="004E1A83" w:rsidP="009140E8">
      <w:pPr>
        <w:pStyle w:val="NormalWeb"/>
        <w:spacing w:before="0" w:after="60" w:line="276" w:lineRule="auto"/>
        <w:ind w:firstLine="547"/>
        <w:jc w:val="both"/>
        <w:rPr>
          <w:lang w:val="ro-MD"/>
        </w:rPr>
      </w:pPr>
      <w:r w:rsidRPr="00C43E6D">
        <w:rPr>
          <w:b/>
          <w:bCs/>
          <w:lang w:val="ro-MD"/>
        </w:rPr>
        <w:t>6</w:t>
      </w:r>
      <w:r w:rsidR="009140E8">
        <w:rPr>
          <w:b/>
          <w:bCs/>
          <w:lang w:val="ro-MD"/>
        </w:rPr>
        <w:t>2</w:t>
      </w:r>
      <w:bookmarkStart w:id="16" w:name="_Hlk203032119"/>
      <w:r w:rsidR="00C72A00" w:rsidRPr="00C43E6D">
        <w:rPr>
          <w:b/>
          <w:bCs/>
          <w:lang w:val="ro-MD"/>
        </w:rPr>
        <w:t>.</w:t>
      </w:r>
      <w:r w:rsidR="00C72A00" w:rsidRPr="00C43E6D">
        <w:rPr>
          <w:lang w:val="ro-MD"/>
        </w:rPr>
        <w:t xml:space="preserve"> </w:t>
      </w:r>
      <w:bookmarkStart w:id="17" w:name="_Hlk203032529"/>
      <w:r w:rsidR="00A6403F" w:rsidRPr="00C43E6D">
        <w:rPr>
          <w:lang w:val="ro-MD"/>
        </w:rPr>
        <w:t xml:space="preserve">Întreruperea furnizării gazelor naturale către regiunea transnistreană a accentuat riscurile privind asigurarea </w:t>
      </w:r>
      <w:r w:rsidR="00A37AAB">
        <w:rPr>
          <w:lang w:val="ro-MD"/>
        </w:rPr>
        <w:t>fiabilității</w:t>
      </w:r>
      <w:r w:rsidR="00A37AAB" w:rsidRPr="00C43E6D">
        <w:rPr>
          <w:lang w:val="ro-MD"/>
        </w:rPr>
        <w:t xml:space="preserve"> </w:t>
      </w:r>
      <w:r w:rsidR="00A6403F" w:rsidRPr="00C43E6D">
        <w:rPr>
          <w:lang w:val="ro-MD"/>
        </w:rPr>
        <w:t xml:space="preserve">sectorului electroenergetic pe întreg teritoriul Republicii Moldova. </w:t>
      </w:r>
      <w:r w:rsidR="00A6403F" w:rsidRPr="00F85F80">
        <w:rPr>
          <w:lang w:val="ro-MD"/>
        </w:rPr>
        <w:t>Dependența ridicată de MGRES implică vulnerabilități majore în contextul sistării livrărilor de gaze naturale către centrala electrică începând cu 1 ianuarie 2025</w:t>
      </w:r>
      <w:bookmarkEnd w:id="16"/>
      <w:bookmarkEnd w:id="17"/>
      <w:r w:rsidR="00A6403F" w:rsidRPr="00F85F80">
        <w:rPr>
          <w:lang w:val="ro-MD"/>
        </w:rPr>
        <w:t>.</w:t>
      </w:r>
      <w:r w:rsidR="00F85F80" w:rsidRPr="00F85F80">
        <w:rPr>
          <w:lang w:val="ro-MD"/>
        </w:rPr>
        <w:t xml:space="preserve"> </w:t>
      </w:r>
      <w:r w:rsidR="00A6403F" w:rsidRPr="00F85F80">
        <w:rPr>
          <w:lang w:val="ro-MD"/>
        </w:rPr>
        <w:t>Astfel, în lipsa cantităților de energie electrică achiziționate de la MGRES,</w:t>
      </w:r>
      <w:r w:rsidR="00A6403F" w:rsidRPr="00C43E6D">
        <w:rPr>
          <w:lang w:val="ro-MD"/>
        </w:rPr>
        <w:t xml:space="preserve"> aprovizionarea cu energie electrică a Republicii Moldova depinde direct de importurile din zona de ofertare a sistemului sincron al Europei Continentale (ENTSO-E), în special din România.</w:t>
      </w:r>
    </w:p>
    <w:p w14:paraId="0B2E7B13" w14:textId="3AF517A2" w:rsidR="00A6403F" w:rsidRDefault="004E1A83" w:rsidP="009140E8">
      <w:pPr>
        <w:pStyle w:val="NormalWeb"/>
        <w:spacing w:before="0" w:after="60" w:line="276" w:lineRule="auto"/>
        <w:ind w:firstLine="547"/>
        <w:jc w:val="both"/>
        <w:rPr>
          <w:lang w:val="ro-MD"/>
        </w:rPr>
      </w:pPr>
      <w:r w:rsidRPr="00C43E6D">
        <w:rPr>
          <w:b/>
          <w:bCs/>
          <w:lang w:val="ro-MD"/>
        </w:rPr>
        <w:t>6</w:t>
      </w:r>
      <w:r w:rsidR="009140E8">
        <w:rPr>
          <w:b/>
          <w:bCs/>
          <w:lang w:val="ro-MD"/>
        </w:rPr>
        <w:t>3</w:t>
      </w:r>
      <w:r w:rsidR="00A6403F" w:rsidRPr="00C43E6D">
        <w:rPr>
          <w:b/>
          <w:bCs/>
          <w:lang w:val="ro-MD"/>
        </w:rPr>
        <w:t>.</w:t>
      </w:r>
      <w:r w:rsidR="00A6403F" w:rsidRPr="00C43E6D">
        <w:rPr>
          <w:lang w:val="ro-MD"/>
        </w:rPr>
        <w:t xml:space="preserve"> Un al element de vulnerabilitate este constituit din faptul că linia electrică aeriană (LEA) 400 kV Isaccea-Vulcănești-MGRES traversează atât teritoriul Ucrainei, cât și stația electrică de pe teritoriul </w:t>
      </w:r>
      <w:r w:rsidR="00F539B8">
        <w:rPr>
          <w:lang w:val="ro-MD"/>
        </w:rPr>
        <w:t>MGRES</w:t>
      </w:r>
      <w:r w:rsidR="00A6403F" w:rsidRPr="00C43E6D">
        <w:rPr>
          <w:lang w:val="ro-MD"/>
        </w:rPr>
        <w:t xml:space="preserve"> aflate în regiunea transnistreană</w:t>
      </w:r>
      <w:r w:rsidR="00F539B8">
        <w:rPr>
          <w:lang w:val="ro-MD"/>
        </w:rPr>
        <w:t xml:space="preserve"> a Republicii Moldova</w:t>
      </w:r>
      <w:r w:rsidR="00A6403F" w:rsidRPr="00C43E6D">
        <w:rPr>
          <w:lang w:val="ro-MD"/>
        </w:rPr>
        <w:t xml:space="preserve">. Prin urmare, acesta reprezintă un element suplimentar de vulnerabilitate, existând riscul întreruperii fluxului de energie electrică de către MGRES. În cazul în care LEA 400 kV </w:t>
      </w:r>
      <w:r w:rsidR="004656DF" w:rsidRPr="00C43E6D">
        <w:rPr>
          <w:lang w:val="ro-MD"/>
        </w:rPr>
        <w:t xml:space="preserve">Isaccea-Vulcănești </w:t>
      </w:r>
      <w:r w:rsidR="00A6403F" w:rsidRPr="00C43E6D">
        <w:rPr>
          <w:lang w:val="ro-MD"/>
        </w:rPr>
        <w:t xml:space="preserve">va fi avariată, în special din cauza unor bombardamente, Republica Moldova nu va mai putea importa </w:t>
      </w:r>
      <w:r w:rsidR="005103E9">
        <w:rPr>
          <w:lang w:val="ro-MD"/>
        </w:rPr>
        <w:t xml:space="preserve">direct </w:t>
      </w:r>
      <w:r w:rsidR="00A6403F" w:rsidRPr="00C43E6D">
        <w:rPr>
          <w:lang w:val="ro-MD"/>
        </w:rPr>
        <w:t>energie electrică din România, fapt care ar determina un deficit de circa 50% din toată cantitatea necesară în perioada sezonului de încălzire.</w:t>
      </w:r>
      <w:r w:rsidR="008A3275">
        <w:rPr>
          <w:lang w:val="ro-MD"/>
        </w:rPr>
        <w:t xml:space="preserve"> Astfel, construcția și darea în exploatare a </w:t>
      </w:r>
      <w:r w:rsidR="008A3275" w:rsidRPr="00C43E6D">
        <w:rPr>
          <w:lang w:val="ro-MD"/>
        </w:rPr>
        <w:t xml:space="preserve">LEA 400 kV </w:t>
      </w:r>
      <w:r w:rsidR="004656DF" w:rsidRPr="004656DF">
        <w:rPr>
          <w:lang w:val="ro-MD"/>
        </w:rPr>
        <w:t>Vulcănești-Chișinău</w:t>
      </w:r>
      <w:r w:rsidR="004656DF">
        <w:rPr>
          <w:lang w:val="ro-MD"/>
        </w:rPr>
        <w:t xml:space="preserve"> </w:t>
      </w:r>
      <w:r w:rsidR="008A3275">
        <w:rPr>
          <w:lang w:val="ro-MD"/>
        </w:rPr>
        <w:t>reprezintă o prioritate pentru asigurarea securității energetice a țării, construcția acesteia fiind planificată a fi realizată până la sfârșitul anului 2025.</w:t>
      </w:r>
    </w:p>
    <w:p w14:paraId="526117C6" w14:textId="2734759E" w:rsidR="00F85F80" w:rsidRDefault="00F85F80" w:rsidP="009140E8">
      <w:pPr>
        <w:pStyle w:val="NormalWeb"/>
        <w:spacing w:before="0" w:after="60" w:line="276" w:lineRule="auto"/>
        <w:jc w:val="both"/>
        <w:rPr>
          <w:lang w:val="ro-MD"/>
        </w:rPr>
      </w:pPr>
    </w:p>
    <w:p w14:paraId="229107F1" w14:textId="6A87CBFA" w:rsidR="009140E8" w:rsidRDefault="009140E8" w:rsidP="009140E8">
      <w:pPr>
        <w:pStyle w:val="NormalWeb"/>
        <w:spacing w:before="0" w:after="60" w:line="276" w:lineRule="auto"/>
        <w:jc w:val="both"/>
        <w:rPr>
          <w:lang w:val="ro-MD"/>
        </w:rPr>
      </w:pPr>
    </w:p>
    <w:p w14:paraId="76A93605" w14:textId="28A7B976" w:rsidR="009140E8" w:rsidRDefault="009140E8" w:rsidP="009140E8">
      <w:pPr>
        <w:pStyle w:val="NormalWeb"/>
        <w:spacing w:before="0" w:after="60" w:line="276" w:lineRule="auto"/>
        <w:jc w:val="both"/>
        <w:rPr>
          <w:lang w:val="ro-MD"/>
        </w:rPr>
      </w:pPr>
    </w:p>
    <w:p w14:paraId="4582A761" w14:textId="5749FBB6" w:rsidR="009140E8" w:rsidRDefault="009140E8" w:rsidP="009140E8">
      <w:pPr>
        <w:pStyle w:val="NormalWeb"/>
        <w:spacing w:before="0" w:after="60" w:line="276" w:lineRule="auto"/>
        <w:jc w:val="both"/>
        <w:rPr>
          <w:lang w:val="ro-MD"/>
        </w:rPr>
      </w:pPr>
    </w:p>
    <w:p w14:paraId="4C4A4E82" w14:textId="5D754D2B" w:rsidR="009140E8" w:rsidRDefault="009140E8" w:rsidP="009140E8">
      <w:pPr>
        <w:pStyle w:val="NormalWeb"/>
        <w:spacing w:before="0" w:after="60" w:line="276" w:lineRule="auto"/>
        <w:jc w:val="both"/>
        <w:rPr>
          <w:lang w:val="ro-MD"/>
        </w:rPr>
      </w:pPr>
    </w:p>
    <w:p w14:paraId="781E4B80" w14:textId="7F8834F6" w:rsidR="009140E8" w:rsidRDefault="009140E8" w:rsidP="009140E8">
      <w:pPr>
        <w:pStyle w:val="NormalWeb"/>
        <w:spacing w:before="0" w:after="60" w:line="276" w:lineRule="auto"/>
        <w:jc w:val="both"/>
        <w:rPr>
          <w:lang w:val="ro-MD"/>
        </w:rPr>
      </w:pPr>
    </w:p>
    <w:p w14:paraId="2764C1B9" w14:textId="2A941DC0" w:rsidR="009140E8" w:rsidRDefault="009140E8" w:rsidP="009140E8">
      <w:pPr>
        <w:pStyle w:val="NormalWeb"/>
        <w:spacing w:before="0" w:after="60" w:line="276" w:lineRule="auto"/>
        <w:jc w:val="both"/>
        <w:rPr>
          <w:lang w:val="ro-MD"/>
        </w:rPr>
      </w:pPr>
    </w:p>
    <w:p w14:paraId="0F4613D6" w14:textId="69243662" w:rsidR="009140E8" w:rsidRDefault="009140E8" w:rsidP="009140E8">
      <w:pPr>
        <w:pStyle w:val="NormalWeb"/>
        <w:spacing w:before="0" w:after="60" w:line="276" w:lineRule="auto"/>
        <w:jc w:val="both"/>
        <w:rPr>
          <w:lang w:val="ro-MD"/>
        </w:rPr>
      </w:pPr>
    </w:p>
    <w:p w14:paraId="2D4729C4" w14:textId="03C1FF19" w:rsidR="009140E8" w:rsidRDefault="009140E8" w:rsidP="009140E8">
      <w:pPr>
        <w:pStyle w:val="NormalWeb"/>
        <w:spacing w:before="0" w:after="60" w:line="276" w:lineRule="auto"/>
        <w:jc w:val="both"/>
        <w:rPr>
          <w:lang w:val="ro-MD"/>
        </w:rPr>
      </w:pPr>
    </w:p>
    <w:p w14:paraId="44640D64" w14:textId="6E58394A" w:rsidR="009140E8" w:rsidRDefault="009140E8" w:rsidP="009140E8">
      <w:pPr>
        <w:pStyle w:val="NormalWeb"/>
        <w:spacing w:before="0" w:after="60" w:line="276" w:lineRule="auto"/>
        <w:jc w:val="both"/>
        <w:rPr>
          <w:lang w:val="ro-MD"/>
        </w:rPr>
      </w:pPr>
    </w:p>
    <w:p w14:paraId="499ABE39" w14:textId="6E2D464C" w:rsidR="009140E8" w:rsidRDefault="009140E8" w:rsidP="009140E8">
      <w:pPr>
        <w:pStyle w:val="NormalWeb"/>
        <w:spacing w:before="0" w:after="60" w:line="276" w:lineRule="auto"/>
        <w:jc w:val="both"/>
        <w:rPr>
          <w:lang w:val="ro-MD"/>
        </w:rPr>
      </w:pPr>
    </w:p>
    <w:p w14:paraId="59EEC3CD" w14:textId="71733EBE" w:rsidR="009140E8" w:rsidRDefault="009140E8" w:rsidP="009140E8">
      <w:pPr>
        <w:pStyle w:val="NormalWeb"/>
        <w:spacing w:before="0" w:after="60" w:line="276" w:lineRule="auto"/>
        <w:jc w:val="both"/>
        <w:rPr>
          <w:lang w:val="ro-MD"/>
        </w:rPr>
      </w:pPr>
    </w:p>
    <w:p w14:paraId="6D3AF781" w14:textId="50D622B8" w:rsidR="009140E8" w:rsidRDefault="009140E8" w:rsidP="009140E8">
      <w:pPr>
        <w:pStyle w:val="NormalWeb"/>
        <w:spacing w:before="0" w:after="60" w:line="276" w:lineRule="auto"/>
        <w:jc w:val="both"/>
        <w:rPr>
          <w:lang w:val="ro-MD"/>
        </w:rPr>
      </w:pPr>
    </w:p>
    <w:p w14:paraId="41FEC5EF" w14:textId="00A1B2FF" w:rsidR="009140E8" w:rsidRDefault="009140E8" w:rsidP="009140E8">
      <w:pPr>
        <w:pStyle w:val="NormalWeb"/>
        <w:spacing w:before="0" w:after="60" w:line="276" w:lineRule="auto"/>
        <w:jc w:val="both"/>
        <w:rPr>
          <w:lang w:val="ro-MD"/>
        </w:rPr>
      </w:pPr>
    </w:p>
    <w:p w14:paraId="565C82E1" w14:textId="54C185BE" w:rsidR="009140E8" w:rsidRDefault="009140E8" w:rsidP="009140E8">
      <w:pPr>
        <w:pStyle w:val="NormalWeb"/>
        <w:spacing w:before="0" w:after="60" w:line="276" w:lineRule="auto"/>
        <w:jc w:val="both"/>
        <w:rPr>
          <w:lang w:val="ro-MD"/>
        </w:rPr>
      </w:pPr>
    </w:p>
    <w:p w14:paraId="1F34AFDA" w14:textId="0D12375D" w:rsidR="009140E8" w:rsidRDefault="009140E8" w:rsidP="009140E8">
      <w:pPr>
        <w:pStyle w:val="NormalWeb"/>
        <w:spacing w:before="0" w:after="60" w:line="276" w:lineRule="auto"/>
        <w:jc w:val="both"/>
        <w:rPr>
          <w:lang w:val="ro-MD"/>
        </w:rPr>
      </w:pPr>
    </w:p>
    <w:p w14:paraId="0EE29C2B" w14:textId="651EE53B" w:rsidR="009140E8" w:rsidRDefault="009140E8" w:rsidP="009140E8">
      <w:pPr>
        <w:pStyle w:val="NormalWeb"/>
        <w:spacing w:before="0" w:after="60" w:line="276" w:lineRule="auto"/>
        <w:jc w:val="both"/>
        <w:rPr>
          <w:lang w:val="ro-MD"/>
        </w:rPr>
      </w:pPr>
    </w:p>
    <w:p w14:paraId="6D4CEA10" w14:textId="282CABCC" w:rsidR="009140E8" w:rsidRDefault="009140E8" w:rsidP="009140E8">
      <w:pPr>
        <w:pStyle w:val="NormalWeb"/>
        <w:spacing w:before="0" w:after="60" w:line="276" w:lineRule="auto"/>
        <w:jc w:val="both"/>
        <w:rPr>
          <w:lang w:val="ro-MD"/>
        </w:rPr>
      </w:pPr>
    </w:p>
    <w:p w14:paraId="54C78601" w14:textId="733D1CF6" w:rsidR="009140E8" w:rsidRDefault="009140E8" w:rsidP="009140E8">
      <w:pPr>
        <w:pStyle w:val="NormalWeb"/>
        <w:spacing w:before="0" w:after="60" w:line="276" w:lineRule="auto"/>
        <w:jc w:val="both"/>
        <w:rPr>
          <w:lang w:val="ro-MD"/>
        </w:rPr>
      </w:pPr>
    </w:p>
    <w:p w14:paraId="0A8CFDBC" w14:textId="5AEB654E" w:rsidR="009140E8" w:rsidRDefault="009140E8" w:rsidP="009140E8">
      <w:pPr>
        <w:pStyle w:val="NormalWeb"/>
        <w:spacing w:before="0" w:after="60" w:line="276" w:lineRule="auto"/>
        <w:jc w:val="both"/>
        <w:rPr>
          <w:lang w:val="ro-MD"/>
        </w:rPr>
      </w:pPr>
    </w:p>
    <w:p w14:paraId="139A40CC" w14:textId="0FDE0AB1" w:rsidR="009140E8" w:rsidRDefault="009140E8" w:rsidP="009140E8">
      <w:pPr>
        <w:pStyle w:val="NormalWeb"/>
        <w:spacing w:before="0" w:after="60" w:line="276" w:lineRule="auto"/>
        <w:jc w:val="both"/>
        <w:rPr>
          <w:lang w:val="ro-MD"/>
        </w:rPr>
      </w:pPr>
    </w:p>
    <w:p w14:paraId="544CD22F" w14:textId="5A3DE488" w:rsidR="009140E8" w:rsidRDefault="009140E8" w:rsidP="009140E8">
      <w:pPr>
        <w:pStyle w:val="NormalWeb"/>
        <w:spacing w:before="0" w:after="60" w:line="276" w:lineRule="auto"/>
        <w:jc w:val="both"/>
        <w:rPr>
          <w:lang w:val="ro-MD"/>
        </w:rPr>
      </w:pPr>
    </w:p>
    <w:p w14:paraId="13751DEF" w14:textId="36BA2793" w:rsidR="009140E8" w:rsidRDefault="009140E8" w:rsidP="009140E8">
      <w:pPr>
        <w:pStyle w:val="NormalWeb"/>
        <w:spacing w:before="0" w:after="60" w:line="276" w:lineRule="auto"/>
        <w:jc w:val="both"/>
        <w:rPr>
          <w:lang w:val="ro-MD"/>
        </w:rPr>
      </w:pPr>
    </w:p>
    <w:bookmarkEnd w:id="14"/>
    <w:bookmarkEnd w:id="15"/>
    <w:p w14:paraId="7F68B88A" w14:textId="3AA11AD3" w:rsidR="00A42EBB" w:rsidRPr="00C43E6D" w:rsidRDefault="006E474B" w:rsidP="009140E8">
      <w:pPr>
        <w:pStyle w:val="cb"/>
        <w:spacing w:after="120" w:line="276" w:lineRule="auto"/>
        <w:ind w:left="709"/>
      </w:pPr>
      <w:r w:rsidRPr="00C43E6D">
        <w:lastRenderedPageBreak/>
        <w:t>III</w:t>
      </w:r>
      <w:r w:rsidR="00A82787" w:rsidRPr="00C43E6D">
        <w:t xml:space="preserve">. </w:t>
      </w:r>
      <w:r w:rsidR="00A42EBB" w:rsidRPr="00C43E6D">
        <w:t xml:space="preserve">MĂSURI </w:t>
      </w:r>
      <w:bookmarkStart w:id="18" w:name="_Hlk171059937"/>
      <w:r w:rsidR="00100DBB" w:rsidRPr="00C43E6D">
        <w:t>DE PREGĂTIRE PENTRU SEZONUL DE ÎNCĂLZIRE 202</w:t>
      </w:r>
      <w:r w:rsidR="00F26557" w:rsidRPr="00C43E6D">
        <w:t>5</w:t>
      </w:r>
      <w:r w:rsidR="00100DBB" w:rsidRPr="00C43E6D">
        <w:t>-202</w:t>
      </w:r>
      <w:bookmarkEnd w:id="18"/>
      <w:r w:rsidR="00F26557" w:rsidRPr="00C43E6D">
        <w:t>6</w:t>
      </w:r>
    </w:p>
    <w:p w14:paraId="587C2B1E" w14:textId="774B9982" w:rsidR="00581508" w:rsidRPr="00C43E6D" w:rsidRDefault="004E1A83" w:rsidP="009140E8">
      <w:pPr>
        <w:pStyle w:val="NormalWeb"/>
        <w:spacing w:before="0" w:after="60" w:line="276" w:lineRule="auto"/>
        <w:ind w:firstLine="540"/>
        <w:jc w:val="both"/>
        <w:rPr>
          <w:lang w:val="ro-MD"/>
        </w:rPr>
      </w:pPr>
      <w:r w:rsidRPr="00C43E6D">
        <w:rPr>
          <w:b/>
          <w:bCs/>
          <w:lang w:val="ro-MD"/>
        </w:rPr>
        <w:t>6</w:t>
      </w:r>
      <w:r w:rsidR="009140E8">
        <w:rPr>
          <w:b/>
          <w:bCs/>
          <w:lang w:val="ro-MD"/>
        </w:rPr>
        <w:t>4</w:t>
      </w:r>
      <w:r w:rsidR="00C72A00" w:rsidRPr="00C43E6D">
        <w:rPr>
          <w:b/>
          <w:bCs/>
          <w:lang w:val="ro-MD"/>
        </w:rPr>
        <w:t>.</w:t>
      </w:r>
      <w:r w:rsidR="00C72A00" w:rsidRPr="00C43E6D">
        <w:rPr>
          <w:lang w:val="ro-MD"/>
        </w:rPr>
        <w:t xml:space="preserve"> </w:t>
      </w:r>
      <w:r w:rsidR="00581508" w:rsidRPr="00C43E6D">
        <w:rPr>
          <w:lang w:val="ro-MD"/>
        </w:rPr>
        <w:t>În scopul întreprinderii pașilor necesari pentru punerea în aplicare a măsurilor de pregătire pentru sezonul de încălzire 202</w:t>
      </w:r>
      <w:r w:rsidR="00F26557" w:rsidRPr="00C43E6D">
        <w:rPr>
          <w:lang w:val="ro-MD"/>
        </w:rPr>
        <w:t>5</w:t>
      </w:r>
      <w:r w:rsidR="00581508" w:rsidRPr="00C43E6D">
        <w:rPr>
          <w:lang w:val="ro-MD"/>
        </w:rPr>
        <w:t>-202</w:t>
      </w:r>
      <w:r w:rsidR="00F26557" w:rsidRPr="00C43E6D">
        <w:rPr>
          <w:lang w:val="ro-MD"/>
        </w:rPr>
        <w:t>6</w:t>
      </w:r>
      <w:r w:rsidR="007303FC" w:rsidRPr="00C43E6D">
        <w:rPr>
          <w:lang w:val="ro-MD"/>
        </w:rPr>
        <w:t xml:space="preserve"> și măsurilor de eficientizare a consumului de resurse energetice</w:t>
      </w:r>
      <w:r w:rsidR="00581508" w:rsidRPr="00C43E6D">
        <w:rPr>
          <w:lang w:val="ro-MD"/>
        </w:rPr>
        <w:t>, cu titlu de recomandare, se propune o serie de măsuri necesare a fi întreprinse de către autorități</w:t>
      </w:r>
      <w:r w:rsidR="008A3275">
        <w:rPr>
          <w:lang w:val="ro-MD"/>
        </w:rPr>
        <w:t>le și entitățile competente</w:t>
      </w:r>
      <w:r w:rsidR="00581508" w:rsidRPr="00C43E6D">
        <w:rPr>
          <w:lang w:val="ro-MD"/>
        </w:rPr>
        <w:t>, conform celor prevăzute în tabel</w:t>
      </w:r>
      <w:r w:rsidR="00D3554A" w:rsidRPr="00C43E6D">
        <w:rPr>
          <w:lang w:val="ro-MD"/>
        </w:rPr>
        <w:t>ul</w:t>
      </w:r>
      <w:r w:rsidR="00581508" w:rsidRPr="00C43E6D">
        <w:rPr>
          <w:lang w:val="ro-MD"/>
        </w:rPr>
        <w:t xml:space="preserve"> </w:t>
      </w:r>
      <w:r w:rsidR="006B7A1A">
        <w:rPr>
          <w:lang w:val="ro-MD"/>
        </w:rPr>
        <w:t>5</w:t>
      </w:r>
      <w:r w:rsidR="00581508" w:rsidRPr="00C43E6D">
        <w:rPr>
          <w:lang w:val="ro-MD"/>
        </w:rPr>
        <w:t>.</w:t>
      </w:r>
    </w:p>
    <w:p w14:paraId="2E8F0E98" w14:textId="3467EFCD" w:rsidR="00581508" w:rsidRPr="00C43E6D" w:rsidRDefault="00581508" w:rsidP="009140E8">
      <w:pPr>
        <w:pStyle w:val="NormalWeb"/>
        <w:spacing w:before="0" w:after="60" w:line="276" w:lineRule="auto"/>
        <w:ind w:firstLine="540"/>
        <w:jc w:val="both"/>
        <w:rPr>
          <w:lang w:val="ro-MD"/>
        </w:rPr>
      </w:pPr>
      <w:r w:rsidRPr="00C43E6D">
        <w:rPr>
          <w:lang w:val="ro-MD"/>
        </w:rPr>
        <w:t xml:space="preserve">Astfel se prezintă tabelul cu măsurile preventive, termenul de realizare și responsabilii, necesare a fi întreprinse în vederea </w:t>
      </w:r>
      <w:r w:rsidR="007303FC" w:rsidRPr="00C43E6D">
        <w:rPr>
          <w:lang w:val="ro-MD"/>
        </w:rPr>
        <w:t>pregătirii pentru sezonul de încălzire 2025-2026</w:t>
      </w:r>
      <w:r w:rsidRPr="00C43E6D">
        <w:rPr>
          <w:lang w:val="ro-MD"/>
        </w:rPr>
        <w:t>.</w:t>
      </w:r>
    </w:p>
    <w:p w14:paraId="17EF7AEB" w14:textId="12F4DEE1" w:rsidR="00A42EBB" w:rsidRPr="00C43E6D" w:rsidRDefault="00581508" w:rsidP="00581508">
      <w:pPr>
        <w:pStyle w:val="cb"/>
        <w:spacing w:after="120"/>
        <w:jc w:val="left"/>
      </w:pPr>
      <w:r w:rsidRPr="00C43E6D">
        <w:t xml:space="preserve">Tabelul </w:t>
      </w:r>
      <w:r w:rsidR="006B7A1A">
        <w:t>5</w:t>
      </w:r>
      <w:r w:rsidRPr="00C43E6D">
        <w:t xml:space="preserve">. </w:t>
      </w:r>
      <w:r w:rsidRPr="00C43E6D">
        <w:rPr>
          <w:b w:val="0"/>
          <w:bCs w:val="0"/>
        </w:rPr>
        <w:t>Măsuri de pregătire pentru sezonul de încălzire 202</w:t>
      </w:r>
      <w:r w:rsidR="007303FC" w:rsidRPr="00C43E6D">
        <w:rPr>
          <w:b w:val="0"/>
          <w:bCs w:val="0"/>
        </w:rPr>
        <w:t>5</w:t>
      </w:r>
      <w:r w:rsidRPr="00C43E6D">
        <w:rPr>
          <w:b w:val="0"/>
          <w:bCs w:val="0"/>
        </w:rPr>
        <w:t>-202</w:t>
      </w:r>
      <w:r w:rsidR="007303FC" w:rsidRPr="00C43E6D">
        <w:rPr>
          <w:b w:val="0"/>
          <w:bCs w:val="0"/>
        </w:rPr>
        <w:t>6</w:t>
      </w:r>
    </w:p>
    <w:tbl>
      <w:tblPr>
        <w:tblStyle w:val="TableGrid"/>
        <w:tblW w:w="5000" w:type="pct"/>
        <w:tblLook w:val="04A0" w:firstRow="1" w:lastRow="0" w:firstColumn="1" w:lastColumn="0" w:noHBand="0" w:noVBand="1"/>
      </w:tblPr>
      <w:tblGrid>
        <w:gridCol w:w="657"/>
        <w:gridCol w:w="4962"/>
        <w:gridCol w:w="1806"/>
        <w:gridCol w:w="2744"/>
      </w:tblGrid>
      <w:tr w:rsidR="00100DBB" w:rsidRPr="00C43E6D" w14:paraId="5F06AA7D" w14:textId="77777777" w:rsidTr="00A41F94">
        <w:trPr>
          <w:trHeight w:val="355"/>
        </w:trPr>
        <w:tc>
          <w:tcPr>
            <w:tcW w:w="323" w:type="pct"/>
            <w:shd w:val="clear" w:color="auto" w:fill="DEEAF6" w:themeFill="accent1" w:themeFillTint="33"/>
            <w:vAlign w:val="center"/>
          </w:tcPr>
          <w:p w14:paraId="3A02A32E" w14:textId="4DD2877B" w:rsidR="00100DBB" w:rsidRPr="00C43E6D" w:rsidRDefault="00B012C3" w:rsidP="00DB2EB6">
            <w:pPr>
              <w:jc w:val="center"/>
              <w:rPr>
                <w:rFonts w:ascii="Times New Roman" w:hAnsi="Times New Roman" w:cs="Times New Roman"/>
                <w:b/>
                <w:bCs/>
                <w:color w:val="000000" w:themeColor="text1"/>
              </w:rPr>
            </w:pPr>
            <w:r>
              <w:rPr>
                <w:rFonts w:ascii="Times New Roman" w:hAnsi="Times New Roman" w:cs="Times New Roman"/>
                <w:b/>
                <w:bCs/>
                <w:color w:val="000000" w:themeColor="text1"/>
              </w:rPr>
              <w:t>Nr.</w:t>
            </w:r>
          </w:p>
        </w:tc>
        <w:tc>
          <w:tcPr>
            <w:tcW w:w="2440" w:type="pct"/>
            <w:shd w:val="clear" w:color="auto" w:fill="DEEAF6" w:themeFill="accent1" w:themeFillTint="33"/>
            <w:vAlign w:val="center"/>
          </w:tcPr>
          <w:p w14:paraId="123ADC14" w14:textId="77777777" w:rsidR="00100DBB" w:rsidRPr="00C43E6D" w:rsidRDefault="00100DBB" w:rsidP="00DB2EB6">
            <w:pPr>
              <w:jc w:val="center"/>
              <w:rPr>
                <w:rFonts w:ascii="Times New Roman" w:hAnsi="Times New Roman" w:cs="Times New Roman"/>
                <w:b/>
                <w:bCs/>
                <w:color w:val="000000" w:themeColor="text1"/>
              </w:rPr>
            </w:pPr>
            <w:r w:rsidRPr="00C43E6D">
              <w:rPr>
                <w:rFonts w:ascii="Times New Roman" w:hAnsi="Times New Roman" w:cs="Times New Roman"/>
                <w:b/>
                <w:bCs/>
                <w:color w:val="000000" w:themeColor="text1"/>
              </w:rPr>
              <w:t>Măsuri preventive</w:t>
            </w:r>
          </w:p>
        </w:tc>
        <w:tc>
          <w:tcPr>
            <w:tcW w:w="888" w:type="pct"/>
            <w:shd w:val="clear" w:color="auto" w:fill="DEEAF6" w:themeFill="accent1" w:themeFillTint="33"/>
            <w:vAlign w:val="center"/>
          </w:tcPr>
          <w:p w14:paraId="77199FDD" w14:textId="77777777" w:rsidR="00100DBB" w:rsidRPr="00C43E6D" w:rsidRDefault="00100DBB" w:rsidP="00DB2EB6">
            <w:pPr>
              <w:jc w:val="center"/>
              <w:rPr>
                <w:rFonts w:ascii="Times New Roman" w:hAnsi="Times New Roman" w:cs="Times New Roman"/>
                <w:b/>
                <w:bCs/>
                <w:color w:val="000000" w:themeColor="text1"/>
              </w:rPr>
            </w:pPr>
            <w:r w:rsidRPr="00C43E6D">
              <w:rPr>
                <w:rFonts w:ascii="Times New Roman" w:hAnsi="Times New Roman" w:cs="Times New Roman"/>
                <w:b/>
                <w:bCs/>
                <w:color w:val="000000" w:themeColor="text1"/>
              </w:rPr>
              <w:t>Termen de realizare</w:t>
            </w:r>
          </w:p>
        </w:tc>
        <w:tc>
          <w:tcPr>
            <w:tcW w:w="1349" w:type="pct"/>
            <w:shd w:val="clear" w:color="auto" w:fill="DEEAF6" w:themeFill="accent1" w:themeFillTint="33"/>
            <w:vAlign w:val="center"/>
          </w:tcPr>
          <w:p w14:paraId="2D16CEC2" w14:textId="77777777" w:rsidR="00100DBB" w:rsidRPr="00C43E6D" w:rsidRDefault="00100DBB" w:rsidP="00DB2EB6">
            <w:pPr>
              <w:rPr>
                <w:rFonts w:ascii="Times New Roman" w:hAnsi="Times New Roman" w:cs="Times New Roman"/>
                <w:b/>
                <w:bCs/>
                <w:color w:val="000000" w:themeColor="text1"/>
              </w:rPr>
            </w:pPr>
            <w:r w:rsidRPr="00C43E6D">
              <w:rPr>
                <w:rFonts w:ascii="Times New Roman" w:hAnsi="Times New Roman" w:cs="Times New Roman"/>
                <w:b/>
                <w:bCs/>
                <w:color w:val="000000" w:themeColor="text1"/>
              </w:rPr>
              <w:t>Autorități/entități competente</w:t>
            </w:r>
          </w:p>
        </w:tc>
      </w:tr>
      <w:tr w:rsidR="001E7C78" w:rsidRPr="00C43E6D" w14:paraId="6F420971" w14:textId="77777777" w:rsidTr="001E7C78">
        <w:trPr>
          <w:trHeight w:val="162"/>
        </w:trPr>
        <w:tc>
          <w:tcPr>
            <w:tcW w:w="5000" w:type="pct"/>
            <w:gridSpan w:val="4"/>
            <w:shd w:val="clear" w:color="auto" w:fill="E2EFD9" w:themeFill="accent6" w:themeFillTint="33"/>
            <w:vAlign w:val="center"/>
          </w:tcPr>
          <w:p w14:paraId="4EA6C78B" w14:textId="318F0E2B" w:rsidR="001E7C78" w:rsidRPr="001E7C78" w:rsidRDefault="001E7C78" w:rsidP="001E7C78">
            <w:pPr>
              <w:pStyle w:val="ListParagraph"/>
              <w:numPr>
                <w:ilvl w:val="0"/>
                <w:numId w:val="8"/>
              </w:numPr>
              <w:ind w:left="454" w:hanging="283"/>
              <w:jc w:val="center"/>
              <w:rPr>
                <w:rFonts w:ascii="Times New Roman" w:hAnsi="Times New Roman" w:cs="Times New Roman"/>
                <w:b/>
                <w:bCs/>
                <w:lang w:val="ro-RO"/>
              </w:rPr>
            </w:pPr>
            <w:r>
              <w:rPr>
                <w:rFonts w:ascii="Times New Roman" w:hAnsi="Times New Roman" w:cs="Times New Roman"/>
                <w:b/>
                <w:bCs/>
                <w:lang w:val="ro-RO"/>
              </w:rPr>
              <w:t>Energie electrică</w:t>
            </w:r>
          </w:p>
        </w:tc>
      </w:tr>
      <w:tr w:rsidR="00385839" w:rsidRPr="00C43E6D" w14:paraId="005C477D" w14:textId="77777777" w:rsidTr="00A41F94">
        <w:trPr>
          <w:trHeight w:val="162"/>
        </w:trPr>
        <w:tc>
          <w:tcPr>
            <w:tcW w:w="323" w:type="pct"/>
            <w:vAlign w:val="center"/>
          </w:tcPr>
          <w:p w14:paraId="03EAE792" w14:textId="489BA23C" w:rsidR="00385839" w:rsidRPr="00C43E6D" w:rsidRDefault="00977D47" w:rsidP="00124529">
            <w:pPr>
              <w:jc w:val="center"/>
              <w:rPr>
                <w:rFonts w:ascii="Times New Roman" w:hAnsi="Times New Roman" w:cs="Times New Roman"/>
                <w:color w:val="000000"/>
              </w:rPr>
            </w:pPr>
            <w:r>
              <w:rPr>
                <w:rFonts w:ascii="Times New Roman" w:hAnsi="Times New Roman" w:cs="Times New Roman"/>
                <w:color w:val="000000"/>
              </w:rPr>
              <w:t>1</w:t>
            </w:r>
          </w:p>
        </w:tc>
        <w:tc>
          <w:tcPr>
            <w:tcW w:w="2440" w:type="pct"/>
            <w:shd w:val="clear" w:color="auto" w:fill="FFFFFF" w:themeFill="background1"/>
            <w:vAlign w:val="center"/>
          </w:tcPr>
          <w:p w14:paraId="65C29099" w14:textId="1CB199E5" w:rsidR="00385839" w:rsidRPr="00C43E6D" w:rsidRDefault="0013585E" w:rsidP="00124529">
            <w:pPr>
              <w:jc w:val="both"/>
              <w:rPr>
                <w:rFonts w:ascii="Times New Roman" w:hAnsi="Times New Roman" w:cs="Times New Roman"/>
              </w:rPr>
            </w:pPr>
            <w:r w:rsidRPr="0013585E">
              <w:rPr>
                <w:rFonts w:ascii="Times New Roman" w:hAnsi="Times New Roman" w:cs="Times New Roman"/>
              </w:rPr>
              <w:t>Finalizarea construcției și punerea în funcțiune a liniei electrice aeriene 400 kV Vulcănești-Chișinău</w:t>
            </w:r>
          </w:p>
        </w:tc>
        <w:tc>
          <w:tcPr>
            <w:tcW w:w="888" w:type="pct"/>
            <w:shd w:val="clear" w:color="auto" w:fill="auto"/>
            <w:vAlign w:val="center"/>
          </w:tcPr>
          <w:p w14:paraId="74321F23" w14:textId="6503A880" w:rsidR="00385839" w:rsidRPr="00C43E6D" w:rsidRDefault="0013585E" w:rsidP="00124529">
            <w:pPr>
              <w:jc w:val="center"/>
              <w:rPr>
                <w:rFonts w:ascii="Times New Roman" w:hAnsi="Times New Roman" w:cs="Times New Roman"/>
              </w:rPr>
            </w:pPr>
            <w:r w:rsidRPr="0047058B">
              <w:rPr>
                <w:rFonts w:ascii="Times New Roman" w:hAnsi="Times New Roman" w:cs="Times New Roman"/>
                <w:lang w:val="ro-RO"/>
              </w:rPr>
              <w:t>Decembrie 2025</w:t>
            </w:r>
          </w:p>
        </w:tc>
        <w:tc>
          <w:tcPr>
            <w:tcW w:w="1349" w:type="pct"/>
            <w:shd w:val="clear" w:color="auto" w:fill="auto"/>
            <w:vAlign w:val="center"/>
          </w:tcPr>
          <w:p w14:paraId="74D6AA8C" w14:textId="77777777" w:rsidR="0013585E" w:rsidRDefault="0013585E" w:rsidP="00124529">
            <w:pPr>
              <w:rPr>
                <w:rFonts w:ascii="Times New Roman" w:hAnsi="Times New Roman" w:cs="Times New Roman"/>
                <w:lang w:val="ro-RO"/>
              </w:rPr>
            </w:pPr>
            <w:r w:rsidRPr="0047058B">
              <w:rPr>
                <w:rFonts w:ascii="Times New Roman" w:hAnsi="Times New Roman" w:cs="Times New Roman"/>
                <w:lang w:val="ro-RO"/>
              </w:rPr>
              <w:t>Unitatea Consolidată pentru Implementarea și Monitorizarea Proiectelor în domeniul Energeticii</w:t>
            </w:r>
            <w:r>
              <w:rPr>
                <w:rFonts w:ascii="Times New Roman" w:hAnsi="Times New Roman" w:cs="Times New Roman"/>
                <w:lang w:val="ro-RO"/>
              </w:rPr>
              <w:t xml:space="preserve"> (UCIPE)</w:t>
            </w:r>
            <w:r w:rsidRPr="0047058B">
              <w:rPr>
                <w:rFonts w:ascii="Times New Roman" w:hAnsi="Times New Roman" w:cs="Times New Roman"/>
                <w:lang w:val="ro-RO"/>
              </w:rPr>
              <w:t>;</w:t>
            </w:r>
          </w:p>
          <w:p w14:paraId="41E16E96" w14:textId="6A59A71B" w:rsidR="00385839" w:rsidRPr="00C43E6D" w:rsidRDefault="0013585E" w:rsidP="00124529">
            <w:pPr>
              <w:rPr>
                <w:rFonts w:ascii="Times New Roman" w:hAnsi="Times New Roman" w:cs="Times New Roman"/>
              </w:rPr>
            </w:pPr>
            <w:r w:rsidRPr="0047058B">
              <w:rPr>
                <w:rFonts w:ascii="Times New Roman" w:hAnsi="Times New Roman" w:cs="Times New Roman"/>
                <w:lang w:val="ro-RO"/>
              </w:rPr>
              <w:t>ÎS „Moldelectrica”; Ministerul Energiei</w:t>
            </w:r>
          </w:p>
        </w:tc>
      </w:tr>
      <w:tr w:rsidR="0013585E" w:rsidRPr="00C43E6D" w14:paraId="0EF9F66B" w14:textId="77777777" w:rsidTr="00A41F94">
        <w:trPr>
          <w:trHeight w:val="162"/>
        </w:trPr>
        <w:tc>
          <w:tcPr>
            <w:tcW w:w="323" w:type="pct"/>
            <w:vAlign w:val="center"/>
          </w:tcPr>
          <w:p w14:paraId="34578795" w14:textId="15ABBD07" w:rsidR="0013585E" w:rsidRPr="00C43E6D" w:rsidRDefault="00977D47" w:rsidP="0013585E">
            <w:pPr>
              <w:jc w:val="center"/>
              <w:rPr>
                <w:rFonts w:ascii="Times New Roman" w:hAnsi="Times New Roman" w:cs="Times New Roman"/>
                <w:color w:val="000000"/>
              </w:rPr>
            </w:pPr>
            <w:r>
              <w:rPr>
                <w:rFonts w:ascii="Times New Roman" w:hAnsi="Times New Roman" w:cs="Times New Roman"/>
                <w:color w:val="000000"/>
              </w:rPr>
              <w:t>2</w:t>
            </w:r>
          </w:p>
        </w:tc>
        <w:tc>
          <w:tcPr>
            <w:tcW w:w="2440" w:type="pct"/>
            <w:shd w:val="clear" w:color="auto" w:fill="FFFFFF" w:themeFill="background1"/>
            <w:vAlign w:val="center"/>
          </w:tcPr>
          <w:p w14:paraId="1CF93839" w14:textId="2BC9A1E5" w:rsidR="0013585E" w:rsidRPr="0013585E" w:rsidRDefault="0013585E" w:rsidP="0013585E">
            <w:pPr>
              <w:jc w:val="both"/>
              <w:rPr>
                <w:rFonts w:ascii="Times New Roman" w:hAnsi="Times New Roman" w:cs="Times New Roman"/>
              </w:rPr>
            </w:pPr>
            <w:r w:rsidRPr="00C43E6D">
              <w:rPr>
                <w:rFonts w:ascii="Times New Roman" w:hAnsi="Times New Roman" w:cs="Times New Roman"/>
              </w:rPr>
              <w:t>Examinarea și monitorizarea continuu a scenariilor de risc pentru securitatea aprovizionării cu energie electrică a Republicii Moldova</w:t>
            </w:r>
          </w:p>
        </w:tc>
        <w:tc>
          <w:tcPr>
            <w:tcW w:w="888" w:type="pct"/>
            <w:shd w:val="clear" w:color="auto" w:fill="auto"/>
            <w:vAlign w:val="center"/>
          </w:tcPr>
          <w:p w14:paraId="1FEE9510" w14:textId="632D967E" w:rsidR="0013585E" w:rsidRPr="0047058B" w:rsidRDefault="0013585E" w:rsidP="0013585E">
            <w:pPr>
              <w:jc w:val="center"/>
              <w:rPr>
                <w:rFonts w:ascii="Times New Roman" w:hAnsi="Times New Roman" w:cs="Times New Roman"/>
                <w:lang w:val="ro-RO"/>
              </w:rPr>
            </w:pPr>
            <w:r w:rsidRPr="00C43E6D">
              <w:rPr>
                <w:rFonts w:ascii="Times New Roman" w:hAnsi="Times New Roman" w:cs="Times New Roman"/>
              </w:rPr>
              <w:t>Permanent</w:t>
            </w:r>
          </w:p>
        </w:tc>
        <w:tc>
          <w:tcPr>
            <w:tcW w:w="1349" w:type="pct"/>
            <w:shd w:val="clear" w:color="auto" w:fill="auto"/>
            <w:vAlign w:val="center"/>
          </w:tcPr>
          <w:p w14:paraId="66F34A05" w14:textId="77777777" w:rsidR="0013585E" w:rsidRPr="00C43E6D" w:rsidRDefault="0013585E" w:rsidP="0013585E">
            <w:pPr>
              <w:rPr>
                <w:rFonts w:ascii="Times New Roman" w:hAnsi="Times New Roman" w:cs="Times New Roman"/>
              </w:rPr>
            </w:pPr>
            <w:r w:rsidRPr="00C43E6D">
              <w:rPr>
                <w:rFonts w:ascii="Times New Roman" w:hAnsi="Times New Roman" w:cs="Times New Roman"/>
              </w:rPr>
              <w:t>Ministerul Energiei</w:t>
            </w:r>
          </w:p>
          <w:p w14:paraId="1E6B9163" w14:textId="77777777" w:rsidR="0013585E" w:rsidRPr="00C43E6D" w:rsidRDefault="0013585E" w:rsidP="0013585E">
            <w:pPr>
              <w:rPr>
                <w:rFonts w:ascii="Times New Roman" w:hAnsi="Times New Roman" w:cs="Times New Roman"/>
              </w:rPr>
            </w:pPr>
            <w:r w:rsidRPr="00C43E6D">
              <w:rPr>
                <w:rFonts w:ascii="Times New Roman" w:hAnsi="Times New Roman" w:cs="Times New Roman"/>
              </w:rPr>
              <w:t>ANRE</w:t>
            </w:r>
          </w:p>
          <w:p w14:paraId="1FB54833" w14:textId="77777777" w:rsidR="0013585E" w:rsidRPr="00C43E6D" w:rsidRDefault="0013585E" w:rsidP="0013585E">
            <w:pPr>
              <w:rPr>
                <w:rFonts w:ascii="Times New Roman" w:hAnsi="Times New Roman" w:cs="Times New Roman"/>
              </w:rPr>
            </w:pPr>
            <w:r w:rsidRPr="00C43E6D">
              <w:rPr>
                <w:rFonts w:ascii="Times New Roman" w:hAnsi="Times New Roman" w:cs="Times New Roman"/>
              </w:rPr>
              <w:t>SA ,,Energocom”</w:t>
            </w:r>
          </w:p>
          <w:p w14:paraId="089FA013" w14:textId="77777777" w:rsidR="0013585E" w:rsidRPr="00C43E6D" w:rsidRDefault="0013585E" w:rsidP="0013585E">
            <w:pPr>
              <w:rPr>
                <w:rFonts w:ascii="Times New Roman" w:hAnsi="Times New Roman" w:cs="Times New Roman"/>
              </w:rPr>
            </w:pPr>
            <w:r w:rsidRPr="00C43E6D">
              <w:rPr>
                <w:rFonts w:ascii="Times New Roman" w:hAnsi="Times New Roman" w:cs="Times New Roman"/>
              </w:rPr>
              <w:t>ÎCS „Premier Energy” SRL</w:t>
            </w:r>
          </w:p>
          <w:p w14:paraId="6ECCC0AE" w14:textId="77777777" w:rsidR="0013585E" w:rsidRPr="00C43E6D" w:rsidRDefault="0013585E" w:rsidP="0013585E">
            <w:pPr>
              <w:rPr>
                <w:rFonts w:ascii="Times New Roman" w:hAnsi="Times New Roman" w:cs="Times New Roman"/>
              </w:rPr>
            </w:pPr>
            <w:r w:rsidRPr="00C43E6D">
              <w:rPr>
                <w:rFonts w:ascii="Times New Roman" w:hAnsi="Times New Roman" w:cs="Times New Roman"/>
              </w:rPr>
              <w:t>SA „FEE-Nord”</w:t>
            </w:r>
          </w:p>
          <w:p w14:paraId="1ED93CB0" w14:textId="71549658" w:rsidR="0013585E" w:rsidRPr="0013585E" w:rsidRDefault="0013585E" w:rsidP="0013585E">
            <w:pPr>
              <w:rPr>
                <w:rFonts w:ascii="Times New Roman" w:hAnsi="Times New Roman" w:cs="Times New Roman"/>
              </w:rPr>
            </w:pPr>
            <w:r w:rsidRPr="00C43E6D">
              <w:rPr>
                <w:rFonts w:ascii="Times New Roman" w:hAnsi="Times New Roman" w:cs="Times New Roman"/>
              </w:rPr>
              <w:t>ÎS „Moldelectrica”</w:t>
            </w:r>
          </w:p>
        </w:tc>
      </w:tr>
      <w:tr w:rsidR="0013585E" w:rsidRPr="00C43E6D" w14:paraId="655C878F" w14:textId="77777777" w:rsidTr="00A41F94">
        <w:trPr>
          <w:trHeight w:val="162"/>
        </w:trPr>
        <w:tc>
          <w:tcPr>
            <w:tcW w:w="323" w:type="pct"/>
            <w:vAlign w:val="center"/>
          </w:tcPr>
          <w:p w14:paraId="72E281BB" w14:textId="787F783A" w:rsidR="0013585E" w:rsidRPr="00C43E6D" w:rsidRDefault="00977D47" w:rsidP="0013585E">
            <w:pPr>
              <w:jc w:val="center"/>
              <w:rPr>
                <w:rFonts w:ascii="Times New Roman" w:hAnsi="Times New Roman" w:cs="Times New Roman"/>
                <w:color w:val="000000"/>
              </w:rPr>
            </w:pPr>
            <w:r>
              <w:rPr>
                <w:rFonts w:ascii="Times New Roman" w:hAnsi="Times New Roman" w:cs="Times New Roman"/>
                <w:color w:val="000000"/>
              </w:rPr>
              <w:t>3</w:t>
            </w:r>
          </w:p>
        </w:tc>
        <w:tc>
          <w:tcPr>
            <w:tcW w:w="2440" w:type="pct"/>
            <w:shd w:val="clear" w:color="auto" w:fill="FFFFFF" w:themeFill="background1"/>
          </w:tcPr>
          <w:p w14:paraId="7697D306" w14:textId="5A5CF779" w:rsidR="0013585E" w:rsidRPr="00C43E6D" w:rsidRDefault="0013585E" w:rsidP="0013585E">
            <w:pPr>
              <w:jc w:val="both"/>
              <w:rPr>
                <w:rFonts w:ascii="Times New Roman" w:hAnsi="Times New Roman" w:cs="Times New Roman"/>
              </w:rPr>
            </w:pPr>
            <w:r w:rsidRPr="0047058B">
              <w:rPr>
                <w:rFonts w:ascii="Times New Roman" w:hAnsi="Times New Roman" w:cs="Times New Roman"/>
                <w:lang w:val="ro-RO"/>
              </w:rPr>
              <w:t>Întrерrindеrеа măsurilor disponibile de majorare а capacității comerciale de transport al energiei electrice la granița România – Republica Moldova, prin punerea în aplicare a calculului coordonat al capacității</w:t>
            </w:r>
          </w:p>
        </w:tc>
        <w:tc>
          <w:tcPr>
            <w:tcW w:w="888" w:type="pct"/>
            <w:shd w:val="clear" w:color="auto" w:fill="auto"/>
          </w:tcPr>
          <w:p w14:paraId="39878331" w14:textId="7D1953CE" w:rsidR="0013585E" w:rsidRPr="00C43E6D" w:rsidRDefault="0013585E" w:rsidP="0013585E">
            <w:pPr>
              <w:jc w:val="center"/>
              <w:rPr>
                <w:rFonts w:ascii="Times New Roman" w:hAnsi="Times New Roman" w:cs="Times New Roman"/>
              </w:rPr>
            </w:pPr>
            <w:r w:rsidRPr="0047058B">
              <w:rPr>
                <w:rFonts w:ascii="Times New Roman" w:hAnsi="Times New Roman" w:cs="Times New Roman"/>
                <w:lang w:val="ro-RO"/>
              </w:rPr>
              <w:t>Până la asigurarea capacității necesare pentru acoperirea consumului intern al malului drept</w:t>
            </w:r>
            <w:r w:rsidR="007433FF">
              <w:rPr>
                <w:rFonts w:ascii="Times New Roman" w:hAnsi="Times New Roman" w:cs="Times New Roman"/>
                <w:lang w:val="ro-RO"/>
              </w:rPr>
              <w:t xml:space="preserve"> al râului Nistru</w:t>
            </w:r>
          </w:p>
        </w:tc>
        <w:tc>
          <w:tcPr>
            <w:tcW w:w="1349" w:type="pct"/>
            <w:shd w:val="clear" w:color="auto" w:fill="auto"/>
          </w:tcPr>
          <w:p w14:paraId="7134D1AB" w14:textId="77777777" w:rsidR="0013585E" w:rsidRPr="0047058B" w:rsidRDefault="0013585E" w:rsidP="0013585E">
            <w:pPr>
              <w:rPr>
                <w:rFonts w:ascii="Times New Roman" w:hAnsi="Times New Roman" w:cs="Times New Roman"/>
                <w:lang w:val="ro-RO"/>
              </w:rPr>
            </w:pPr>
            <w:r w:rsidRPr="0047058B">
              <w:rPr>
                <w:rFonts w:ascii="Times New Roman" w:hAnsi="Times New Roman" w:cs="Times New Roman"/>
                <w:lang w:val="ro-RO"/>
              </w:rPr>
              <w:t>ÎS „Moldelectrica”</w:t>
            </w:r>
          </w:p>
          <w:p w14:paraId="1EC0CBF0" w14:textId="125C8E60" w:rsidR="0013585E" w:rsidRPr="00C43E6D" w:rsidRDefault="0013585E" w:rsidP="0013585E">
            <w:pPr>
              <w:rPr>
                <w:rFonts w:ascii="Times New Roman" w:hAnsi="Times New Roman" w:cs="Times New Roman"/>
              </w:rPr>
            </w:pPr>
            <w:r w:rsidRPr="0047058B">
              <w:rPr>
                <w:rFonts w:ascii="Times New Roman" w:hAnsi="Times New Roman" w:cs="Times New Roman"/>
                <w:lang w:val="ro-RO"/>
              </w:rPr>
              <w:t>Ministerul Energiei</w:t>
            </w:r>
          </w:p>
        </w:tc>
      </w:tr>
      <w:tr w:rsidR="004B5628" w:rsidRPr="00C43E6D" w14:paraId="1948E84E" w14:textId="77777777" w:rsidTr="00A41F94">
        <w:trPr>
          <w:trHeight w:val="162"/>
        </w:trPr>
        <w:tc>
          <w:tcPr>
            <w:tcW w:w="323" w:type="pct"/>
            <w:vAlign w:val="center"/>
          </w:tcPr>
          <w:p w14:paraId="7ED8C3A7" w14:textId="4D343C3C" w:rsidR="004B5628" w:rsidRDefault="00977D47" w:rsidP="004B5628">
            <w:pPr>
              <w:jc w:val="center"/>
              <w:rPr>
                <w:rFonts w:ascii="Times New Roman" w:hAnsi="Times New Roman" w:cs="Times New Roman"/>
                <w:color w:val="000000"/>
              </w:rPr>
            </w:pPr>
            <w:r>
              <w:rPr>
                <w:rFonts w:ascii="Times New Roman" w:hAnsi="Times New Roman" w:cs="Times New Roman"/>
                <w:color w:val="000000"/>
              </w:rPr>
              <w:t>4</w:t>
            </w:r>
          </w:p>
        </w:tc>
        <w:tc>
          <w:tcPr>
            <w:tcW w:w="2440" w:type="pct"/>
            <w:shd w:val="clear" w:color="auto" w:fill="FFFFFF" w:themeFill="background1"/>
            <w:vAlign w:val="center"/>
          </w:tcPr>
          <w:p w14:paraId="5CD6D9F9" w14:textId="77247187" w:rsidR="004B5628" w:rsidRPr="0047058B" w:rsidRDefault="004B5628" w:rsidP="004B5628">
            <w:pPr>
              <w:jc w:val="both"/>
              <w:rPr>
                <w:rFonts w:ascii="Times New Roman" w:hAnsi="Times New Roman" w:cs="Times New Roman"/>
                <w:lang w:val="ro-RO"/>
              </w:rPr>
            </w:pPr>
            <w:r w:rsidRPr="00583CA3">
              <w:rPr>
                <w:rFonts w:ascii="Times New Roman" w:hAnsi="Times New Roman" w:cs="Times New Roman"/>
              </w:rPr>
              <w:t>Realizarea acțiunilor organizatorice și tehnice necesare pentru alimentarea Republicii Moldova din Sistemul Electroenergetic Național al României prin asigurarea funcționării, la necesitate a LEA-110 kV</w:t>
            </w:r>
          </w:p>
        </w:tc>
        <w:tc>
          <w:tcPr>
            <w:tcW w:w="888" w:type="pct"/>
            <w:shd w:val="clear" w:color="auto" w:fill="auto"/>
            <w:vAlign w:val="center"/>
          </w:tcPr>
          <w:p w14:paraId="39750C7C" w14:textId="6CB1F3E8" w:rsidR="004B5628" w:rsidRPr="0047058B" w:rsidRDefault="004B5628" w:rsidP="004B5628">
            <w:pPr>
              <w:jc w:val="center"/>
              <w:rPr>
                <w:rFonts w:ascii="Times New Roman" w:hAnsi="Times New Roman" w:cs="Times New Roman"/>
                <w:lang w:val="ro-RO"/>
              </w:rPr>
            </w:pPr>
            <w:r w:rsidRPr="00C43E6D">
              <w:rPr>
                <w:rFonts w:ascii="Times New Roman" w:hAnsi="Times New Roman" w:cs="Times New Roman"/>
              </w:rPr>
              <w:t>01.10.2025</w:t>
            </w:r>
          </w:p>
        </w:tc>
        <w:tc>
          <w:tcPr>
            <w:tcW w:w="1349" w:type="pct"/>
            <w:shd w:val="clear" w:color="auto" w:fill="auto"/>
            <w:vAlign w:val="center"/>
          </w:tcPr>
          <w:p w14:paraId="2815052C" w14:textId="77777777" w:rsidR="004B5628" w:rsidRDefault="004B5628" w:rsidP="004B5628">
            <w:pPr>
              <w:rPr>
                <w:rFonts w:ascii="Times New Roman" w:hAnsi="Times New Roman" w:cs="Times New Roman"/>
              </w:rPr>
            </w:pPr>
            <w:r w:rsidRPr="00C43E6D">
              <w:rPr>
                <w:rFonts w:ascii="Times New Roman" w:hAnsi="Times New Roman" w:cs="Times New Roman"/>
              </w:rPr>
              <w:t>ÎS „Moldelectrica”</w:t>
            </w:r>
          </w:p>
          <w:p w14:paraId="49742A9F" w14:textId="77777777" w:rsidR="008318C3" w:rsidRPr="00C43E6D" w:rsidRDefault="008318C3" w:rsidP="008318C3">
            <w:pPr>
              <w:rPr>
                <w:rFonts w:ascii="Times New Roman" w:hAnsi="Times New Roman" w:cs="Times New Roman"/>
              </w:rPr>
            </w:pPr>
            <w:r w:rsidRPr="00C43E6D">
              <w:rPr>
                <w:rFonts w:ascii="Times New Roman" w:hAnsi="Times New Roman" w:cs="Times New Roman"/>
              </w:rPr>
              <w:t>SA „RED-Nord”</w:t>
            </w:r>
          </w:p>
          <w:p w14:paraId="5A6CC185" w14:textId="0893F41A" w:rsidR="008318C3" w:rsidRPr="0047058B" w:rsidRDefault="008318C3" w:rsidP="008318C3">
            <w:pPr>
              <w:rPr>
                <w:rFonts w:ascii="Times New Roman" w:hAnsi="Times New Roman" w:cs="Times New Roman"/>
                <w:lang w:val="ro-RO"/>
              </w:rPr>
            </w:pPr>
            <w:r w:rsidRPr="00C43E6D">
              <w:rPr>
                <w:rFonts w:ascii="Times New Roman" w:hAnsi="Times New Roman" w:cs="Times New Roman"/>
              </w:rPr>
              <w:t>ÎCS „Premier Energy Distribution” SA</w:t>
            </w:r>
          </w:p>
        </w:tc>
      </w:tr>
      <w:tr w:rsidR="004B5628" w:rsidRPr="00C43E6D" w14:paraId="63A63D99" w14:textId="77777777" w:rsidTr="00A41F94">
        <w:trPr>
          <w:trHeight w:val="162"/>
        </w:trPr>
        <w:tc>
          <w:tcPr>
            <w:tcW w:w="323" w:type="pct"/>
            <w:vAlign w:val="center"/>
          </w:tcPr>
          <w:p w14:paraId="3276424A" w14:textId="67F7AAAD" w:rsidR="004B5628" w:rsidRDefault="00977D47" w:rsidP="004B5628">
            <w:pPr>
              <w:jc w:val="center"/>
              <w:rPr>
                <w:rFonts w:ascii="Times New Roman" w:hAnsi="Times New Roman" w:cs="Times New Roman"/>
                <w:color w:val="000000"/>
              </w:rPr>
            </w:pPr>
            <w:r>
              <w:rPr>
                <w:rFonts w:ascii="Times New Roman" w:hAnsi="Times New Roman" w:cs="Times New Roman"/>
                <w:color w:val="000000"/>
              </w:rPr>
              <w:t>5</w:t>
            </w:r>
          </w:p>
        </w:tc>
        <w:tc>
          <w:tcPr>
            <w:tcW w:w="2440" w:type="pct"/>
            <w:shd w:val="clear" w:color="auto" w:fill="FFFFFF" w:themeFill="background1"/>
            <w:vAlign w:val="center"/>
          </w:tcPr>
          <w:p w14:paraId="7DD9D4B1" w14:textId="6D675345" w:rsidR="004B5628" w:rsidRPr="0047058B" w:rsidRDefault="004B5628" w:rsidP="004B5628">
            <w:pPr>
              <w:jc w:val="both"/>
              <w:rPr>
                <w:rFonts w:ascii="Times New Roman" w:hAnsi="Times New Roman" w:cs="Times New Roman"/>
                <w:lang w:val="ro-RO"/>
              </w:rPr>
            </w:pPr>
            <w:r w:rsidRPr="00EE2A79">
              <w:rPr>
                <w:rFonts w:ascii="Times New Roman" w:hAnsi="Times New Roman" w:cs="Times New Roman"/>
                <w:lang w:val="ro-RO"/>
              </w:rPr>
              <w:t xml:space="preserve">Asigurarea disponibilității/capacității de a procura energie electrică de pe piețele internaționale din regiune în cazul unei situații excepționale pe piața energiei, inclusiv prin intermediul </w:t>
            </w:r>
            <w:r w:rsidR="00E83011">
              <w:rPr>
                <w:rFonts w:ascii="Times New Roman" w:hAnsi="Times New Roman" w:cs="Times New Roman"/>
                <w:lang w:val="ro-RO"/>
              </w:rPr>
              <w:t>Contractelor</w:t>
            </w:r>
            <w:r w:rsidRPr="00EE2A79">
              <w:rPr>
                <w:rFonts w:ascii="Times New Roman" w:hAnsi="Times New Roman" w:cs="Times New Roman"/>
                <w:lang w:val="ro-RO"/>
              </w:rPr>
              <w:t xml:space="preserve"> privind achiziționarea energiei </w:t>
            </w:r>
            <w:r>
              <w:rPr>
                <w:rFonts w:ascii="Times New Roman" w:hAnsi="Times New Roman" w:cs="Times New Roman"/>
                <w:lang w:val="ro-RO"/>
              </w:rPr>
              <w:t xml:space="preserve">electrice </w:t>
            </w:r>
            <w:r w:rsidRPr="00EE2A79">
              <w:rPr>
                <w:rFonts w:ascii="Times New Roman" w:hAnsi="Times New Roman" w:cs="Times New Roman"/>
                <w:lang w:val="ro-RO"/>
              </w:rPr>
              <w:t>de urgență</w:t>
            </w:r>
          </w:p>
        </w:tc>
        <w:tc>
          <w:tcPr>
            <w:tcW w:w="888" w:type="pct"/>
            <w:shd w:val="clear" w:color="auto" w:fill="auto"/>
            <w:vAlign w:val="center"/>
          </w:tcPr>
          <w:p w14:paraId="28C172E7" w14:textId="49C69856" w:rsidR="004B5628" w:rsidRPr="0047058B" w:rsidRDefault="004B5628" w:rsidP="004B5628">
            <w:pPr>
              <w:jc w:val="center"/>
              <w:rPr>
                <w:rFonts w:ascii="Times New Roman" w:hAnsi="Times New Roman" w:cs="Times New Roman"/>
                <w:lang w:val="ro-RO"/>
              </w:rPr>
            </w:pPr>
            <w:r w:rsidRPr="00EE2A79">
              <w:rPr>
                <w:rFonts w:ascii="Times New Roman" w:hAnsi="Times New Roman" w:cs="Times New Roman"/>
                <w:lang w:val="ro-RO"/>
              </w:rPr>
              <w:t>octombrie 202</w:t>
            </w:r>
            <w:r>
              <w:rPr>
                <w:rFonts w:ascii="Times New Roman" w:hAnsi="Times New Roman" w:cs="Times New Roman"/>
                <w:lang w:val="ro-RO"/>
              </w:rPr>
              <w:t xml:space="preserve">5 </w:t>
            </w:r>
            <w:r w:rsidRPr="00EE2A79">
              <w:rPr>
                <w:rFonts w:ascii="Times New Roman" w:hAnsi="Times New Roman" w:cs="Times New Roman"/>
                <w:lang w:val="ro-RO"/>
              </w:rPr>
              <w:t>-</w:t>
            </w:r>
            <w:r>
              <w:rPr>
                <w:rFonts w:ascii="Times New Roman" w:hAnsi="Times New Roman" w:cs="Times New Roman"/>
                <w:lang w:val="ro-RO"/>
              </w:rPr>
              <w:t xml:space="preserve"> </w:t>
            </w:r>
            <w:r w:rsidRPr="00EE2A79">
              <w:rPr>
                <w:rFonts w:ascii="Times New Roman" w:hAnsi="Times New Roman" w:cs="Times New Roman"/>
                <w:lang w:val="ro-RO"/>
              </w:rPr>
              <w:t>aprilie 202</w:t>
            </w:r>
            <w:r>
              <w:rPr>
                <w:rFonts w:ascii="Times New Roman" w:hAnsi="Times New Roman" w:cs="Times New Roman"/>
                <w:lang w:val="ro-RO"/>
              </w:rPr>
              <w:t>6</w:t>
            </w:r>
          </w:p>
        </w:tc>
        <w:tc>
          <w:tcPr>
            <w:tcW w:w="1349" w:type="pct"/>
            <w:shd w:val="clear" w:color="auto" w:fill="auto"/>
            <w:vAlign w:val="center"/>
          </w:tcPr>
          <w:p w14:paraId="461CA291" w14:textId="77777777" w:rsidR="004B5628" w:rsidRDefault="004B5628" w:rsidP="004B5628">
            <w:pPr>
              <w:rPr>
                <w:rFonts w:ascii="Times New Roman" w:hAnsi="Times New Roman" w:cs="Times New Roman"/>
                <w:lang w:val="ro-RO"/>
              </w:rPr>
            </w:pPr>
            <w:r w:rsidRPr="00EE2A79">
              <w:rPr>
                <w:rFonts w:ascii="Times New Roman" w:hAnsi="Times New Roman" w:cs="Times New Roman"/>
                <w:lang w:val="ro-RO"/>
              </w:rPr>
              <w:t>Titularii de licență din sectorul electroenergetic</w:t>
            </w:r>
          </w:p>
          <w:p w14:paraId="539566B9" w14:textId="77777777" w:rsidR="00954D6D" w:rsidRPr="00EE2A79" w:rsidRDefault="00954D6D" w:rsidP="00954D6D">
            <w:pPr>
              <w:rPr>
                <w:rFonts w:ascii="Times New Roman" w:hAnsi="Times New Roman" w:cs="Times New Roman"/>
                <w:lang w:val="ro-RO"/>
              </w:rPr>
            </w:pPr>
            <w:r w:rsidRPr="00EE2A79">
              <w:rPr>
                <w:rFonts w:ascii="Times New Roman" w:eastAsia="Calibri" w:hAnsi="Times New Roman" w:cs="Times New Roman"/>
                <w:lang w:val="ro-RO"/>
              </w:rPr>
              <w:t>Ministerul Energiei</w:t>
            </w:r>
          </w:p>
          <w:p w14:paraId="2061D146" w14:textId="04A0C1E4" w:rsidR="00954D6D" w:rsidRPr="0047058B" w:rsidRDefault="00954D6D" w:rsidP="004B5628">
            <w:pPr>
              <w:rPr>
                <w:rFonts w:ascii="Times New Roman" w:hAnsi="Times New Roman" w:cs="Times New Roman"/>
                <w:lang w:val="ro-RO"/>
              </w:rPr>
            </w:pPr>
            <w:r w:rsidRPr="00EE2A79">
              <w:rPr>
                <w:rFonts w:ascii="Times New Roman" w:eastAsia="Calibri" w:hAnsi="Times New Roman" w:cs="Times New Roman"/>
                <w:lang w:val="ro-RO"/>
              </w:rPr>
              <w:t>ANRE</w:t>
            </w:r>
          </w:p>
        </w:tc>
      </w:tr>
      <w:tr w:rsidR="00B012C3" w:rsidRPr="00C43E6D" w14:paraId="5EC0B05A" w14:textId="77777777" w:rsidTr="00A41F94">
        <w:trPr>
          <w:trHeight w:val="162"/>
        </w:trPr>
        <w:tc>
          <w:tcPr>
            <w:tcW w:w="323" w:type="pct"/>
            <w:vAlign w:val="center"/>
          </w:tcPr>
          <w:p w14:paraId="130BA236" w14:textId="235BA9BB" w:rsidR="00B012C3" w:rsidRDefault="00977D47" w:rsidP="00B012C3">
            <w:pPr>
              <w:jc w:val="center"/>
              <w:rPr>
                <w:rFonts w:ascii="Times New Roman" w:hAnsi="Times New Roman" w:cs="Times New Roman"/>
                <w:color w:val="000000"/>
              </w:rPr>
            </w:pPr>
            <w:r>
              <w:rPr>
                <w:rFonts w:ascii="Times New Roman" w:hAnsi="Times New Roman" w:cs="Times New Roman"/>
                <w:color w:val="000000"/>
              </w:rPr>
              <w:t>6</w:t>
            </w:r>
          </w:p>
        </w:tc>
        <w:tc>
          <w:tcPr>
            <w:tcW w:w="2440" w:type="pct"/>
            <w:shd w:val="clear" w:color="auto" w:fill="FFFFFF" w:themeFill="background1"/>
            <w:vAlign w:val="center"/>
          </w:tcPr>
          <w:p w14:paraId="405ABAF9" w14:textId="2EED55DC" w:rsidR="00B012C3" w:rsidRPr="00EE2A79" w:rsidRDefault="00B012C3" w:rsidP="00B012C3">
            <w:pPr>
              <w:jc w:val="both"/>
              <w:rPr>
                <w:rFonts w:ascii="Times New Roman" w:hAnsi="Times New Roman" w:cs="Times New Roman"/>
                <w:lang w:val="ro-RO"/>
              </w:rPr>
            </w:pPr>
            <w:r w:rsidRPr="00C43E6D">
              <w:rPr>
                <w:rFonts w:ascii="Times New Roman" w:hAnsi="Times New Roman" w:cs="Times New Roman"/>
              </w:rPr>
              <w:t xml:space="preserve">Lansarea procedurii anuale de achiziție a energiei electrice printr-un proces de licitație competitiv, respectând principiile transparenței și nediscriminării și în conformitate cu prevederile Regulilor pieței energiei electrice aprobate prin Hotărârea ANRE </w:t>
            </w:r>
            <w:r w:rsidR="001D685C">
              <w:rPr>
                <w:rFonts w:ascii="Times New Roman" w:hAnsi="Times New Roman" w:cs="Times New Roman"/>
              </w:rPr>
              <w:br/>
            </w:r>
            <w:r w:rsidRPr="00C43E6D">
              <w:rPr>
                <w:rFonts w:ascii="Times New Roman" w:hAnsi="Times New Roman" w:cs="Times New Roman"/>
              </w:rPr>
              <w:t>nr. 283/2020</w:t>
            </w:r>
          </w:p>
        </w:tc>
        <w:tc>
          <w:tcPr>
            <w:tcW w:w="888" w:type="pct"/>
            <w:shd w:val="clear" w:color="auto" w:fill="auto"/>
            <w:vAlign w:val="center"/>
          </w:tcPr>
          <w:p w14:paraId="73C3B5A0" w14:textId="52C0A079" w:rsidR="00B012C3" w:rsidRPr="00EE2A79" w:rsidRDefault="00B012C3" w:rsidP="00B012C3">
            <w:pPr>
              <w:jc w:val="center"/>
              <w:rPr>
                <w:rFonts w:ascii="Times New Roman" w:hAnsi="Times New Roman" w:cs="Times New Roman"/>
                <w:lang w:val="ro-RO"/>
              </w:rPr>
            </w:pPr>
            <w:r w:rsidRPr="00C43E6D">
              <w:rPr>
                <w:rFonts w:ascii="Times New Roman" w:hAnsi="Times New Roman" w:cs="Times New Roman"/>
              </w:rPr>
              <w:t>Până la 30.</w:t>
            </w:r>
            <w:r w:rsidR="001D685C">
              <w:rPr>
                <w:rFonts w:ascii="Times New Roman" w:hAnsi="Times New Roman" w:cs="Times New Roman"/>
              </w:rPr>
              <w:t>09</w:t>
            </w:r>
            <w:r w:rsidRPr="00C43E6D">
              <w:rPr>
                <w:rFonts w:ascii="Times New Roman" w:hAnsi="Times New Roman" w:cs="Times New Roman"/>
              </w:rPr>
              <w:t>.2025</w:t>
            </w:r>
          </w:p>
        </w:tc>
        <w:tc>
          <w:tcPr>
            <w:tcW w:w="1349" w:type="pct"/>
            <w:shd w:val="clear" w:color="auto" w:fill="auto"/>
            <w:vAlign w:val="center"/>
          </w:tcPr>
          <w:p w14:paraId="3C4A9E43" w14:textId="77777777" w:rsidR="00B012C3" w:rsidRDefault="00B012C3" w:rsidP="00B012C3">
            <w:pPr>
              <w:rPr>
                <w:rFonts w:ascii="Times New Roman" w:hAnsi="Times New Roman" w:cs="Times New Roman"/>
              </w:rPr>
            </w:pPr>
            <w:r>
              <w:rPr>
                <w:rFonts w:ascii="Times New Roman" w:hAnsi="Times New Roman" w:cs="Times New Roman"/>
              </w:rPr>
              <w:t>Ministerul Energiei</w:t>
            </w:r>
          </w:p>
          <w:p w14:paraId="15A635A7" w14:textId="77777777" w:rsidR="00B012C3" w:rsidRDefault="00B012C3" w:rsidP="00B012C3">
            <w:pPr>
              <w:rPr>
                <w:rFonts w:ascii="Times New Roman" w:hAnsi="Times New Roman" w:cs="Times New Roman"/>
              </w:rPr>
            </w:pPr>
            <w:r>
              <w:rPr>
                <w:rFonts w:ascii="Times New Roman" w:hAnsi="Times New Roman" w:cs="Times New Roman"/>
              </w:rPr>
              <w:t>ANRE</w:t>
            </w:r>
          </w:p>
          <w:p w14:paraId="2464FBD2" w14:textId="77777777" w:rsidR="00B012C3" w:rsidRPr="00C43E6D" w:rsidRDefault="00B012C3" w:rsidP="00B012C3">
            <w:pPr>
              <w:rPr>
                <w:rFonts w:ascii="Times New Roman" w:hAnsi="Times New Roman" w:cs="Times New Roman"/>
              </w:rPr>
            </w:pPr>
            <w:r w:rsidRPr="00C43E6D">
              <w:rPr>
                <w:rFonts w:ascii="Times New Roman" w:hAnsi="Times New Roman" w:cs="Times New Roman"/>
              </w:rPr>
              <w:t>ÎCS „Premier Energy” SRL SA „FEE-Nord”</w:t>
            </w:r>
          </w:p>
          <w:p w14:paraId="511D6AF3" w14:textId="77777777" w:rsidR="00B012C3" w:rsidRPr="00C43E6D" w:rsidRDefault="00B012C3" w:rsidP="00B012C3">
            <w:pPr>
              <w:rPr>
                <w:rFonts w:ascii="Times New Roman" w:hAnsi="Times New Roman" w:cs="Times New Roman"/>
              </w:rPr>
            </w:pPr>
            <w:r w:rsidRPr="00C43E6D">
              <w:rPr>
                <w:rFonts w:ascii="Times New Roman" w:hAnsi="Times New Roman" w:cs="Times New Roman"/>
              </w:rPr>
              <w:t>ÎS „Moldelectrica”</w:t>
            </w:r>
          </w:p>
          <w:p w14:paraId="709CC6F0" w14:textId="77777777" w:rsidR="00B012C3" w:rsidRPr="00C43E6D" w:rsidRDefault="00B012C3" w:rsidP="00B012C3">
            <w:pPr>
              <w:rPr>
                <w:rFonts w:ascii="Times New Roman" w:hAnsi="Times New Roman" w:cs="Times New Roman"/>
              </w:rPr>
            </w:pPr>
            <w:r w:rsidRPr="00C43E6D">
              <w:rPr>
                <w:rFonts w:ascii="Times New Roman" w:hAnsi="Times New Roman" w:cs="Times New Roman"/>
              </w:rPr>
              <w:t>SA „RED-Nord”</w:t>
            </w:r>
          </w:p>
          <w:p w14:paraId="361BACCB" w14:textId="4988DD26" w:rsidR="00B012C3" w:rsidRPr="00EE2A79" w:rsidRDefault="00B012C3" w:rsidP="00B012C3">
            <w:pPr>
              <w:rPr>
                <w:rFonts w:ascii="Times New Roman" w:hAnsi="Times New Roman" w:cs="Times New Roman"/>
                <w:lang w:val="ro-RO"/>
              </w:rPr>
            </w:pPr>
            <w:r w:rsidRPr="00C43E6D">
              <w:rPr>
                <w:rFonts w:ascii="Times New Roman" w:hAnsi="Times New Roman" w:cs="Times New Roman"/>
              </w:rPr>
              <w:t>ÎCS „Premier Energy Distribution” SA</w:t>
            </w:r>
          </w:p>
        </w:tc>
      </w:tr>
      <w:tr w:rsidR="001E7C78" w:rsidRPr="00C43E6D" w14:paraId="115F8663" w14:textId="77777777" w:rsidTr="001E7C78">
        <w:trPr>
          <w:trHeight w:val="162"/>
        </w:trPr>
        <w:tc>
          <w:tcPr>
            <w:tcW w:w="5000" w:type="pct"/>
            <w:gridSpan w:val="4"/>
            <w:shd w:val="clear" w:color="auto" w:fill="E2EFD9" w:themeFill="accent6" w:themeFillTint="33"/>
            <w:vAlign w:val="center"/>
          </w:tcPr>
          <w:p w14:paraId="4D45FF4A" w14:textId="1A372938" w:rsidR="001E7C78" w:rsidRPr="001E7C78" w:rsidRDefault="001E7C78" w:rsidP="001E7C78">
            <w:pPr>
              <w:pStyle w:val="ListParagraph"/>
              <w:numPr>
                <w:ilvl w:val="0"/>
                <w:numId w:val="8"/>
              </w:numPr>
              <w:ind w:left="313" w:hanging="342"/>
              <w:jc w:val="center"/>
              <w:rPr>
                <w:rFonts w:ascii="Times New Roman" w:hAnsi="Times New Roman" w:cs="Times New Roman"/>
              </w:rPr>
            </w:pPr>
            <w:r>
              <w:rPr>
                <w:rFonts w:ascii="Times New Roman" w:hAnsi="Times New Roman" w:cs="Times New Roman"/>
                <w:b/>
                <w:bCs/>
                <w:lang w:val="ro-RO"/>
              </w:rPr>
              <w:t>G</w:t>
            </w:r>
            <w:r w:rsidRPr="001E7C78">
              <w:rPr>
                <w:rFonts w:ascii="Times New Roman" w:hAnsi="Times New Roman" w:cs="Times New Roman"/>
                <w:b/>
                <w:bCs/>
                <w:lang w:val="ro-RO"/>
              </w:rPr>
              <w:t>aze naturale</w:t>
            </w:r>
          </w:p>
        </w:tc>
      </w:tr>
      <w:tr w:rsidR="00B012C3" w:rsidRPr="00C43E6D" w14:paraId="58F2D406" w14:textId="77777777" w:rsidTr="00A41F94">
        <w:trPr>
          <w:trHeight w:val="162"/>
        </w:trPr>
        <w:tc>
          <w:tcPr>
            <w:tcW w:w="323" w:type="pct"/>
            <w:vAlign w:val="center"/>
          </w:tcPr>
          <w:p w14:paraId="333973D6" w14:textId="5C058375" w:rsidR="00B012C3" w:rsidRDefault="001D685C" w:rsidP="00B012C3">
            <w:pPr>
              <w:jc w:val="center"/>
              <w:rPr>
                <w:rFonts w:ascii="Times New Roman" w:hAnsi="Times New Roman" w:cs="Times New Roman"/>
                <w:color w:val="000000"/>
              </w:rPr>
            </w:pPr>
            <w:r>
              <w:rPr>
                <w:rFonts w:ascii="Times New Roman" w:hAnsi="Times New Roman" w:cs="Times New Roman"/>
                <w:color w:val="000000"/>
              </w:rPr>
              <w:t>7</w:t>
            </w:r>
          </w:p>
        </w:tc>
        <w:tc>
          <w:tcPr>
            <w:tcW w:w="2440" w:type="pct"/>
            <w:shd w:val="clear" w:color="auto" w:fill="FFFFFF" w:themeFill="background1"/>
            <w:vAlign w:val="center"/>
          </w:tcPr>
          <w:p w14:paraId="3E1DA8B1" w14:textId="583BEED1" w:rsidR="00B012C3" w:rsidRPr="00C43E6D" w:rsidRDefault="00B012C3" w:rsidP="00B012C3">
            <w:pPr>
              <w:jc w:val="both"/>
              <w:rPr>
                <w:rFonts w:ascii="Times New Roman" w:hAnsi="Times New Roman" w:cs="Times New Roman"/>
                <w:lang w:eastAsia="ru-RU"/>
              </w:rPr>
            </w:pPr>
            <w:r w:rsidRPr="00C43E6D">
              <w:rPr>
                <w:rFonts w:ascii="Times New Roman" w:hAnsi="Times New Roman" w:cs="Times New Roman"/>
              </w:rPr>
              <w:t>Achiziționarea gazelor naturale din mai multe surse și asigurarea transportării acestora prin diferite rute de aprovizionare</w:t>
            </w:r>
          </w:p>
        </w:tc>
        <w:tc>
          <w:tcPr>
            <w:tcW w:w="888" w:type="pct"/>
            <w:shd w:val="clear" w:color="auto" w:fill="auto"/>
            <w:vAlign w:val="center"/>
          </w:tcPr>
          <w:p w14:paraId="12DD6C60" w14:textId="0E45BBFE" w:rsidR="00B012C3" w:rsidRPr="00C43E6D" w:rsidRDefault="00B012C3" w:rsidP="00B012C3">
            <w:pPr>
              <w:jc w:val="center"/>
              <w:rPr>
                <w:rFonts w:ascii="Times New Roman" w:hAnsi="Times New Roman" w:cs="Times New Roman"/>
              </w:rPr>
            </w:pPr>
            <w:r w:rsidRPr="00C43E6D">
              <w:rPr>
                <w:rFonts w:ascii="Times New Roman" w:hAnsi="Times New Roman" w:cs="Times New Roman"/>
              </w:rPr>
              <w:t>Permanent</w:t>
            </w:r>
          </w:p>
        </w:tc>
        <w:tc>
          <w:tcPr>
            <w:tcW w:w="1349" w:type="pct"/>
            <w:shd w:val="clear" w:color="auto" w:fill="auto"/>
            <w:vAlign w:val="center"/>
          </w:tcPr>
          <w:p w14:paraId="53936768" w14:textId="2449C09D" w:rsidR="00B012C3" w:rsidRDefault="00B012C3" w:rsidP="00B012C3">
            <w:pPr>
              <w:rPr>
                <w:rFonts w:ascii="Times New Roman" w:hAnsi="Times New Roman" w:cs="Times New Roman"/>
              </w:rPr>
            </w:pPr>
            <w:r w:rsidRPr="00C43E6D">
              <w:rPr>
                <w:rFonts w:ascii="Times New Roman" w:hAnsi="Times New Roman" w:cs="Times New Roman"/>
              </w:rPr>
              <w:t>Titularii de licențe pentru furnizarea gazelor naturale</w:t>
            </w:r>
          </w:p>
        </w:tc>
      </w:tr>
      <w:tr w:rsidR="00B012C3" w:rsidRPr="00C43E6D" w14:paraId="391CF2A2" w14:textId="77777777" w:rsidTr="00A41F94">
        <w:trPr>
          <w:trHeight w:val="162"/>
        </w:trPr>
        <w:tc>
          <w:tcPr>
            <w:tcW w:w="323" w:type="pct"/>
            <w:vAlign w:val="center"/>
          </w:tcPr>
          <w:p w14:paraId="10EE8855" w14:textId="5A90FDFD" w:rsidR="00B012C3" w:rsidRDefault="001D685C" w:rsidP="00B012C3">
            <w:pPr>
              <w:jc w:val="center"/>
              <w:rPr>
                <w:rFonts w:ascii="Times New Roman" w:hAnsi="Times New Roman" w:cs="Times New Roman"/>
                <w:color w:val="000000"/>
              </w:rPr>
            </w:pPr>
            <w:r>
              <w:rPr>
                <w:rFonts w:ascii="Times New Roman" w:hAnsi="Times New Roman" w:cs="Times New Roman"/>
                <w:color w:val="000000"/>
              </w:rPr>
              <w:t>8</w:t>
            </w:r>
          </w:p>
        </w:tc>
        <w:tc>
          <w:tcPr>
            <w:tcW w:w="2440" w:type="pct"/>
            <w:shd w:val="clear" w:color="auto" w:fill="FFFFFF" w:themeFill="background1"/>
            <w:vAlign w:val="center"/>
          </w:tcPr>
          <w:p w14:paraId="29F0D463" w14:textId="3C6F097F" w:rsidR="00B012C3" w:rsidRPr="00C43E6D" w:rsidRDefault="00B012C3" w:rsidP="00B012C3">
            <w:pPr>
              <w:jc w:val="both"/>
              <w:rPr>
                <w:rFonts w:ascii="Times New Roman" w:hAnsi="Times New Roman" w:cs="Times New Roman"/>
                <w:lang w:eastAsia="ru-RU"/>
              </w:rPr>
            </w:pPr>
            <w:r w:rsidRPr="00C43E6D">
              <w:rPr>
                <w:rFonts w:ascii="Times New Roman" w:hAnsi="Times New Roman" w:cs="Times New Roman"/>
              </w:rPr>
              <w:t xml:space="preserve">Asigurarea disponibilității operaționalizării împrumutului extern dintre SA ,,Energocom” și Banca </w:t>
            </w:r>
            <w:r w:rsidRPr="00C43E6D">
              <w:rPr>
                <w:rFonts w:ascii="Times New Roman" w:hAnsi="Times New Roman" w:cs="Times New Roman"/>
              </w:rPr>
              <w:lastRenderedPageBreak/>
              <w:t>Europeană pentru Reconstrucție și Dezvoltare, destinat realizării Proiectului ,,Consolidarea securității energetice a Republicii Moldova”</w:t>
            </w:r>
          </w:p>
        </w:tc>
        <w:tc>
          <w:tcPr>
            <w:tcW w:w="888" w:type="pct"/>
            <w:shd w:val="clear" w:color="auto" w:fill="auto"/>
            <w:vAlign w:val="center"/>
          </w:tcPr>
          <w:p w14:paraId="17109396" w14:textId="0ACC2B66" w:rsidR="00B012C3" w:rsidRPr="00C43E6D" w:rsidRDefault="00B012C3" w:rsidP="00B012C3">
            <w:pPr>
              <w:jc w:val="center"/>
              <w:rPr>
                <w:rFonts w:ascii="Times New Roman" w:hAnsi="Times New Roman" w:cs="Times New Roman"/>
              </w:rPr>
            </w:pPr>
            <w:r w:rsidRPr="00A80BAA">
              <w:rPr>
                <w:rFonts w:ascii="Times New Roman" w:hAnsi="Times New Roman" w:cs="Times New Roman"/>
              </w:rPr>
              <w:lastRenderedPageBreak/>
              <w:t>2025-2026</w:t>
            </w:r>
          </w:p>
        </w:tc>
        <w:tc>
          <w:tcPr>
            <w:tcW w:w="1349" w:type="pct"/>
            <w:shd w:val="clear" w:color="auto" w:fill="auto"/>
            <w:vAlign w:val="center"/>
          </w:tcPr>
          <w:p w14:paraId="55A9AEDC" w14:textId="77777777" w:rsidR="00B012C3" w:rsidRPr="00C43E6D" w:rsidRDefault="00B012C3" w:rsidP="00B012C3">
            <w:pPr>
              <w:rPr>
                <w:rFonts w:ascii="Times New Roman" w:hAnsi="Times New Roman" w:cs="Times New Roman"/>
              </w:rPr>
            </w:pPr>
            <w:r w:rsidRPr="00C43E6D">
              <w:rPr>
                <w:rFonts w:ascii="Times New Roman" w:hAnsi="Times New Roman" w:cs="Times New Roman"/>
              </w:rPr>
              <w:t>SA „Energocom”</w:t>
            </w:r>
          </w:p>
          <w:p w14:paraId="69A620B6" w14:textId="77777777" w:rsidR="00B012C3" w:rsidRPr="00C43E6D" w:rsidRDefault="00B012C3" w:rsidP="00B012C3">
            <w:pPr>
              <w:rPr>
                <w:rFonts w:ascii="Times New Roman" w:hAnsi="Times New Roman" w:cs="Times New Roman"/>
              </w:rPr>
            </w:pPr>
            <w:r w:rsidRPr="00C43E6D">
              <w:rPr>
                <w:rFonts w:ascii="Times New Roman" w:hAnsi="Times New Roman" w:cs="Times New Roman"/>
              </w:rPr>
              <w:lastRenderedPageBreak/>
              <w:t>Agenția Proprietății Publice (APP)</w:t>
            </w:r>
          </w:p>
          <w:p w14:paraId="2541CA73" w14:textId="77777777" w:rsidR="00B012C3" w:rsidRDefault="00B012C3" w:rsidP="00B012C3">
            <w:pPr>
              <w:rPr>
                <w:rFonts w:ascii="Times New Roman" w:hAnsi="Times New Roman" w:cs="Times New Roman"/>
              </w:rPr>
            </w:pPr>
            <w:r w:rsidRPr="00C43E6D">
              <w:rPr>
                <w:rFonts w:ascii="Times New Roman" w:hAnsi="Times New Roman" w:cs="Times New Roman"/>
              </w:rPr>
              <w:t>Ministerul Energiei</w:t>
            </w:r>
          </w:p>
          <w:p w14:paraId="71FAAF1D" w14:textId="68005991" w:rsidR="00B012C3" w:rsidRDefault="00B012C3" w:rsidP="00B012C3">
            <w:pPr>
              <w:rPr>
                <w:rFonts w:ascii="Times New Roman" w:hAnsi="Times New Roman" w:cs="Times New Roman"/>
              </w:rPr>
            </w:pPr>
            <w:r>
              <w:rPr>
                <w:rFonts w:ascii="Times New Roman" w:hAnsi="Times New Roman" w:cs="Times New Roman"/>
              </w:rPr>
              <w:t>Ministerul Finanțelor</w:t>
            </w:r>
          </w:p>
        </w:tc>
      </w:tr>
      <w:tr w:rsidR="00D65549" w:rsidRPr="00C43E6D" w14:paraId="5DBBB8E2" w14:textId="77777777" w:rsidTr="00A41F94">
        <w:trPr>
          <w:trHeight w:val="162"/>
        </w:trPr>
        <w:tc>
          <w:tcPr>
            <w:tcW w:w="323" w:type="pct"/>
            <w:vAlign w:val="center"/>
          </w:tcPr>
          <w:p w14:paraId="72F78D23" w14:textId="076CAEA0" w:rsidR="00D65549" w:rsidRDefault="001D685C" w:rsidP="00D65549">
            <w:pPr>
              <w:jc w:val="center"/>
              <w:rPr>
                <w:rFonts w:ascii="Times New Roman" w:hAnsi="Times New Roman" w:cs="Times New Roman"/>
                <w:color w:val="000000"/>
              </w:rPr>
            </w:pPr>
            <w:r>
              <w:rPr>
                <w:rFonts w:ascii="Times New Roman" w:hAnsi="Times New Roman" w:cs="Times New Roman"/>
                <w:color w:val="000000"/>
              </w:rPr>
              <w:lastRenderedPageBreak/>
              <w:t>9</w:t>
            </w:r>
          </w:p>
        </w:tc>
        <w:tc>
          <w:tcPr>
            <w:tcW w:w="2440" w:type="pct"/>
            <w:shd w:val="clear" w:color="auto" w:fill="FFFFFF" w:themeFill="background1"/>
            <w:vAlign w:val="center"/>
          </w:tcPr>
          <w:p w14:paraId="2FE53076" w14:textId="77777777" w:rsidR="00D65549" w:rsidRPr="00C43E6D" w:rsidRDefault="00D65549" w:rsidP="00D65549">
            <w:pPr>
              <w:jc w:val="both"/>
              <w:rPr>
                <w:rFonts w:ascii="Times New Roman" w:hAnsi="Times New Roman" w:cs="Times New Roman"/>
              </w:rPr>
            </w:pPr>
            <w:r w:rsidRPr="00C43E6D">
              <w:rPr>
                <w:rFonts w:ascii="Times New Roman" w:hAnsi="Times New Roman" w:cs="Times New Roman"/>
              </w:rPr>
              <w:t>Stabilirea pragurilor de consum pentru identificarea și atribuirea categoriilor de consumatori în funcție de consumul de gaze naturale al acestora după cum urmează:</w:t>
            </w:r>
          </w:p>
          <w:p w14:paraId="0680FB68" w14:textId="77777777" w:rsidR="00D65549" w:rsidRPr="00C43E6D" w:rsidRDefault="00D65549" w:rsidP="00D65549">
            <w:pPr>
              <w:pStyle w:val="ListParagraph"/>
              <w:numPr>
                <w:ilvl w:val="0"/>
                <w:numId w:val="5"/>
              </w:numPr>
              <w:jc w:val="both"/>
              <w:rPr>
                <w:rFonts w:ascii="Times New Roman" w:hAnsi="Times New Roman" w:cs="Times New Roman"/>
              </w:rPr>
            </w:pPr>
            <w:r w:rsidRPr="00C43E6D">
              <w:rPr>
                <w:rFonts w:ascii="Times New Roman" w:hAnsi="Times New Roman" w:cs="Times New Roman"/>
              </w:rPr>
              <w:t>consumatori non</w:t>
            </w:r>
            <w:r>
              <w:rPr>
                <w:rFonts w:ascii="Times New Roman" w:hAnsi="Times New Roman" w:cs="Times New Roman"/>
              </w:rPr>
              <w:t>-</w:t>
            </w:r>
            <w:r w:rsidRPr="00C43E6D">
              <w:rPr>
                <w:rFonts w:ascii="Times New Roman" w:hAnsi="Times New Roman" w:cs="Times New Roman"/>
              </w:rPr>
              <w:t xml:space="preserve">casnici mari, </w:t>
            </w:r>
          </w:p>
          <w:p w14:paraId="2E97BDD5" w14:textId="77777777" w:rsidR="00D65549" w:rsidRDefault="00D65549" w:rsidP="00D65549">
            <w:pPr>
              <w:pStyle w:val="ListParagraph"/>
              <w:numPr>
                <w:ilvl w:val="0"/>
                <w:numId w:val="5"/>
              </w:numPr>
              <w:jc w:val="both"/>
              <w:rPr>
                <w:rFonts w:ascii="Times New Roman" w:hAnsi="Times New Roman" w:cs="Times New Roman"/>
              </w:rPr>
            </w:pPr>
            <w:r w:rsidRPr="00C43E6D">
              <w:rPr>
                <w:rFonts w:ascii="Times New Roman" w:hAnsi="Times New Roman" w:cs="Times New Roman"/>
              </w:rPr>
              <w:t>consumatori non</w:t>
            </w:r>
            <w:r>
              <w:rPr>
                <w:rFonts w:ascii="Times New Roman" w:hAnsi="Times New Roman" w:cs="Times New Roman"/>
              </w:rPr>
              <w:t>-</w:t>
            </w:r>
            <w:r w:rsidRPr="00C43E6D">
              <w:rPr>
                <w:rFonts w:ascii="Times New Roman" w:hAnsi="Times New Roman" w:cs="Times New Roman"/>
              </w:rPr>
              <w:t>casnici mijlocii</w:t>
            </w:r>
          </w:p>
          <w:p w14:paraId="1DEE5F6B" w14:textId="05732D26" w:rsidR="00D65549" w:rsidRPr="00D65549" w:rsidRDefault="00D65549" w:rsidP="00D65549">
            <w:pPr>
              <w:pStyle w:val="ListParagraph"/>
              <w:numPr>
                <w:ilvl w:val="0"/>
                <w:numId w:val="5"/>
              </w:numPr>
              <w:jc w:val="both"/>
              <w:rPr>
                <w:rFonts w:ascii="Times New Roman" w:hAnsi="Times New Roman" w:cs="Times New Roman"/>
              </w:rPr>
            </w:pPr>
            <w:r w:rsidRPr="00D65549">
              <w:rPr>
                <w:rFonts w:ascii="Times New Roman" w:hAnsi="Times New Roman" w:cs="Times New Roman"/>
              </w:rPr>
              <w:t>consumatori non-casnici mici</w:t>
            </w:r>
          </w:p>
        </w:tc>
        <w:tc>
          <w:tcPr>
            <w:tcW w:w="888" w:type="pct"/>
            <w:shd w:val="clear" w:color="auto" w:fill="auto"/>
            <w:vAlign w:val="center"/>
          </w:tcPr>
          <w:p w14:paraId="5CCF4E55" w14:textId="6F73F030" w:rsidR="00D65549" w:rsidRPr="00A80BAA" w:rsidRDefault="00C40CB5" w:rsidP="00D65549">
            <w:pPr>
              <w:jc w:val="center"/>
              <w:rPr>
                <w:rFonts w:ascii="Times New Roman" w:hAnsi="Times New Roman" w:cs="Times New Roman"/>
              </w:rPr>
            </w:pPr>
            <w:r w:rsidRPr="00C43E6D">
              <w:rPr>
                <w:rFonts w:ascii="Times New Roman" w:hAnsi="Times New Roman" w:cs="Times New Roman"/>
              </w:rPr>
              <w:t>0</w:t>
            </w:r>
            <w:r>
              <w:rPr>
                <w:rFonts w:ascii="Times New Roman" w:hAnsi="Times New Roman" w:cs="Times New Roman"/>
              </w:rPr>
              <w:t>4</w:t>
            </w:r>
            <w:r w:rsidR="00D65549" w:rsidRPr="00C43E6D">
              <w:rPr>
                <w:rFonts w:ascii="Times New Roman" w:hAnsi="Times New Roman" w:cs="Times New Roman"/>
              </w:rPr>
              <w:t>.08.2025</w:t>
            </w:r>
          </w:p>
        </w:tc>
        <w:tc>
          <w:tcPr>
            <w:tcW w:w="1349" w:type="pct"/>
            <w:shd w:val="clear" w:color="auto" w:fill="auto"/>
            <w:vAlign w:val="center"/>
          </w:tcPr>
          <w:p w14:paraId="17FCF124" w14:textId="571309E3" w:rsidR="00D65549" w:rsidRPr="00C43E6D" w:rsidRDefault="00D65549" w:rsidP="00D65549">
            <w:pPr>
              <w:rPr>
                <w:rFonts w:ascii="Times New Roman" w:hAnsi="Times New Roman" w:cs="Times New Roman"/>
              </w:rPr>
            </w:pPr>
            <w:r w:rsidRPr="00C43E6D">
              <w:rPr>
                <w:rFonts w:ascii="Times New Roman" w:hAnsi="Times New Roman" w:cs="Times New Roman"/>
              </w:rPr>
              <w:t>ANRE</w:t>
            </w:r>
          </w:p>
        </w:tc>
      </w:tr>
      <w:tr w:rsidR="00D65549" w:rsidRPr="00C43E6D" w14:paraId="5471D76E" w14:textId="77777777" w:rsidTr="00A41F94">
        <w:trPr>
          <w:trHeight w:val="162"/>
        </w:trPr>
        <w:tc>
          <w:tcPr>
            <w:tcW w:w="323" w:type="pct"/>
            <w:vAlign w:val="center"/>
          </w:tcPr>
          <w:p w14:paraId="7D3BEF53" w14:textId="4DD246E4" w:rsidR="00D65549" w:rsidRDefault="001D685C" w:rsidP="00D65549">
            <w:pPr>
              <w:jc w:val="center"/>
              <w:rPr>
                <w:rFonts w:ascii="Times New Roman" w:hAnsi="Times New Roman" w:cs="Times New Roman"/>
                <w:color w:val="000000"/>
              </w:rPr>
            </w:pPr>
            <w:r>
              <w:rPr>
                <w:rFonts w:ascii="Times New Roman" w:hAnsi="Times New Roman" w:cs="Times New Roman"/>
                <w:color w:val="000000"/>
              </w:rPr>
              <w:t>10</w:t>
            </w:r>
          </w:p>
        </w:tc>
        <w:tc>
          <w:tcPr>
            <w:tcW w:w="2440" w:type="pct"/>
            <w:shd w:val="clear" w:color="auto" w:fill="FFFFFF" w:themeFill="background1"/>
            <w:vAlign w:val="center"/>
          </w:tcPr>
          <w:p w14:paraId="7F593AF6" w14:textId="185A0E4F" w:rsidR="00D65549" w:rsidRPr="00C43E6D" w:rsidRDefault="00D65549" w:rsidP="00D65549">
            <w:pPr>
              <w:jc w:val="both"/>
              <w:rPr>
                <w:rFonts w:ascii="Times New Roman" w:hAnsi="Times New Roman" w:cs="Times New Roman"/>
              </w:rPr>
            </w:pPr>
            <w:r w:rsidRPr="00C43E6D">
              <w:rPr>
                <w:rFonts w:ascii="Times New Roman" w:hAnsi="Times New Roman" w:cs="Times New Roman"/>
              </w:rPr>
              <w:t xml:space="preserve">Aprobarea unui calendar privind restricționarea  treptată a accesului consumatorilor non-casnici mari și mijlocii la serviciul de furnizare a gazelor naturale în contextul obligației de serviciu public prevăzute la articolul 89 </w:t>
            </w:r>
            <w:r w:rsidR="001D685C">
              <w:rPr>
                <w:rFonts w:ascii="Times New Roman" w:hAnsi="Times New Roman" w:cs="Times New Roman"/>
              </w:rPr>
              <w:t xml:space="preserve">alin. (1) </w:t>
            </w:r>
            <w:r w:rsidRPr="00C43E6D">
              <w:rPr>
                <w:rFonts w:ascii="Times New Roman" w:hAnsi="Times New Roman" w:cs="Times New Roman"/>
              </w:rPr>
              <w:t>din Legea nr. 108/2016</w:t>
            </w:r>
            <w:r>
              <w:t xml:space="preserve"> </w:t>
            </w:r>
            <w:r w:rsidRPr="00032766">
              <w:rPr>
                <w:rFonts w:ascii="Times New Roman" w:hAnsi="Times New Roman" w:cs="Times New Roman"/>
              </w:rPr>
              <w:t>cu privire la gazele naturale</w:t>
            </w:r>
          </w:p>
        </w:tc>
        <w:tc>
          <w:tcPr>
            <w:tcW w:w="888" w:type="pct"/>
            <w:shd w:val="clear" w:color="auto" w:fill="auto"/>
            <w:vAlign w:val="center"/>
          </w:tcPr>
          <w:p w14:paraId="1D37DA4B" w14:textId="106F2C00" w:rsidR="00D65549" w:rsidRPr="00A80BAA" w:rsidRDefault="00D65549" w:rsidP="00D65549">
            <w:pPr>
              <w:jc w:val="center"/>
              <w:rPr>
                <w:rFonts w:ascii="Times New Roman" w:hAnsi="Times New Roman" w:cs="Times New Roman"/>
              </w:rPr>
            </w:pPr>
            <w:r w:rsidRPr="00C43E6D">
              <w:rPr>
                <w:rFonts w:ascii="Times New Roman" w:hAnsi="Times New Roman" w:cs="Times New Roman"/>
              </w:rPr>
              <w:t>01.10.2025</w:t>
            </w:r>
          </w:p>
        </w:tc>
        <w:tc>
          <w:tcPr>
            <w:tcW w:w="1349" w:type="pct"/>
            <w:shd w:val="clear" w:color="auto" w:fill="auto"/>
            <w:vAlign w:val="center"/>
          </w:tcPr>
          <w:p w14:paraId="02BE2A85" w14:textId="13F7AA02" w:rsidR="00D65549" w:rsidRPr="00C43E6D" w:rsidRDefault="00D65549" w:rsidP="00D65549">
            <w:pPr>
              <w:rPr>
                <w:rFonts w:ascii="Times New Roman" w:hAnsi="Times New Roman" w:cs="Times New Roman"/>
              </w:rPr>
            </w:pPr>
            <w:r w:rsidRPr="00C43E6D">
              <w:rPr>
                <w:rFonts w:ascii="Times New Roman" w:hAnsi="Times New Roman" w:cs="Times New Roman"/>
              </w:rPr>
              <w:t>ANRE</w:t>
            </w:r>
          </w:p>
        </w:tc>
      </w:tr>
      <w:tr w:rsidR="00D65549" w:rsidRPr="00C43E6D" w14:paraId="1450248B" w14:textId="77777777" w:rsidTr="00A41F94">
        <w:trPr>
          <w:trHeight w:val="162"/>
        </w:trPr>
        <w:tc>
          <w:tcPr>
            <w:tcW w:w="323" w:type="pct"/>
            <w:vAlign w:val="center"/>
          </w:tcPr>
          <w:p w14:paraId="5849ECC7" w14:textId="16F67092" w:rsidR="00D65549" w:rsidRDefault="001D685C" w:rsidP="00D65549">
            <w:pPr>
              <w:jc w:val="center"/>
              <w:rPr>
                <w:rFonts w:ascii="Times New Roman" w:hAnsi="Times New Roman" w:cs="Times New Roman"/>
                <w:color w:val="000000"/>
              </w:rPr>
            </w:pPr>
            <w:r>
              <w:rPr>
                <w:rFonts w:ascii="Times New Roman" w:hAnsi="Times New Roman" w:cs="Times New Roman"/>
                <w:color w:val="000000"/>
              </w:rPr>
              <w:t>11</w:t>
            </w:r>
          </w:p>
        </w:tc>
        <w:tc>
          <w:tcPr>
            <w:tcW w:w="2440" w:type="pct"/>
            <w:shd w:val="clear" w:color="auto" w:fill="FFFFFF" w:themeFill="background1"/>
            <w:vAlign w:val="center"/>
          </w:tcPr>
          <w:p w14:paraId="270D7FE3" w14:textId="07495F6B" w:rsidR="00D65549" w:rsidRPr="00C43E6D" w:rsidRDefault="00D65549" w:rsidP="00D65549">
            <w:pPr>
              <w:jc w:val="both"/>
              <w:rPr>
                <w:rFonts w:ascii="Times New Roman" w:hAnsi="Times New Roman" w:cs="Times New Roman"/>
              </w:rPr>
            </w:pPr>
            <w:r w:rsidRPr="00C43E6D">
              <w:rPr>
                <w:rFonts w:ascii="Times New Roman" w:hAnsi="Times New Roman" w:cs="Times New Roman"/>
              </w:rPr>
              <w:t>Publicarea pe paginile web a operatorilor de sistem a listelor de consumatori noncasnici mari</w:t>
            </w:r>
            <w:r w:rsidR="002B6BC3">
              <w:rPr>
                <w:rFonts w:ascii="Times New Roman" w:hAnsi="Times New Roman" w:cs="Times New Roman"/>
              </w:rPr>
              <w:t xml:space="preserve"> de gaze naturale</w:t>
            </w:r>
            <w:r w:rsidRPr="00C43E6D">
              <w:rPr>
                <w:rFonts w:ascii="Times New Roman" w:hAnsi="Times New Roman" w:cs="Times New Roman"/>
              </w:rPr>
              <w:t xml:space="preserve">, cu respectarea confidențialității datelor </w:t>
            </w:r>
            <w:r w:rsidR="001D685C">
              <w:rPr>
                <w:rFonts w:ascii="Times New Roman" w:hAnsi="Times New Roman" w:cs="Times New Roman"/>
              </w:rPr>
              <w:t>cu caracter personal</w:t>
            </w:r>
          </w:p>
        </w:tc>
        <w:tc>
          <w:tcPr>
            <w:tcW w:w="888" w:type="pct"/>
            <w:shd w:val="clear" w:color="auto" w:fill="auto"/>
            <w:vAlign w:val="center"/>
          </w:tcPr>
          <w:p w14:paraId="4BEFE907" w14:textId="24DE3F33" w:rsidR="00D65549" w:rsidRPr="00C43E6D" w:rsidRDefault="00C40CB5" w:rsidP="00D65549">
            <w:pPr>
              <w:jc w:val="center"/>
              <w:rPr>
                <w:rFonts w:ascii="Times New Roman" w:hAnsi="Times New Roman" w:cs="Times New Roman"/>
              </w:rPr>
            </w:pPr>
            <w:r w:rsidRPr="00C43E6D">
              <w:rPr>
                <w:rFonts w:ascii="Times New Roman" w:hAnsi="Times New Roman" w:cs="Times New Roman"/>
              </w:rPr>
              <w:t>0</w:t>
            </w:r>
            <w:r>
              <w:rPr>
                <w:rFonts w:ascii="Times New Roman" w:hAnsi="Times New Roman" w:cs="Times New Roman"/>
              </w:rPr>
              <w:t>3</w:t>
            </w:r>
            <w:r w:rsidR="00D65549" w:rsidRPr="00C43E6D">
              <w:rPr>
                <w:rFonts w:ascii="Times New Roman" w:hAnsi="Times New Roman" w:cs="Times New Roman"/>
              </w:rPr>
              <w:t>.09.2025</w:t>
            </w:r>
          </w:p>
        </w:tc>
        <w:tc>
          <w:tcPr>
            <w:tcW w:w="1349" w:type="pct"/>
            <w:shd w:val="clear" w:color="auto" w:fill="auto"/>
            <w:vAlign w:val="center"/>
          </w:tcPr>
          <w:p w14:paraId="5A37ADFB" w14:textId="77777777" w:rsidR="00D65549" w:rsidRPr="00C43E6D" w:rsidRDefault="00D65549" w:rsidP="00D65549">
            <w:pPr>
              <w:rPr>
                <w:rFonts w:ascii="Times New Roman" w:hAnsi="Times New Roman" w:cs="Times New Roman"/>
              </w:rPr>
            </w:pPr>
            <w:r w:rsidRPr="00C43E6D">
              <w:rPr>
                <w:rFonts w:ascii="Times New Roman" w:hAnsi="Times New Roman" w:cs="Times New Roman"/>
              </w:rPr>
              <w:t xml:space="preserve">SRL „Vestmoldtransgaz” </w:t>
            </w:r>
          </w:p>
          <w:p w14:paraId="251A63A8" w14:textId="3F4274BC" w:rsidR="00D65549" w:rsidRPr="00C43E6D" w:rsidRDefault="00D65549" w:rsidP="00D65549">
            <w:pPr>
              <w:rPr>
                <w:rFonts w:ascii="Times New Roman" w:hAnsi="Times New Roman" w:cs="Times New Roman"/>
              </w:rPr>
            </w:pPr>
            <w:r w:rsidRPr="00C43E6D">
              <w:rPr>
                <w:rFonts w:ascii="Times New Roman" w:hAnsi="Times New Roman" w:cs="Times New Roman"/>
              </w:rPr>
              <w:t>Operatorii sistemelor de distribuție</w:t>
            </w:r>
            <w:r w:rsidR="002B6BC3">
              <w:rPr>
                <w:rFonts w:ascii="Times New Roman" w:hAnsi="Times New Roman" w:cs="Times New Roman"/>
              </w:rPr>
              <w:t xml:space="preserve"> a gazelor naturale</w:t>
            </w:r>
          </w:p>
          <w:p w14:paraId="4DCB88E9" w14:textId="7D2B4B42" w:rsidR="00D65549" w:rsidRPr="00C43E6D" w:rsidRDefault="00D65549" w:rsidP="00D65549">
            <w:pPr>
              <w:rPr>
                <w:rFonts w:ascii="Times New Roman" w:hAnsi="Times New Roman" w:cs="Times New Roman"/>
              </w:rPr>
            </w:pPr>
          </w:p>
        </w:tc>
      </w:tr>
      <w:tr w:rsidR="00D65549" w:rsidRPr="00C43E6D" w14:paraId="546C6003" w14:textId="77777777" w:rsidTr="00A41F94">
        <w:trPr>
          <w:trHeight w:val="162"/>
        </w:trPr>
        <w:tc>
          <w:tcPr>
            <w:tcW w:w="323" w:type="pct"/>
            <w:vAlign w:val="center"/>
          </w:tcPr>
          <w:p w14:paraId="4A363F89" w14:textId="00F32AFA" w:rsidR="00D65549" w:rsidRDefault="001D685C" w:rsidP="00D65549">
            <w:pPr>
              <w:jc w:val="center"/>
              <w:rPr>
                <w:rFonts w:ascii="Times New Roman" w:hAnsi="Times New Roman" w:cs="Times New Roman"/>
                <w:color w:val="000000"/>
              </w:rPr>
            </w:pPr>
            <w:r>
              <w:rPr>
                <w:rFonts w:ascii="Times New Roman" w:hAnsi="Times New Roman" w:cs="Times New Roman"/>
                <w:color w:val="000000"/>
              </w:rPr>
              <w:t>12</w:t>
            </w:r>
          </w:p>
        </w:tc>
        <w:tc>
          <w:tcPr>
            <w:tcW w:w="2440" w:type="pct"/>
            <w:shd w:val="clear" w:color="auto" w:fill="FFFFFF" w:themeFill="background1"/>
            <w:vAlign w:val="center"/>
          </w:tcPr>
          <w:p w14:paraId="1E3043A3" w14:textId="168EA73D" w:rsidR="00D65549" w:rsidRPr="00C43E6D" w:rsidRDefault="00D65549" w:rsidP="00D65549">
            <w:pPr>
              <w:jc w:val="both"/>
              <w:rPr>
                <w:rFonts w:ascii="Times New Roman" w:hAnsi="Times New Roman" w:cs="Times New Roman"/>
              </w:rPr>
            </w:pPr>
            <w:r w:rsidRPr="00C43E6D">
              <w:rPr>
                <w:rFonts w:ascii="Times New Roman" w:hAnsi="Times New Roman" w:cs="Times New Roman"/>
              </w:rPr>
              <w:t>Planificarea timpurie pentru realizarea prevederilor art. 114 alin. (3</w:t>
            </w:r>
            <w:r w:rsidRPr="00C43E6D">
              <w:rPr>
                <w:rFonts w:ascii="Times New Roman" w:hAnsi="Times New Roman" w:cs="Times New Roman"/>
                <w:vertAlign w:val="superscript"/>
              </w:rPr>
              <w:t>1</w:t>
            </w:r>
            <w:r w:rsidRPr="00C43E6D">
              <w:rPr>
                <w:rFonts w:ascii="Times New Roman" w:hAnsi="Times New Roman" w:cs="Times New Roman"/>
              </w:rPr>
              <w:t>) și (4) din Legea nr. 108/2016 cu privire la gazele naturale, ce se referă la liberalizarea pieței gazelor naturale și inițierea, după caz, a negocierii contractelor de furnizare a gazelor naturale cu furnizorii de gaze naturale</w:t>
            </w:r>
          </w:p>
        </w:tc>
        <w:tc>
          <w:tcPr>
            <w:tcW w:w="888" w:type="pct"/>
            <w:shd w:val="clear" w:color="auto" w:fill="auto"/>
            <w:vAlign w:val="center"/>
          </w:tcPr>
          <w:p w14:paraId="3C9F8807" w14:textId="79B28D46" w:rsidR="00D65549" w:rsidRPr="00C43E6D" w:rsidRDefault="00D65549" w:rsidP="00D65549">
            <w:pPr>
              <w:jc w:val="center"/>
              <w:rPr>
                <w:rFonts w:ascii="Times New Roman" w:hAnsi="Times New Roman" w:cs="Times New Roman"/>
              </w:rPr>
            </w:pPr>
            <w:r w:rsidRPr="00C43E6D">
              <w:rPr>
                <w:rFonts w:ascii="Times New Roman" w:hAnsi="Times New Roman" w:cs="Times New Roman"/>
              </w:rPr>
              <w:t>01.08.2025-01.04.2026</w:t>
            </w:r>
          </w:p>
        </w:tc>
        <w:tc>
          <w:tcPr>
            <w:tcW w:w="1349" w:type="pct"/>
            <w:shd w:val="clear" w:color="auto" w:fill="auto"/>
            <w:vAlign w:val="center"/>
          </w:tcPr>
          <w:p w14:paraId="51E2B206" w14:textId="77777777" w:rsidR="00D65549" w:rsidRPr="00C43E6D" w:rsidRDefault="00D65549" w:rsidP="00D65549">
            <w:pPr>
              <w:rPr>
                <w:rFonts w:ascii="Times New Roman" w:hAnsi="Times New Roman" w:cs="Times New Roman"/>
              </w:rPr>
            </w:pPr>
            <w:r w:rsidRPr="00C43E6D">
              <w:rPr>
                <w:rFonts w:ascii="Times New Roman" w:hAnsi="Times New Roman" w:cs="Times New Roman"/>
              </w:rPr>
              <w:t xml:space="preserve">Consumatorii non-casnici mari </w:t>
            </w:r>
          </w:p>
          <w:p w14:paraId="4F3236C7" w14:textId="00D46E85" w:rsidR="00D65549" w:rsidRPr="00C43E6D" w:rsidRDefault="00D65549" w:rsidP="00D65549">
            <w:pPr>
              <w:rPr>
                <w:rFonts w:ascii="Times New Roman" w:hAnsi="Times New Roman" w:cs="Times New Roman"/>
              </w:rPr>
            </w:pPr>
            <w:r w:rsidRPr="00C43E6D">
              <w:rPr>
                <w:rFonts w:ascii="Times New Roman" w:hAnsi="Times New Roman" w:cs="Times New Roman"/>
              </w:rPr>
              <w:t>Titularii de licențe pentru furnizarea gazelor naturale</w:t>
            </w:r>
          </w:p>
        </w:tc>
      </w:tr>
      <w:tr w:rsidR="00D65549" w:rsidRPr="00C43E6D" w14:paraId="08A0A1F7" w14:textId="77777777" w:rsidTr="00A41F94">
        <w:trPr>
          <w:trHeight w:val="162"/>
        </w:trPr>
        <w:tc>
          <w:tcPr>
            <w:tcW w:w="323" w:type="pct"/>
            <w:vAlign w:val="center"/>
          </w:tcPr>
          <w:p w14:paraId="759EAE76" w14:textId="0BC46003" w:rsidR="00D65549" w:rsidRDefault="001D685C" w:rsidP="00D65549">
            <w:pPr>
              <w:jc w:val="center"/>
              <w:rPr>
                <w:rFonts w:ascii="Times New Roman" w:hAnsi="Times New Roman" w:cs="Times New Roman"/>
                <w:color w:val="000000"/>
              </w:rPr>
            </w:pPr>
            <w:r>
              <w:rPr>
                <w:rFonts w:ascii="Times New Roman" w:hAnsi="Times New Roman" w:cs="Times New Roman"/>
                <w:color w:val="000000"/>
              </w:rPr>
              <w:t>13</w:t>
            </w:r>
          </w:p>
        </w:tc>
        <w:tc>
          <w:tcPr>
            <w:tcW w:w="2440" w:type="pct"/>
            <w:shd w:val="clear" w:color="auto" w:fill="FFFFFF" w:themeFill="background1"/>
            <w:vAlign w:val="center"/>
          </w:tcPr>
          <w:p w14:paraId="6397D944" w14:textId="6306047C" w:rsidR="00D65549" w:rsidRPr="00C43E6D" w:rsidRDefault="00D65549" w:rsidP="00D65549">
            <w:pPr>
              <w:jc w:val="both"/>
              <w:rPr>
                <w:rFonts w:ascii="Times New Roman" w:hAnsi="Times New Roman" w:cs="Times New Roman"/>
              </w:rPr>
            </w:pPr>
            <w:r w:rsidRPr="00C43E6D">
              <w:rPr>
                <w:rFonts w:ascii="Times New Roman" w:hAnsi="Times New Roman" w:cs="Times New Roman"/>
              </w:rPr>
              <w:t>Monitorizarea evoluțiilor pe piața gazelor naturale din Republica Moldova, în contextul posibilității retragerii licenței de furnizare a gazelor naturale SA „Moldovagaz” urmare a neîndeplinirii în termen de până la 31 iulie 2025 a procesul de separare a proprietarilor rețelelor de transport a gazelor naturale în conformitate cu condițiile stipulate la art. 28 din Legea nr. 108/2016</w:t>
            </w:r>
            <w:r>
              <w:t xml:space="preserve"> </w:t>
            </w:r>
            <w:r w:rsidRPr="00032766">
              <w:rPr>
                <w:rFonts w:ascii="Times New Roman" w:hAnsi="Times New Roman" w:cs="Times New Roman"/>
              </w:rPr>
              <w:t>cu privire la gazele naturale</w:t>
            </w:r>
          </w:p>
        </w:tc>
        <w:tc>
          <w:tcPr>
            <w:tcW w:w="888" w:type="pct"/>
            <w:shd w:val="clear" w:color="auto" w:fill="FFFFFF" w:themeFill="background1"/>
            <w:vAlign w:val="center"/>
          </w:tcPr>
          <w:p w14:paraId="5376F99E" w14:textId="72F1D268" w:rsidR="00D65549" w:rsidRPr="00C43E6D" w:rsidRDefault="001836A3" w:rsidP="00D65549">
            <w:pPr>
              <w:jc w:val="center"/>
              <w:rPr>
                <w:rFonts w:ascii="Times New Roman" w:hAnsi="Times New Roman" w:cs="Times New Roman"/>
              </w:rPr>
            </w:pPr>
            <w:r>
              <w:rPr>
                <w:rFonts w:ascii="Times New Roman" w:hAnsi="Times New Roman" w:cs="Times New Roman"/>
              </w:rPr>
              <w:t>Permanent</w:t>
            </w:r>
          </w:p>
        </w:tc>
        <w:tc>
          <w:tcPr>
            <w:tcW w:w="1349" w:type="pct"/>
            <w:shd w:val="clear" w:color="auto" w:fill="auto"/>
            <w:vAlign w:val="center"/>
          </w:tcPr>
          <w:p w14:paraId="7065B7E3" w14:textId="5B6AABCB" w:rsidR="00D65549" w:rsidRDefault="00D65549" w:rsidP="00D65549">
            <w:pPr>
              <w:rPr>
                <w:rFonts w:ascii="Times New Roman" w:hAnsi="Times New Roman" w:cs="Times New Roman"/>
              </w:rPr>
            </w:pPr>
            <w:r w:rsidRPr="00C43E6D">
              <w:rPr>
                <w:rFonts w:ascii="Times New Roman" w:hAnsi="Times New Roman" w:cs="Times New Roman"/>
              </w:rPr>
              <w:t>ANRE</w:t>
            </w:r>
          </w:p>
          <w:p w14:paraId="264D6E1A" w14:textId="078F6CFE" w:rsidR="00270D88" w:rsidRPr="00C43E6D" w:rsidRDefault="00270D88" w:rsidP="00D65549">
            <w:pPr>
              <w:rPr>
                <w:rFonts w:ascii="Times New Roman" w:hAnsi="Times New Roman" w:cs="Times New Roman"/>
              </w:rPr>
            </w:pPr>
            <w:r w:rsidRPr="00C43E6D">
              <w:rPr>
                <w:rFonts w:ascii="Times New Roman" w:hAnsi="Times New Roman" w:cs="Times New Roman"/>
              </w:rPr>
              <w:t>Ministerul Energiei</w:t>
            </w:r>
          </w:p>
          <w:p w14:paraId="094C7DCC" w14:textId="77777777" w:rsidR="00D65549" w:rsidRPr="00C43E6D" w:rsidRDefault="00D65549" w:rsidP="00D65549">
            <w:pPr>
              <w:rPr>
                <w:rFonts w:ascii="Times New Roman" w:hAnsi="Times New Roman" w:cs="Times New Roman"/>
              </w:rPr>
            </w:pPr>
            <w:r w:rsidRPr="00C43E6D">
              <w:rPr>
                <w:rFonts w:ascii="Times New Roman" w:hAnsi="Times New Roman" w:cs="Times New Roman"/>
              </w:rPr>
              <w:t>SA „Energocom”</w:t>
            </w:r>
          </w:p>
          <w:p w14:paraId="1652FC2A" w14:textId="5682B82D" w:rsidR="00D65549" w:rsidRPr="00C43E6D" w:rsidRDefault="00D65549" w:rsidP="00D65549">
            <w:pPr>
              <w:rPr>
                <w:rFonts w:ascii="Times New Roman" w:hAnsi="Times New Roman" w:cs="Times New Roman"/>
              </w:rPr>
            </w:pPr>
            <w:r w:rsidRPr="00C43E6D">
              <w:rPr>
                <w:rFonts w:ascii="Times New Roman" w:hAnsi="Times New Roman" w:cs="Times New Roman"/>
              </w:rPr>
              <w:t>SA „Moldovagaz”</w:t>
            </w:r>
          </w:p>
        </w:tc>
      </w:tr>
      <w:tr w:rsidR="00D65549" w:rsidRPr="00C43E6D" w14:paraId="67BB70B2" w14:textId="77777777" w:rsidTr="00A41F94">
        <w:trPr>
          <w:trHeight w:val="162"/>
        </w:trPr>
        <w:tc>
          <w:tcPr>
            <w:tcW w:w="323" w:type="pct"/>
            <w:vAlign w:val="center"/>
          </w:tcPr>
          <w:p w14:paraId="13FCF9B6" w14:textId="267E309C" w:rsidR="00D65549" w:rsidRPr="00C43E6D" w:rsidRDefault="001D685C" w:rsidP="00D65549">
            <w:pPr>
              <w:jc w:val="center"/>
              <w:rPr>
                <w:rFonts w:ascii="Times New Roman" w:hAnsi="Times New Roman" w:cs="Times New Roman"/>
                <w:color w:val="000000"/>
              </w:rPr>
            </w:pPr>
            <w:bookmarkStart w:id="19" w:name="_Hlk172098552"/>
            <w:r>
              <w:rPr>
                <w:rFonts w:ascii="Times New Roman" w:hAnsi="Times New Roman" w:cs="Times New Roman"/>
                <w:color w:val="000000"/>
              </w:rPr>
              <w:t>14</w:t>
            </w:r>
          </w:p>
        </w:tc>
        <w:tc>
          <w:tcPr>
            <w:tcW w:w="2440" w:type="pct"/>
            <w:shd w:val="clear" w:color="auto" w:fill="auto"/>
            <w:vAlign w:val="center"/>
          </w:tcPr>
          <w:p w14:paraId="6B04673F" w14:textId="5C5C1E0E" w:rsidR="00D65549" w:rsidRPr="00C43E6D" w:rsidRDefault="00D65549" w:rsidP="00D65549">
            <w:pPr>
              <w:jc w:val="both"/>
              <w:rPr>
                <w:rFonts w:ascii="Times New Roman" w:hAnsi="Times New Roman" w:cs="Times New Roman"/>
              </w:rPr>
            </w:pPr>
            <w:r w:rsidRPr="00C43E6D">
              <w:rPr>
                <w:rFonts w:ascii="Times New Roman" w:hAnsi="Times New Roman" w:cs="Times New Roman"/>
              </w:rPr>
              <w:t xml:space="preserve">Monitorizarea asigurării livrărilor de gaze naturale pentru acoperirea necesităților </w:t>
            </w:r>
            <w:r w:rsidR="007433FF" w:rsidRPr="007433FF">
              <w:rPr>
                <w:rFonts w:ascii="Times New Roman" w:hAnsi="Times New Roman" w:cs="Times New Roman"/>
              </w:rPr>
              <w:t>regiun</w:t>
            </w:r>
            <w:r w:rsidR="00007C94">
              <w:rPr>
                <w:rFonts w:ascii="Times New Roman" w:hAnsi="Times New Roman" w:cs="Times New Roman"/>
              </w:rPr>
              <w:t>ii</w:t>
            </w:r>
            <w:r w:rsidR="007433FF" w:rsidRPr="007433FF">
              <w:rPr>
                <w:rFonts w:ascii="Times New Roman" w:hAnsi="Times New Roman" w:cs="Times New Roman"/>
              </w:rPr>
              <w:t xml:space="preserve"> transnistre</w:t>
            </w:r>
            <w:r w:rsidR="00007C94">
              <w:rPr>
                <w:rFonts w:ascii="Times New Roman" w:hAnsi="Times New Roman" w:cs="Times New Roman"/>
              </w:rPr>
              <w:t>ne</w:t>
            </w:r>
            <w:r>
              <w:rPr>
                <w:rFonts w:ascii="Times New Roman" w:hAnsi="Times New Roman" w:cs="Times New Roman"/>
              </w:rPr>
              <w:t>,</w:t>
            </w:r>
            <w:r w:rsidRPr="00C43E6D">
              <w:rPr>
                <w:rFonts w:ascii="Times New Roman" w:hAnsi="Times New Roman" w:cs="Times New Roman"/>
              </w:rPr>
              <w:t xml:space="preserve"> de către entitatea de aprovizionare cu gaze naturale prevăzută la art. 85</w:t>
            </w:r>
            <w:r w:rsidRPr="00C43E6D">
              <w:rPr>
                <w:rFonts w:ascii="Times New Roman" w:hAnsi="Times New Roman" w:cs="Times New Roman"/>
                <w:vertAlign w:val="superscript"/>
              </w:rPr>
              <w:t>1</w:t>
            </w:r>
            <w:r w:rsidRPr="00C43E6D">
              <w:rPr>
                <w:rFonts w:ascii="Times New Roman" w:hAnsi="Times New Roman" w:cs="Times New Roman"/>
              </w:rPr>
              <w:t xml:space="preserve"> alin. (1) din Legea nr. 108/2016 cu privire la gazele naturale</w:t>
            </w:r>
          </w:p>
        </w:tc>
        <w:tc>
          <w:tcPr>
            <w:tcW w:w="888" w:type="pct"/>
            <w:shd w:val="clear" w:color="auto" w:fill="FFFFFF" w:themeFill="background1"/>
            <w:vAlign w:val="center"/>
          </w:tcPr>
          <w:p w14:paraId="22F9DB91" w14:textId="01C8B645" w:rsidR="00D65549" w:rsidRPr="00C43E6D" w:rsidRDefault="001836A3" w:rsidP="00D65549">
            <w:pPr>
              <w:jc w:val="center"/>
              <w:rPr>
                <w:rFonts w:ascii="Times New Roman" w:hAnsi="Times New Roman" w:cs="Times New Roman"/>
              </w:rPr>
            </w:pPr>
            <w:r>
              <w:rPr>
                <w:rFonts w:ascii="Times New Roman" w:hAnsi="Times New Roman" w:cs="Times New Roman"/>
              </w:rPr>
              <w:t>Permanent</w:t>
            </w:r>
          </w:p>
        </w:tc>
        <w:tc>
          <w:tcPr>
            <w:tcW w:w="1349" w:type="pct"/>
            <w:shd w:val="clear" w:color="auto" w:fill="auto"/>
            <w:vAlign w:val="center"/>
          </w:tcPr>
          <w:p w14:paraId="459A48F3" w14:textId="489DF272" w:rsidR="00D65549" w:rsidRDefault="00D65549" w:rsidP="00D65549">
            <w:pPr>
              <w:rPr>
                <w:rFonts w:ascii="Times New Roman" w:hAnsi="Times New Roman" w:cs="Times New Roman"/>
              </w:rPr>
            </w:pPr>
            <w:r w:rsidRPr="00C43E6D">
              <w:rPr>
                <w:rFonts w:ascii="Times New Roman" w:hAnsi="Times New Roman" w:cs="Times New Roman"/>
              </w:rPr>
              <w:t>ANRE</w:t>
            </w:r>
          </w:p>
          <w:p w14:paraId="6E6AD5E1" w14:textId="643C80E7" w:rsidR="00270D88" w:rsidRPr="00C43E6D" w:rsidRDefault="00270D88" w:rsidP="00D65549">
            <w:pPr>
              <w:rPr>
                <w:rFonts w:ascii="Times New Roman" w:hAnsi="Times New Roman" w:cs="Times New Roman"/>
              </w:rPr>
            </w:pPr>
            <w:r w:rsidRPr="00C43E6D">
              <w:rPr>
                <w:rFonts w:ascii="Times New Roman" w:hAnsi="Times New Roman" w:cs="Times New Roman"/>
              </w:rPr>
              <w:t>Ministerul Energiei</w:t>
            </w:r>
          </w:p>
          <w:p w14:paraId="666910EE" w14:textId="2061E2C0" w:rsidR="00D65549" w:rsidRPr="00C43E6D" w:rsidRDefault="00D65549" w:rsidP="00D65549">
            <w:pPr>
              <w:rPr>
                <w:rFonts w:ascii="Times New Roman" w:hAnsi="Times New Roman" w:cs="Times New Roman"/>
              </w:rPr>
            </w:pPr>
            <w:r w:rsidRPr="008A3275">
              <w:rPr>
                <w:rFonts w:ascii="Times New Roman" w:hAnsi="Times New Roman" w:cs="Times New Roman"/>
              </w:rPr>
              <w:t xml:space="preserve">Entitatea </w:t>
            </w:r>
            <w:r w:rsidR="0083382A">
              <w:rPr>
                <w:rFonts w:ascii="Times New Roman" w:hAnsi="Times New Roman" w:cs="Times New Roman"/>
              </w:rPr>
              <w:t>de aprovizionare cu gaze naturale a regiunii transnistrene</w:t>
            </w:r>
          </w:p>
        </w:tc>
      </w:tr>
      <w:bookmarkEnd w:id="19"/>
      <w:tr w:rsidR="00D65549" w:rsidRPr="00C43E6D" w14:paraId="672900E5" w14:textId="77777777" w:rsidTr="00A41F94">
        <w:trPr>
          <w:trHeight w:val="162"/>
        </w:trPr>
        <w:tc>
          <w:tcPr>
            <w:tcW w:w="323" w:type="pct"/>
            <w:shd w:val="clear" w:color="auto" w:fill="FFFFFF" w:themeFill="background1"/>
            <w:vAlign w:val="center"/>
          </w:tcPr>
          <w:p w14:paraId="5BF3F612" w14:textId="66449698" w:rsidR="00D65549" w:rsidRPr="004A045D" w:rsidRDefault="001D685C" w:rsidP="00D65549">
            <w:pPr>
              <w:jc w:val="center"/>
              <w:rPr>
                <w:rFonts w:ascii="Times New Roman" w:hAnsi="Times New Roman" w:cs="Times New Roman"/>
                <w:color w:val="000000" w:themeColor="text1"/>
              </w:rPr>
            </w:pPr>
            <w:r w:rsidRPr="004A045D">
              <w:rPr>
                <w:rFonts w:ascii="Times New Roman" w:hAnsi="Times New Roman" w:cs="Times New Roman"/>
                <w:color w:val="000000" w:themeColor="text1"/>
              </w:rPr>
              <w:t>1</w:t>
            </w:r>
            <w:r>
              <w:rPr>
                <w:rFonts w:ascii="Times New Roman" w:hAnsi="Times New Roman" w:cs="Times New Roman"/>
                <w:color w:val="000000" w:themeColor="text1"/>
              </w:rPr>
              <w:t>5</w:t>
            </w:r>
          </w:p>
        </w:tc>
        <w:tc>
          <w:tcPr>
            <w:tcW w:w="2440" w:type="pct"/>
            <w:shd w:val="clear" w:color="auto" w:fill="FFFFFF" w:themeFill="background1"/>
            <w:vAlign w:val="center"/>
          </w:tcPr>
          <w:p w14:paraId="39340581" w14:textId="3986EB53" w:rsidR="00D65549" w:rsidRPr="004A045D" w:rsidRDefault="00D65549" w:rsidP="00D65549">
            <w:pPr>
              <w:jc w:val="both"/>
              <w:rPr>
                <w:rFonts w:ascii="Times New Roman" w:hAnsi="Times New Roman" w:cs="Times New Roman"/>
                <w:color w:val="000000" w:themeColor="text1"/>
              </w:rPr>
            </w:pPr>
            <w:r w:rsidRPr="004A045D">
              <w:rPr>
                <w:rFonts w:ascii="Times New Roman" w:hAnsi="Times New Roman" w:cs="Times New Roman"/>
                <w:color w:val="000000" w:themeColor="text1"/>
              </w:rPr>
              <w:t xml:space="preserve">În caz stopării livrărilor de gaze naturale către regiunea transnistreană a Republicii Moldova prin mecanismul stabilit de Legea nr. 108/2016 cu privire la gazele naturale, accesarea </w:t>
            </w:r>
            <w:r w:rsidR="001836A3">
              <w:rPr>
                <w:rFonts w:ascii="Times New Roman" w:hAnsi="Times New Roman" w:cs="Times New Roman"/>
                <w:color w:val="000000" w:themeColor="text1"/>
              </w:rPr>
              <w:t xml:space="preserve">și monitorizarea utilizării </w:t>
            </w:r>
            <w:r w:rsidRPr="004A045D">
              <w:rPr>
                <w:rFonts w:ascii="Times New Roman" w:hAnsi="Times New Roman" w:cs="Times New Roman"/>
                <w:color w:val="000000" w:themeColor="text1"/>
              </w:rPr>
              <w:t xml:space="preserve">suportului financiar oferit de UE în valoare de 60 de milioane de euro pus în continuare la dispoziția </w:t>
            </w:r>
            <w:r w:rsidR="00C40CB5">
              <w:rPr>
                <w:rFonts w:ascii="Times New Roman" w:hAnsi="Times New Roman" w:cs="Times New Roman"/>
                <w:color w:val="000000" w:themeColor="text1"/>
              </w:rPr>
              <w:t xml:space="preserve">Guvernului pentru </w:t>
            </w:r>
            <w:r w:rsidRPr="004A045D">
              <w:rPr>
                <w:rFonts w:ascii="Times New Roman" w:hAnsi="Times New Roman" w:cs="Times New Roman"/>
                <w:color w:val="000000" w:themeColor="text1"/>
              </w:rPr>
              <w:t>populați</w:t>
            </w:r>
            <w:r w:rsidR="00C40CB5">
              <w:rPr>
                <w:rFonts w:ascii="Times New Roman" w:hAnsi="Times New Roman" w:cs="Times New Roman"/>
                <w:color w:val="000000" w:themeColor="text1"/>
              </w:rPr>
              <w:t>a</w:t>
            </w:r>
            <w:r w:rsidRPr="004A045D">
              <w:rPr>
                <w:rFonts w:ascii="Times New Roman" w:hAnsi="Times New Roman" w:cs="Times New Roman"/>
                <w:color w:val="000000" w:themeColor="text1"/>
              </w:rPr>
              <w:t xml:space="preserve"> din regiunea transnistreană a Republicii Moldova</w:t>
            </w:r>
            <w:r w:rsidR="005103E9">
              <w:rPr>
                <w:rFonts w:ascii="Times New Roman" w:hAnsi="Times New Roman" w:cs="Times New Roman"/>
                <w:color w:val="000000" w:themeColor="text1"/>
              </w:rPr>
              <w:t xml:space="preserve"> de către UE</w:t>
            </w:r>
            <w:r w:rsidR="00913006" w:rsidRPr="004A045D">
              <w:rPr>
                <w:rFonts w:ascii="Times New Roman" w:hAnsi="Times New Roman" w:cs="Times New Roman"/>
                <w:color w:val="000000" w:themeColor="text1"/>
              </w:rPr>
              <w:t xml:space="preserve"> în conformitate cu Scrisoarea de intenție semnată de Guvernul Republicii Moldova și Comisia Europeană la data de 4 februarie 2025</w:t>
            </w:r>
          </w:p>
        </w:tc>
        <w:tc>
          <w:tcPr>
            <w:tcW w:w="888" w:type="pct"/>
            <w:shd w:val="clear" w:color="auto" w:fill="FFFFFF" w:themeFill="background1"/>
            <w:vAlign w:val="center"/>
          </w:tcPr>
          <w:p w14:paraId="1BC3EE19" w14:textId="3CC2BD1D" w:rsidR="00D65549" w:rsidRPr="00913006" w:rsidRDefault="00D65549" w:rsidP="00D65549">
            <w:pPr>
              <w:jc w:val="center"/>
              <w:rPr>
                <w:rFonts w:ascii="Times New Roman" w:hAnsi="Times New Roman" w:cs="Times New Roman"/>
                <w:color w:val="000000" w:themeColor="text1"/>
              </w:rPr>
            </w:pPr>
            <w:r w:rsidRPr="00913006">
              <w:rPr>
                <w:rFonts w:ascii="Times New Roman" w:hAnsi="Times New Roman" w:cs="Times New Roman"/>
                <w:color w:val="000000" w:themeColor="text1"/>
                <w:lang w:val="ro-RO"/>
              </w:rPr>
              <w:t>La necesitate</w:t>
            </w:r>
          </w:p>
        </w:tc>
        <w:tc>
          <w:tcPr>
            <w:tcW w:w="1349" w:type="pct"/>
            <w:shd w:val="clear" w:color="auto" w:fill="FFFFFF" w:themeFill="background1"/>
            <w:vAlign w:val="center"/>
          </w:tcPr>
          <w:p w14:paraId="15DDCF04" w14:textId="77777777" w:rsidR="00D65549" w:rsidRPr="00913006" w:rsidRDefault="00D65549" w:rsidP="00D65549">
            <w:pPr>
              <w:rPr>
                <w:rFonts w:ascii="Times New Roman" w:hAnsi="Times New Roman" w:cs="Times New Roman"/>
                <w:color w:val="000000" w:themeColor="text1"/>
              </w:rPr>
            </w:pPr>
            <w:r w:rsidRPr="00913006">
              <w:rPr>
                <w:rFonts w:ascii="Times New Roman" w:hAnsi="Times New Roman" w:cs="Times New Roman"/>
                <w:color w:val="000000" w:themeColor="text1"/>
              </w:rPr>
              <w:t>Ministerul Energiei</w:t>
            </w:r>
          </w:p>
          <w:p w14:paraId="795B78E2" w14:textId="77777777" w:rsidR="00D65549" w:rsidRPr="00913006" w:rsidRDefault="00D65549" w:rsidP="00D65549">
            <w:pPr>
              <w:rPr>
                <w:rFonts w:ascii="Times New Roman" w:hAnsi="Times New Roman" w:cs="Times New Roman"/>
                <w:color w:val="000000" w:themeColor="text1"/>
              </w:rPr>
            </w:pPr>
            <w:r w:rsidRPr="00913006">
              <w:rPr>
                <w:rFonts w:ascii="Times New Roman" w:hAnsi="Times New Roman" w:cs="Times New Roman"/>
                <w:color w:val="000000" w:themeColor="text1"/>
              </w:rPr>
              <w:t>ANRE</w:t>
            </w:r>
          </w:p>
          <w:p w14:paraId="45396B4A" w14:textId="77777777" w:rsidR="00D65549" w:rsidRPr="00913006" w:rsidRDefault="00D65549" w:rsidP="00D65549">
            <w:pPr>
              <w:rPr>
                <w:rFonts w:ascii="Times New Roman" w:hAnsi="Times New Roman" w:cs="Times New Roman"/>
                <w:color w:val="000000" w:themeColor="text1"/>
              </w:rPr>
            </w:pPr>
            <w:r w:rsidRPr="00913006">
              <w:rPr>
                <w:rFonts w:ascii="Times New Roman" w:hAnsi="Times New Roman" w:cs="Times New Roman"/>
                <w:color w:val="000000" w:themeColor="text1"/>
              </w:rPr>
              <w:t>SA ,,Energocom”</w:t>
            </w:r>
          </w:p>
          <w:p w14:paraId="4691EC74" w14:textId="1F04947F" w:rsidR="00D65549" w:rsidRPr="00913006" w:rsidRDefault="00D65549" w:rsidP="00D65549">
            <w:pPr>
              <w:rPr>
                <w:rFonts w:ascii="Times New Roman" w:hAnsi="Times New Roman" w:cs="Times New Roman"/>
                <w:color w:val="000000" w:themeColor="text1"/>
              </w:rPr>
            </w:pPr>
            <w:r w:rsidRPr="00913006">
              <w:rPr>
                <w:rFonts w:ascii="Times New Roman" w:hAnsi="Times New Roman" w:cs="Times New Roman"/>
                <w:color w:val="000000" w:themeColor="text1"/>
              </w:rPr>
              <w:t xml:space="preserve">Entitatea </w:t>
            </w:r>
            <w:r w:rsidR="0083382A">
              <w:rPr>
                <w:rFonts w:ascii="Times New Roman" w:hAnsi="Times New Roman" w:cs="Times New Roman"/>
              </w:rPr>
              <w:t>de aprovizionare cu gaze naturale a regiunii transnistrene</w:t>
            </w:r>
          </w:p>
        </w:tc>
      </w:tr>
      <w:tr w:rsidR="00D65549" w:rsidRPr="00C43E6D" w14:paraId="3B3F8BE7" w14:textId="77777777" w:rsidTr="00A41F94">
        <w:trPr>
          <w:trHeight w:val="162"/>
        </w:trPr>
        <w:tc>
          <w:tcPr>
            <w:tcW w:w="323" w:type="pct"/>
            <w:vAlign w:val="center"/>
          </w:tcPr>
          <w:p w14:paraId="745DF684" w14:textId="0DC18503" w:rsidR="00D65549" w:rsidRPr="00C43E6D" w:rsidRDefault="001D685C" w:rsidP="00D65549">
            <w:pPr>
              <w:jc w:val="center"/>
              <w:rPr>
                <w:rFonts w:ascii="Times New Roman" w:hAnsi="Times New Roman" w:cs="Times New Roman"/>
                <w:color w:val="000000"/>
              </w:rPr>
            </w:pPr>
            <w:r>
              <w:rPr>
                <w:rFonts w:ascii="Times New Roman" w:hAnsi="Times New Roman" w:cs="Times New Roman"/>
                <w:color w:val="000000"/>
              </w:rPr>
              <w:t>16</w:t>
            </w:r>
          </w:p>
        </w:tc>
        <w:tc>
          <w:tcPr>
            <w:tcW w:w="2440" w:type="pct"/>
            <w:shd w:val="clear" w:color="auto" w:fill="auto"/>
            <w:vAlign w:val="center"/>
          </w:tcPr>
          <w:p w14:paraId="53C71153" w14:textId="5A76710E" w:rsidR="00D65549" w:rsidRPr="00C43E6D" w:rsidRDefault="00D65549" w:rsidP="00D65549">
            <w:pPr>
              <w:jc w:val="both"/>
              <w:rPr>
                <w:rFonts w:ascii="Times New Roman" w:hAnsi="Times New Roman" w:cs="Times New Roman"/>
              </w:rPr>
            </w:pPr>
            <w:r w:rsidRPr="00C43E6D">
              <w:rPr>
                <w:rFonts w:ascii="Times New Roman" w:hAnsi="Times New Roman" w:cs="Times New Roman"/>
              </w:rPr>
              <w:t>Asigurarea capacităților bidirecționale maxime de transport disponibile la punctele de interconectare Ungheni (RO-MD), Căușeni (UA-MD) și Grebeniki (MD-UA) prin negocierea și modificarea, după caz, a Acordurilor de interconectare încheiate cu operatorii de transport adiacenți</w:t>
            </w:r>
          </w:p>
        </w:tc>
        <w:tc>
          <w:tcPr>
            <w:tcW w:w="888" w:type="pct"/>
            <w:shd w:val="clear" w:color="auto" w:fill="auto"/>
            <w:vAlign w:val="center"/>
          </w:tcPr>
          <w:p w14:paraId="16F0823C" w14:textId="47DB5A5F" w:rsidR="00D65549" w:rsidRPr="00C43E6D" w:rsidRDefault="00D65549" w:rsidP="00D65549">
            <w:pPr>
              <w:jc w:val="center"/>
              <w:rPr>
                <w:rFonts w:ascii="Times New Roman" w:hAnsi="Times New Roman" w:cs="Times New Roman"/>
              </w:rPr>
            </w:pPr>
            <w:r w:rsidRPr="00C43E6D">
              <w:rPr>
                <w:rFonts w:ascii="Times New Roman" w:hAnsi="Times New Roman" w:cs="Times New Roman"/>
                <w:shd w:val="clear" w:color="auto" w:fill="FFFFFF" w:themeFill="background1"/>
              </w:rPr>
              <w:t>20.10</w:t>
            </w:r>
            <w:r w:rsidRPr="00C43E6D">
              <w:rPr>
                <w:rFonts w:ascii="Times New Roman" w:hAnsi="Times New Roman" w:cs="Times New Roman"/>
              </w:rPr>
              <w:t>.202</w:t>
            </w:r>
            <w:r w:rsidR="00F7229A">
              <w:rPr>
                <w:rFonts w:ascii="Times New Roman" w:hAnsi="Times New Roman" w:cs="Times New Roman"/>
              </w:rPr>
              <w:t>5</w:t>
            </w:r>
          </w:p>
        </w:tc>
        <w:tc>
          <w:tcPr>
            <w:tcW w:w="1349" w:type="pct"/>
            <w:shd w:val="clear" w:color="auto" w:fill="auto"/>
            <w:vAlign w:val="center"/>
          </w:tcPr>
          <w:p w14:paraId="23C0EC8C" w14:textId="77777777" w:rsidR="00D65549" w:rsidRPr="00C43E6D" w:rsidRDefault="00D65549" w:rsidP="00D65549">
            <w:pPr>
              <w:rPr>
                <w:rFonts w:ascii="Times New Roman" w:hAnsi="Times New Roman" w:cs="Times New Roman"/>
              </w:rPr>
            </w:pPr>
            <w:r w:rsidRPr="00C43E6D">
              <w:rPr>
                <w:rFonts w:ascii="Times New Roman" w:hAnsi="Times New Roman" w:cs="Times New Roman"/>
              </w:rPr>
              <w:t>SRL „Vestmoldtransgaz”</w:t>
            </w:r>
          </w:p>
        </w:tc>
      </w:tr>
      <w:tr w:rsidR="00D65549" w:rsidRPr="00C43E6D" w14:paraId="1891A4C9" w14:textId="77777777" w:rsidTr="00A41F94">
        <w:trPr>
          <w:trHeight w:val="162"/>
        </w:trPr>
        <w:tc>
          <w:tcPr>
            <w:tcW w:w="323" w:type="pct"/>
            <w:vAlign w:val="center"/>
          </w:tcPr>
          <w:p w14:paraId="0FE6FCFB" w14:textId="54187265" w:rsidR="00D65549" w:rsidRPr="00977D47" w:rsidRDefault="001D685C" w:rsidP="00D65549">
            <w:pPr>
              <w:jc w:val="center"/>
              <w:rPr>
                <w:rFonts w:ascii="Times New Roman" w:hAnsi="Times New Roman" w:cs="Times New Roman"/>
                <w:color w:val="000000"/>
              </w:rPr>
            </w:pPr>
            <w:r w:rsidRPr="00977D47">
              <w:rPr>
                <w:rFonts w:ascii="Times New Roman" w:hAnsi="Times New Roman" w:cs="Times New Roman"/>
                <w:color w:val="000000"/>
              </w:rPr>
              <w:t>1</w:t>
            </w:r>
            <w:r>
              <w:rPr>
                <w:rFonts w:ascii="Times New Roman" w:hAnsi="Times New Roman" w:cs="Times New Roman"/>
                <w:color w:val="000000"/>
              </w:rPr>
              <w:t>7</w:t>
            </w:r>
          </w:p>
        </w:tc>
        <w:tc>
          <w:tcPr>
            <w:tcW w:w="2440" w:type="pct"/>
            <w:shd w:val="clear" w:color="auto" w:fill="auto"/>
            <w:vAlign w:val="center"/>
          </w:tcPr>
          <w:p w14:paraId="2B83D76A" w14:textId="6D7C94A0" w:rsidR="00D65549" w:rsidRPr="003F5255" w:rsidRDefault="00D65549" w:rsidP="00D65549">
            <w:pPr>
              <w:jc w:val="both"/>
              <w:rPr>
                <w:rFonts w:ascii="Times New Roman" w:hAnsi="Times New Roman" w:cs="Times New Roman"/>
              </w:rPr>
            </w:pPr>
            <w:r>
              <w:rPr>
                <w:rFonts w:ascii="Times New Roman" w:hAnsi="Times New Roman" w:cs="Times New Roman"/>
                <w:bCs/>
              </w:rPr>
              <w:t>P</w:t>
            </w:r>
            <w:r w:rsidRPr="003F5255">
              <w:rPr>
                <w:rFonts w:ascii="Times New Roman" w:hAnsi="Times New Roman" w:cs="Times New Roman"/>
                <w:bCs/>
              </w:rPr>
              <w:t>une</w:t>
            </w:r>
            <w:r>
              <w:rPr>
                <w:rFonts w:ascii="Times New Roman" w:hAnsi="Times New Roman" w:cs="Times New Roman"/>
                <w:bCs/>
              </w:rPr>
              <w:t>rea</w:t>
            </w:r>
            <w:r w:rsidRPr="003F5255">
              <w:rPr>
                <w:rFonts w:ascii="Times New Roman" w:hAnsi="Times New Roman" w:cs="Times New Roman"/>
                <w:bCs/>
              </w:rPr>
              <w:t xml:space="preserve"> la dispoziți</w:t>
            </w:r>
            <w:r>
              <w:rPr>
                <w:rFonts w:ascii="Times New Roman" w:hAnsi="Times New Roman" w:cs="Times New Roman"/>
                <w:bCs/>
              </w:rPr>
              <w:t>a</w:t>
            </w:r>
            <w:r w:rsidRPr="003F5255">
              <w:t xml:space="preserve"> </w:t>
            </w:r>
            <w:r w:rsidRPr="003F5255">
              <w:rPr>
                <w:rFonts w:ascii="Times New Roman" w:hAnsi="Times New Roman" w:cs="Times New Roman"/>
                <w:bCs/>
              </w:rPr>
              <w:t xml:space="preserve">participanților pieței gazelor naturale, în scop de echilibrare, </w:t>
            </w:r>
            <w:r>
              <w:rPr>
                <w:rFonts w:ascii="Times New Roman" w:hAnsi="Times New Roman" w:cs="Times New Roman"/>
                <w:bCs/>
              </w:rPr>
              <w:t xml:space="preserve">a </w:t>
            </w:r>
            <w:r w:rsidRPr="003F5255">
              <w:rPr>
                <w:rFonts w:ascii="Times New Roman" w:hAnsi="Times New Roman" w:cs="Times New Roman"/>
                <w:bCs/>
              </w:rPr>
              <w:t>serviciul</w:t>
            </w:r>
            <w:r>
              <w:rPr>
                <w:rFonts w:ascii="Times New Roman" w:hAnsi="Times New Roman" w:cs="Times New Roman"/>
                <w:bCs/>
              </w:rPr>
              <w:t>ui</w:t>
            </w:r>
            <w:r w:rsidRPr="003F5255">
              <w:rPr>
                <w:rFonts w:ascii="Times New Roman" w:hAnsi="Times New Roman" w:cs="Times New Roman"/>
                <w:bCs/>
              </w:rPr>
              <w:t xml:space="preserve"> de </w:t>
            </w:r>
            <w:r w:rsidRPr="003F5255">
              <w:rPr>
                <w:rFonts w:ascii="Times New Roman" w:hAnsi="Times New Roman" w:cs="Times New Roman"/>
                <w:bCs/>
              </w:rPr>
              <w:lastRenderedPageBreak/>
              <w:t>flexibilitate prin</w:t>
            </w:r>
            <w:r w:rsidRPr="003F5255">
              <w:rPr>
                <w:rFonts w:ascii="Times New Roman" w:hAnsi="Times New Roman" w:cs="Times New Roman"/>
              </w:rPr>
              <w:t xml:space="preserve"> s</w:t>
            </w:r>
            <w:r w:rsidRPr="003F5255">
              <w:rPr>
                <w:rFonts w:ascii="Times New Roman" w:hAnsi="Times New Roman" w:cs="Times New Roman"/>
                <w:bCs/>
              </w:rPr>
              <w:t>tocare în conductă a gazelor naturale în limita disponibilității tehnice, în conformitate cu prevederile Hotărârii ANRE nr. 701/2024</w:t>
            </w:r>
          </w:p>
        </w:tc>
        <w:tc>
          <w:tcPr>
            <w:tcW w:w="888" w:type="pct"/>
            <w:shd w:val="clear" w:color="auto" w:fill="auto"/>
            <w:vAlign w:val="center"/>
          </w:tcPr>
          <w:p w14:paraId="7BEBDA1E" w14:textId="4276DBEF" w:rsidR="00D65549" w:rsidRPr="003F5255" w:rsidRDefault="00D65549" w:rsidP="00D65549">
            <w:pPr>
              <w:jc w:val="center"/>
              <w:rPr>
                <w:rFonts w:ascii="Times New Roman" w:hAnsi="Times New Roman" w:cs="Times New Roman"/>
              </w:rPr>
            </w:pPr>
            <w:r w:rsidRPr="003F5255">
              <w:rPr>
                <w:rFonts w:ascii="Times New Roman" w:hAnsi="Times New Roman" w:cs="Times New Roman"/>
              </w:rPr>
              <w:lastRenderedPageBreak/>
              <w:t>Permanent</w:t>
            </w:r>
          </w:p>
        </w:tc>
        <w:tc>
          <w:tcPr>
            <w:tcW w:w="1349" w:type="pct"/>
            <w:shd w:val="clear" w:color="auto" w:fill="auto"/>
            <w:vAlign w:val="center"/>
          </w:tcPr>
          <w:p w14:paraId="221B9E39" w14:textId="77777777" w:rsidR="00D65549" w:rsidRPr="003F5255" w:rsidRDefault="00D65549" w:rsidP="00D65549">
            <w:pPr>
              <w:rPr>
                <w:rFonts w:ascii="Times New Roman" w:hAnsi="Times New Roman" w:cs="Times New Roman"/>
              </w:rPr>
            </w:pPr>
            <w:r w:rsidRPr="003F5255">
              <w:rPr>
                <w:rFonts w:ascii="Times New Roman" w:hAnsi="Times New Roman" w:cs="Times New Roman"/>
              </w:rPr>
              <w:t xml:space="preserve">SRL „Vestmoldtransgaz” </w:t>
            </w:r>
          </w:p>
        </w:tc>
      </w:tr>
      <w:tr w:rsidR="001E7C78" w:rsidRPr="00C43E6D" w14:paraId="2EBFC758" w14:textId="77777777" w:rsidTr="001E7C78">
        <w:trPr>
          <w:trHeight w:val="162"/>
        </w:trPr>
        <w:tc>
          <w:tcPr>
            <w:tcW w:w="5000" w:type="pct"/>
            <w:gridSpan w:val="4"/>
            <w:shd w:val="clear" w:color="auto" w:fill="E2EFD9" w:themeFill="accent6" w:themeFillTint="33"/>
            <w:vAlign w:val="center"/>
          </w:tcPr>
          <w:p w14:paraId="6F947E57" w14:textId="1D4C39A5" w:rsidR="001E7C78" w:rsidRPr="001E7C78" w:rsidRDefault="001E7C78" w:rsidP="001E7C78">
            <w:pPr>
              <w:pStyle w:val="ListParagraph"/>
              <w:numPr>
                <w:ilvl w:val="0"/>
                <w:numId w:val="8"/>
              </w:numPr>
              <w:ind w:left="0" w:firstLine="171"/>
              <w:jc w:val="center"/>
              <w:rPr>
                <w:rFonts w:ascii="Times New Roman" w:hAnsi="Times New Roman" w:cs="Times New Roman"/>
                <w:b/>
                <w:bCs/>
              </w:rPr>
            </w:pPr>
            <w:r w:rsidRPr="001E7C78">
              <w:rPr>
                <w:rFonts w:ascii="Times New Roman" w:hAnsi="Times New Roman" w:cs="Times New Roman"/>
                <w:b/>
                <w:bCs/>
              </w:rPr>
              <w:t>Securitate energetică</w:t>
            </w:r>
          </w:p>
        </w:tc>
      </w:tr>
      <w:tr w:rsidR="001D685C" w:rsidRPr="00C43E6D" w14:paraId="015AEC0D" w14:textId="77777777" w:rsidTr="00A41F94">
        <w:trPr>
          <w:trHeight w:val="162"/>
        </w:trPr>
        <w:tc>
          <w:tcPr>
            <w:tcW w:w="323" w:type="pct"/>
            <w:shd w:val="clear" w:color="auto" w:fill="FFFFFF" w:themeFill="background1"/>
            <w:vAlign w:val="center"/>
          </w:tcPr>
          <w:p w14:paraId="34194A5A" w14:textId="356CCD43" w:rsidR="001D685C" w:rsidRPr="00977D47" w:rsidRDefault="001D685C" w:rsidP="001D685C">
            <w:pPr>
              <w:jc w:val="center"/>
              <w:rPr>
                <w:rFonts w:ascii="Times New Roman" w:hAnsi="Times New Roman" w:cs="Times New Roman"/>
                <w:color w:val="000000"/>
              </w:rPr>
            </w:pPr>
            <w:r>
              <w:rPr>
                <w:rFonts w:ascii="Times New Roman" w:hAnsi="Times New Roman" w:cs="Times New Roman"/>
                <w:color w:val="000000"/>
              </w:rPr>
              <w:t>18</w:t>
            </w:r>
          </w:p>
        </w:tc>
        <w:tc>
          <w:tcPr>
            <w:tcW w:w="2440" w:type="pct"/>
            <w:shd w:val="clear" w:color="auto" w:fill="FFFFFF" w:themeFill="background1"/>
            <w:vAlign w:val="center"/>
          </w:tcPr>
          <w:p w14:paraId="494637B6" w14:textId="0D92FFB5" w:rsidR="001D685C" w:rsidRPr="00C43E6D" w:rsidRDefault="001D685C" w:rsidP="001D685C">
            <w:pPr>
              <w:jc w:val="both"/>
              <w:rPr>
                <w:rFonts w:ascii="Times New Roman" w:hAnsi="Times New Roman" w:cs="Times New Roman"/>
              </w:rPr>
            </w:pPr>
            <w:r w:rsidRPr="00C43E6D">
              <w:rPr>
                <w:rFonts w:ascii="Times New Roman" w:hAnsi="Times New Roman" w:cs="Times New Roman"/>
                <w:lang w:eastAsia="ru-RU"/>
              </w:rPr>
              <w:t xml:space="preserve">Monitorizarea și asigurarea păstrării disciplinei comerciale și financiare de către utilizatorii de sistem prin implementarea normelor cu privire la echilibrare prevăzute în </w:t>
            </w:r>
            <w:r>
              <w:rPr>
                <w:rFonts w:ascii="Times New Roman" w:hAnsi="Times New Roman" w:cs="Times New Roman"/>
                <w:lang w:eastAsia="ru-RU"/>
              </w:rPr>
              <w:t xml:space="preserve">Regulile pieței gazelor naturale și a energiei electrice, precum și în </w:t>
            </w:r>
            <w:r w:rsidRPr="00C43E6D">
              <w:rPr>
                <w:rFonts w:ascii="Times New Roman" w:hAnsi="Times New Roman" w:cs="Times New Roman"/>
                <w:lang w:eastAsia="ru-RU"/>
              </w:rPr>
              <w:t>actele normative de reglementare</w:t>
            </w:r>
          </w:p>
        </w:tc>
        <w:tc>
          <w:tcPr>
            <w:tcW w:w="888" w:type="pct"/>
            <w:shd w:val="clear" w:color="auto" w:fill="FFFFFF" w:themeFill="background1"/>
            <w:vAlign w:val="center"/>
          </w:tcPr>
          <w:p w14:paraId="25D412DE" w14:textId="5B6877E0" w:rsidR="001D685C" w:rsidRPr="00C43E6D" w:rsidRDefault="001D685C" w:rsidP="001D685C">
            <w:pPr>
              <w:jc w:val="center"/>
              <w:rPr>
                <w:rFonts w:ascii="Times New Roman" w:hAnsi="Times New Roman" w:cs="Times New Roman"/>
              </w:rPr>
            </w:pPr>
            <w:r w:rsidRPr="00C43E6D">
              <w:rPr>
                <w:rFonts w:ascii="Times New Roman" w:hAnsi="Times New Roman" w:cs="Times New Roman"/>
              </w:rPr>
              <w:t>Permanent</w:t>
            </w:r>
          </w:p>
        </w:tc>
        <w:tc>
          <w:tcPr>
            <w:tcW w:w="1349" w:type="pct"/>
            <w:shd w:val="clear" w:color="auto" w:fill="FFFFFF" w:themeFill="background1"/>
            <w:vAlign w:val="center"/>
          </w:tcPr>
          <w:p w14:paraId="51CBC442" w14:textId="77777777" w:rsidR="001D685C" w:rsidRPr="00C43E6D" w:rsidRDefault="001D685C" w:rsidP="001D685C">
            <w:pPr>
              <w:rPr>
                <w:rFonts w:ascii="Times New Roman" w:hAnsi="Times New Roman" w:cs="Times New Roman"/>
              </w:rPr>
            </w:pPr>
            <w:r>
              <w:rPr>
                <w:rFonts w:ascii="Times New Roman" w:hAnsi="Times New Roman" w:cs="Times New Roman"/>
              </w:rPr>
              <w:t>ANRE</w:t>
            </w:r>
          </w:p>
          <w:p w14:paraId="113509CC" w14:textId="77777777" w:rsidR="001D685C" w:rsidRPr="00C43E6D" w:rsidRDefault="001D685C" w:rsidP="001D685C">
            <w:pPr>
              <w:rPr>
                <w:rFonts w:ascii="Times New Roman" w:hAnsi="Times New Roman" w:cs="Times New Roman"/>
              </w:rPr>
            </w:pPr>
            <w:r w:rsidRPr="00C43E6D">
              <w:rPr>
                <w:rFonts w:ascii="Times New Roman" w:hAnsi="Times New Roman" w:cs="Times New Roman"/>
              </w:rPr>
              <w:t>SRL „Vestmoldtransgaz”</w:t>
            </w:r>
          </w:p>
          <w:p w14:paraId="3AC58737" w14:textId="77777777" w:rsidR="001D685C" w:rsidRPr="00C43E6D" w:rsidRDefault="001D685C" w:rsidP="001D685C">
            <w:pPr>
              <w:rPr>
                <w:rFonts w:ascii="Times New Roman" w:hAnsi="Times New Roman" w:cs="Times New Roman"/>
              </w:rPr>
            </w:pPr>
            <w:r w:rsidRPr="00C43E6D">
              <w:rPr>
                <w:rFonts w:ascii="Times New Roman" w:hAnsi="Times New Roman" w:cs="Times New Roman"/>
              </w:rPr>
              <w:t>Furnizorii de gaze naturale</w:t>
            </w:r>
          </w:p>
          <w:p w14:paraId="46E113FC" w14:textId="77777777" w:rsidR="001D685C" w:rsidRPr="00C43E6D" w:rsidRDefault="001D685C" w:rsidP="001D685C">
            <w:pPr>
              <w:rPr>
                <w:rFonts w:ascii="Times New Roman" w:hAnsi="Times New Roman" w:cs="Times New Roman"/>
              </w:rPr>
            </w:pPr>
          </w:p>
          <w:p w14:paraId="43C87D91" w14:textId="77777777" w:rsidR="001D685C" w:rsidRPr="00C43E6D" w:rsidRDefault="001D685C" w:rsidP="001D685C">
            <w:pPr>
              <w:rPr>
                <w:rFonts w:ascii="Times New Roman" w:hAnsi="Times New Roman" w:cs="Times New Roman"/>
              </w:rPr>
            </w:pPr>
            <w:r w:rsidRPr="00C43E6D">
              <w:rPr>
                <w:rFonts w:ascii="Times New Roman" w:hAnsi="Times New Roman" w:cs="Times New Roman"/>
              </w:rPr>
              <w:t>ÎS „Moldelectrica”</w:t>
            </w:r>
          </w:p>
          <w:p w14:paraId="7D860767" w14:textId="77777777" w:rsidR="001D685C" w:rsidRPr="00C43E6D" w:rsidRDefault="001D685C" w:rsidP="001D685C">
            <w:pPr>
              <w:rPr>
                <w:rFonts w:ascii="Times New Roman" w:hAnsi="Times New Roman" w:cs="Times New Roman"/>
              </w:rPr>
            </w:pPr>
            <w:r w:rsidRPr="00C43E6D">
              <w:rPr>
                <w:rFonts w:ascii="Times New Roman" w:hAnsi="Times New Roman" w:cs="Times New Roman"/>
              </w:rPr>
              <w:t xml:space="preserve">Furnizorii de energie electrică, inclusiv: </w:t>
            </w:r>
          </w:p>
          <w:p w14:paraId="19D6F18E" w14:textId="77777777" w:rsidR="001D685C" w:rsidRPr="00C43E6D" w:rsidRDefault="001D685C" w:rsidP="001D685C">
            <w:pPr>
              <w:rPr>
                <w:rFonts w:ascii="Times New Roman" w:hAnsi="Times New Roman" w:cs="Times New Roman"/>
              </w:rPr>
            </w:pPr>
            <w:r w:rsidRPr="00C43E6D">
              <w:rPr>
                <w:rFonts w:ascii="Times New Roman" w:hAnsi="Times New Roman" w:cs="Times New Roman"/>
              </w:rPr>
              <w:t>ÎCS „Premier Energy” SRL SA „FEE-Nord”</w:t>
            </w:r>
          </w:p>
          <w:p w14:paraId="65FDA73B" w14:textId="77777777" w:rsidR="001D685C" w:rsidRPr="00C43E6D" w:rsidRDefault="001D685C" w:rsidP="001D685C">
            <w:pPr>
              <w:rPr>
                <w:rFonts w:ascii="Times New Roman" w:hAnsi="Times New Roman" w:cs="Times New Roman"/>
              </w:rPr>
            </w:pPr>
          </w:p>
          <w:p w14:paraId="53E488A4" w14:textId="4F0569AF" w:rsidR="001D685C" w:rsidRPr="00C43E6D" w:rsidRDefault="001D685C" w:rsidP="001D685C">
            <w:pPr>
              <w:rPr>
                <w:rFonts w:ascii="Times New Roman" w:hAnsi="Times New Roman" w:cs="Times New Roman"/>
              </w:rPr>
            </w:pPr>
            <w:r w:rsidRPr="00C43E6D">
              <w:rPr>
                <w:rFonts w:ascii="Times New Roman" w:hAnsi="Times New Roman" w:cs="Times New Roman"/>
              </w:rPr>
              <w:t>Alți utilizatori de sistem</w:t>
            </w:r>
          </w:p>
        </w:tc>
      </w:tr>
      <w:tr w:rsidR="001D685C" w:rsidRPr="00C43E6D" w14:paraId="7EBB02B5" w14:textId="77777777" w:rsidTr="00A41F94">
        <w:trPr>
          <w:trHeight w:val="162"/>
        </w:trPr>
        <w:tc>
          <w:tcPr>
            <w:tcW w:w="323" w:type="pct"/>
            <w:shd w:val="clear" w:color="auto" w:fill="FFFFFF" w:themeFill="background1"/>
            <w:vAlign w:val="center"/>
          </w:tcPr>
          <w:p w14:paraId="70E2D6A0" w14:textId="2A5DE3BE" w:rsidR="001D685C" w:rsidRPr="00977D47" w:rsidRDefault="001D685C" w:rsidP="001D685C">
            <w:pPr>
              <w:jc w:val="center"/>
              <w:rPr>
                <w:rFonts w:ascii="Times New Roman" w:hAnsi="Times New Roman" w:cs="Times New Roman"/>
                <w:color w:val="000000"/>
              </w:rPr>
            </w:pPr>
            <w:r w:rsidRPr="00977D47">
              <w:rPr>
                <w:rFonts w:ascii="Times New Roman" w:hAnsi="Times New Roman" w:cs="Times New Roman"/>
                <w:color w:val="000000"/>
              </w:rPr>
              <w:t>19</w:t>
            </w:r>
          </w:p>
        </w:tc>
        <w:tc>
          <w:tcPr>
            <w:tcW w:w="2440" w:type="pct"/>
            <w:shd w:val="clear" w:color="auto" w:fill="FFFFFF" w:themeFill="background1"/>
            <w:vAlign w:val="center"/>
          </w:tcPr>
          <w:p w14:paraId="4950A48C" w14:textId="77AD697B" w:rsidR="001D685C" w:rsidRPr="00C43E6D" w:rsidRDefault="001D685C" w:rsidP="001D685C">
            <w:pPr>
              <w:jc w:val="both"/>
              <w:rPr>
                <w:rFonts w:ascii="Times New Roman" w:hAnsi="Times New Roman" w:cs="Times New Roman"/>
                <w:highlight w:val="yellow"/>
              </w:rPr>
            </w:pPr>
            <w:r w:rsidRPr="00C43E6D">
              <w:rPr>
                <w:rFonts w:ascii="Times New Roman" w:hAnsi="Times New Roman" w:cs="Times New Roman"/>
              </w:rPr>
              <w:t>Actualizarea listei consumatorilor protejați și întreruptibili și publicarea acestora pe paginile web ale operatorilor de sistem, în conformitate cu prevederile Hotărârii Guvernului pentru aprobarea Regulamentului și Planului de acțiuni pentru situații excepționale în sectorul gazelor naturale</w:t>
            </w:r>
          </w:p>
        </w:tc>
        <w:tc>
          <w:tcPr>
            <w:tcW w:w="888" w:type="pct"/>
            <w:shd w:val="clear" w:color="auto" w:fill="FFFFFF" w:themeFill="background1"/>
            <w:vAlign w:val="center"/>
          </w:tcPr>
          <w:p w14:paraId="35C56268" w14:textId="46E7BC04" w:rsidR="001D685C" w:rsidRPr="00C43E6D" w:rsidRDefault="001D685C" w:rsidP="001D685C">
            <w:pPr>
              <w:jc w:val="center"/>
              <w:rPr>
                <w:rFonts w:ascii="Times New Roman" w:hAnsi="Times New Roman" w:cs="Times New Roman"/>
                <w:highlight w:val="yellow"/>
              </w:rPr>
            </w:pPr>
            <w:r w:rsidRPr="00C43E6D">
              <w:rPr>
                <w:rFonts w:ascii="Times New Roman" w:hAnsi="Times New Roman" w:cs="Times New Roman"/>
              </w:rPr>
              <w:t>15.10.2025</w:t>
            </w:r>
          </w:p>
        </w:tc>
        <w:tc>
          <w:tcPr>
            <w:tcW w:w="1349" w:type="pct"/>
            <w:shd w:val="clear" w:color="auto" w:fill="FFFFFF" w:themeFill="background1"/>
            <w:vAlign w:val="center"/>
          </w:tcPr>
          <w:p w14:paraId="3992299A" w14:textId="77777777" w:rsidR="001D685C" w:rsidRPr="00C43E6D" w:rsidRDefault="001D685C" w:rsidP="001D685C">
            <w:pPr>
              <w:rPr>
                <w:rFonts w:ascii="Times New Roman" w:hAnsi="Times New Roman" w:cs="Times New Roman"/>
              </w:rPr>
            </w:pPr>
            <w:r w:rsidRPr="00C43E6D">
              <w:rPr>
                <w:rFonts w:ascii="Times New Roman" w:hAnsi="Times New Roman" w:cs="Times New Roman"/>
              </w:rPr>
              <w:t xml:space="preserve">SRL „Vestmoldtransgaz” </w:t>
            </w:r>
          </w:p>
          <w:p w14:paraId="28C98574" w14:textId="77777777" w:rsidR="0083382A" w:rsidRDefault="0083382A" w:rsidP="001D685C">
            <w:pPr>
              <w:rPr>
                <w:rFonts w:ascii="Times New Roman" w:hAnsi="Times New Roman" w:cs="Times New Roman"/>
              </w:rPr>
            </w:pPr>
          </w:p>
          <w:p w14:paraId="315FC8F6" w14:textId="540D9993" w:rsidR="001D685C" w:rsidRDefault="001D685C" w:rsidP="001D685C">
            <w:pPr>
              <w:rPr>
                <w:rFonts w:ascii="Times New Roman" w:hAnsi="Times New Roman" w:cs="Times New Roman"/>
              </w:rPr>
            </w:pPr>
            <w:r w:rsidRPr="00C43E6D">
              <w:rPr>
                <w:rFonts w:ascii="Times New Roman" w:hAnsi="Times New Roman" w:cs="Times New Roman"/>
              </w:rPr>
              <w:t>Operatorii sistemelor de distribuție</w:t>
            </w:r>
            <w:r>
              <w:rPr>
                <w:rFonts w:ascii="Times New Roman" w:hAnsi="Times New Roman" w:cs="Times New Roman"/>
              </w:rPr>
              <w:t xml:space="preserve"> a gazelor naturale</w:t>
            </w:r>
          </w:p>
          <w:p w14:paraId="7866215B" w14:textId="325586C8" w:rsidR="0083382A" w:rsidRDefault="0083382A" w:rsidP="001D685C">
            <w:pPr>
              <w:rPr>
                <w:rFonts w:ascii="Times New Roman" w:hAnsi="Times New Roman" w:cs="Times New Roman"/>
              </w:rPr>
            </w:pPr>
          </w:p>
          <w:p w14:paraId="162078B5" w14:textId="27CB527F" w:rsidR="0083382A" w:rsidRDefault="0083382A" w:rsidP="001D685C">
            <w:pPr>
              <w:rPr>
                <w:rFonts w:ascii="Times New Roman" w:hAnsi="Times New Roman" w:cs="Times New Roman"/>
              </w:rPr>
            </w:pPr>
            <w:r w:rsidRPr="0083382A">
              <w:rPr>
                <w:rFonts w:ascii="Times New Roman" w:hAnsi="Times New Roman" w:cs="Times New Roman"/>
              </w:rPr>
              <w:t>Titulari</w:t>
            </w:r>
            <w:r>
              <w:rPr>
                <w:rFonts w:ascii="Times New Roman" w:hAnsi="Times New Roman" w:cs="Times New Roman"/>
              </w:rPr>
              <w:t>i</w:t>
            </w:r>
            <w:r w:rsidRPr="0083382A">
              <w:rPr>
                <w:rFonts w:ascii="Times New Roman" w:hAnsi="Times New Roman" w:cs="Times New Roman"/>
              </w:rPr>
              <w:t xml:space="preserve"> de licență pentru furnizarea gazelor naturale</w:t>
            </w:r>
          </w:p>
          <w:p w14:paraId="2CB145B1" w14:textId="77777777" w:rsidR="0083382A" w:rsidRDefault="0083382A" w:rsidP="001D685C">
            <w:pPr>
              <w:rPr>
                <w:rFonts w:ascii="Times New Roman" w:hAnsi="Times New Roman" w:cs="Times New Roman"/>
              </w:rPr>
            </w:pPr>
          </w:p>
          <w:p w14:paraId="42AD4B47" w14:textId="56117FF1" w:rsidR="001D685C" w:rsidRPr="00C43E6D" w:rsidRDefault="001D685C" w:rsidP="001D685C">
            <w:pPr>
              <w:rPr>
                <w:rFonts w:ascii="Times New Roman" w:hAnsi="Times New Roman" w:cs="Times New Roman"/>
              </w:rPr>
            </w:pPr>
            <w:r w:rsidRPr="00C43E6D">
              <w:rPr>
                <w:rFonts w:ascii="Times New Roman" w:hAnsi="Times New Roman" w:cs="Times New Roman"/>
              </w:rPr>
              <w:t>Ministerul Energiei</w:t>
            </w:r>
          </w:p>
          <w:p w14:paraId="3752CE24" w14:textId="1C52D91C" w:rsidR="001D685C" w:rsidRPr="00C43E6D" w:rsidRDefault="001D685C" w:rsidP="001D685C">
            <w:pPr>
              <w:rPr>
                <w:rFonts w:ascii="Times New Roman" w:hAnsi="Times New Roman" w:cs="Times New Roman"/>
                <w:highlight w:val="yellow"/>
              </w:rPr>
            </w:pPr>
          </w:p>
        </w:tc>
      </w:tr>
      <w:tr w:rsidR="001D685C" w:rsidRPr="00C43E6D" w14:paraId="1E34823D" w14:textId="77777777" w:rsidTr="00A41F94">
        <w:trPr>
          <w:trHeight w:val="162"/>
        </w:trPr>
        <w:tc>
          <w:tcPr>
            <w:tcW w:w="323" w:type="pct"/>
            <w:shd w:val="clear" w:color="auto" w:fill="FFFFFF" w:themeFill="background1"/>
            <w:vAlign w:val="center"/>
          </w:tcPr>
          <w:p w14:paraId="6763CC78" w14:textId="0932BCEC" w:rsidR="001D685C" w:rsidRPr="00C43E6D" w:rsidRDefault="001D685C" w:rsidP="001D685C">
            <w:pPr>
              <w:jc w:val="center"/>
              <w:rPr>
                <w:rFonts w:ascii="Times New Roman" w:hAnsi="Times New Roman" w:cs="Times New Roman"/>
                <w:color w:val="000000"/>
              </w:rPr>
            </w:pPr>
            <w:r>
              <w:rPr>
                <w:rFonts w:ascii="Times New Roman" w:hAnsi="Times New Roman" w:cs="Times New Roman"/>
                <w:color w:val="000000"/>
              </w:rPr>
              <w:t>20</w:t>
            </w:r>
          </w:p>
        </w:tc>
        <w:tc>
          <w:tcPr>
            <w:tcW w:w="2440" w:type="pct"/>
            <w:shd w:val="clear" w:color="auto" w:fill="FFFFFF" w:themeFill="background1"/>
            <w:vAlign w:val="center"/>
          </w:tcPr>
          <w:p w14:paraId="7AA7F507" w14:textId="77777777" w:rsidR="001D685C" w:rsidRPr="00C43E6D" w:rsidRDefault="001D685C" w:rsidP="001D685C">
            <w:pPr>
              <w:jc w:val="both"/>
              <w:rPr>
                <w:rFonts w:ascii="Times New Roman" w:hAnsi="Times New Roman" w:cs="Times New Roman"/>
              </w:rPr>
            </w:pPr>
            <w:r w:rsidRPr="00C43E6D">
              <w:rPr>
                <w:rFonts w:ascii="Times New Roman" w:hAnsi="Times New Roman" w:cs="Times New Roman"/>
              </w:rPr>
              <w:t>Estimarea consumului de gaze naturale a categoriilor de consumatori protejați și întreruptibili stabilite în conformitate cu prevederile Hotărârii Guvernului pentru aprobarea Regulamentului și Planului de acțiuni pentru situații excepționale în sectorul gazelor naturale</w:t>
            </w:r>
          </w:p>
        </w:tc>
        <w:tc>
          <w:tcPr>
            <w:tcW w:w="888" w:type="pct"/>
            <w:shd w:val="clear" w:color="auto" w:fill="FFFFFF" w:themeFill="background1"/>
            <w:vAlign w:val="center"/>
          </w:tcPr>
          <w:p w14:paraId="186FFACB" w14:textId="74F66477" w:rsidR="001D685C" w:rsidRPr="00C43E6D" w:rsidRDefault="001D685C" w:rsidP="001D685C">
            <w:pPr>
              <w:jc w:val="center"/>
              <w:rPr>
                <w:rFonts w:ascii="Times New Roman" w:hAnsi="Times New Roman" w:cs="Times New Roman"/>
              </w:rPr>
            </w:pPr>
            <w:r w:rsidRPr="00C43E6D">
              <w:rPr>
                <w:rFonts w:ascii="Times New Roman" w:hAnsi="Times New Roman" w:cs="Times New Roman"/>
              </w:rPr>
              <w:t>15.10.2025</w:t>
            </w:r>
          </w:p>
        </w:tc>
        <w:tc>
          <w:tcPr>
            <w:tcW w:w="1349" w:type="pct"/>
            <w:shd w:val="clear" w:color="auto" w:fill="FFFFFF" w:themeFill="background1"/>
            <w:vAlign w:val="center"/>
          </w:tcPr>
          <w:p w14:paraId="1AF4EAEE" w14:textId="4A79E339" w:rsidR="001D685C" w:rsidRPr="00C43E6D" w:rsidRDefault="001D685C" w:rsidP="001D685C">
            <w:pPr>
              <w:rPr>
                <w:rFonts w:ascii="Times New Roman" w:hAnsi="Times New Roman" w:cs="Times New Roman"/>
              </w:rPr>
            </w:pPr>
          </w:p>
          <w:p w14:paraId="40E5743E" w14:textId="77777777" w:rsidR="001D685C" w:rsidRPr="00C43E6D" w:rsidRDefault="001D685C" w:rsidP="001D685C">
            <w:pPr>
              <w:rPr>
                <w:rFonts w:ascii="Times New Roman" w:hAnsi="Times New Roman" w:cs="Times New Roman"/>
              </w:rPr>
            </w:pPr>
            <w:r w:rsidRPr="00C43E6D">
              <w:rPr>
                <w:rFonts w:ascii="Times New Roman" w:hAnsi="Times New Roman" w:cs="Times New Roman"/>
              </w:rPr>
              <w:t xml:space="preserve">SRL „Vestmoldtransgaz” </w:t>
            </w:r>
          </w:p>
          <w:p w14:paraId="3DA948D0" w14:textId="5E663A68" w:rsidR="001D685C" w:rsidRPr="00C43E6D" w:rsidRDefault="001D685C" w:rsidP="001D685C">
            <w:pPr>
              <w:rPr>
                <w:rFonts w:ascii="Times New Roman" w:hAnsi="Times New Roman" w:cs="Times New Roman"/>
              </w:rPr>
            </w:pPr>
            <w:r w:rsidRPr="00C43E6D">
              <w:rPr>
                <w:rFonts w:ascii="Times New Roman" w:hAnsi="Times New Roman" w:cs="Times New Roman"/>
              </w:rPr>
              <w:t>Operatorii sistemelor de distribuție</w:t>
            </w:r>
            <w:r>
              <w:rPr>
                <w:rFonts w:ascii="Times New Roman" w:hAnsi="Times New Roman" w:cs="Times New Roman"/>
              </w:rPr>
              <w:t xml:space="preserve"> a gazelor naturale</w:t>
            </w:r>
          </w:p>
          <w:p w14:paraId="672D93D0" w14:textId="77777777" w:rsidR="001D685C" w:rsidRDefault="001D685C" w:rsidP="001D685C">
            <w:pPr>
              <w:rPr>
                <w:rFonts w:ascii="Times New Roman" w:hAnsi="Times New Roman" w:cs="Times New Roman"/>
              </w:rPr>
            </w:pPr>
            <w:r w:rsidRPr="00C43E6D">
              <w:rPr>
                <w:rFonts w:ascii="Times New Roman" w:hAnsi="Times New Roman" w:cs="Times New Roman"/>
              </w:rPr>
              <w:t>Titularii de licență pentru furnizarea gazelor naturale</w:t>
            </w:r>
          </w:p>
          <w:p w14:paraId="225B28AF" w14:textId="5A8C7FF5" w:rsidR="001D685C" w:rsidRPr="00C43E6D" w:rsidRDefault="001D685C" w:rsidP="001D685C">
            <w:pPr>
              <w:rPr>
                <w:rFonts w:ascii="Times New Roman" w:hAnsi="Times New Roman" w:cs="Times New Roman"/>
              </w:rPr>
            </w:pPr>
            <w:r w:rsidRPr="00C43E6D">
              <w:rPr>
                <w:rFonts w:ascii="Times New Roman" w:hAnsi="Times New Roman" w:cs="Times New Roman"/>
              </w:rPr>
              <w:t>Ministerul Energiei</w:t>
            </w:r>
          </w:p>
        </w:tc>
      </w:tr>
      <w:tr w:rsidR="001D685C" w:rsidRPr="00C43E6D" w14:paraId="6A919036" w14:textId="77777777" w:rsidTr="00A41F94">
        <w:trPr>
          <w:trHeight w:val="162"/>
        </w:trPr>
        <w:tc>
          <w:tcPr>
            <w:tcW w:w="323" w:type="pct"/>
            <w:shd w:val="clear" w:color="auto" w:fill="FFFFFF" w:themeFill="background1"/>
            <w:vAlign w:val="center"/>
          </w:tcPr>
          <w:p w14:paraId="2A5B78CF" w14:textId="10C0E623" w:rsidR="001D685C" w:rsidRDefault="001D685C" w:rsidP="001D685C">
            <w:pPr>
              <w:jc w:val="center"/>
              <w:rPr>
                <w:rFonts w:ascii="Times New Roman" w:hAnsi="Times New Roman" w:cs="Times New Roman"/>
                <w:color w:val="000000"/>
              </w:rPr>
            </w:pPr>
            <w:r>
              <w:rPr>
                <w:rFonts w:ascii="Times New Roman" w:hAnsi="Times New Roman" w:cs="Times New Roman"/>
                <w:color w:val="000000"/>
              </w:rPr>
              <w:t>21</w:t>
            </w:r>
          </w:p>
        </w:tc>
        <w:tc>
          <w:tcPr>
            <w:tcW w:w="2440" w:type="pct"/>
            <w:shd w:val="clear" w:color="auto" w:fill="FFFFFF" w:themeFill="background1"/>
            <w:vAlign w:val="center"/>
          </w:tcPr>
          <w:p w14:paraId="12367791" w14:textId="149181E7" w:rsidR="001D685C" w:rsidRPr="00C43E6D" w:rsidRDefault="001D685C" w:rsidP="001D685C">
            <w:pPr>
              <w:jc w:val="both"/>
              <w:rPr>
                <w:rFonts w:ascii="Times New Roman" w:hAnsi="Times New Roman" w:cs="Times New Roman"/>
              </w:rPr>
            </w:pPr>
            <w:r w:rsidRPr="00032766">
              <w:rPr>
                <w:rFonts w:ascii="Times New Roman" w:hAnsi="Times New Roman" w:cs="Times New Roman"/>
              </w:rPr>
              <w:t>Întocmirea listei consumatorilor de importanță vitală ținând cont de prevederile Planului de pregătire pentru situații excepționale în sectorul electroenergetic, precum și de practica perioadelor precedente de stabilire a măsurilor de pregătire a economiei naționale și sferei sociale pentru perioada de toamnă-iarnă</w:t>
            </w:r>
          </w:p>
        </w:tc>
        <w:tc>
          <w:tcPr>
            <w:tcW w:w="888" w:type="pct"/>
            <w:shd w:val="clear" w:color="auto" w:fill="FFFFFF" w:themeFill="background1"/>
            <w:vAlign w:val="center"/>
          </w:tcPr>
          <w:p w14:paraId="4E95AB66" w14:textId="2D312F12" w:rsidR="001D685C" w:rsidRPr="00C43E6D" w:rsidRDefault="001D685C" w:rsidP="001D685C">
            <w:pPr>
              <w:jc w:val="center"/>
              <w:rPr>
                <w:rFonts w:ascii="Times New Roman" w:hAnsi="Times New Roman" w:cs="Times New Roman"/>
              </w:rPr>
            </w:pPr>
            <w:r w:rsidRPr="00C43E6D">
              <w:rPr>
                <w:rFonts w:ascii="Times New Roman" w:hAnsi="Times New Roman" w:cs="Times New Roman"/>
              </w:rPr>
              <w:t>15.10.2025</w:t>
            </w:r>
          </w:p>
        </w:tc>
        <w:tc>
          <w:tcPr>
            <w:tcW w:w="1349" w:type="pct"/>
            <w:shd w:val="clear" w:color="auto" w:fill="FFFFFF" w:themeFill="background1"/>
            <w:vAlign w:val="center"/>
          </w:tcPr>
          <w:p w14:paraId="52E78933" w14:textId="77777777" w:rsidR="001D685C" w:rsidRPr="00C43E6D" w:rsidRDefault="001D685C" w:rsidP="001D685C">
            <w:pPr>
              <w:rPr>
                <w:rFonts w:ascii="Times New Roman" w:hAnsi="Times New Roman" w:cs="Times New Roman"/>
              </w:rPr>
            </w:pPr>
            <w:r w:rsidRPr="00C43E6D">
              <w:rPr>
                <w:rFonts w:ascii="Times New Roman" w:hAnsi="Times New Roman" w:cs="Times New Roman"/>
              </w:rPr>
              <w:t>ÎS „Moldelectrica”</w:t>
            </w:r>
          </w:p>
          <w:p w14:paraId="17874432" w14:textId="77777777" w:rsidR="001D685C" w:rsidRPr="00C43E6D" w:rsidRDefault="001D685C" w:rsidP="001D685C">
            <w:pPr>
              <w:rPr>
                <w:rFonts w:ascii="Times New Roman" w:hAnsi="Times New Roman" w:cs="Times New Roman"/>
              </w:rPr>
            </w:pPr>
            <w:r w:rsidRPr="00C43E6D">
              <w:rPr>
                <w:rFonts w:ascii="Times New Roman" w:hAnsi="Times New Roman" w:cs="Times New Roman"/>
              </w:rPr>
              <w:t>SA „RED-Nord”</w:t>
            </w:r>
          </w:p>
          <w:p w14:paraId="3B4FDD66" w14:textId="77777777" w:rsidR="001D685C" w:rsidRPr="00C43E6D" w:rsidRDefault="001D685C" w:rsidP="001D685C">
            <w:pPr>
              <w:rPr>
                <w:rFonts w:ascii="Times New Roman" w:hAnsi="Times New Roman" w:cs="Times New Roman"/>
              </w:rPr>
            </w:pPr>
            <w:r w:rsidRPr="00C43E6D">
              <w:rPr>
                <w:rFonts w:ascii="Times New Roman" w:hAnsi="Times New Roman" w:cs="Times New Roman"/>
              </w:rPr>
              <w:t>ÎCS „Premier Energy Distribution” SA</w:t>
            </w:r>
          </w:p>
          <w:p w14:paraId="5EDD4AF5" w14:textId="77777777" w:rsidR="001D685C" w:rsidRPr="00C43E6D" w:rsidDel="00907C0E" w:rsidRDefault="001D685C" w:rsidP="001D685C">
            <w:pPr>
              <w:rPr>
                <w:rFonts w:ascii="Times New Roman" w:hAnsi="Times New Roman" w:cs="Times New Roman"/>
              </w:rPr>
            </w:pPr>
          </w:p>
        </w:tc>
      </w:tr>
      <w:tr w:rsidR="001D685C" w:rsidRPr="00C43E6D" w14:paraId="204182AA" w14:textId="77777777" w:rsidTr="00A41F94">
        <w:trPr>
          <w:trHeight w:val="162"/>
        </w:trPr>
        <w:tc>
          <w:tcPr>
            <w:tcW w:w="323" w:type="pct"/>
            <w:shd w:val="clear" w:color="auto" w:fill="FFFFFF" w:themeFill="background1"/>
            <w:vAlign w:val="center"/>
          </w:tcPr>
          <w:p w14:paraId="0806C431" w14:textId="4526B0B7" w:rsidR="001D685C" w:rsidRDefault="001D685C" w:rsidP="001D685C">
            <w:pPr>
              <w:jc w:val="center"/>
              <w:rPr>
                <w:rFonts w:ascii="Times New Roman" w:hAnsi="Times New Roman" w:cs="Times New Roman"/>
                <w:color w:val="000000"/>
              </w:rPr>
            </w:pPr>
            <w:r>
              <w:rPr>
                <w:rFonts w:ascii="Times New Roman" w:hAnsi="Times New Roman" w:cs="Times New Roman"/>
                <w:color w:val="000000"/>
              </w:rPr>
              <w:t>22</w:t>
            </w:r>
          </w:p>
        </w:tc>
        <w:tc>
          <w:tcPr>
            <w:tcW w:w="2440" w:type="pct"/>
            <w:shd w:val="clear" w:color="auto" w:fill="FFFFFF" w:themeFill="background1"/>
            <w:vAlign w:val="center"/>
          </w:tcPr>
          <w:p w14:paraId="06A14C18" w14:textId="0BEC629E" w:rsidR="001D685C" w:rsidRPr="00C43E6D" w:rsidRDefault="001D685C" w:rsidP="001D685C">
            <w:pPr>
              <w:jc w:val="both"/>
              <w:rPr>
                <w:rFonts w:ascii="Times New Roman" w:hAnsi="Times New Roman" w:cs="Times New Roman"/>
              </w:rPr>
            </w:pPr>
            <w:r w:rsidRPr="00C43E6D">
              <w:rPr>
                <w:rFonts w:ascii="Times New Roman" w:hAnsi="Times New Roman" w:cs="Times New Roman"/>
              </w:rPr>
              <w:t>Actualizarea Normativului de deconectare manuală a instalațiilor de utilizare ale unor categorii de consumatori finali de energie electrică și a Normativului de limitare a puterii și energiei la consumatori în situații de criză în funcționarea sistemului electroenergetic</w:t>
            </w:r>
          </w:p>
        </w:tc>
        <w:tc>
          <w:tcPr>
            <w:tcW w:w="888" w:type="pct"/>
            <w:shd w:val="clear" w:color="auto" w:fill="FFFFFF" w:themeFill="background1"/>
            <w:vAlign w:val="center"/>
          </w:tcPr>
          <w:p w14:paraId="74F0E259" w14:textId="75866180" w:rsidR="001D685C" w:rsidRPr="00C43E6D" w:rsidRDefault="001D685C" w:rsidP="001D685C">
            <w:pPr>
              <w:jc w:val="center"/>
              <w:rPr>
                <w:rFonts w:ascii="Times New Roman" w:hAnsi="Times New Roman" w:cs="Times New Roman"/>
              </w:rPr>
            </w:pPr>
            <w:r w:rsidRPr="00C43E6D">
              <w:rPr>
                <w:rFonts w:ascii="Times New Roman" w:hAnsi="Times New Roman" w:cs="Times New Roman"/>
              </w:rPr>
              <w:t>01.11.2025</w:t>
            </w:r>
          </w:p>
        </w:tc>
        <w:tc>
          <w:tcPr>
            <w:tcW w:w="1349" w:type="pct"/>
            <w:shd w:val="clear" w:color="auto" w:fill="FFFFFF" w:themeFill="background1"/>
            <w:vAlign w:val="center"/>
          </w:tcPr>
          <w:p w14:paraId="3F5751FE" w14:textId="77777777" w:rsidR="001D685C" w:rsidRPr="00C43E6D" w:rsidRDefault="001D685C" w:rsidP="001D685C">
            <w:pPr>
              <w:rPr>
                <w:rFonts w:ascii="Times New Roman" w:hAnsi="Times New Roman" w:cs="Times New Roman"/>
              </w:rPr>
            </w:pPr>
            <w:r w:rsidRPr="00C43E6D">
              <w:rPr>
                <w:rFonts w:ascii="Times New Roman" w:hAnsi="Times New Roman" w:cs="Times New Roman"/>
              </w:rPr>
              <w:t>ÎS „Moldelectrica”</w:t>
            </w:r>
          </w:p>
          <w:p w14:paraId="13F15A90" w14:textId="77777777" w:rsidR="001D685C" w:rsidRPr="00C43E6D" w:rsidRDefault="001D685C" w:rsidP="001D685C">
            <w:pPr>
              <w:rPr>
                <w:rFonts w:ascii="Times New Roman" w:hAnsi="Times New Roman" w:cs="Times New Roman"/>
              </w:rPr>
            </w:pPr>
            <w:r w:rsidRPr="00C43E6D">
              <w:rPr>
                <w:rFonts w:ascii="Times New Roman" w:hAnsi="Times New Roman" w:cs="Times New Roman"/>
              </w:rPr>
              <w:t>SA „RED-Nord”</w:t>
            </w:r>
          </w:p>
          <w:p w14:paraId="2D2BFF42" w14:textId="77777777" w:rsidR="001D685C" w:rsidRPr="00C43E6D" w:rsidRDefault="001D685C" w:rsidP="001D685C">
            <w:pPr>
              <w:rPr>
                <w:rFonts w:ascii="Times New Roman" w:hAnsi="Times New Roman" w:cs="Times New Roman"/>
              </w:rPr>
            </w:pPr>
            <w:r w:rsidRPr="00C43E6D">
              <w:rPr>
                <w:rFonts w:ascii="Times New Roman" w:hAnsi="Times New Roman" w:cs="Times New Roman"/>
              </w:rPr>
              <w:t>ÎCS „Premier Energy Distribution” SA</w:t>
            </w:r>
          </w:p>
          <w:p w14:paraId="582861EC" w14:textId="77777777" w:rsidR="001D685C" w:rsidRPr="00C43E6D" w:rsidDel="00907C0E" w:rsidRDefault="001D685C" w:rsidP="001D685C">
            <w:pPr>
              <w:rPr>
                <w:rFonts w:ascii="Times New Roman" w:hAnsi="Times New Roman" w:cs="Times New Roman"/>
              </w:rPr>
            </w:pPr>
          </w:p>
        </w:tc>
      </w:tr>
      <w:tr w:rsidR="001D685C" w:rsidRPr="00C43E6D" w14:paraId="52FBE8A0" w14:textId="77777777" w:rsidTr="00A41F94">
        <w:trPr>
          <w:trHeight w:val="162"/>
        </w:trPr>
        <w:tc>
          <w:tcPr>
            <w:tcW w:w="323" w:type="pct"/>
            <w:shd w:val="clear" w:color="auto" w:fill="FFFFFF" w:themeFill="background1"/>
            <w:vAlign w:val="center"/>
          </w:tcPr>
          <w:p w14:paraId="7967D04D" w14:textId="1E747934" w:rsidR="001D685C" w:rsidRDefault="001D685C" w:rsidP="001D685C">
            <w:pPr>
              <w:jc w:val="center"/>
              <w:rPr>
                <w:rFonts w:ascii="Times New Roman" w:hAnsi="Times New Roman" w:cs="Times New Roman"/>
              </w:rPr>
            </w:pPr>
            <w:r>
              <w:rPr>
                <w:rFonts w:ascii="Times New Roman" w:hAnsi="Times New Roman" w:cs="Times New Roman"/>
              </w:rPr>
              <w:t>23</w:t>
            </w:r>
          </w:p>
        </w:tc>
        <w:tc>
          <w:tcPr>
            <w:tcW w:w="2440" w:type="pct"/>
            <w:shd w:val="clear" w:color="auto" w:fill="FFFFFF" w:themeFill="background1"/>
            <w:vAlign w:val="center"/>
          </w:tcPr>
          <w:p w14:paraId="1EAF0B7E" w14:textId="5F8B6B1D" w:rsidR="001D685C" w:rsidRPr="00C43E6D" w:rsidRDefault="001D685C" w:rsidP="001D685C">
            <w:pPr>
              <w:jc w:val="both"/>
              <w:rPr>
                <w:rFonts w:ascii="Times New Roman" w:hAnsi="Times New Roman" w:cs="Times New Roman"/>
              </w:rPr>
            </w:pPr>
            <w:r w:rsidRPr="00C43E6D">
              <w:rPr>
                <w:rFonts w:ascii="Times New Roman" w:hAnsi="Times New Roman" w:cs="Times New Roman"/>
              </w:rPr>
              <w:t>Crearea și menținerea stocurilor de securitate conform prevederilor Hotărârii Guvernului nr. 668/2022 cu modificările ulterioare</w:t>
            </w:r>
          </w:p>
        </w:tc>
        <w:tc>
          <w:tcPr>
            <w:tcW w:w="888" w:type="pct"/>
            <w:shd w:val="clear" w:color="auto" w:fill="FFFFFF" w:themeFill="background1"/>
            <w:vAlign w:val="center"/>
          </w:tcPr>
          <w:p w14:paraId="3C589B71" w14:textId="029923E3" w:rsidR="001D685C" w:rsidRPr="00C43E6D" w:rsidRDefault="001D685C" w:rsidP="001D685C">
            <w:pPr>
              <w:jc w:val="center"/>
              <w:rPr>
                <w:rFonts w:ascii="Times New Roman" w:hAnsi="Times New Roman" w:cs="Times New Roman"/>
              </w:rPr>
            </w:pPr>
            <w:r w:rsidRPr="00C43E6D">
              <w:rPr>
                <w:rFonts w:ascii="Times New Roman" w:hAnsi="Times New Roman" w:cs="Times New Roman"/>
              </w:rPr>
              <w:t>01.10.2025</w:t>
            </w:r>
          </w:p>
        </w:tc>
        <w:tc>
          <w:tcPr>
            <w:tcW w:w="1349" w:type="pct"/>
            <w:shd w:val="clear" w:color="auto" w:fill="FFFFFF" w:themeFill="background1"/>
            <w:vAlign w:val="center"/>
          </w:tcPr>
          <w:p w14:paraId="4802619A" w14:textId="77777777" w:rsidR="001D685C" w:rsidRPr="00C43E6D" w:rsidRDefault="001D685C" w:rsidP="001D685C">
            <w:pPr>
              <w:rPr>
                <w:rFonts w:ascii="Times New Roman" w:hAnsi="Times New Roman" w:cs="Times New Roman"/>
              </w:rPr>
            </w:pPr>
            <w:r w:rsidRPr="00C43E6D">
              <w:rPr>
                <w:rFonts w:ascii="Times New Roman" w:hAnsi="Times New Roman" w:cs="Times New Roman"/>
              </w:rPr>
              <w:t>SA „Energocom”</w:t>
            </w:r>
          </w:p>
          <w:p w14:paraId="2E502082" w14:textId="77777777" w:rsidR="001D685C" w:rsidRPr="00C43E6D" w:rsidRDefault="001D685C" w:rsidP="001D685C">
            <w:pPr>
              <w:rPr>
                <w:rFonts w:ascii="Times New Roman" w:hAnsi="Times New Roman" w:cs="Times New Roman"/>
              </w:rPr>
            </w:pPr>
          </w:p>
        </w:tc>
      </w:tr>
      <w:tr w:rsidR="001D685C" w:rsidRPr="00C43E6D" w14:paraId="303C5694" w14:textId="77777777" w:rsidTr="00A41F94">
        <w:trPr>
          <w:trHeight w:val="162"/>
        </w:trPr>
        <w:tc>
          <w:tcPr>
            <w:tcW w:w="323" w:type="pct"/>
            <w:shd w:val="clear" w:color="auto" w:fill="FFFFFF" w:themeFill="background1"/>
            <w:vAlign w:val="center"/>
          </w:tcPr>
          <w:p w14:paraId="28D4EF5A" w14:textId="2E7AFB9C" w:rsidR="001D685C" w:rsidRDefault="001D685C" w:rsidP="001D685C">
            <w:pPr>
              <w:jc w:val="center"/>
              <w:rPr>
                <w:rFonts w:ascii="Times New Roman" w:hAnsi="Times New Roman" w:cs="Times New Roman"/>
              </w:rPr>
            </w:pPr>
            <w:r>
              <w:rPr>
                <w:rFonts w:ascii="Times New Roman" w:hAnsi="Times New Roman" w:cs="Times New Roman"/>
              </w:rPr>
              <w:t>24</w:t>
            </w:r>
          </w:p>
        </w:tc>
        <w:tc>
          <w:tcPr>
            <w:tcW w:w="2440" w:type="pct"/>
            <w:shd w:val="clear" w:color="auto" w:fill="FFFFFF" w:themeFill="background1"/>
            <w:vAlign w:val="center"/>
          </w:tcPr>
          <w:p w14:paraId="0BEF0D24" w14:textId="3E84F044" w:rsidR="001D685C" w:rsidRPr="00C43E6D" w:rsidRDefault="001D685C" w:rsidP="001D685C">
            <w:pPr>
              <w:jc w:val="both"/>
              <w:rPr>
                <w:rFonts w:ascii="Times New Roman" w:hAnsi="Times New Roman" w:cs="Times New Roman"/>
              </w:rPr>
            </w:pPr>
            <w:r w:rsidRPr="00C43E6D">
              <w:rPr>
                <w:rFonts w:ascii="Times New Roman" w:hAnsi="Times New Roman" w:cs="Times New Roman"/>
              </w:rPr>
              <w:t>Crearea stocurilor de gaze naturale aferente obligației de stocare, conform prevederilor art. 108</w:t>
            </w:r>
            <w:r w:rsidRPr="00C43E6D">
              <w:rPr>
                <w:rFonts w:ascii="Times New Roman" w:hAnsi="Times New Roman" w:cs="Times New Roman"/>
                <w:vertAlign w:val="superscript"/>
              </w:rPr>
              <w:t>2</w:t>
            </w:r>
            <w:r w:rsidRPr="00C43E6D">
              <w:rPr>
                <w:rFonts w:ascii="Times New Roman" w:hAnsi="Times New Roman" w:cs="Times New Roman"/>
              </w:rPr>
              <w:t>-108</w:t>
            </w:r>
            <w:r w:rsidRPr="00C43E6D">
              <w:rPr>
                <w:rFonts w:ascii="Times New Roman" w:hAnsi="Times New Roman" w:cs="Times New Roman"/>
                <w:vertAlign w:val="superscript"/>
              </w:rPr>
              <w:t>3</w:t>
            </w:r>
            <w:r w:rsidRPr="00C43E6D">
              <w:rPr>
                <w:rFonts w:ascii="Times New Roman" w:hAnsi="Times New Roman" w:cs="Times New Roman"/>
              </w:rPr>
              <w:t xml:space="preserve"> din Legea nr. 108/2016 cu privire la gazele naturale</w:t>
            </w:r>
          </w:p>
        </w:tc>
        <w:tc>
          <w:tcPr>
            <w:tcW w:w="888" w:type="pct"/>
            <w:shd w:val="clear" w:color="auto" w:fill="FFFFFF" w:themeFill="background1"/>
            <w:vAlign w:val="center"/>
          </w:tcPr>
          <w:p w14:paraId="6CD7CF74" w14:textId="19EB6284" w:rsidR="001D685C" w:rsidRPr="00C43E6D" w:rsidRDefault="001D685C" w:rsidP="001D685C">
            <w:pPr>
              <w:jc w:val="center"/>
              <w:rPr>
                <w:rFonts w:ascii="Times New Roman" w:hAnsi="Times New Roman" w:cs="Times New Roman"/>
              </w:rPr>
            </w:pPr>
            <w:r w:rsidRPr="00C43E6D">
              <w:rPr>
                <w:rFonts w:ascii="Times New Roman" w:hAnsi="Times New Roman" w:cs="Times New Roman"/>
              </w:rPr>
              <w:t>01.11.2025</w:t>
            </w:r>
          </w:p>
        </w:tc>
        <w:tc>
          <w:tcPr>
            <w:tcW w:w="1349" w:type="pct"/>
            <w:shd w:val="clear" w:color="auto" w:fill="FFFFFF" w:themeFill="background1"/>
            <w:vAlign w:val="center"/>
          </w:tcPr>
          <w:p w14:paraId="762F1547" w14:textId="77777777" w:rsidR="001D685C" w:rsidRPr="00C43E6D" w:rsidRDefault="001D685C" w:rsidP="001D685C">
            <w:pPr>
              <w:rPr>
                <w:rFonts w:ascii="Times New Roman" w:hAnsi="Times New Roman" w:cs="Times New Roman"/>
              </w:rPr>
            </w:pPr>
            <w:r w:rsidRPr="00C43E6D">
              <w:rPr>
                <w:rFonts w:ascii="Times New Roman" w:hAnsi="Times New Roman" w:cs="Times New Roman"/>
              </w:rPr>
              <w:t>Titularii de licențe pentru furnizarea gazelor naturale pe piața cu amănuntul</w:t>
            </w:r>
          </w:p>
          <w:p w14:paraId="2E3E89E1" w14:textId="0D023B72" w:rsidR="001D685C" w:rsidRPr="00C43E6D" w:rsidRDefault="001D685C" w:rsidP="001D685C">
            <w:pPr>
              <w:rPr>
                <w:rFonts w:ascii="Times New Roman" w:hAnsi="Times New Roman" w:cs="Times New Roman"/>
              </w:rPr>
            </w:pPr>
          </w:p>
        </w:tc>
      </w:tr>
      <w:tr w:rsidR="001D685C" w:rsidRPr="00C43E6D" w14:paraId="409FAB0F" w14:textId="77777777" w:rsidTr="00A41F94">
        <w:trPr>
          <w:trHeight w:val="162"/>
        </w:trPr>
        <w:tc>
          <w:tcPr>
            <w:tcW w:w="323" w:type="pct"/>
            <w:shd w:val="clear" w:color="auto" w:fill="auto"/>
            <w:vAlign w:val="center"/>
          </w:tcPr>
          <w:p w14:paraId="5B08A8BA" w14:textId="639EBC79" w:rsidR="001D685C" w:rsidRPr="003F5255" w:rsidRDefault="001D685C" w:rsidP="001D685C">
            <w:pPr>
              <w:jc w:val="center"/>
              <w:rPr>
                <w:rFonts w:ascii="Times New Roman" w:hAnsi="Times New Roman" w:cs="Times New Roman"/>
                <w:color w:val="000000"/>
              </w:rPr>
            </w:pPr>
            <w:r>
              <w:rPr>
                <w:rFonts w:ascii="Times New Roman" w:hAnsi="Times New Roman" w:cs="Times New Roman"/>
                <w:color w:val="000000"/>
              </w:rPr>
              <w:t>25</w:t>
            </w:r>
          </w:p>
        </w:tc>
        <w:tc>
          <w:tcPr>
            <w:tcW w:w="2440" w:type="pct"/>
            <w:shd w:val="clear" w:color="auto" w:fill="auto"/>
            <w:vAlign w:val="center"/>
          </w:tcPr>
          <w:p w14:paraId="763DC18E" w14:textId="55792CFA" w:rsidR="001D685C" w:rsidRPr="00C43E6D" w:rsidRDefault="001D685C" w:rsidP="001D685C">
            <w:pPr>
              <w:jc w:val="both"/>
              <w:rPr>
                <w:rFonts w:ascii="Times New Roman" w:hAnsi="Times New Roman" w:cs="Times New Roman"/>
              </w:rPr>
            </w:pPr>
            <w:r w:rsidRPr="00C43E6D">
              <w:rPr>
                <w:rFonts w:ascii="Times New Roman" w:hAnsi="Times New Roman" w:cs="Times New Roman"/>
              </w:rPr>
              <w:t xml:space="preserve">Aprobarea în baza informației prezentate de către entitatea de aprovizionare cu gaze naturale </w:t>
            </w:r>
            <w:r w:rsidR="0083382A">
              <w:rPr>
                <w:rFonts w:ascii="Times New Roman" w:hAnsi="Times New Roman" w:cs="Times New Roman"/>
              </w:rPr>
              <w:t xml:space="preserve">a regiunii transnistrene </w:t>
            </w:r>
            <w:r w:rsidRPr="00C43E6D">
              <w:rPr>
                <w:rFonts w:ascii="Times New Roman" w:hAnsi="Times New Roman" w:cs="Times New Roman"/>
              </w:rPr>
              <w:t>prevăzută la art. 85</w:t>
            </w:r>
            <w:r w:rsidRPr="00C43E6D">
              <w:rPr>
                <w:rFonts w:ascii="Times New Roman" w:hAnsi="Times New Roman" w:cs="Times New Roman"/>
                <w:vertAlign w:val="superscript"/>
              </w:rPr>
              <w:t>1</w:t>
            </w:r>
            <w:r w:rsidRPr="00C43E6D">
              <w:rPr>
                <w:rFonts w:ascii="Times New Roman" w:hAnsi="Times New Roman" w:cs="Times New Roman"/>
              </w:rPr>
              <w:t xml:space="preserve"> alin. (1) din Legea nr. 108/2016 cu privire la gazele naturale, a cantității totale de gaze naturale care urmează să fie stocată pentru perioada rece a anului 2025-2026</w:t>
            </w:r>
          </w:p>
        </w:tc>
        <w:tc>
          <w:tcPr>
            <w:tcW w:w="888" w:type="pct"/>
            <w:shd w:val="clear" w:color="auto" w:fill="auto"/>
            <w:vAlign w:val="center"/>
          </w:tcPr>
          <w:p w14:paraId="3A376A8F" w14:textId="41CF19B3" w:rsidR="001D685C" w:rsidRPr="001836A3" w:rsidRDefault="001D685C" w:rsidP="001D685C">
            <w:pPr>
              <w:jc w:val="center"/>
              <w:rPr>
                <w:rFonts w:ascii="Times New Roman" w:hAnsi="Times New Roman" w:cs="Times New Roman"/>
              </w:rPr>
            </w:pPr>
            <w:r>
              <w:rPr>
                <w:rFonts w:ascii="Times New Roman" w:hAnsi="Times New Roman" w:cs="Times New Roman"/>
              </w:rPr>
              <w:t>C</w:t>
            </w:r>
            <w:r w:rsidRPr="00A41F94">
              <w:rPr>
                <w:rFonts w:ascii="Times New Roman" w:hAnsi="Times New Roman" w:cs="Times New Roman"/>
              </w:rPr>
              <w:t xml:space="preserve">onform termenului stabilit la </w:t>
            </w:r>
            <w:r w:rsidRPr="001836A3">
              <w:rPr>
                <w:rFonts w:ascii="Times New Roman" w:hAnsi="Times New Roman" w:cs="Times New Roman"/>
              </w:rPr>
              <w:t>art. VI alin. (7) din Legea nr. 152/2025</w:t>
            </w:r>
          </w:p>
        </w:tc>
        <w:tc>
          <w:tcPr>
            <w:tcW w:w="1349" w:type="pct"/>
            <w:shd w:val="clear" w:color="auto" w:fill="auto"/>
            <w:vAlign w:val="center"/>
          </w:tcPr>
          <w:p w14:paraId="7AFFC118" w14:textId="68FA1514" w:rsidR="001D685C" w:rsidRPr="00C43E6D" w:rsidRDefault="001D685C" w:rsidP="001D685C">
            <w:pPr>
              <w:rPr>
                <w:rFonts w:ascii="Times New Roman" w:hAnsi="Times New Roman" w:cs="Times New Roman"/>
              </w:rPr>
            </w:pPr>
            <w:r w:rsidRPr="00C43E6D">
              <w:rPr>
                <w:rFonts w:ascii="Times New Roman" w:hAnsi="Times New Roman" w:cs="Times New Roman"/>
              </w:rPr>
              <w:t>ANRE</w:t>
            </w:r>
          </w:p>
        </w:tc>
      </w:tr>
      <w:tr w:rsidR="001D685C" w:rsidRPr="00C43E6D" w14:paraId="3F7D4392" w14:textId="77777777" w:rsidTr="00A41F94">
        <w:trPr>
          <w:trHeight w:val="162"/>
        </w:trPr>
        <w:tc>
          <w:tcPr>
            <w:tcW w:w="323" w:type="pct"/>
            <w:shd w:val="clear" w:color="auto" w:fill="auto"/>
            <w:vAlign w:val="center"/>
          </w:tcPr>
          <w:p w14:paraId="188E79CC" w14:textId="3B7DEA62" w:rsidR="001D685C" w:rsidRPr="003F5255" w:rsidRDefault="001D685C" w:rsidP="001D685C">
            <w:pPr>
              <w:jc w:val="center"/>
              <w:rPr>
                <w:rFonts w:ascii="Times New Roman" w:hAnsi="Times New Roman" w:cs="Times New Roman"/>
                <w:color w:val="000000"/>
              </w:rPr>
            </w:pPr>
            <w:r>
              <w:rPr>
                <w:rFonts w:ascii="Times New Roman" w:hAnsi="Times New Roman" w:cs="Times New Roman"/>
                <w:color w:val="000000"/>
              </w:rPr>
              <w:lastRenderedPageBreak/>
              <w:t>26</w:t>
            </w:r>
          </w:p>
        </w:tc>
        <w:tc>
          <w:tcPr>
            <w:tcW w:w="2440" w:type="pct"/>
            <w:shd w:val="clear" w:color="auto" w:fill="auto"/>
            <w:vAlign w:val="center"/>
          </w:tcPr>
          <w:p w14:paraId="2CE33BB6" w14:textId="07D7D674" w:rsidR="001D685C" w:rsidRPr="00C43E6D" w:rsidRDefault="001D685C" w:rsidP="001D685C">
            <w:pPr>
              <w:jc w:val="both"/>
              <w:rPr>
                <w:rFonts w:ascii="Times New Roman" w:hAnsi="Times New Roman" w:cs="Times New Roman"/>
              </w:rPr>
            </w:pPr>
            <w:r w:rsidRPr="00C43E6D">
              <w:rPr>
                <w:rFonts w:ascii="Times New Roman" w:hAnsi="Times New Roman" w:cs="Times New Roman"/>
              </w:rPr>
              <w:t>Crearea și menținerea stocurilor de gaze naturale aferente obligației de stocare, conform prevederilor art. 85</w:t>
            </w:r>
            <w:r w:rsidRPr="00C43E6D">
              <w:rPr>
                <w:rFonts w:ascii="Times New Roman" w:hAnsi="Times New Roman" w:cs="Times New Roman"/>
                <w:vertAlign w:val="superscript"/>
              </w:rPr>
              <w:t>1</w:t>
            </w:r>
            <w:r w:rsidRPr="00C43E6D">
              <w:rPr>
                <w:rFonts w:ascii="Times New Roman" w:hAnsi="Times New Roman" w:cs="Times New Roman"/>
              </w:rPr>
              <w:t xml:space="preserve"> alin. (5) din Legea nr. 108/2016 cu privire la gazele naturale</w:t>
            </w:r>
          </w:p>
        </w:tc>
        <w:tc>
          <w:tcPr>
            <w:tcW w:w="888" w:type="pct"/>
            <w:shd w:val="clear" w:color="auto" w:fill="auto"/>
            <w:vAlign w:val="center"/>
          </w:tcPr>
          <w:p w14:paraId="24767C3A" w14:textId="4119BAC0" w:rsidR="001D685C" w:rsidRPr="001836A3" w:rsidRDefault="001D685C" w:rsidP="001D685C">
            <w:pPr>
              <w:jc w:val="center"/>
              <w:rPr>
                <w:rFonts w:ascii="Times New Roman" w:hAnsi="Times New Roman" w:cs="Times New Roman"/>
              </w:rPr>
            </w:pPr>
            <w:r w:rsidRPr="001836A3">
              <w:rPr>
                <w:rFonts w:ascii="Times New Roman" w:hAnsi="Times New Roman" w:cs="Times New Roman"/>
              </w:rPr>
              <w:t>Conform calendarului stabilit prin hotărârea ANRE</w:t>
            </w:r>
          </w:p>
        </w:tc>
        <w:tc>
          <w:tcPr>
            <w:tcW w:w="1349" w:type="pct"/>
            <w:shd w:val="clear" w:color="auto" w:fill="auto"/>
            <w:vAlign w:val="center"/>
          </w:tcPr>
          <w:p w14:paraId="70887F01" w14:textId="33CBB1AD" w:rsidR="001D685C" w:rsidRPr="00C43E6D" w:rsidRDefault="001D685C" w:rsidP="001D685C">
            <w:pPr>
              <w:rPr>
                <w:rFonts w:ascii="Times New Roman" w:hAnsi="Times New Roman" w:cs="Times New Roman"/>
              </w:rPr>
            </w:pPr>
            <w:r w:rsidRPr="008A3275">
              <w:rPr>
                <w:rFonts w:ascii="Times New Roman" w:hAnsi="Times New Roman" w:cs="Times New Roman"/>
              </w:rPr>
              <w:t xml:space="preserve">Entitatea </w:t>
            </w:r>
            <w:r w:rsidR="0083382A">
              <w:rPr>
                <w:rFonts w:ascii="Times New Roman" w:hAnsi="Times New Roman" w:cs="Times New Roman"/>
              </w:rPr>
              <w:t>de aprovizionare cu gaze naturale a regiunii transnistrene</w:t>
            </w:r>
          </w:p>
        </w:tc>
      </w:tr>
      <w:tr w:rsidR="001D685C" w:rsidRPr="00C43E6D" w14:paraId="6581456D" w14:textId="77777777" w:rsidTr="00A41F94">
        <w:trPr>
          <w:trHeight w:val="162"/>
        </w:trPr>
        <w:tc>
          <w:tcPr>
            <w:tcW w:w="323" w:type="pct"/>
            <w:shd w:val="clear" w:color="auto" w:fill="auto"/>
            <w:vAlign w:val="center"/>
          </w:tcPr>
          <w:p w14:paraId="4267E401" w14:textId="4E01A97A" w:rsidR="001D685C" w:rsidRPr="003F5255" w:rsidRDefault="001D685C" w:rsidP="001D685C">
            <w:pPr>
              <w:jc w:val="center"/>
              <w:rPr>
                <w:rFonts w:ascii="Times New Roman" w:hAnsi="Times New Roman" w:cs="Times New Roman"/>
                <w:color w:val="000000"/>
              </w:rPr>
            </w:pPr>
            <w:r>
              <w:rPr>
                <w:rFonts w:ascii="Times New Roman" w:hAnsi="Times New Roman" w:cs="Times New Roman"/>
                <w:color w:val="000000"/>
              </w:rPr>
              <w:t>27</w:t>
            </w:r>
          </w:p>
        </w:tc>
        <w:tc>
          <w:tcPr>
            <w:tcW w:w="2440" w:type="pct"/>
            <w:shd w:val="clear" w:color="auto" w:fill="auto"/>
            <w:vAlign w:val="center"/>
          </w:tcPr>
          <w:p w14:paraId="26A2C43F" w14:textId="60BD3F74" w:rsidR="001D685C" w:rsidRPr="00B012C3" w:rsidRDefault="001D685C" w:rsidP="001D685C">
            <w:pPr>
              <w:jc w:val="both"/>
              <w:rPr>
                <w:rFonts w:ascii="Times New Roman" w:hAnsi="Times New Roman" w:cs="Times New Roman"/>
                <w:color w:val="000000" w:themeColor="text1"/>
              </w:rPr>
            </w:pPr>
            <w:r w:rsidRPr="00B012C3">
              <w:rPr>
                <w:rFonts w:ascii="Times New Roman" w:hAnsi="Times New Roman" w:cs="Times New Roman"/>
                <w:color w:val="000000" w:themeColor="text1"/>
              </w:rPr>
              <w:t>Monitorizarea stocurilor comerciale de produse petroliere deținute de operatorii de pe piața produselor petroliere din Republica Moldova necesare pentru acoperirea consumului intern</w:t>
            </w:r>
          </w:p>
        </w:tc>
        <w:tc>
          <w:tcPr>
            <w:tcW w:w="888" w:type="pct"/>
            <w:shd w:val="clear" w:color="auto" w:fill="auto"/>
            <w:vAlign w:val="center"/>
          </w:tcPr>
          <w:p w14:paraId="4D4F5C1C" w14:textId="286BFAE3" w:rsidR="001D685C" w:rsidRPr="00B012C3" w:rsidRDefault="001D685C" w:rsidP="001D685C">
            <w:pPr>
              <w:jc w:val="center"/>
              <w:rPr>
                <w:rFonts w:ascii="Times New Roman" w:hAnsi="Times New Roman" w:cs="Times New Roman"/>
                <w:color w:val="000000" w:themeColor="text1"/>
              </w:rPr>
            </w:pPr>
            <w:r>
              <w:rPr>
                <w:rFonts w:ascii="Times New Roman" w:hAnsi="Times New Roman" w:cs="Times New Roman"/>
                <w:color w:val="000000" w:themeColor="text1"/>
                <w:lang w:val="ro-RO"/>
              </w:rPr>
              <w:t>Permanent</w:t>
            </w:r>
          </w:p>
        </w:tc>
        <w:tc>
          <w:tcPr>
            <w:tcW w:w="1349" w:type="pct"/>
            <w:shd w:val="clear" w:color="auto" w:fill="auto"/>
            <w:vAlign w:val="center"/>
          </w:tcPr>
          <w:p w14:paraId="788D72FD" w14:textId="475A82A6" w:rsidR="001D685C" w:rsidRPr="00B012C3" w:rsidRDefault="001D685C" w:rsidP="001D685C">
            <w:pPr>
              <w:rPr>
                <w:rFonts w:ascii="Times New Roman" w:hAnsi="Times New Roman" w:cs="Times New Roman"/>
                <w:color w:val="000000" w:themeColor="text1"/>
              </w:rPr>
            </w:pPr>
            <w:r w:rsidRPr="00B012C3">
              <w:rPr>
                <w:rFonts w:ascii="Times New Roman" w:eastAsia="Calibri" w:hAnsi="Times New Roman" w:cs="Times New Roman"/>
                <w:color w:val="000000" w:themeColor="text1"/>
                <w:lang w:val="ro-RO"/>
              </w:rPr>
              <w:t>ANRE</w:t>
            </w:r>
          </w:p>
        </w:tc>
      </w:tr>
      <w:tr w:rsidR="001D685C" w:rsidRPr="00C43E6D" w14:paraId="5FBACD73" w14:textId="77777777" w:rsidTr="00A41F94">
        <w:trPr>
          <w:trHeight w:val="162"/>
        </w:trPr>
        <w:tc>
          <w:tcPr>
            <w:tcW w:w="323" w:type="pct"/>
            <w:shd w:val="clear" w:color="auto" w:fill="auto"/>
            <w:vAlign w:val="center"/>
          </w:tcPr>
          <w:p w14:paraId="40CF55FC" w14:textId="27721FAF" w:rsidR="001D685C" w:rsidRPr="003F5255" w:rsidRDefault="001D685C" w:rsidP="001D685C">
            <w:pPr>
              <w:jc w:val="center"/>
              <w:rPr>
                <w:rFonts w:ascii="Times New Roman" w:hAnsi="Times New Roman" w:cs="Times New Roman"/>
                <w:color w:val="000000"/>
              </w:rPr>
            </w:pPr>
            <w:r>
              <w:rPr>
                <w:rFonts w:ascii="Times New Roman" w:hAnsi="Times New Roman" w:cs="Times New Roman"/>
                <w:color w:val="000000"/>
              </w:rPr>
              <w:t>28</w:t>
            </w:r>
          </w:p>
        </w:tc>
        <w:tc>
          <w:tcPr>
            <w:tcW w:w="2440" w:type="pct"/>
            <w:shd w:val="clear" w:color="auto" w:fill="auto"/>
            <w:vAlign w:val="center"/>
          </w:tcPr>
          <w:p w14:paraId="6D22850D" w14:textId="10B9963B" w:rsidR="001D685C" w:rsidRPr="00B012C3" w:rsidRDefault="001D685C" w:rsidP="001D685C">
            <w:pPr>
              <w:jc w:val="both"/>
              <w:rPr>
                <w:rFonts w:ascii="Times New Roman" w:hAnsi="Times New Roman" w:cs="Times New Roman"/>
                <w:color w:val="000000" w:themeColor="text1"/>
              </w:rPr>
            </w:pPr>
            <w:r>
              <w:rPr>
                <w:rFonts w:ascii="Times New Roman" w:hAnsi="Times New Roman" w:cs="Times New Roman"/>
              </w:rPr>
              <w:t>Verificarea</w:t>
            </w:r>
            <w:r w:rsidRPr="00C43E6D">
              <w:rPr>
                <w:rFonts w:ascii="Times New Roman" w:hAnsi="Times New Roman" w:cs="Times New Roman"/>
              </w:rPr>
              <w:t xml:space="preserve"> lanțului logistic pentru transportarea </w:t>
            </w:r>
            <w:r>
              <w:rPr>
                <w:rFonts w:ascii="Times New Roman" w:hAnsi="Times New Roman" w:cs="Times New Roman"/>
              </w:rPr>
              <w:t>combustibililor</w:t>
            </w:r>
            <w:r w:rsidRPr="00C43E6D">
              <w:rPr>
                <w:rFonts w:ascii="Times New Roman" w:hAnsi="Times New Roman" w:cs="Times New Roman"/>
              </w:rPr>
              <w:t xml:space="preserve"> în termen, </w:t>
            </w:r>
            <w:r w:rsidRPr="00C43E6D">
              <w:rPr>
                <w:rFonts w:ascii="Times New Roman" w:hAnsi="Times New Roman" w:cs="Times New Roman"/>
                <w:b/>
                <w:bCs/>
              </w:rPr>
              <w:t>în caz de necesitate</w:t>
            </w:r>
            <w:r w:rsidRPr="00C43E6D">
              <w:rPr>
                <w:rFonts w:ascii="Times New Roman" w:hAnsi="Times New Roman" w:cs="Times New Roman"/>
              </w:rPr>
              <w:t>, prin asigurarea unui număr suficient de cisterne și locomotive</w:t>
            </w:r>
          </w:p>
        </w:tc>
        <w:tc>
          <w:tcPr>
            <w:tcW w:w="888" w:type="pct"/>
            <w:shd w:val="clear" w:color="auto" w:fill="auto"/>
            <w:vAlign w:val="center"/>
          </w:tcPr>
          <w:p w14:paraId="60574220" w14:textId="67420024" w:rsidR="001D685C" w:rsidRPr="00B012C3" w:rsidRDefault="001D685C" w:rsidP="001D685C">
            <w:pPr>
              <w:jc w:val="center"/>
              <w:rPr>
                <w:rFonts w:ascii="Times New Roman" w:hAnsi="Times New Roman" w:cs="Times New Roman"/>
                <w:color w:val="000000" w:themeColor="text1"/>
                <w:lang w:val="ro-RO"/>
              </w:rPr>
            </w:pPr>
            <w:r w:rsidRPr="00C43E6D">
              <w:rPr>
                <w:rFonts w:ascii="Times New Roman" w:hAnsi="Times New Roman" w:cs="Times New Roman"/>
              </w:rPr>
              <w:t>2025-2026</w:t>
            </w:r>
          </w:p>
        </w:tc>
        <w:tc>
          <w:tcPr>
            <w:tcW w:w="1349" w:type="pct"/>
            <w:shd w:val="clear" w:color="auto" w:fill="auto"/>
            <w:vAlign w:val="center"/>
          </w:tcPr>
          <w:p w14:paraId="6A0C41FD" w14:textId="77777777" w:rsidR="001D685C" w:rsidRPr="00C43E6D" w:rsidRDefault="001D685C" w:rsidP="001D685C">
            <w:pPr>
              <w:rPr>
                <w:rFonts w:ascii="Times New Roman" w:hAnsi="Times New Roman" w:cs="Times New Roman"/>
              </w:rPr>
            </w:pPr>
            <w:r w:rsidRPr="00C43E6D">
              <w:rPr>
                <w:rFonts w:ascii="Times New Roman" w:hAnsi="Times New Roman" w:cs="Times New Roman"/>
              </w:rPr>
              <w:t>ÎS „Calea Ferată din Moldova”</w:t>
            </w:r>
          </w:p>
          <w:p w14:paraId="734C69BD" w14:textId="77777777" w:rsidR="001D685C" w:rsidRPr="00C43E6D" w:rsidRDefault="001D685C" w:rsidP="001D685C">
            <w:pPr>
              <w:rPr>
                <w:rFonts w:ascii="Times New Roman" w:hAnsi="Times New Roman" w:cs="Times New Roman"/>
              </w:rPr>
            </w:pPr>
            <w:r w:rsidRPr="00C43E6D">
              <w:rPr>
                <w:rFonts w:ascii="Times New Roman" w:hAnsi="Times New Roman" w:cs="Times New Roman"/>
              </w:rPr>
              <w:t>APP</w:t>
            </w:r>
          </w:p>
          <w:p w14:paraId="0E90AFF4" w14:textId="558167E7" w:rsidR="001D685C" w:rsidRPr="00B012C3" w:rsidRDefault="001D685C" w:rsidP="001D685C">
            <w:pPr>
              <w:rPr>
                <w:rFonts w:ascii="Times New Roman" w:eastAsia="Calibri" w:hAnsi="Times New Roman" w:cs="Times New Roman"/>
                <w:color w:val="000000" w:themeColor="text1"/>
                <w:lang w:val="ro-RO"/>
              </w:rPr>
            </w:pPr>
            <w:r w:rsidRPr="00C43E6D">
              <w:rPr>
                <w:rFonts w:ascii="Times New Roman" w:hAnsi="Times New Roman" w:cs="Times New Roman"/>
              </w:rPr>
              <w:t>Ministerul Infrastructurii și Dezvoltării Regionale (MIDR)</w:t>
            </w:r>
          </w:p>
        </w:tc>
      </w:tr>
      <w:tr w:rsidR="001D685C" w:rsidRPr="00C43E6D" w14:paraId="7C05DD92" w14:textId="77777777" w:rsidTr="00A41F94">
        <w:trPr>
          <w:trHeight w:val="162"/>
        </w:trPr>
        <w:tc>
          <w:tcPr>
            <w:tcW w:w="323" w:type="pct"/>
            <w:shd w:val="clear" w:color="auto" w:fill="auto"/>
            <w:vAlign w:val="center"/>
          </w:tcPr>
          <w:p w14:paraId="5F752EA2" w14:textId="1EB7FC87" w:rsidR="001D685C" w:rsidRPr="00C43E6D" w:rsidRDefault="001D685C" w:rsidP="001D685C">
            <w:pPr>
              <w:jc w:val="center"/>
              <w:rPr>
                <w:rFonts w:ascii="Times New Roman" w:hAnsi="Times New Roman" w:cs="Times New Roman"/>
                <w:color w:val="000000"/>
                <w:highlight w:val="yellow"/>
              </w:rPr>
            </w:pPr>
            <w:r w:rsidRPr="00977D47">
              <w:rPr>
                <w:rFonts w:ascii="Times New Roman" w:hAnsi="Times New Roman" w:cs="Times New Roman"/>
                <w:color w:val="000000"/>
              </w:rPr>
              <w:t>29</w:t>
            </w:r>
          </w:p>
        </w:tc>
        <w:tc>
          <w:tcPr>
            <w:tcW w:w="2440" w:type="pct"/>
            <w:shd w:val="clear" w:color="auto" w:fill="auto"/>
            <w:vAlign w:val="center"/>
          </w:tcPr>
          <w:p w14:paraId="2D8AD9D7" w14:textId="08565807" w:rsidR="001D685C" w:rsidRPr="00C43E6D" w:rsidRDefault="001D685C" w:rsidP="001D685C">
            <w:pPr>
              <w:jc w:val="both"/>
              <w:rPr>
                <w:rFonts w:ascii="Times New Roman" w:hAnsi="Times New Roman" w:cs="Times New Roman"/>
                <w:highlight w:val="yellow"/>
              </w:rPr>
            </w:pPr>
            <w:r w:rsidRPr="00C43E6D">
              <w:rPr>
                <w:rFonts w:ascii="Times New Roman" w:hAnsi="Times New Roman" w:cs="Times New Roman"/>
              </w:rPr>
              <w:t xml:space="preserve">Crearea și menținerea de către consumatorii întreruptibili a stocurilor de combustibil </w:t>
            </w:r>
            <w:r>
              <w:rPr>
                <w:rFonts w:ascii="Times New Roman" w:hAnsi="Times New Roman" w:cs="Times New Roman"/>
              </w:rPr>
              <w:t>de rezervă</w:t>
            </w:r>
            <w:r w:rsidRPr="00C43E6D">
              <w:rPr>
                <w:rFonts w:ascii="Times New Roman" w:hAnsi="Times New Roman" w:cs="Times New Roman"/>
              </w:rPr>
              <w:t xml:space="preserve"> necesare pentru asigurarea activității acestora, </w:t>
            </w:r>
            <w:r w:rsidRPr="00C43E6D">
              <w:rPr>
                <w:rFonts w:ascii="Times New Roman" w:hAnsi="Times New Roman" w:cs="Times New Roman"/>
                <w:color w:val="000000" w:themeColor="text1"/>
              </w:rPr>
              <w:t>unde este posibil din punct de vedere tehnic</w:t>
            </w:r>
          </w:p>
        </w:tc>
        <w:tc>
          <w:tcPr>
            <w:tcW w:w="888" w:type="pct"/>
            <w:shd w:val="clear" w:color="auto" w:fill="auto"/>
            <w:vAlign w:val="center"/>
          </w:tcPr>
          <w:p w14:paraId="42D3D08B" w14:textId="6129253A" w:rsidR="001D685C" w:rsidRPr="00C43E6D" w:rsidRDefault="001D685C" w:rsidP="001D685C">
            <w:pPr>
              <w:jc w:val="center"/>
              <w:rPr>
                <w:rFonts w:ascii="Times New Roman" w:hAnsi="Times New Roman" w:cs="Times New Roman"/>
                <w:highlight w:val="yellow"/>
              </w:rPr>
            </w:pPr>
            <w:r w:rsidRPr="00C43E6D">
              <w:rPr>
                <w:rFonts w:ascii="Times New Roman" w:hAnsi="Times New Roman" w:cs="Times New Roman"/>
              </w:rPr>
              <w:t>01.11.2025</w:t>
            </w:r>
          </w:p>
        </w:tc>
        <w:tc>
          <w:tcPr>
            <w:tcW w:w="1349" w:type="pct"/>
            <w:shd w:val="clear" w:color="auto" w:fill="auto"/>
            <w:vAlign w:val="center"/>
          </w:tcPr>
          <w:p w14:paraId="52F42A41" w14:textId="77777777" w:rsidR="001D685C" w:rsidRPr="00C43E6D" w:rsidRDefault="001D685C" w:rsidP="001D685C">
            <w:pPr>
              <w:rPr>
                <w:rFonts w:ascii="Times New Roman" w:hAnsi="Times New Roman" w:cs="Times New Roman"/>
                <w:highlight w:val="yellow"/>
              </w:rPr>
            </w:pPr>
            <w:r w:rsidRPr="00C43E6D">
              <w:rPr>
                <w:rFonts w:ascii="Times New Roman" w:hAnsi="Times New Roman" w:cs="Times New Roman"/>
              </w:rPr>
              <w:t>Consumatorii întreruptibili</w:t>
            </w:r>
          </w:p>
        </w:tc>
      </w:tr>
      <w:tr w:rsidR="001D685C" w:rsidRPr="00C43E6D" w14:paraId="493E9117" w14:textId="77777777" w:rsidTr="00A41F94">
        <w:trPr>
          <w:trHeight w:val="162"/>
        </w:trPr>
        <w:tc>
          <w:tcPr>
            <w:tcW w:w="323" w:type="pct"/>
            <w:shd w:val="clear" w:color="auto" w:fill="FFFFFF" w:themeFill="background1"/>
            <w:vAlign w:val="center"/>
          </w:tcPr>
          <w:p w14:paraId="0B51553F" w14:textId="5444AB73" w:rsidR="001D685C" w:rsidRPr="00C43E6D" w:rsidRDefault="001D685C" w:rsidP="001D685C">
            <w:pPr>
              <w:jc w:val="center"/>
              <w:rPr>
                <w:rFonts w:ascii="Times New Roman" w:hAnsi="Times New Roman" w:cs="Times New Roman"/>
                <w:color w:val="000000"/>
              </w:rPr>
            </w:pPr>
            <w:r>
              <w:rPr>
                <w:rFonts w:ascii="Times New Roman" w:hAnsi="Times New Roman" w:cs="Times New Roman"/>
                <w:color w:val="000000"/>
              </w:rPr>
              <w:t>30</w:t>
            </w:r>
          </w:p>
        </w:tc>
        <w:tc>
          <w:tcPr>
            <w:tcW w:w="2440" w:type="pct"/>
            <w:shd w:val="clear" w:color="auto" w:fill="FFFFFF" w:themeFill="background1"/>
            <w:vAlign w:val="center"/>
          </w:tcPr>
          <w:p w14:paraId="4A40122D" w14:textId="410ED9AC" w:rsidR="001D685C" w:rsidRPr="00C43E6D" w:rsidRDefault="001D685C" w:rsidP="001D685C">
            <w:pPr>
              <w:jc w:val="both"/>
              <w:rPr>
                <w:rFonts w:ascii="Times New Roman" w:hAnsi="Times New Roman" w:cs="Times New Roman"/>
              </w:rPr>
            </w:pPr>
            <w:r w:rsidRPr="00C43E6D">
              <w:rPr>
                <w:rFonts w:ascii="Times New Roman" w:hAnsi="Times New Roman" w:cs="Times New Roman"/>
              </w:rPr>
              <w:t xml:space="preserve">Completarea rezervelor de stat </w:t>
            </w:r>
            <w:r>
              <w:rPr>
                <w:rFonts w:ascii="Times New Roman" w:hAnsi="Times New Roman" w:cs="Times New Roman"/>
              </w:rPr>
              <w:t>de resurse energetice</w:t>
            </w:r>
            <w:r w:rsidRPr="00C43E6D">
              <w:rPr>
                <w:rFonts w:ascii="Times New Roman" w:hAnsi="Times New Roman" w:cs="Times New Roman"/>
              </w:rPr>
              <w:t>, până la nivelul maxim prevăzut de Nomenclatorul bunurilor materiale din rezervele de stat, în limita disponibilității capacităților de stocare necesare</w:t>
            </w:r>
          </w:p>
        </w:tc>
        <w:tc>
          <w:tcPr>
            <w:tcW w:w="888" w:type="pct"/>
            <w:shd w:val="clear" w:color="auto" w:fill="FFFFFF" w:themeFill="background1"/>
            <w:vAlign w:val="center"/>
          </w:tcPr>
          <w:p w14:paraId="17061C58" w14:textId="6AA7B999" w:rsidR="001D685C" w:rsidRPr="00C43E6D" w:rsidRDefault="001D685C" w:rsidP="001D685C">
            <w:pPr>
              <w:jc w:val="center"/>
              <w:rPr>
                <w:rFonts w:ascii="Times New Roman" w:hAnsi="Times New Roman" w:cs="Times New Roman"/>
              </w:rPr>
            </w:pPr>
            <w:r w:rsidRPr="00C43E6D">
              <w:rPr>
                <w:rFonts w:ascii="Times New Roman" w:hAnsi="Times New Roman" w:cs="Times New Roman"/>
              </w:rPr>
              <w:t>2025</w:t>
            </w:r>
          </w:p>
        </w:tc>
        <w:tc>
          <w:tcPr>
            <w:tcW w:w="1349" w:type="pct"/>
            <w:shd w:val="clear" w:color="auto" w:fill="FFFFFF" w:themeFill="background1"/>
            <w:vAlign w:val="center"/>
          </w:tcPr>
          <w:p w14:paraId="09283BF3" w14:textId="0039D348" w:rsidR="001D685C" w:rsidRPr="00C43E6D" w:rsidRDefault="001D685C" w:rsidP="001D685C">
            <w:pPr>
              <w:rPr>
                <w:rFonts w:ascii="Times New Roman" w:hAnsi="Times New Roman" w:cs="Times New Roman"/>
              </w:rPr>
            </w:pPr>
            <w:r w:rsidRPr="00C43E6D">
              <w:rPr>
                <w:rFonts w:ascii="Times New Roman" w:hAnsi="Times New Roman" w:cs="Times New Roman"/>
              </w:rPr>
              <w:t>Agenția Rezerve Materiale</w:t>
            </w:r>
          </w:p>
          <w:p w14:paraId="607A2732" w14:textId="7EB88DE3" w:rsidR="001D685C" w:rsidRPr="00C43E6D" w:rsidRDefault="001D685C" w:rsidP="001D685C">
            <w:pPr>
              <w:rPr>
                <w:rFonts w:ascii="Times New Roman" w:hAnsi="Times New Roman" w:cs="Times New Roman"/>
              </w:rPr>
            </w:pPr>
            <w:r w:rsidRPr="00C43E6D">
              <w:rPr>
                <w:rFonts w:ascii="Times New Roman" w:hAnsi="Times New Roman" w:cs="Times New Roman"/>
              </w:rPr>
              <w:t>Ministerul Afacerilor Interne</w:t>
            </w:r>
          </w:p>
        </w:tc>
      </w:tr>
      <w:tr w:rsidR="001D685C" w:rsidRPr="00C43E6D" w14:paraId="0B4A399A" w14:textId="77777777" w:rsidTr="00A41F94">
        <w:trPr>
          <w:trHeight w:val="740"/>
        </w:trPr>
        <w:tc>
          <w:tcPr>
            <w:tcW w:w="323" w:type="pct"/>
            <w:vMerge w:val="restart"/>
            <w:shd w:val="clear" w:color="auto" w:fill="FFFFFF" w:themeFill="background1"/>
            <w:vAlign w:val="center"/>
          </w:tcPr>
          <w:p w14:paraId="081221B4" w14:textId="5D36E49F" w:rsidR="001D685C" w:rsidRPr="00C43E6D" w:rsidRDefault="001D685C" w:rsidP="001D685C">
            <w:pPr>
              <w:jc w:val="center"/>
              <w:rPr>
                <w:rFonts w:ascii="Times New Roman" w:hAnsi="Times New Roman" w:cs="Times New Roman"/>
                <w:color w:val="000000"/>
              </w:rPr>
            </w:pPr>
            <w:r>
              <w:rPr>
                <w:rFonts w:ascii="Times New Roman" w:hAnsi="Times New Roman" w:cs="Times New Roman"/>
                <w:color w:val="000000"/>
              </w:rPr>
              <w:t>31</w:t>
            </w:r>
          </w:p>
        </w:tc>
        <w:tc>
          <w:tcPr>
            <w:tcW w:w="2440" w:type="pct"/>
            <w:shd w:val="clear" w:color="auto" w:fill="FFFFFF" w:themeFill="background1"/>
            <w:vAlign w:val="center"/>
          </w:tcPr>
          <w:p w14:paraId="3AA3AD04" w14:textId="0CF2BD44" w:rsidR="001D685C" w:rsidRPr="00C43E6D" w:rsidRDefault="001D685C" w:rsidP="001D685C">
            <w:pPr>
              <w:jc w:val="both"/>
              <w:rPr>
                <w:rFonts w:ascii="Times New Roman" w:hAnsi="Times New Roman" w:cs="Times New Roman"/>
              </w:rPr>
            </w:pPr>
            <w:r w:rsidRPr="00977D47">
              <w:rPr>
                <w:rFonts w:ascii="Times New Roman" w:hAnsi="Times New Roman" w:cs="Times New Roman"/>
                <w:color w:val="000000" w:themeColor="text1"/>
              </w:rPr>
              <w:t xml:space="preserve">31.1. </w:t>
            </w:r>
            <w:r w:rsidRPr="00C43E6D">
              <w:rPr>
                <w:rFonts w:ascii="Times New Roman" w:hAnsi="Times New Roman" w:cs="Times New Roman"/>
              </w:rPr>
              <w:t xml:space="preserve">SA „Termoelectrica” va asigura efectuarea verificării stării tehnice a depozitelor de stocare a </w:t>
            </w:r>
            <w:r>
              <w:rPr>
                <w:rFonts w:ascii="Times New Roman" w:hAnsi="Times New Roman" w:cs="Times New Roman"/>
              </w:rPr>
              <w:t>combustibililor de rezervă</w:t>
            </w:r>
            <w:r w:rsidRPr="00C43E6D">
              <w:rPr>
                <w:rFonts w:ascii="Times New Roman" w:hAnsi="Times New Roman" w:cs="Times New Roman"/>
              </w:rPr>
              <w:t xml:space="preserve"> la CET Sursa-1</w:t>
            </w:r>
          </w:p>
        </w:tc>
        <w:tc>
          <w:tcPr>
            <w:tcW w:w="888" w:type="pct"/>
            <w:shd w:val="clear" w:color="auto" w:fill="FFFFFF" w:themeFill="background1"/>
            <w:vAlign w:val="center"/>
          </w:tcPr>
          <w:p w14:paraId="343135E4" w14:textId="30214D53" w:rsidR="001D685C" w:rsidRPr="00C43E6D" w:rsidRDefault="001D685C" w:rsidP="001D685C">
            <w:pPr>
              <w:jc w:val="center"/>
              <w:rPr>
                <w:rFonts w:ascii="Times New Roman" w:hAnsi="Times New Roman" w:cs="Times New Roman"/>
              </w:rPr>
            </w:pPr>
            <w:r w:rsidRPr="00C43E6D">
              <w:rPr>
                <w:rFonts w:ascii="Times New Roman" w:hAnsi="Times New Roman" w:cs="Times New Roman"/>
              </w:rPr>
              <w:t>01.11.2025</w:t>
            </w:r>
          </w:p>
        </w:tc>
        <w:tc>
          <w:tcPr>
            <w:tcW w:w="1349" w:type="pct"/>
            <w:shd w:val="clear" w:color="auto" w:fill="FFFFFF" w:themeFill="background1"/>
            <w:vAlign w:val="center"/>
          </w:tcPr>
          <w:p w14:paraId="6A6DA470" w14:textId="08A037C1" w:rsidR="001D685C" w:rsidRPr="00C43E6D" w:rsidRDefault="001D685C" w:rsidP="001D685C">
            <w:pPr>
              <w:rPr>
                <w:rFonts w:ascii="Times New Roman" w:hAnsi="Times New Roman" w:cs="Times New Roman"/>
              </w:rPr>
            </w:pPr>
            <w:r w:rsidRPr="00C43E6D">
              <w:rPr>
                <w:rFonts w:ascii="Times New Roman" w:hAnsi="Times New Roman" w:cs="Times New Roman"/>
              </w:rPr>
              <w:t>SA „Termoelectrica”</w:t>
            </w:r>
          </w:p>
        </w:tc>
      </w:tr>
      <w:tr w:rsidR="001D685C" w:rsidRPr="00C43E6D" w14:paraId="561C0C49" w14:textId="77777777" w:rsidTr="00A41F94">
        <w:trPr>
          <w:trHeight w:val="740"/>
        </w:trPr>
        <w:tc>
          <w:tcPr>
            <w:tcW w:w="323" w:type="pct"/>
            <w:vMerge/>
            <w:shd w:val="clear" w:color="auto" w:fill="FFFFFF" w:themeFill="background1"/>
            <w:vAlign w:val="center"/>
          </w:tcPr>
          <w:p w14:paraId="4DAEEDDC" w14:textId="77777777" w:rsidR="001D685C" w:rsidRPr="00C43E6D" w:rsidRDefault="001D685C" w:rsidP="001D685C">
            <w:pPr>
              <w:jc w:val="center"/>
              <w:rPr>
                <w:rFonts w:ascii="Times New Roman" w:hAnsi="Times New Roman" w:cs="Times New Roman"/>
                <w:color w:val="000000"/>
              </w:rPr>
            </w:pPr>
          </w:p>
        </w:tc>
        <w:tc>
          <w:tcPr>
            <w:tcW w:w="2440" w:type="pct"/>
            <w:shd w:val="clear" w:color="auto" w:fill="FFFFFF" w:themeFill="background1"/>
            <w:vAlign w:val="center"/>
          </w:tcPr>
          <w:p w14:paraId="4AE7F7A6" w14:textId="56CF254A" w:rsidR="001D685C" w:rsidRPr="004A045D" w:rsidRDefault="001D685C" w:rsidP="001D685C">
            <w:pPr>
              <w:jc w:val="both"/>
              <w:rPr>
                <w:rFonts w:ascii="Times New Roman" w:hAnsi="Times New Roman" w:cs="Times New Roman"/>
                <w:color w:val="000000" w:themeColor="text1"/>
              </w:rPr>
            </w:pPr>
            <w:r w:rsidRPr="004A045D">
              <w:rPr>
                <w:rFonts w:ascii="Times New Roman" w:hAnsi="Times New Roman" w:cs="Times New Roman"/>
                <w:color w:val="000000" w:themeColor="text1"/>
              </w:rPr>
              <w:t>31.2. Crearea și menținerea stocurilor de combustibili de rezervă pentru producerea energiei termice, acolo unde este posibil din punct de vedere tehnic</w:t>
            </w:r>
          </w:p>
        </w:tc>
        <w:tc>
          <w:tcPr>
            <w:tcW w:w="888" w:type="pct"/>
            <w:shd w:val="clear" w:color="auto" w:fill="FFFFFF" w:themeFill="background1"/>
            <w:vAlign w:val="center"/>
          </w:tcPr>
          <w:p w14:paraId="40147645" w14:textId="14BEA652" w:rsidR="001D685C" w:rsidRPr="00C43E6D" w:rsidRDefault="001D685C" w:rsidP="001D685C">
            <w:pPr>
              <w:jc w:val="center"/>
              <w:rPr>
                <w:rFonts w:ascii="Times New Roman" w:hAnsi="Times New Roman" w:cs="Times New Roman"/>
              </w:rPr>
            </w:pPr>
            <w:r w:rsidRPr="00C43E6D">
              <w:rPr>
                <w:rFonts w:ascii="Times New Roman" w:hAnsi="Times New Roman" w:cs="Times New Roman"/>
              </w:rPr>
              <w:t>01.11.2025</w:t>
            </w:r>
          </w:p>
        </w:tc>
        <w:tc>
          <w:tcPr>
            <w:tcW w:w="1349" w:type="pct"/>
            <w:shd w:val="clear" w:color="auto" w:fill="FFFFFF" w:themeFill="background1"/>
            <w:vAlign w:val="center"/>
          </w:tcPr>
          <w:p w14:paraId="70FF5B12" w14:textId="77777777" w:rsidR="001D685C" w:rsidRPr="00C43E6D" w:rsidRDefault="001D685C" w:rsidP="001D685C">
            <w:pPr>
              <w:rPr>
                <w:rFonts w:ascii="Times New Roman" w:hAnsi="Times New Roman" w:cs="Times New Roman"/>
              </w:rPr>
            </w:pPr>
            <w:r w:rsidRPr="00C43E6D">
              <w:rPr>
                <w:rFonts w:ascii="Times New Roman" w:hAnsi="Times New Roman" w:cs="Times New Roman"/>
              </w:rPr>
              <w:t>SA „Termoelectrica”</w:t>
            </w:r>
          </w:p>
          <w:p w14:paraId="0F55C617" w14:textId="77777777" w:rsidR="001D685C" w:rsidRPr="00C43E6D" w:rsidRDefault="001D685C" w:rsidP="001D685C">
            <w:pPr>
              <w:rPr>
                <w:rFonts w:ascii="Times New Roman" w:hAnsi="Times New Roman" w:cs="Times New Roman"/>
              </w:rPr>
            </w:pPr>
            <w:r w:rsidRPr="00C43E6D">
              <w:rPr>
                <w:rFonts w:ascii="Times New Roman" w:hAnsi="Times New Roman" w:cs="Times New Roman"/>
              </w:rPr>
              <w:t>SA CET- Nord</w:t>
            </w:r>
          </w:p>
          <w:p w14:paraId="6C09FC2C" w14:textId="689D2044" w:rsidR="001D685C" w:rsidRPr="00C43E6D" w:rsidRDefault="001D685C" w:rsidP="001D685C">
            <w:pPr>
              <w:rPr>
                <w:rFonts w:ascii="Times New Roman" w:hAnsi="Times New Roman" w:cs="Times New Roman"/>
              </w:rPr>
            </w:pPr>
            <w:r w:rsidRPr="00C43E6D">
              <w:rPr>
                <w:rFonts w:ascii="Times New Roman" w:hAnsi="Times New Roman" w:cs="Times New Roman"/>
              </w:rPr>
              <w:t xml:space="preserve">Alți </w:t>
            </w:r>
            <w:bookmarkStart w:id="20" w:name="_Hlk201583107"/>
            <w:r w:rsidRPr="00C43E6D">
              <w:rPr>
                <w:rFonts w:ascii="Times New Roman" w:hAnsi="Times New Roman" w:cs="Times New Roman"/>
              </w:rPr>
              <w:t>furnizori de energie termică, titulari de licențe eliberate de către ANRE</w:t>
            </w:r>
            <w:bookmarkEnd w:id="20"/>
          </w:p>
        </w:tc>
      </w:tr>
      <w:tr w:rsidR="001D685C" w:rsidRPr="00C43E6D" w14:paraId="40412B05" w14:textId="77777777" w:rsidTr="00A41F94">
        <w:trPr>
          <w:trHeight w:val="162"/>
        </w:trPr>
        <w:tc>
          <w:tcPr>
            <w:tcW w:w="323" w:type="pct"/>
            <w:shd w:val="clear" w:color="auto" w:fill="auto"/>
            <w:vAlign w:val="center"/>
          </w:tcPr>
          <w:p w14:paraId="3990856A" w14:textId="331C401F" w:rsidR="001D685C" w:rsidRPr="00C43E6D" w:rsidRDefault="001D685C" w:rsidP="001D685C">
            <w:pPr>
              <w:jc w:val="center"/>
              <w:rPr>
                <w:rFonts w:ascii="Times New Roman" w:hAnsi="Times New Roman" w:cs="Times New Roman"/>
                <w:color w:val="000000"/>
              </w:rPr>
            </w:pPr>
            <w:r>
              <w:rPr>
                <w:rFonts w:ascii="Times New Roman" w:hAnsi="Times New Roman" w:cs="Times New Roman"/>
                <w:color w:val="000000"/>
              </w:rPr>
              <w:t>32</w:t>
            </w:r>
          </w:p>
        </w:tc>
        <w:tc>
          <w:tcPr>
            <w:tcW w:w="2440" w:type="pct"/>
            <w:shd w:val="clear" w:color="auto" w:fill="auto"/>
            <w:vAlign w:val="center"/>
          </w:tcPr>
          <w:p w14:paraId="785AFD62" w14:textId="68ED1043" w:rsidR="001D685C" w:rsidRPr="004A045D" w:rsidRDefault="001D685C" w:rsidP="001D685C">
            <w:pPr>
              <w:jc w:val="both"/>
              <w:rPr>
                <w:rFonts w:ascii="Times New Roman" w:hAnsi="Times New Roman" w:cs="Times New Roman"/>
                <w:color w:val="000000" w:themeColor="text1"/>
              </w:rPr>
            </w:pPr>
            <w:r w:rsidRPr="004A045D">
              <w:rPr>
                <w:rFonts w:ascii="Times New Roman" w:hAnsi="Times New Roman" w:cs="Times New Roman"/>
                <w:color w:val="000000" w:themeColor="text1"/>
              </w:rPr>
              <w:t>Crearea și menținerea stocurilor combustibililor de rezervă de către producătorii-consumatori finali de energie electrică care exploatează centralele electrice pe bază de combustibili fosili, acolo unde este posibil din punct de vedere tehnic</w:t>
            </w:r>
          </w:p>
        </w:tc>
        <w:tc>
          <w:tcPr>
            <w:tcW w:w="888" w:type="pct"/>
            <w:shd w:val="clear" w:color="auto" w:fill="auto"/>
            <w:vAlign w:val="center"/>
          </w:tcPr>
          <w:p w14:paraId="55B79C8D" w14:textId="70D074A4" w:rsidR="001D685C" w:rsidRPr="00C43E6D" w:rsidRDefault="001D685C" w:rsidP="001D685C">
            <w:pPr>
              <w:jc w:val="center"/>
              <w:rPr>
                <w:rFonts w:ascii="Times New Roman" w:hAnsi="Times New Roman" w:cs="Times New Roman"/>
              </w:rPr>
            </w:pPr>
            <w:r w:rsidRPr="00C43E6D">
              <w:rPr>
                <w:rFonts w:ascii="Times New Roman" w:hAnsi="Times New Roman" w:cs="Times New Roman"/>
              </w:rPr>
              <w:t>01.11.2025</w:t>
            </w:r>
          </w:p>
        </w:tc>
        <w:tc>
          <w:tcPr>
            <w:tcW w:w="1349" w:type="pct"/>
            <w:shd w:val="clear" w:color="auto" w:fill="auto"/>
            <w:vAlign w:val="center"/>
          </w:tcPr>
          <w:p w14:paraId="2E2E68E6" w14:textId="77777777" w:rsidR="001D685C" w:rsidRPr="00C43E6D" w:rsidRDefault="001D685C" w:rsidP="001D685C">
            <w:pPr>
              <w:rPr>
                <w:rFonts w:ascii="Times New Roman" w:hAnsi="Times New Roman" w:cs="Times New Roman"/>
              </w:rPr>
            </w:pPr>
            <w:bookmarkStart w:id="21" w:name="_Hlk201583058"/>
            <w:r w:rsidRPr="00C43E6D">
              <w:rPr>
                <w:rFonts w:ascii="Times New Roman" w:hAnsi="Times New Roman" w:cs="Times New Roman"/>
              </w:rPr>
              <w:t>ICS „Moldova-Zahar” SRL</w:t>
            </w:r>
          </w:p>
          <w:p w14:paraId="7FFDA21D" w14:textId="457B181F" w:rsidR="001D685C" w:rsidRPr="00C43E6D" w:rsidRDefault="001D685C" w:rsidP="001D685C">
            <w:pPr>
              <w:rPr>
                <w:rFonts w:ascii="Times New Roman" w:hAnsi="Times New Roman" w:cs="Times New Roman"/>
              </w:rPr>
            </w:pPr>
            <w:r w:rsidRPr="00C43E6D">
              <w:rPr>
                <w:rFonts w:ascii="Times New Roman" w:hAnsi="Times New Roman" w:cs="Times New Roman"/>
              </w:rPr>
              <w:t>IM „Südzucker Moldova” SA</w:t>
            </w:r>
            <w:bookmarkEnd w:id="21"/>
          </w:p>
        </w:tc>
      </w:tr>
      <w:tr w:rsidR="001D685C" w:rsidRPr="00C43E6D" w14:paraId="642F99AE" w14:textId="77777777" w:rsidTr="00A41F94">
        <w:trPr>
          <w:trHeight w:val="162"/>
        </w:trPr>
        <w:tc>
          <w:tcPr>
            <w:tcW w:w="323" w:type="pct"/>
            <w:shd w:val="clear" w:color="auto" w:fill="auto"/>
            <w:vAlign w:val="center"/>
          </w:tcPr>
          <w:p w14:paraId="6C8849C9" w14:textId="43137861" w:rsidR="001D685C" w:rsidRPr="00C43E6D" w:rsidRDefault="001D685C" w:rsidP="001D685C">
            <w:pPr>
              <w:jc w:val="center"/>
              <w:rPr>
                <w:rFonts w:ascii="Times New Roman" w:hAnsi="Times New Roman" w:cs="Times New Roman"/>
                <w:color w:val="000000"/>
              </w:rPr>
            </w:pPr>
            <w:r>
              <w:rPr>
                <w:rFonts w:ascii="Times New Roman" w:hAnsi="Times New Roman" w:cs="Times New Roman"/>
                <w:color w:val="000000"/>
              </w:rPr>
              <w:t>33</w:t>
            </w:r>
          </w:p>
        </w:tc>
        <w:tc>
          <w:tcPr>
            <w:tcW w:w="2440" w:type="pct"/>
            <w:shd w:val="clear" w:color="auto" w:fill="auto"/>
            <w:vAlign w:val="center"/>
          </w:tcPr>
          <w:p w14:paraId="4383A0ED" w14:textId="05A02D10" w:rsidR="001D685C" w:rsidRPr="00C43E6D" w:rsidRDefault="001D685C" w:rsidP="001D685C">
            <w:pPr>
              <w:jc w:val="both"/>
              <w:rPr>
                <w:rFonts w:ascii="Times New Roman" w:hAnsi="Times New Roman" w:cs="Times New Roman"/>
              </w:rPr>
            </w:pPr>
            <w:r w:rsidRPr="00C43E6D">
              <w:rPr>
                <w:rFonts w:ascii="Times New Roman" w:hAnsi="Times New Roman" w:cs="Times New Roman"/>
              </w:rPr>
              <w:t xml:space="preserve">Menținerea funcționalității surselor </w:t>
            </w:r>
            <w:r>
              <w:rPr>
                <w:rFonts w:ascii="Times New Roman" w:hAnsi="Times New Roman" w:cs="Times New Roman"/>
              </w:rPr>
              <w:t>de rezervă</w:t>
            </w:r>
            <w:r w:rsidRPr="00C43E6D">
              <w:rPr>
                <w:rFonts w:ascii="Times New Roman" w:hAnsi="Times New Roman" w:cs="Times New Roman"/>
              </w:rPr>
              <w:t xml:space="preserve"> de alimentare cu energie electrică și a stocurilor de combustibili necesari la consumatorii ce sunt obligați să dețină astfel de surse </w:t>
            </w:r>
            <w:r>
              <w:rPr>
                <w:rFonts w:ascii="Times New Roman" w:hAnsi="Times New Roman" w:cs="Times New Roman"/>
              </w:rPr>
              <w:t>de rezervă (ex. generatoare electrice)</w:t>
            </w:r>
            <w:r w:rsidRPr="00C43E6D">
              <w:rPr>
                <w:rFonts w:ascii="Times New Roman" w:hAnsi="Times New Roman" w:cs="Times New Roman"/>
              </w:rPr>
              <w:t xml:space="preserve"> pentru a asigura fiabilitatea în alimentarea cu energie electrică conform Normelor de amenajare a instalațiilor electrice în vigoare</w:t>
            </w:r>
          </w:p>
        </w:tc>
        <w:tc>
          <w:tcPr>
            <w:tcW w:w="888" w:type="pct"/>
            <w:shd w:val="clear" w:color="auto" w:fill="auto"/>
            <w:vAlign w:val="center"/>
          </w:tcPr>
          <w:p w14:paraId="2BC17625" w14:textId="145977B2" w:rsidR="001D685C" w:rsidRPr="00C43E6D" w:rsidRDefault="001D685C" w:rsidP="001D685C">
            <w:pPr>
              <w:jc w:val="center"/>
              <w:rPr>
                <w:rFonts w:ascii="Times New Roman" w:hAnsi="Times New Roman" w:cs="Times New Roman"/>
              </w:rPr>
            </w:pPr>
            <w:r w:rsidRPr="00C43E6D">
              <w:rPr>
                <w:rFonts w:ascii="Times New Roman" w:hAnsi="Times New Roman" w:cs="Times New Roman"/>
              </w:rPr>
              <w:t>Permanent</w:t>
            </w:r>
          </w:p>
        </w:tc>
        <w:tc>
          <w:tcPr>
            <w:tcW w:w="1349" w:type="pct"/>
            <w:shd w:val="clear" w:color="auto" w:fill="auto"/>
            <w:vAlign w:val="center"/>
          </w:tcPr>
          <w:p w14:paraId="4751960B" w14:textId="77777777" w:rsidR="001D685C" w:rsidRPr="00C43E6D" w:rsidRDefault="001D685C" w:rsidP="001D685C">
            <w:pPr>
              <w:rPr>
                <w:rFonts w:ascii="Times New Roman" w:hAnsi="Times New Roman" w:cs="Times New Roman"/>
                <w:highlight w:val="yellow"/>
              </w:rPr>
            </w:pPr>
            <w:r w:rsidRPr="00C43E6D">
              <w:rPr>
                <w:rFonts w:ascii="Times New Roman" w:hAnsi="Times New Roman" w:cs="Times New Roman"/>
              </w:rPr>
              <w:t>Ministerul Sănătății</w:t>
            </w:r>
          </w:p>
          <w:p w14:paraId="1FF60E8C" w14:textId="77777777" w:rsidR="001D685C" w:rsidRPr="00C43E6D" w:rsidRDefault="001D685C" w:rsidP="001D685C">
            <w:pPr>
              <w:rPr>
                <w:rFonts w:ascii="Times New Roman" w:hAnsi="Times New Roman" w:cs="Times New Roman"/>
              </w:rPr>
            </w:pPr>
            <w:r w:rsidRPr="00C43E6D">
              <w:rPr>
                <w:rFonts w:ascii="Times New Roman" w:hAnsi="Times New Roman" w:cs="Times New Roman"/>
              </w:rPr>
              <w:t>Consumatorii care dețin receptoare de categoria specială și/sau categoria I privind fiabilitatea în alimentare cu energie electrică</w:t>
            </w:r>
          </w:p>
          <w:p w14:paraId="3D98CF93" w14:textId="77777777" w:rsidR="001D685C" w:rsidRPr="00C43E6D" w:rsidRDefault="001D685C" w:rsidP="001D685C">
            <w:pPr>
              <w:rPr>
                <w:rFonts w:ascii="Times New Roman" w:hAnsi="Times New Roman" w:cs="Times New Roman"/>
              </w:rPr>
            </w:pPr>
            <w:r w:rsidRPr="00C43E6D">
              <w:rPr>
                <w:rFonts w:ascii="Times New Roman" w:hAnsi="Times New Roman" w:cs="Times New Roman"/>
              </w:rPr>
              <w:t>Inspectoratul General pentru Situații de Urgență</w:t>
            </w:r>
          </w:p>
          <w:p w14:paraId="37DE3F4F" w14:textId="2A601584" w:rsidR="001D685C" w:rsidRPr="00C43E6D" w:rsidRDefault="001D685C" w:rsidP="001D685C">
            <w:pPr>
              <w:rPr>
                <w:rFonts w:ascii="Times New Roman" w:hAnsi="Times New Roman" w:cs="Times New Roman"/>
              </w:rPr>
            </w:pPr>
            <w:r w:rsidRPr="00C43E6D">
              <w:rPr>
                <w:rFonts w:ascii="Times New Roman" w:hAnsi="Times New Roman" w:cs="Times New Roman"/>
              </w:rPr>
              <w:t>ANRE</w:t>
            </w:r>
          </w:p>
        </w:tc>
      </w:tr>
      <w:tr w:rsidR="001D685C" w:rsidRPr="00C43E6D" w14:paraId="0DC8CE0C" w14:textId="77777777" w:rsidTr="00A41F94">
        <w:trPr>
          <w:trHeight w:val="162"/>
        </w:trPr>
        <w:tc>
          <w:tcPr>
            <w:tcW w:w="323" w:type="pct"/>
            <w:shd w:val="clear" w:color="auto" w:fill="auto"/>
            <w:vAlign w:val="center"/>
          </w:tcPr>
          <w:p w14:paraId="104E5218" w14:textId="174DF7AA" w:rsidR="001D685C" w:rsidRPr="00C43E6D" w:rsidRDefault="001D685C" w:rsidP="001D685C">
            <w:pPr>
              <w:jc w:val="center"/>
              <w:rPr>
                <w:rFonts w:ascii="Times New Roman" w:hAnsi="Times New Roman" w:cs="Times New Roman"/>
                <w:color w:val="000000"/>
              </w:rPr>
            </w:pPr>
            <w:r>
              <w:rPr>
                <w:rFonts w:ascii="Times New Roman" w:hAnsi="Times New Roman" w:cs="Times New Roman"/>
                <w:color w:val="000000"/>
              </w:rPr>
              <w:t>34</w:t>
            </w:r>
          </w:p>
        </w:tc>
        <w:tc>
          <w:tcPr>
            <w:tcW w:w="2440" w:type="pct"/>
            <w:shd w:val="clear" w:color="auto" w:fill="auto"/>
            <w:vAlign w:val="center"/>
          </w:tcPr>
          <w:p w14:paraId="27B01D64" w14:textId="43263DFF" w:rsidR="001D685C" w:rsidRPr="00C43E6D" w:rsidRDefault="001D685C" w:rsidP="001D685C">
            <w:pPr>
              <w:jc w:val="both"/>
              <w:rPr>
                <w:rFonts w:ascii="Times New Roman" w:hAnsi="Times New Roman" w:cs="Times New Roman"/>
              </w:rPr>
            </w:pPr>
            <w:r>
              <w:rPr>
                <w:rFonts w:ascii="Times New Roman" w:hAnsi="Times New Roman" w:cs="Times New Roman"/>
              </w:rPr>
              <w:t>S</w:t>
            </w:r>
            <w:r w:rsidRPr="00C43E6D">
              <w:rPr>
                <w:rFonts w:ascii="Times New Roman" w:hAnsi="Times New Roman" w:cs="Times New Roman"/>
              </w:rPr>
              <w:t>uplinirea stocurilor de echipamente suplimentare necesare pentru intervenții pe perioada rece a anului și/sau în situații de criză</w:t>
            </w:r>
          </w:p>
        </w:tc>
        <w:tc>
          <w:tcPr>
            <w:tcW w:w="888" w:type="pct"/>
            <w:shd w:val="clear" w:color="auto" w:fill="auto"/>
            <w:vAlign w:val="center"/>
          </w:tcPr>
          <w:p w14:paraId="2A64416C" w14:textId="2D253FB2" w:rsidR="001D685C" w:rsidRPr="00C43E6D" w:rsidRDefault="001D685C" w:rsidP="001D685C">
            <w:pPr>
              <w:jc w:val="center"/>
              <w:rPr>
                <w:rFonts w:ascii="Times New Roman" w:hAnsi="Times New Roman" w:cs="Times New Roman"/>
              </w:rPr>
            </w:pPr>
            <w:r w:rsidRPr="00C43E6D">
              <w:rPr>
                <w:rFonts w:ascii="Times New Roman" w:hAnsi="Times New Roman" w:cs="Times New Roman"/>
              </w:rPr>
              <w:t>01.11.2025</w:t>
            </w:r>
          </w:p>
        </w:tc>
        <w:tc>
          <w:tcPr>
            <w:tcW w:w="1349" w:type="pct"/>
            <w:shd w:val="clear" w:color="auto" w:fill="auto"/>
            <w:vAlign w:val="center"/>
          </w:tcPr>
          <w:p w14:paraId="09096443" w14:textId="77777777" w:rsidR="001D685C" w:rsidRPr="00C43E6D" w:rsidRDefault="001D685C" w:rsidP="001D685C">
            <w:pPr>
              <w:rPr>
                <w:rFonts w:ascii="Times New Roman" w:hAnsi="Times New Roman" w:cs="Times New Roman"/>
              </w:rPr>
            </w:pPr>
            <w:r w:rsidRPr="00C43E6D">
              <w:rPr>
                <w:rFonts w:ascii="Times New Roman" w:hAnsi="Times New Roman" w:cs="Times New Roman"/>
              </w:rPr>
              <w:t>ÎS „Moldelectrica”</w:t>
            </w:r>
          </w:p>
          <w:p w14:paraId="48581496" w14:textId="77777777" w:rsidR="001D685C" w:rsidRPr="00C43E6D" w:rsidRDefault="001D685C" w:rsidP="001D685C">
            <w:pPr>
              <w:rPr>
                <w:rFonts w:ascii="Times New Roman" w:hAnsi="Times New Roman" w:cs="Times New Roman"/>
              </w:rPr>
            </w:pPr>
            <w:r w:rsidRPr="00C43E6D">
              <w:rPr>
                <w:rFonts w:ascii="Times New Roman" w:hAnsi="Times New Roman" w:cs="Times New Roman"/>
              </w:rPr>
              <w:t>SA „RED-Nord”</w:t>
            </w:r>
          </w:p>
          <w:p w14:paraId="632E99A2" w14:textId="761AABCF" w:rsidR="001D685C" w:rsidRPr="00C43E6D" w:rsidRDefault="001D685C" w:rsidP="001D685C">
            <w:pPr>
              <w:rPr>
                <w:rFonts w:ascii="Times New Roman" w:hAnsi="Times New Roman" w:cs="Times New Roman"/>
              </w:rPr>
            </w:pPr>
            <w:r w:rsidRPr="00C43E6D">
              <w:rPr>
                <w:rFonts w:ascii="Times New Roman" w:hAnsi="Times New Roman" w:cs="Times New Roman"/>
              </w:rPr>
              <w:t>ÎCS „Premier Energy Distribution” SA</w:t>
            </w:r>
          </w:p>
        </w:tc>
      </w:tr>
      <w:tr w:rsidR="001D685C" w:rsidRPr="00C43E6D" w14:paraId="7E242AB4" w14:textId="77777777" w:rsidTr="00A41F94">
        <w:trPr>
          <w:trHeight w:val="162"/>
        </w:trPr>
        <w:tc>
          <w:tcPr>
            <w:tcW w:w="323" w:type="pct"/>
            <w:shd w:val="clear" w:color="auto" w:fill="FFFFFF" w:themeFill="background1"/>
            <w:vAlign w:val="center"/>
          </w:tcPr>
          <w:p w14:paraId="2E2316D5" w14:textId="47DACFF8" w:rsidR="001D685C" w:rsidRPr="00C43E6D" w:rsidRDefault="001D685C" w:rsidP="001D685C">
            <w:pPr>
              <w:jc w:val="center"/>
              <w:rPr>
                <w:rFonts w:ascii="Times New Roman" w:hAnsi="Times New Roman" w:cs="Times New Roman"/>
                <w:color w:val="000000"/>
              </w:rPr>
            </w:pPr>
            <w:r>
              <w:rPr>
                <w:rFonts w:ascii="Times New Roman" w:hAnsi="Times New Roman" w:cs="Times New Roman"/>
                <w:color w:val="000000"/>
              </w:rPr>
              <w:t>35</w:t>
            </w:r>
          </w:p>
        </w:tc>
        <w:tc>
          <w:tcPr>
            <w:tcW w:w="2440" w:type="pct"/>
            <w:shd w:val="clear" w:color="auto" w:fill="FFFFFF" w:themeFill="background1"/>
            <w:vAlign w:val="center"/>
          </w:tcPr>
          <w:p w14:paraId="132FB01D" w14:textId="2029799E" w:rsidR="001D685C" w:rsidRPr="00C43E6D" w:rsidRDefault="001D685C" w:rsidP="001D685C">
            <w:pPr>
              <w:jc w:val="both"/>
              <w:rPr>
                <w:rFonts w:ascii="Times New Roman" w:hAnsi="Times New Roman" w:cs="Times New Roman"/>
              </w:rPr>
            </w:pPr>
            <w:r w:rsidRPr="00D65549">
              <w:rPr>
                <w:rFonts w:ascii="Times New Roman" w:hAnsi="Times New Roman" w:cs="Times New Roman"/>
              </w:rPr>
              <w:t>Întreprinderea măsurilor de asigurare a necesarului de masă lemnoasă pentru sezonul de încălzire 2025-2026 în limita volumelor de tăieri autorizate pentru perioada respectivă pentru populația care utilizează această sursă alternativă de încălzire, inclusiv monitorizarea menținerii unui preț rezonabil de comercializare a masei lemnoase</w:t>
            </w:r>
          </w:p>
        </w:tc>
        <w:tc>
          <w:tcPr>
            <w:tcW w:w="888" w:type="pct"/>
            <w:shd w:val="clear" w:color="auto" w:fill="FFFFFF" w:themeFill="background1"/>
            <w:vAlign w:val="center"/>
          </w:tcPr>
          <w:p w14:paraId="27840DFF" w14:textId="722B6FB9" w:rsidR="001D685C" w:rsidRPr="00C43E6D" w:rsidRDefault="001D685C" w:rsidP="001D685C">
            <w:pPr>
              <w:jc w:val="center"/>
              <w:rPr>
                <w:rFonts w:ascii="Times New Roman" w:hAnsi="Times New Roman" w:cs="Times New Roman"/>
              </w:rPr>
            </w:pPr>
            <w:r w:rsidRPr="00C43E6D">
              <w:rPr>
                <w:rFonts w:ascii="Times New Roman" w:hAnsi="Times New Roman" w:cs="Times New Roman"/>
              </w:rPr>
              <w:t>2025-2026</w:t>
            </w:r>
          </w:p>
        </w:tc>
        <w:tc>
          <w:tcPr>
            <w:tcW w:w="1349" w:type="pct"/>
            <w:shd w:val="clear" w:color="auto" w:fill="FFFFFF" w:themeFill="background1"/>
            <w:vAlign w:val="center"/>
          </w:tcPr>
          <w:p w14:paraId="0769F76F" w14:textId="77777777" w:rsidR="001D685C" w:rsidRPr="00C43E6D" w:rsidRDefault="001D685C" w:rsidP="001D685C">
            <w:pPr>
              <w:rPr>
                <w:rFonts w:ascii="Times New Roman" w:hAnsi="Times New Roman" w:cs="Times New Roman"/>
              </w:rPr>
            </w:pPr>
            <w:r w:rsidRPr="00C43E6D">
              <w:rPr>
                <w:rFonts w:ascii="Times New Roman" w:hAnsi="Times New Roman" w:cs="Times New Roman"/>
              </w:rPr>
              <w:t>Ministerul Mediului</w:t>
            </w:r>
          </w:p>
          <w:p w14:paraId="07460E1B" w14:textId="77777777" w:rsidR="001D685C" w:rsidRPr="00C43E6D" w:rsidRDefault="001D685C" w:rsidP="001D685C">
            <w:pPr>
              <w:rPr>
                <w:rFonts w:ascii="Times New Roman" w:hAnsi="Times New Roman" w:cs="Times New Roman"/>
              </w:rPr>
            </w:pPr>
            <w:r w:rsidRPr="00C43E6D">
              <w:rPr>
                <w:rFonts w:ascii="Times New Roman" w:hAnsi="Times New Roman" w:cs="Times New Roman"/>
              </w:rPr>
              <w:t>Agenția „Moldsilva”</w:t>
            </w:r>
          </w:p>
          <w:p w14:paraId="2597DECD" w14:textId="77777777" w:rsidR="001D685C" w:rsidRPr="00C43E6D" w:rsidRDefault="001D685C" w:rsidP="001D685C">
            <w:pPr>
              <w:rPr>
                <w:rFonts w:ascii="Times New Roman" w:hAnsi="Times New Roman" w:cs="Times New Roman"/>
              </w:rPr>
            </w:pPr>
            <w:r w:rsidRPr="00C43E6D">
              <w:rPr>
                <w:rFonts w:ascii="Times New Roman" w:hAnsi="Times New Roman" w:cs="Times New Roman"/>
              </w:rPr>
              <w:t>ÎS „Administrația de Stat a Drumurilor”</w:t>
            </w:r>
          </w:p>
          <w:p w14:paraId="4E4B32C4" w14:textId="77777777" w:rsidR="001D685C" w:rsidRPr="00C43E6D" w:rsidRDefault="001D685C" w:rsidP="001D685C">
            <w:pPr>
              <w:rPr>
                <w:rFonts w:ascii="Times New Roman" w:hAnsi="Times New Roman" w:cs="Times New Roman"/>
              </w:rPr>
            </w:pPr>
            <w:r w:rsidRPr="00C43E6D">
              <w:rPr>
                <w:rFonts w:ascii="Times New Roman" w:hAnsi="Times New Roman" w:cs="Times New Roman"/>
              </w:rPr>
              <w:t>ÎS „Calea Ferată din Moldova”</w:t>
            </w:r>
          </w:p>
          <w:p w14:paraId="35E7704E" w14:textId="77777777" w:rsidR="001D685C" w:rsidRPr="00C43E6D" w:rsidRDefault="001D685C" w:rsidP="001D685C">
            <w:pPr>
              <w:rPr>
                <w:rFonts w:ascii="Times New Roman" w:hAnsi="Times New Roman" w:cs="Times New Roman"/>
              </w:rPr>
            </w:pPr>
            <w:r w:rsidRPr="00C43E6D">
              <w:rPr>
                <w:rFonts w:ascii="Times New Roman" w:hAnsi="Times New Roman" w:cs="Times New Roman"/>
              </w:rPr>
              <w:t>Întreprinderile municipale de întreținere și amenajare a spațiilor verzi</w:t>
            </w:r>
          </w:p>
          <w:p w14:paraId="0ACC37C8" w14:textId="397AAF42" w:rsidR="001D685C" w:rsidRPr="00C43E6D" w:rsidRDefault="001D685C" w:rsidP="001D685C">
            <w:pPr>
              <w:rPr>
                <w:rFonts w:ascii="Times New Roman" w:hAnsi="Times New Roman" w:cs="Times New Roman"/>
                <w:lang w:eastAsia="ru-RU"/>
              </w:rPr>
            </w:pPr>
            <w:r>
              <w:rPr>
                <w:rFonts w:ascii="Times New Roman" w:hAnsi="Times New Roman" w:cs="Times New Roman"/>
                <w:lang w:eastAsia="ru-RU"/>
              </w:rPr>
              <w:lastRenderedPageBreak/>
              <w:t>Autorități publice locale (</w:t>
            </w:r>
            <w:r w:rsidRPr="00C43E6D">
              <w:rPr>
                <w:rFonts w:ascii="Times New Roman" w:hAnsi="Times New Roman" w:cs="Times New Roman"/>
                <w:lang w:eastAsia="ru-RU"/>
              </w:rPr>
              <w:t>APL</w:t>
            </w:r>
            <w:r>
              <w:rPr>
                <w:rFonts w:ascii="Times New Roman" w:hAnsi="Times New Roman" w:cs="Times New Roman"/>
                <w:lang w:eastAsia="ru-RU"/>
              </w:rPr>
              <w:t>)</w:t>
            </w:r>
          </w:p>
          <w:p w14:paraId="2AA7B053" w14:textId="5784A628" w:rsidR="001D685C" w:rsidRPr="00C43E6D" w:rsidRDefault="001D685C" w:rsidP="001D685C">
            <w:pPr>
              <w:rPr>
                <w:rFonts w:ascii="Times New Roman" w:hAnsi="Times New Roman" w:cs="Times New Roman"/>
              </w:rPr>
            </w:pPr>
            <w:r w:rsidRPr="00C43E6D">
              <w:rPr>
                <w:rFonts w:ascii="Times New Roman" w:hAnsi="Times New Roman" w:cs="Times New Roman"/>
              </w:rPr>
              <w:t>Sectorul privat</w:t>
            </w:r>
          </w:p>
        </w:tc>
      </w:tr>
      <w:tr w:rsidR="001D685C" w:rsidRPr="00C43E6D" w14:paraId="04147116" w14:textId="77777777" w:rsidTr="00A41F94">
        <w:trPr>
          <w:trHeight w:val="162"/>
        </w:trPr>
        <w:tc>
          <w:tcPr>
            <w:tcW w:w="323" w:type="pct"/>
            <w:shd w:val="clear" w:color="auto" w:fill="auto"/>
            <w:vAlign w:val="center"/>
          </w:tcPr>
          <w:p w14:paraId="1DDCEC23" w14:textId="1D46ECEA" w:rsidR="001D685C" w:rsidRDefault="001D685C" w:rsidP="001D685C">
            <w:pPr>
              <w:jc w:val="center"/>
              <w:rPr>
                <w:rFonts w:ascii="Times New Roman" w:hAnsi="Times New Roman" w:cs="Times New Roman"/>
              </w:rPr>
            </w:pPr>
            <w:r>
              <w:rPr>
                <w:rFonts w:ascii="Times New Roman" w:hAnsi="Times New Roman" w:cs="Times New Roman"/>
              </w:rPr>
              <w:lastRenderedPageBreak/>
              <w:t>36</w:t>
            </w:r>
          </w:p>
        </w:tc>
        <w:tc>
          <w:tcPr>
            <w:tcW w:w="2440" w:type="pct"/>
            <w:shd w:val="clear" w:color="auto" w:fill="auto"/>
            <w:vAlign w:val="center"/>
          </w:tcPr>
          <w:p w14:paraId="3F5BBC6D" w14:textId="43A8CA82" w:rsidR="001D685C" w:rsidRDefault="001D685C" w:rsidP="001D685C">
            <w:pPr>
              <w:jc w:val="both"/>
              <w:rPr>
                <w:rFonts w:ascii="Times New Roman" w:hAnsi="Times New Roman" w:cs="Times New Roman"/>
              </w:rPr>
            </w:pPr>
            <w:r w:rsidRPr="00C43E6D">
              <w:rPr>
                <w:rFonts w:ascii="Times New Roman" w:hAnsi="Times New Roman" w:cs="Times New Roman"/>
              </w:rPr>
              <w:t>Finalizarea lucrărilor de pregătire pentru sezonul de încălzire 2025-2026 a utilajului de bază şi a celui auxiliar, precum şi a rețelelor termice, rețelelor de transport și de distribuție a gazelor naturale și energiei electrice</w:t>
            </w:r>
          </w:p>
        </w:tc>
        <w:tc>
          <w:tcPr>
            <w:tcW w:w="888" w:type="pct"/>
            <w:shd w:val="clear" w:color="auto" w:fill="auto"/>
            <w:vAlign w:val="center"/>
          </w:tcPr>
          <w:p w14:paraId="3D5886E7" w14:textId="3D6DB27F" w:rsidR="001D685C" w:rsidRPr="00C43E6D" w:rsidRDefault="001D685C" w:rsidP="001D685C">
            <w:pPr>
              <w:jc w:val="center"/>
              <w:rPr>
                <w:rFonts w:ascii="Times New Roman" w:hAnsi="Times New Roman" w:cs="Times New Roman"/>
              </w:rPr>
            </w:pPr>
            <w:r w:rsidRPr="00C43E6D">
              <w:rPr>
                <w:rFonts w:ascii="Times New Roman" w:hAnsi="Times New Roman" w:cs="Times New Roman"/>
              </w:rPr>
              <w:t>15.10.2025</w:t>
            </w:r>
          </w:p>
        </w:tc>
        <w:tc>
          <w:tcPr>
            <w:tcW w:w="1349" w:type="pct"/>
            <w:shd w:val="clear" w:color="auto" w:fill="auto"/>
            <w:vAlign w:val="center"/>
          </w:tcPr>
          <w:p w14:paraId="346580BD" w14:textId="77777777" w:rsidR="001D685C" w:rsidRPr="00C43E6D" w:rsidRDefault="001D685C" w:rsidP="001D685C">
            <w:pPr>
              <w:rPr>
                <w:rFonts w:ascii="Times New Roman" w:hAnsi="Times New Roman" w:cs="Times New Roman"/>
              </w:rPr>
            </w:pPr>
            <w:bookmarkStart w:id="22" w:name="_Hlk201583179"/>
            <w:r w:rsidRPr="00C43E6D">
              <w:rPr>
                <w:rFonts w:ascii="Times New Roman" w:hAnsi="Times New Roman" w:cs="Times New Roman"/>
              </w:rPr>
              <w:t>Titularii de licenț</w:t>
            </w:r>
            <w:r>
              <w:rPr>
                <w:rFonts w:ascii="Times New Roman" w:hAnsi="Times New Roman" w:cs="Times New Roman"/>
              </w:rPr>
              <w:t>ă</w:t>
            </w:r>
            <w:r w:rsidRPr="00C43E6D">
              <w:rPr>
                <w:rFonts w:ascii="Times New Roman" w:hAnsi="Times New Roman" w:cs="Times New Roman"/>
              </w:rPr>
              <w:t xml:space="preserve"> pentru activitățile de producere, distribuție şi furnizare a energiei termice în scopul comercializării acesteia</w:t>
            </w:r>
          </w:p>
          <w:bookmarkEnd w:id="22"/>
          <w:p w14:paraId="35089AE4" w14:textId="77777777" w:rsidR="001D685C" w:rsidRPr="00C43E6D" w:rsidRDefault="001D685C" w:rsidP="001D685C">
            <w:pPr>
              <w:rPr>
                <w:rFonts w:ascii="Times New Roman" w:hAnsi="Times New Roman" w:cs="Times New Roman"/>
              </w:rPr>
            </w:pPr>
          </w:p>
          <w:p w14:paraId="262AFA91" w14:textId="77777777" w:rsidR="001D685C" w:rsidRPr="00C43E6D" w:rsidRDefault="001D685C" w:rsidP="001D685C">
            <w:pPr>
              <w:rPr>
                <w:rFonts w:ascii="Times New Roman" w:hAnsi="Times New Roman" w:cs="Times New Roman"/>
              </w:rPr>
            </w:pPr>
            <w:r w:rsidRPr="00C43E6D">
              <w:rPr>
                <w:rFonts w:ascii="Times New Roman" w:hAnsi="Times New Roman" w:cs="Times New Roman"/>
              </w:rPr>
              <w:t>SRL „Vestmoldtransgaz”</w:t>
            </w:r>
          </w:p>
          <w:p w14:paraId="59DB4911" w14:textId="77777777" w:rsidR="001D685C" w:rsidRPr="00C43E6D" w:rsidRDefault="001D685C" w:rsidP="001D685C">
            <w:pPr>
              <w:rPr>
                <w:rFonts w:ascii="Times New Roman" w:hAnsi="Times New Roman" w:cs="Times New Roman"/>
              </w:rPr>
            </w:pPr>
            <w:r w:rsidRPr="00C43E6D">
              <w:rPr>
                <w:rFonts w:ascii="Times New Roman" w:hAnsi="Times New Roman" w:cs="Times New Roman"/>
              </w:rPr>
              <w:t>ÎS „Moldelectrica”</w:t>
            </w:r>
          </w:p>
          <w:p w14:paraId="4C8EFA73" w14:textId="77777777" w:rsidR="001D685C" w:rsidRPr="00C43E6D" w:rsidRDefault="001D685C" w:rsidP="001D685C">
            <w:pPr>
              <w:rPr>
                <w:rFonts w:ascii="Times New Roman" w:hAnsi="Times New Roman" w:cs="Times New Roman"/>
              </w:rPr>
            </w:pPr>
          </w:p>
          <w:p w14:paraId="083C1594" w14:textId="242AEF7C" w:rsidR="001D685C" w:rsidRPr="00C43E6D" w:rsidRDefault="001D685C" w:rsidP="001D685C">
            <w:pPr>
              <w:rPr>
                <w:rFonts w:ascii="Times New Roman" w:hAnsi="Times New Roman" w:cs="Times New Roman"/>
              </w:rPr>
            </w:pPr>
            <w:r w:rsidRPr="00C43E6D">
              <w:rPr>
                <w:rFonts w:ascii="Times New Roman" w:hAnsi="Times New Roman" w:cs="Times New Roman"/>
              </w:rPr>
              <w:t>Operatorii sistemelor de distribuție gaze naturale și energie electrică</w:t>
            </w:r>
          </w:p>
        </w:tc>
      </w:tr>
      <w:tr w:rsidR="001D685C" w:rsidRPr="00C43E6D" w14:paraId="2A01B778" w14:textId="77777777" w:rsidTr="00A41F94">
        <w:trPr>
          <w:trHeight w:val="162"/>
        </w:trPr>
        <w:tc>
          <w:tcPr>
            <w:tcW w:w="323" w:type="pct"/>
            <w:shd w:val="clear" w:color="auto" w:fill="auto"/>
            <w:vAlign w:val="center"/>
          </w:tcPr>
          <w:p w14:paraId="34AB16B3" w14:textId="66BDEEB9" w:rsidR="001D685C" w:rsidRDefault="001D685C" w:rsidP="001D685C">
            <w:pPr>
              <w:jc w:val="center"/>
              <w:rPr>
                <w:rFonts w:ascii="Times New Roman" w:hAnsi="Times New Roman" w:cs="Times New Roman"/>
              </w:rPr>
            </w:pPr>
            <w:r>
              <w:rPr>
                <w:rFonts w:ascii="Times New Roman" w:hAnsi="Times New Roman" w:cs="Times New Roman"/>
              </w:rPr>
              <w:t>37</w:t>
            </w:r>
          </w:p>
        </w:tc>
        <w:tc>
          <w:tcPr>
            <w:tcW w:w="2440" w:type="pct"/>
            <w:shd w:val="clear" w:color="auto" w:fill="auto"/>
            <w:vAlign w:val="center"/>
          </w:tcPr>
          <w:p w14:paraId="2292A6F9" w14:textId="08477C74" w:rsidR="001D685C" w:rsidRDefault="001D685C" w:rsidP="001D685C">
            <w:pPr>
              <w:jc w:val="both"/>
              <w:rPr>
                <w:rFonts w:ascii="Times New Roman" w:hAnsi="Times New Roman" w:cs="Times New Roman"/>
              </w:rPr>
            </w:pPr>
            <w:r w:rsidRPr="00C43E6D">
              <w:rPr>
                <w:rFonts w:ascii="Times New Roman" w:hAnsi="Times New Roman" w:cs="Times New Roman"/>
              </w:rPr>
              <w:t xml:space="preserve">Verificarea activităților întreprinse de instituții/autorități în scopul pregătirii obiectelor și sistemelor de alimentare cu energie termică și energie electrică ale întreprinderilor gospodăriei comunale, fondului locativ, instituțiilor bugetare, </w:t>
            </w:r>
            <w:r w:rsidRPr="00C43E6D">
              <w:rPr>
                <w:rFonts w:ascii="Times New Roman" w:hAnsi="Times New Roman" w:cs="Times New Roman"/>
                <w:color w:val="000000" w:themeColor="text1"/>
              </w:rPr>
              <w:t>precum şi ale operatorilor de sistem și unităților termoenergetice</w:t>
            </w:r>
          </w:p>
        </w:tc>
        <w:tc>
          <w:tcPr>
            <w:tcW w:w="888" w:type="pct"/>
            <w:shd w:val="clear" w:color="auto" w:fill="auto"/>
            <w:vAlign w:val="center"/>
          </w:tcPr>
          <w:p w14:paraId="6F1C5F0B" w14:textId="397E16FA" w:rsidR="001D685C" w:rsidRPr="00C43E6D" w:rsidRDefault="001D685C" w:rsidP="001D685C">
            <w:pPr>
              <w:jc w:val="center"/>
              <w:rPr>
                <w:rFonts w:ascii="Times New Roman" w:hAnsi="Times New Roman" w:cs="Times New Roman"/>
              </w:rPr>
            </w:pPr>
            <w:r w:rsidRPr="00C43E6D">
              <w:rPr>
                <w:rFonts w:ascii="Times New Roman" w:hAnsi="Times New Roman" w:cs="Times New Roman"/>
              </w:rPr>
              <w:t>15.10.2025</w:t>
            </w:r>
          </w:p>
        </w:tc>
        <w:tc>
          <w:tcPr>
            <w:tcW w:w="1349" w:type="pct"/>
            <w:shd w:val="clear" w:color="auto" w:fill="auto"/>
            <w:vAlign w:val="center"/>
          </w:tcPr>
          <w:p w14:paraId="35444E6F" w14:textId="77777777" w:rsidR="001D685C" w:rsidRPr="00C43E6D" w:rsidRDefault="001D685C" w:rsidP="001D685C">
            <w:pPr>
              <w:rPr>
                <w:rFonts w:ascii="Times New Roman" w:hAnsi="Times New Roman" w:cs="Times New Roman"/>
              </w:rPr>
            </w:pPr>
            <w:r w:rsidRPr="00C43E6D">
              <w:rPr>
                <w:rFonts w:ascii="Times New Roman" w:hAnsi="Times New Roman" w:cs="Times New Roman"/>
              </w:rPr>
              <w:t>ANRE</w:t>
            </w:r>
          </w:p>
          <w:p w14:paraId="2E7718DE" w14:textId="1881DB75" w:rsidR="001D685C" w:rsidRPr="00C43E6D" w:rsidRDefault="001D685C" w:rsidP="001D685C">
            <w:pPr>
              <w:rPr>
                <w:rFonts w:ascii="Times New Roman" w:hAnsi="Times New Roman" w:cs="Times New Roman"/>
              </w:rPr>
            </w:pPr>
            <w:r w:rsidRPr="00C43E6D">
              <w:rPr>
                <w:rFonts w:ascii="Times New Roman" w:hAnsi="Times New Roman" w:cs="Times New Roman"/>
              </w:rPr>
              <w:t>Inspectoratul Național pentru Supraveghere Tehnică</w:t>
            </w:r>
          </w:p>
        </w:tc>
      </w:tr>
      <w:tr w:rsidR="001D685C" w:rsidRPr="00C43E6D" w14:paraId="4B078F88" w14:textId="77777777" w:rsidTr="00A41F94">
        <w:trPr>
          <w:trHeight w:val="155"/>
        </w:trPr>
        <w:tc>
          <w:tcPr>
            <w:tcW w:w="323" w:type="pct"/>
            <w:vAlign w:val="center"/>
          </w:tcPr>
          <w:p w14:paraId="51CC3B86" w14:textId="757F3700" w:rsidR="001D685C" w:rsidRPr="00C43E6D" w:rsidDel="00B458A0" w:rsidRDefault="001D685C" w:rsidP="001D685C">
            <w:pPr>
              <w:jc w:val="center"/>
              <w:rPr>
                <w:rFonts w:ascii="Times New Roman" w:hAnsi="Times New Roman" w:cs="Times New Roman"/>
              </w:rPr>
            </w:pPr>
            <w:r>
              <w:rPr>
                <w:rFonts w:ascii="Times New Roman" w:hAnsi="Times New Roman" w:cs="Times New Roman"/>
              </w:rPr>
              <w:t>38</w:t>
            </w:r>
          </w:p>
        </w:tc>
        <w:tc>
          <w:tcPr>
            <w:tcW w:w="2440" w:type="pct"/>
            <w:shd w:val="clear" w:color="auto" w:fill="auto"/>
            <w:vAlign w:val="center"/>
          </w:tcPr>
          <w:p w14:paraId="23146683" w14:textId="1D067B66" w:rsidR="001D685C" w:rsidRPr="00C43E6D" w:rsidRDefault="001D685C" w:rsidP="001D685C">
            <w:pPr>
              <w:jc w:val="both"/>
              <w:rPr>
                <w:rFonts w:ascii="Times New Roman" w:hAnsi="Times New Roman" w:cs="Times New Roman"/>
              </w:rPr>
            </w:pPr>
            <w:r w:rsidRPr="00C43E6D">
              <w:rPr>
                <w:rFonts w:ascii="Times New Roman" w:hAnsi="Times New Roman" w:cs="Times New Roman"/>
              </w:rPr>
              <w:t>Implementarea unor măsuri și instrumente suplimentare pentru consolidarea securității sistemelor IT, hardware și software împotriva amenințărilor cibernetice</w:t>
            </w:r>
          </w:p>
        </w:tc>
        <w:tc>
          <w:tcPr>
            <w:tcW w:w="888" w:type="pct"/>
            <w:shd w:val="clear" w:color="auto" w:fill="auto"/>
            <w:vAlign w:val="center"/>
          </w:tcPr>
          <w:p w14:paraId="60AD7978" w14:textId="091901E2" w:rsidR="001D685C" w:rsidRPr="00C43E6D" w:rsidRDefault="001D685C" w:rsidP="001D685C">
            <w:pPr>
              <w:jc w:val="center"/>
              <w:rPr>
                <w:rFonts w:ascii="Times New Roman" w:hAnsi="Times New Roman" w:cs="Times New Roman"/>
              </w:rPr>
            </w:pPr>
            <w:r w:rsidRPr="00C43E6D">
              <w:rPr>
                <w:rFonts w:ascii="Times New Roman" w:hAnsi="Times New Roman" w:cs="Times New Roman"/>
              </w:rPr>
              <w:t>octombrie 2025 – aprilie 2026</w:t>
            </w:r>
          </w:p>
        </w:tc>
        <w:tc>
          <w:tcPr>
            <w:tcW w:w="1349" w:type="pct"/>
            <w:shd w:val="clear" w:color="auto" w:fill="auto"/>
            <w:vAlign w:val="center"/>
          </w:tcPr>
          <w:p w14:paraId="5F1FC235" w14:textId="7717A267" w:rsidR="001D685C" w:rsidRPr="00C43E6D" w:rsidRDefault="001D685C" w:rsidP="001D685C">
            <w:pPr>
              <w:spacing w:line="276" w:lineRule="auto"/>
              <w:rPr>
                <w:rFonts w:ascii="Times New Roman" w:hAnsi="Times New Roman" w:cs="Times New Roman"/>
              </w:rPr>
            </w:pPr>
            <w:r w:rsidRPr="00C43E6D">
              <w:rPr>
                <w:rFonts w:ascii="Times New Roman" w:hAnsi="Times New Roman" w:cs="Times New Roman"/>
              </w:rPr>
              <w:t>SRL „Vestmoldtransgaz”</w:t>
            </w:r>
          </w:p>
          <w:p w14:paraId="3AA0ADC1" w14:textId="41B90989" w:rsidR="001D685C" w:rsidRPr="00C43E6D" w:rsidRDefault="001D685C" w:rsidP="001D685C">
            <w:pPr>
              <w:spacing w:line="276" w:lineRule="auto"/>
              <w:rPr>
                <w:rFonts w:ascii="Times New Roman" w:hAnsi="Times New Roman" w:cs="Times New Roman"/>
              </w:rPr>
            </w:pPr>
            <w:r w:rsidRPr="00C43E6D">
              <w:rPr>
                <w:rFonts w:ascii="Times New Roman" w:hAnsi="Times New Roman" w:cs="Times New Roman"/>
              </w:rPr>
              <w:t>ÎS „Moldelectrica”</w:t>
            </w:r>
          </w:p>
          <w:p w14:paraId="16CFF9E0" w14:textId="02525598" w:rsidR="001D685C" w:rsidRPr="00C43E6D" w:rsidRDefault="001D685C" w:rsidP="001D685C">
            <w:pPr>
              <w:spacing w:line="276" w:lineRule="auto"/>
              <w:rPr>
                <w:rFonts w:ascii="Times New Roman" w:hAnsi="Times New Roman" w:cs="Times New Roman"/>
              </w:rPr>
            </w:pPr>
            <w:r w:rsidRPr="00C43E6D">
              <w:rPr>
                <w:rFonts w:ascii="Times New Roman" w:hAnsi="Times New Roman" w:cs="Times New Roman"/>
              </w:rPr>
              <w:t xml:space="preserve">Operatorii sistemelor de distribuție gaze naturale </w:t>
            </w:r>
          </w:p>
          <w:p w14:paraId="3E3C5FB5" w14:textId="08379516" w:rsidR="001D685C" w:rsidRPr="00C43E6D" w:rsidRDefault="001D685C" w:rsidP="001D685C">
            <w:pPr>
              <w:spacing w:line="276" w:lineRule="auto"/>
              <w:rPr>
                <w:rFonts w:ascii="Times New Roman" w:hAnsi="Times New Roman" w:cs="Times New Roman"/>
              </w:rPr>
            </w:pPr>
            <w:r w:rsidRPr="00C43E6D">
              <w:rPr>
                <w:rFonts w:ascii="Times New Roman" w:hAnsi="Times New Roman" w:cs="Times New Roman"/>
              </w:rPr>
              <w:t>SA RED-Nord”</w:t>
            </w:r>
          </w:p>
          <w:p w14:paraId="36F6CD99" w14:textId="77777777" w:rsidR="001D685C" w:rsidRPr="00C43E6D" w:rsidRDefault="001D685C" w:rsidP="001D685C">
            <w:pPr>
              <w:spacing w:line="276" w:lineRule="auto"/>
              <w:rPr>
                <w:rFonts w:ascii="Times New Roman" w:hAnsi="Times New Roman" w:cs="Times New Roman"/>
              </w:rPr>
            </w:pPr>
            <w:r w:rsidRPr="00C43E6D">
              <w:rPr>
                <w:rFonts w:ascii="Times New Roman" w:hAnsi="Times New Roman" w:cs="Times New Roman"/>
              </w:rPr>
              <w:t>ÎCS „Premier Energy Distribution” SA</w:t>
            </w:r>
          </w:p>
          <w:p w14:paraId="1B3CD96A" w14:textId="77777777" w:rsidR="001D685C" w:rsidRPr="00C43E6D" w:rsidRDefault="001D685C" w:rsidP="001D685C">
            <w:pPr>
              <w:spacing w:line="276" w:lineRule="auto"/>
              <w:rPr>
                <w:rFonts w:ascii="Times New Roman" w:hAnsi="Times New Roman" w:cs="Times New Roman"/>
              </w:rPr>
            </w:pPr>
            <w:r w:rsidRPr="00C43E6D">
              <w:rPr>
                <w:rFonts w:ascii="Times New Roman" w:hAnsi="Times New Roman" w:cs="Times New Roman"/>
              </w:rPr>
              <w:t>SA „Termoelectrica”</w:t>
            </w:r>
          </w:p>
          <w:p w14:paraId="7A19CE2D" w14:textId="0B60CA48" w:rsidR="001D685C" w:rsidRPr="00C43E6D" w:rsidRDefault="001D685C" w:rsidP="001D685C">
            <w:pPr>
              <w:spacing w:line="276" w:lineRule="auto"/>
              <w:rPr>
                <w:rFonts w:ascii="Times New Roman" w:hAnsi="Times New Roman" w:cs="Times New Roman"/>
              </w:rPr>
            </w:pPr>
            <w:r w:rsidRPr="00C43E6D">
              <w:rPr>
                <w:rFonts w:ascii="Times New Roman" w:hAnsi="Times New Roman" w:cs="Times New Roman"/>
              </w:rPr>
              <w:t>SA „CET-Nord”</w:t>
            </w:r>
          </w:p>
        </w:tc>
      </w:tr>
      <w:tr w:rsidR="001D685C" w:rsidRPr="00C43E6D" w14:paraId="60468A23" w14:textId="77777777" w:rsidTr="001E7C78">
        <w:trPr>
          <w:trHeight w:val="155"/>
        </w:trPr>
        <w:tc>
          <w:tcPr>
            <w:tcW w:w="5000" w:type="pct"/>
            <w:gridSpan w:val="4"/>
            <w:shd w:val="clear" w:color="auto" w:fill="E2EFD9" w:themeFill="accent6" w:themeFillTint="33"/>
            <w:vAlign w:val="center"/>
          </w:tcPr>
          <w:p w14:paraId="0D6B1663" w14:textId="12E56611" w:rsidR="001D685C" w:rsidRPr="001E7C78" w:rsidRDefault="001D685C" w:rsidP="001D685C">
            <w:pPr>
              <w:pStyle w:val="ListParagraph"/>
              <w:numPr>
                <w:ilvl w:val="0"/>
                <w:numId w:val="8"/>
              </w:numPr>
              <w:ind w:left="0" w:firstLine="313"/>
              <w:jc w:val="center"/>
              <w:rPr>
                <w:rFonts w:ascii="Times New Roman" w:hAnsi="Times New Roman" w:cs="Times New Roman"/>
                <w:b/>
                <w:bCs/>
              </w:rPr>
            </w:pPr>
            <w:r w:rsidRPr="001E7C78">
              <w:rPr>
                <w:rFonts w:ascii="Times New Roman" w:hAnsi="Times New Roman" w:cs="Times New Roman"/>
                <w:b/>
                <w:bCs/>
              </w:rPr>
              <w:t>Eficiență energetică</w:t>
            </w:r>
          </w:p>
        </w:tc>
      </w:tr>
      <w:tr w:rsidR="001D685C" w:rsidRPr="00C43E6D" w14:paraId="3080A6EB" w14:textId="77777777" w:rsidTr="00A41F94">
        <w:trPr>
          <w:trHeight w:val="155"/>
        </w:trPr>
        <w:tc>
          <w:tcPr>
            <w:tcW w:w="323" w:type="pct"/>
            <w:vAlign w:val="center"/>
          </w:tcPr>
          <w:p w14:paraId="1DABE703" w14:textId="6C2F828D" w:rsidR="001D685C" w:rsidRDefault="001D685C" w:rsidP="001D685C">
            <w:pPr>
              <w:jc w:val="center"/>
              <w:rPr>
                <w:rFonts w:ascii="Times New Roman" w:hAnsi="Times New Roman" w:cs="Times New Roman"/>
              </w:rPr>
            </w:pPr>
            <w:r>
              <w:rPr>
                <w:rFonts w:ascii="Times New Roman" w:hAnsi="Times New Roman" w:cs="Times New Roman"/>
              </w:rPr>
              <w:t>39</w:t>
            </w:r>
          </w:p>
        </w:tc>
        <w:tc>
          <w:tcPr>
            <w:tcW w:w="2440" w:type="pct"/>
            <w:shd w:val="clear" w:color="auto" w:fill="auto"/>
            <w:vAlign w:val="center"/>
          </w:tcPr>
          <w:p w14:paraId="66CA0FD7" w14:textId="33C29BA5" w:rsidR="001D685C" w:rsidRPr="00C43E6D" w:rsidRDefault="001D685C" w:rsidP="001D685C">
            <w:pPr>
              <w:jc w:val="both"/>
              <w:rPr>
                <w:rFonts w:ascii="Times New Roman" w:hAnsi="Times New Roman" w:cs="Times New Roman"/>
              </w:rPr>
            </w:pPr>
            <w:r w:rsidRPr="00C43E6D">
              <w:rPr>
                <w:rFonts w:ascii="Times New Roman" w:hAnsi="Times New Roman" w:cs="Times New Roman"/>
              </w:rPr>
              <w:t>Întreprinderea măsurilor necesare pentru creșterea numărului de clădiri ce ar putea fi conectate la sistemele de alimentare centralizată cu energie termică</w:t>
            </w:r>
          </w:p>
        </w:tc>
        <w:tc>
          <w:tcPr>
            <w:tcW w:w="888" w:type="pct"/>
            <w:shd w:val="clear" w:color="auto" w:fill="auto"/>
            <w:vAlign w:val="center"/>
          </w:tcPr>
          <w:p w14:paraId="70CE9C52" w14:textId="4BD9C64F" w:rsidR="001D685C" w:rsidRPr="00C43E6D" w:rsidRDefault="001D685C" w:rsidP="001D685C">
            <w:pPr>
              <w:jc w:val="center"/>
              <w:rPr>
                <w:rFonts w:ascii="Times New Roman" w:hAnsi="Times New Roman" w:cs="Times New Roman"/>
              </w:rPr>
            </w:pPr>
            <w:r w:rsidRPr="00C43E6D">
              <w:rPr>
                <w:rFonts w:ascii="Times New Roman" w:hAnsi="Times New Roman" w:cs="Times New Roman"/>
              </w:rPr>
              <w:t>2025-2026</w:t>
            </w:r>
          </w:p>
        </w:tc>
        <w:tc>
          <w:tcPr>
            <w:tcW w:w="1349" w:type="pct"/>
            <w:shd w:val="clear" w:color="auto" w:fill="auto"/>
            <w:vAlign w:val="center"/>
          </w:tcPr>
          <w:p w14:paraId="7C999578" w14:textId="77777777" w:rsidR="001D685C" w:rsidRPr="00C43E6D" w:rsidRDefault="001D685C" w:rsidP="001D685C">
            <w:pPr>
              <w:rPr>
                <w:rFonts w:ascii="Times New Roman" w:hAnsi="Times New Roman" w:cs="Times New Roman"/>
              </w:rPr>
            </w:pPr>
            <w:r w:rsidRPr="00C43E6D">
              <w:rPr>
                <w:rFonts w:ascii="Times New Roman" w:hAnsi="Times New Roman" w:cs="Times New Roman"/>
              </w:rPr>
              <w:t>Ministerul Energiei</w:t>
            </w:r>
          </w:p>
          <w:p w14:paraId="2B081574" w14:textId="77777777" w:rsidR="001D685C" w:rsidRPr="00C43E6D" w:rsidRDefault="001D685C" w:rsidP="001D685C">
            <w:pPr>
              <w:rPr>
                <w:rFonts w:ascii="Times New Roman" w:hAnsi="Times New Roman" w:cs="Times New Roman"/>
              </w:rPr>
            </w:pPr>
            <w:r w:rsidRPr="00C43E6D">
              <w:rPr>
                <w:rFonts w:ascii="Times New Roman" w:hAnsi="Times New Roman" w:cs="Times New Roman"/>
              </w:rPr>
              <w:t xml:space="preserve">SA „Termoelectrica” </w:t>
            </w:r>
          </w:p>
          <w:p w14:paraId="414FE13D" w14:textId="702BDC87" w:rsidR="001D685C" w:rsidRPr="00C43E6D" w:rsidRDefault="001D685C" w:rsidP="001D685C">
            <w:pPr>
              <w:spacing w:line="276" w:lineRule="auto"/>
              <w:rPr>
                <w:rFonts w:ascii="Times New Roman" w:hAnsi="Times New Roman" w:cs="Times New Roman"/>
              </w:rPr>
            </w:pPr>
            <w:r w:rsidRPr="00C43E6D">
              <w:rPr>
                <w:rFonts w:ascii="Times New Roman" w:hAnsi="Times New Roman" w:cs="Times New Roman"/>
              </w:rPr>
              <w:t>SA „CET-Nord”</w:t>
            </w:r>
          </w:p>
        </w:tc>
      </w:tr>
      <w:tr w:rsidR="001D685C" w:rsidRPr="00C43E6D" w14:paraId="118034C0" w14:textId="77777777" w:rsidTr="00A41F94">
        <w:trPr>
          <w:trHeight w:val="155"/>
        </w:trPr>
        <w:tc>
          <w:tcPr>
            <w:tcW w:w="323" w:type="pct"/>
            <w:vAlign w:val="center"/>
          </w:tcPr>
          <w:p w14:paraId="1CCF0915" w14:textId="06A81944" w:rsidR="001D685C" w:rsidRDefault="001D685C" w:rsidP="001D685C">
            <w:pPr>
              <w:jc w:val="center"/>
              <w:rPr>
                <w:rFonts w:ascii="Times New Roman" w:hAnsi="Times New Roman" w:cs="Times New Roman"/>
              </w:rPr>
            </w:pPr>
            <w:r>
              <w:rPr>
                <w:rFonts w:ascii="Times New Roman" w:hAnsi="Times New Roman" w:cs="Times New Roman"/>
              </w:rPr>
              <w:t>40</w:t>
            </w:r>
          </w:p>
        </w:tc>
        <w:tc>
          <w:tcPr>
            <w:tcW w:w="2440" w:type="pct"/>
            <w:shd w:val="clear" w:color="auto" w:fill="auto"/>
            <w:vAlign w:val="center"/>
          </w:tcPr>
          <w:p w14:paraId="4D9C2200" w14:textId="7B08E19A" w:rsidR="001D685C" w:rsidRPr="00C43E6D" w:rsidRDefault="001D685C" w:rsidP="001D685C">
            <w:pPr>
              <w:jc w:val="both"/>
              <w:rPr>
                <w:rFonts w:ascii="Times New Roman" w:hAnsi="Times New Roman" w:cs="Times New Roman"/>
              </w:rPr>
            </w:pPr>
            <w:r w:rsidRPr="00C43E6D">
              <w:rPr>
                <w:rFonts w:ascii="Times New Roman" w:hAnsi="Times New Roman" w:cs="Times New Roman"/>
              </w:rPr>
              <w:t>Inventarierea fondului de clădiri publice din raza de acoperire a serviciului public de alimentare cu energie termică în scopul stabilirii cheltuielilor aferente conectării/reconectării obiectivelor vizate la sistemele centralizate de alimentare cu energie termică și întreprinderea acțiunilor necesare în vederea includerii în planurile anuale de investiții a cheltuielilor ce se impun, în conformitate cu prevederile Hotărârii Guvernului nr. 489/2023</w:t>
            </w:r>
          </w:p>
        </w:tc>
        <w:tc>
          <w:tcPr>
            <w:tcW w:w="888" w:type="pct"/>
            <w:shd w:val="clear" w:color="auto" w:fill="auto"/>
            <w:vAlign w:val="center"/>
          </w:tcPr>
          <w:p w14:paraId="79D13CC1" w14:textId="1EC3C34A" w:rsidR="001D685C" w:rsidRPr="00C43E6D" w:rsidRDefault="001D685C" w:rsidP="001D685C">
            <w:pPr>
              <w:jc w:val="center"/>
              <w:rPr>
                <w:rFonts w:ascii="Times New Roman" w:hAnsi="Times New Roman" w:cs="Times New Roman"/>
              </w:rPr>
            </w:pPr>
            <w:r w:rsidRPr="00C43E6D">
              <w:rPr>
                <w:rFonts w:ascii="Times New Roman" w:hAnsi="Times New Roman" w:cs="Times New Roman"/>
              </w:rPr>
              <w:t>01.11.2025</w:t>
            </w:r>
          </w:p>
        </w:tc>
        <w:tc>
          <w:tcPr>
            <w:tcW w:w="1349" w:type="pct"/>
            <w:shd w:val="clear" w:color="auto" w:fill="auto"/>
            <w:vAlign w:val="center"/>
          </w:tcPr>
          <w:p w14:paraId="5727A88D" w14:textId="77777777" w:rsidR="001D685C" w:rsidRPr="00C43E6D" w:rsidRDefault="001D685C" w:rsidP="001D685C">
            <w:pPr>
              <w:rPr>
                <w:rFonts w:ascii="Times New Roman" w:hAnsi="Times New Roman" w:cs="Times New Roman"/>
              </w:rPr>
            </w:pPr>
            <w:r w:rsidRPr="00C43E6D">
              <w:rPr>
                <w:rFonts w:ascii="Times New Roman" w:hAnsi="Times New Roman" w:cs="Times New Roman"/>
              </w:rPr>
              <w:t xml:space="preserve">SA „Termoelectrica” </w:t>
            </w:r>
          </w:p>
          <w:p w14:paraId="6B14A163" w14:textId="277A0BAE" w:rsidR="001D685C" w:rsidRPr="00C43E6D" w:rsidRDefault="001D685C" w:rsidP="001D685C">
            <w:pPr>
              <w:spacing w:line="276" w:lineRule="auto"/>
              <w:rPr>
                <w:rFonts w:ascii="Times New Roman" w:hAnsi="Times New Roman" w:cs="Times New Roman"/>
              </w:rPr>
            </w:pPr>
            <w:r w:rsidRPr="00C43E6D">
              <w:rPr>
                <w:rFonts w:ascii="Times New Roman" w:hAnsi="Times New Roman" w:cs="Times New Roman"/>
              </w:rPr>
              <w:t>SA „CET-Nord”</w:t>
            </w:r>
          </w:p>
        </w:tc>
      </w:tr>
      <w:tr w:rsidR="001D685C" w:rsidRPr="00C43E6D" w14:paraId="140AD866" w14:textId="77777777" w:rsidTr="00A41F94">
        <w:trPr>
          <w:trHeight w:val="155"/>
        </w:trPr>
        <w:tc>
          <w:tcPr>
            <w:tcW w:w="323" w:type="pct"/>
            <w:vAlign w:val="center"/>
          </w:tcPr>
          <w:p w14:paraId="531D47A6" w14:textId="54AFDFBE" w:rsidR="001D685C" w:rsidRPr="00C43E6D" w:rsidRDefault="001D685C" w:rsidP="001D685C">
            <w:pPr>
              <w:jc w:val="center"/>
              <w:rPr>
                <w:rFonts w:ascii="Times New Roman" w:hAnsi="Times New Roman" w:cs="Times New Roman"/>
                <w:color w:val="000000"/>
              </w:rPr>
            </w:pPr>
            <w:r>
              <w:rPr>
                <w:rFonts w:ascii="Times New Roman" w:hAnsi="Times New Roman" w:cs="Times New Roman"/>
                <w:color w:val="000000"/>
              </w:rPr>
              <w:t>41</w:t>
            </w:r>
          </w:p>
        </w:tc>
        <w:tc>
          <w:tcPr>
            <w:tcW w:w="2440" w:type="pct"/>
            <w:shd w:val="clear" w:color="auto" w:fill="auto"/>
            <w:vAlign w:val="center"/>
          </w:tcPr>
          <w:p w14:paraId="255284EC" w14:textId="030D4075" w:rsidR="001D685C" w:rsidRPr="00C43E6D" w:rsidRDefault="001D685C" w:rsidP="001D685C">
            <w:pPr>
              <w:jc w:val="both"/>
              <w:rPr>
                <w:rFonts w:ascii="Times New Roman" w:hAnsi="Times New Roman" w:cs="Times New Roman"/>
              </w:rPr>
            </w:pPr>
            <w:r w:rsidRPr="00C43E6D">
              <w:rPr>
                <w:rFonts w:ascii="Times New Roman" w:hAnsi="Times New Roman" w:cs="Times New Roman"/>
              </w:rPr>
              <w:t>Desemnarea unei persoane responsabile (manager energetic), pentru fiecare instituție subordonată, care să monitorizeze, verifice și să asigure consumul rațional de resurse energetice, și să asigure menținerea temperaturii interioare recomandate în cadrul clădirii specifice tipului de activitate</w:t>
            </w:r>
          </w:p>
        </w:tc>
        <w:tc>
          <w:tcPr>
            <w:tcW w:w="888" w:type="pct"/>
            <w:shd w:val="clear" w:color="auto" w:fill="auto"/>
            <w:vAlign w:val="center"/>
          </w:tcPr>
          <w:p w14:paraId="69C20E80" w14:textId="1A0FF196" w:rsidR="001D685C" w:rsidRPr="00C43E6D" w:rsidRDefault="001D685C" w:rsidP="001D685C">
            <w:pPr>
              <w:jc w:val="center"/>
              <w:rPr>
                <w:rFonts w:ascii="Times New Roman" w:hAnsi="Times New Roman" w:cs="Times New Roman"/>
              </w:rPr>
            </w:pPr>
            <w:r w:rsidRPr="00C43E6D">
              <w:rPr>
                <w:rFonts w:ascii="Times New Roman" w:hAnsi="Times New Roman" w:cs="Times New Roman"/>
              </w:rPr>
              <w:t>15.10.2025</w:t>
            </w:r>
          </w:p>
        </w:tc>
        <w:tc>
          <w:tcPr>
            <w:tcW w:w="1349" w:type="pct"/>
            <w:shd w:val="clear" w:color="auto" w:fill="auto"/>
            <w:vAlign w:val="center"/>
          </w:tcPr>
          <w:p w14:paraId="54B32A40" w14:textId="1926EC32" w:rsidR="001D685C" w:rsidRPr="00C43E6D" w:rsidRDefault="001D685C" w:rsidP="001D685C">
            <w:pPr>
              <w:rPr>
                <w:rFonts w:ascii="Times New Roman" w:hAnsi="Times New Roman" w:cs="Times New Roman"/>
              </w:rPr>
            </w:pPr>
            <w:r w:rsidRPr="00C43E6D">
              <w:rPr>
                <w:rFonts w:ascii="Times New Roman" w:hAnsi="Times New Roman" w:cs="Times New Roman"/>
              </w:rPr>
              <w:t>APP</w:t>
            </w:r>
          </w:p>
          <w:p w14:paraId="7868CCB6" w14:textId="77777777" w:rsidR="001D685C" w:rsidRPr="00C43E6D" w:rsidRDefault="001D685C" w:rsidP="001D685C">
            <w:pPr>
              <w:rPr>
                <w:rFonts w:ascii="Times New Roman" w:hAnsi="Times New Roman" w:cs="Times New Roman"/>
              </w:rPr>
            </w:pPr>
            <w:r w:rsidRPr="00C43E6D">
              <w:rPr>
                <w:rFonts w:ascii="Times New Roman" w:hAnsi="Times New Roman" w:cs="Times New Roman"/>
              </w:rPr>
              <w:t>Cancelaria de Stat</w:t>
            </w:r>
          </w:p>
          <w:p w14:paraId="67825ECC" w14:textId="217B3586" w:rsidR="001D685C" w:rsidRPr="00C43E6D" w:rsidRDefault="001D685C" w:rsidP="001D685C">
            <w:pPr>
              <w:rPr>
                <w:rFonts w:ascii="Times New Roman" w:hAnsi="Times New Roman" w:cs="Times New Roman"/>
              </w:rPr>
            </w:pPr>
            <w:r w:rsidRPr="00C43E6D">
              <w:rPr>
                <w:rFonts w:ascii="Times New Roman" w:hAnsi="Times New Roman" w:cs="Times New Roman"/>
              </w:rPr>
              <w:t>Autorități publice centrale (APC)</w:t>
            </w:r>
          </w:p>
          <w:p w14:paraId="2DBFA144" w14:textId="77777777" w:rsidR="001D685C" w:rsidRDefault="001D685C" w:rsidP="001D685C">
            <w:pPr>
              <w:rPr>
                <w:rFonts w:ascii="Times New Roman" w:hAnsi="Times New Roman" w:cs="Times New Roman"/>
              </w:rPr>
            </w:pPr>
            <w:r w:rsidRPr="00C43E6D">
              <w:rPr>
                <w:rFonts w:ascii="Times New Roman" w:hAnsi="Times New Roman" w:cs="Times New Roman"/>
              </w:rPr>
              <w:t>APL</w:t>
            </w:r>
          </w:p>
          <w:p w14:paraId="0F7B9B8B" w14:textId="41AF88EC" w:rsidR="001D685C" w:rsidRPr="00C43E6D" w:rsidRDefault="001D685C" w:rsidP="001D685C">
            <w:pPr>
              <w:rPr>
                <w:rFonts w:ascii="Times New Roman" w:hAnsi="Times New Roman" w:cs="Times New Roman"/>
              </w:rPr>
            </w:pPr>
            <w:r>
              <w:rPr>
                <w:rFonts w:ascii="Times New Roman" w:hAnsi="Times New Roman" w:cs="Times New Roman"/>
              </w:rPr>
              <w:t>Congresul Autorităților Locale din Moldova</w:t>
            </w:r>
          </w:p>
        </w:tc>
      </w:tr>
      <w:tr w:rsidR="001D685C" w:rsidRPr="00C43E6D" w14:paraId="55384B6E" w14:textId="77777777" w:rsidTr="00A41F94">
        <w:trPr>
          <w:trHeight w:val="155"/>
        </w:trPr>
        <w:tc>
          <w:tcPr>
            <w:tcW w:w="323" w:type="pct"/>
            <w:vAlign w:val="center"/>
          </w:tcPr>
          <w:p w14:paraId="7F1C7DAB" w14:textId="53ED3BBF" w:rsidR="001D685C" w:rsidRPr="00C43E6D" w:rsidRDefault="001D685C" w:rsidP="001D685C">
            <w:pPr>
              <w:jc w:val="center"/>
              <w:rPr>
                <w:rFonts w:ascii="Times New Roman" w:hAnsi="Times New Roman" w:cs="Times New Roman"/>
              </w:rPr>
            </w:pPr>
            <w:r>
              <w:rPr>
                <w:rFonts w:ascii="Times New Roman" w:hAnsi="Times New Roman" w:cs="Times New Roman"/>
              </w:rPr>
              <w:t>42</w:t>
            </w:r>
          </w:p>
        </w:tc>
        <w:tc>
          <w:tcPr>
            <w:tcW w:w="2440" w:type="pct"/>
            <w:shd w:val="clear" w:color="auto" w:fill="auto"/>
            <w:vAlign w:val="center"/>
          </w:tcPr>
          <w:p w14:paraId="030E074E" w14:textId="77777777" w:rsidR="001D685C" w:rsidRPr="00C43E6D" w:rsidRDefault="001D685C" w:rsidP="001D685C">
            <w:pPr>
              <w:jc w:val="both"/>
              <w:rPr>
                <w:rFonts w:ascii="Times New Roman" w:hAnsi="Times New Roman" w:cs="Times New Roman"/>
              </w:rPr>
            </w:pPr>
            <w:r w:rsidRPr="00C43E6D">
              <w:rPr>
                <w:rFonts w:ascii="Times New Roman" w:hAnsi="Times New Roman" w:cs="Times New Roman"/>
              </w:rPr>
              <w:t>Accelerarea implementării programelor de eficientizare a consumului de energie, cu accent pe consumatorii vulnerabili și sectorul rezidențial, elaborarea de noi programe și implementarea lor</w:t>
            </w:r>
          </w:p>
        </w:tc>
        <w:tc>
          <w:tcPr>
            <w:tcW w:w="888" w:type="pct"/>
            <w:shd w:val="clear" w:color="auto" w:fill="auto"/>
            <w:vAlign w:val="center"/>
          </w:tcPr>
          <w:p w14:paraId="4C3AEA51" w14:textId="77777777" w:rsidR="001D685C" w:rsidRPr="00C43E6D" w:rsidRDefault="001D685C" w:rsidP="001D685C">
            <w:pPr>
              <w:jc w:val="center"/>
              <w:rPr>
                <w:rFonts w:ascii="Times New Roman" w:hAnsi="Times New Roman" w:cs="Times New Roman"/>
              </w:rPr>
            </w:pPr>
            <w:r w:rsidRPr="00C43E6D">
              <w:rPr>
                <w:rFonts w:ascii="Times New Roman" w:hAnsi="Times New Roman" w:cs="Times New Roman"/>
              </w:rPr>
              <w:t>Permanent</w:t>
            </w:r>
          </w:p>
        </w:tc>
        <w:tc>
          <w:tcPr>
            <w:tcW w:w="1349" w:type="pct"/>
            <w:shd w:val="clear" w:color="auto" w:fill="auto"/>
            <w:vAlign w:val="center"/>
          </w:tcPr>
          <w:p w14:paraId="0B3BFB00" w14:textId="77777777" w:rsidR="001D685C" w:rsidRPr="00C43E6D" w:rsidRDefault="001D685C" w:rsidP="001D685C">
            <w:pPr>
              <w:rPr>
                <w:rFonts w:ascii="Times New Roman" w:hAnsi="Times New Roman" w:cs="Times New Roman"/>
              </w:rPr>
            </w:pPr>
            <w:r w:rsidRPr="00C43E6D">
              <w:rPr>
                <w:rFonts w:ascii="Times New Roman" w:hAnsi="Times New Roman" w:cs="Times New Roman"/>
              </w:rPr>
              <w:t>CNED</w:t>
            </w:r>
          </w:p>
          <w:p w14:paraId="1718E3C1" w14:textId="68CE40EB" w:rsidR="001D685C" w:rsidRPr="00C43E6D" w:rsidRDefault="001D685C" w:rsidP="001D685C">
            <w:pPr>
              <w:rPr>
                <w:rFonts w:ascii="Times New Roman" w:hAnsi="Times New Roman" w:cs="Times New Roman"/>
              </w:rPr>
            </w:pPr>
            <w:r w:rsidRPr="00C43E6D">
              <w:rPr>
                <w:rFonts w:ascii="Times New Roman" w:hAnsi="Times New Roman" w:cs="Times New Roman"/>
              </w:rPr>
              <w:t>Ministerul Energiei</w:t>
            </w:r>
          </w:p>
          <w:p w14:paraId="733CE328" w14:textId="5BDB1B7B" w:rsidR="001D685C" w:rsidRPr="00C43E6D" w:rsidRDefault="001D685C" w:rsidP="001D685C">
            <w:pPr>
              <w:rPr>
                <w:rFonts w:ascii="Times New Roman" w:hAnsi="Times New Roman" w:cs="Times New Roman"/>
              </w:rPr>
            </w:pPr>
            <w:r w:rsidRPr="00C43E6D">
              <w:rPr>
                <w:rFonts w:ascii="Times New Roman" w:hAnsi="Times New Roman" w:cs="Times New Roman"/>
              </w:rPr>
              <w:t>MIDR</w:t>
            </w:r>
          </w:p>
          <w:p w14:paraId="054578CF" w14:textId="77777777" w:rsidR="001D685C" w:rsidRPr="00C43E6D" w:rsidRDefault="001D685C" w:rsidP="001D685C">
            <w:pPr>
              <w:rPr>
                <w:rFonts w:ascii="Times New Roman" w:hAnsi="Times New Roman" w:cs="Times New Roman"/>
              </w:rPr>
            </w:pPr>
            <w:r w:rsidRPr="00C43E6D">
              <w:rPr>
                <w:rFonts w:ascii="Times New Roman" w:hAnsi="Times New Roman" w:cs="Times New Roman"/>
              </w:rPr>
              <w:t>Ministerul Muncii și Protecției Sociale</w:t>
            </w:r>
          </w:p>
        </w:tc>
      </w:tr>
      <w:tr w:rsidR="001D685C" w:rsidRPr="00C43E6D" w14:paraId="02A3CF9C" w14:textId="77777777" w:rsidTr="00A41F94">
        <w:trPr>
          <w:trHeight w:val="155"/>
        </w:trPr>
        <w:tc>
          <w:tcPr>
            <w:tcW w:w="323" w:type="pct"/>
            <w:vAlign w:val="center"/>
          </w:tcPr>
          <w:p w14:paraId="6BB29792" w14:textId="3216B1EA" w:rsidR="001D685C" w:rsidRPr="00C43E6D" w:rsidRDefault="001D685C" w:rsidP="001D685C">
            <w:pPr>
              <w:jc w:val="center"/>
              <w:rPr>
                <w:rFonts w:ascii="Times New Roman" w:hAnsi="Times New Roman" w:cs="Times New Roman"/>
              </w:rPr>
            </w:pPr>
            <w:r>
              <w:rPr>
                <w:rFonts w:ascii="Times New Roman" w:hAnsi="Times New Roman" w:cs="Times New Roman"/>
              </w:rPr>
              <w:lastRenderedPageBreak/>
              <w:t>43</w:t>
            </w:r>
          </w:p>
        </w:tc>
        <w:tc>
          <w:tcPr>
            <w:tcW w:w="2440" w:type="pct"/>
            <w:shd w:val="clear" w:color="auto" w:fill="auto"/>
            <w:vAlign w:val="center"/>
          </w:tcPr>
          <w:p w14:paraId="3D6DA95C" w14:textId="77777777" w:rsidR="001D685C" w:rsidRPr="00C43E6D" w:rsidRDefault="001D685C" w:rsidP="001D685C">
            <w:pPr>
              <w:jc w:val="both"/>
              <w:rPr>
                <w:rFonts w:ascii="Times New Roman" w:hAnsi="Times New Roman" w:cs="Times New Roman"/>
              </w:rPr>
            </w:pPr>
            <w:r w:rsidRPr="00C43E6D">
              <w:rPr>
                <w:rFonts w:ascii="Times New Roman" w:hAnsi="Times New Roman" w:cs="Times New Roman"/>
              </w:rPr>
              <w:t>Promovarea realizării măsurilor de eficiență energetică menite să diminueze consumul de gaze naturale, de energie termică şi de energie electrică</w:t>
            </w:r>
          </w:p>
        </w:tc>
        <w:tc>
          <w:tcPr>
            <w:tcW w:w="888" w:type="pct"/>
            <w:shd w:val="clear" w:color="auto" w:fill="auto"/>
            <w:vAlign w:val="center"/>
          </w:tcPr>
          <w:p w14:paraId="330708DD" w14:textId="77777777" w:rsidR="001D685C" w:rsidRPr="00C43E6D" w:rsidRDefault="001D685C" w:rsidP="001D685C">
            <w:pPr>
              <w:jc w:val="center"/>
              <w:rPr>
                <w:rFonts w:ascii="Times New Roman" w:hAnsi="Times New Roman" w:cs="Times New Roman"/>
              </w:rPr>
            </w:pPr>
            <w:r w:rsidRPr="00C43E6D">
              <w:rPr>
                <w:rFonts w:ascii="Times New Roman" w:hAnsi="Times New Roman" w:cs="Times New Roman"/>
              </w:rPr>
              <w:t>Permanent</w:t>
            </w:r>
          </w:p>
        </w:tc>
        <w:tc>
          <w:tcPr>
            <w:tcW w:w="1349" w:type="pct"/>
            <w:shd w:val="clear" w:color="auto" w:fill="auto"/>
            <w:vAlign w:val="center"/>
          </w:tcPr>
          <w:p w14:paraId="30651134" w14:textId="77777777" w:rsidR="001D685C" w:rsidRPr="00C43E6D" w:rsidRDefault="001D685C" w:rsidP="001D685C">
            <w:pPr>
              <w:rPr>
                <w:rFonts w:ascii="Times New Roman" w:hAnsi="Times New Roman" w:cs="Times New Roman"/>
              </w:rPr>
            </w:pPr>
            <w:r w:rsidRPr="00C43E6D">
              <w:rPr>
                <w:rFonts w:ascii="Times New Roman" w:hAnsi="Times New Roman" w:cs="Times New Roman"/>
              </w:rPr>
              <w:t>CNED</w:t>
            </w:r>
          </w:p>
          <w:p w14:paraId="04DBBA27" w14:textId="77777777" w:rsidR="001D685C" w:rsidRPr="00C43E6D" w:rsidRDefault="001D685C" w:rsidP="001D685C">
            <w:pPr>
              <w:rPr>
                <w:rFonts w:ascii="Times New Roman" w:hAnsi="Times New Roman" w:cs="Times New Roman"/>
              </w:rPr>
            </w:pPr>
            <w:r w:rsidRPr="00C43E6D">
              <w:rPr>
                <w:rFonts w:ascii="Times New Roman" w:hAnsi="Times New Roman" w:cs="Times New Roman"/>
              </w:rPr>
              <w:t>UCIPE</w:t>
            </w:r>
          </w:p>
          <w:p w14:paraId="2FEBC2FA" w14:textId="555531D6" w:rsidR="001D685C" w:rsidRPr="00C43E6D" w:rsidRDefault="001D685C" w:rsidP="001D685C">
            <w:pPr>
              <w:rPr>
                <w:rFonts w:ascii="Times New Roman" w:hAnsi="Times New Roman" w:cs="Times New Roman"/>
              </w:rPr>
            </w:pPr>
            <w:r w:rsidRPr="00C43E6D">
              <w:rPr>
                <w:rFonts w:ascii="Times New Roman" w:hAnsi="Times New Roman" w:cs="Times New Roman"/>
              </w:rPr>
              <w:t>Ministerul Energiei</w:t>
            </w:r>
          </w:p>
        </w:tc>
      </w:tr>
      <w:tr w:rsidR="001D685C" w:rsidRPr="00C43E6D" w14:paraId="287EEBB9" w14:textId="77777777" w:rsidTr="00A41F94">
        <w:trPr>
          <w:trHeight w:val="155"/>
        </w:trPr>
        <w:tc>
          <w:tcPr>
            <w:tcW w:w="323" w:type="pct"/>
            <w:vMerge w:val="restart"/>
            <w:vAlign w:val="center"/>
          </w:tcPr>
          <w:p w14:paraId="61603E87" w14:textId="7D00B8BC" w:rsidR="001D685C" w:rsidRPr="00C43E6D" w:rsidRDefault="001D685C" w:rsidP="001D685C">
            <w:pPr>
              <w:jc w:val="center"/>
              <w:rPr>
                <w:rFonts w:ascii="Times New Roman" w:hAnsi="Times New Roman" w:cs="Times New Roman"/>
              </w:rPr>
            </w:pPr>
            <w:r>
              <w:rPr>
                <w:rFonts w:ascii="Times New Roman" w:hAnsi="Times New Roman" w:cs="Times New Roman"/>
              </w:rPr>
              <w:t>44</w:t>
            </w:r>
          </w:p>
        </w:tc>
        <w:tc>
          <w:tcPr>
            <w:tcW w:w="2440" w:type="pct"/>
            <w:shd w:val="clear" w:color="auto" w:fill="auto"/>
            <w:vAlign w:val="center"/>
          </w:tcPr>
          <w:p w14:paraId="444BBD5A" w14:textId="5FE6D4A2" w:rsidR="001D685C" w:rsidRPr="00C43E6D" w:rsidRDefault="001D685C" w:rsidP="001D685C">
            <w:pPr>
              <w:jc w:val="both"/>
              <w:rPr>
                <w:rFonts w:ascii="Times New Roman" w:hAnsi="Times New Roman" w:cs="Times New Roman"/>
              </w:rPr>
            </w:pPr>
            <w:r w:rsidRPr="00977D47">
              <w:rPr>
                <w:rFonts w:ascii="Times New Roman" w:hAnsi="Times New Roman" w:cs="Times New Roman"/>
              </w:rPr>
              <w:t>4</w:t>
            </w:r>
            <w:r>
              <w:rPr>
                <w:rFonts w:ascii="Times New Roman" w:hAnsi="Times New Roman" w:cs="Times New Roman"/>
              </w:rPr>
              <w:t>4</w:t>
            </w:r>
            <w:r w:rsidRPr="00977D47">
              <w:rPr>
                <w:rFonts w:ascii="Times New Roman" w:hAnsi="Times New Roman" w:cs="Times New Roman"/>
              </w:rPr>
              <w:t>.1.</w:t>
            </w:r>
            <w:r w:rsidRPr="00C43E6D">
              <w:rPr>
                <w:rFonts w:ascii="Times New Roman" w:hAnsi="Times New Roman" w:cs="Times New Roman"/>
              </w:rPr>
              <w:t xml:space="preserve"> Colectarea informației privind volumul de combustibil solid/biomasă disponibil și cel necesar centralelor termice instalate la instituțiile publice ce funcționează pe acest tip de combustibil, și oferirea suportului instituțiilor în procesul de aprovizionare cu combustibil</w:t>
            </w:r>
          </w:p>
        </w:tc>
        <w:tc>
          <w:tcPr>
            <w:tcW w:w="888" w:type="pct"/>
            <w:shd w:val="clear" w:color="auto" w:fill="auto"/>
            <w:vAlign w:val="center"/>
          </w:tcPr>
          <w:p w14:paraId="28ABFD4A" w14:textId="1DAB4CA9" w:rsidR="001D685C" w:rsidRPr="00C43E6D" w:rsidRDefault="001D685C" w:rsidP="001D685C">
            <w:pPr>
              <w:jc w:val="center"/>
              <w:rPr>
                <w:rFonts w:ascii="Times New Roman" w:hAnsi="Times New Roman" w:cs="Times New Roman"/>
              </w:rPr>
            </w:pPr>
            <w:r w:rsidRPr="00C43E6D">
              <w:rPr>
                <w:rFonts w:ascii="Times New Roman" w:hAnsi="Times New Roman" w:cs="Times New Roman"/>
              </w:rPr>
              <w:t>15.10.2025</w:t>
            </w:r>
          </w:p>
        </w:tc>
        <w:tc>
          <w:tcPr>
            <w:tcW w:w="1349" w:type="pct"/>
            <w:vMerge w:val="restart"/>
            <w:shd w:val="clear" w:color="auto" w:fill="auto"/>
            <w:vAlign w:val="center"/>
          </w:tcPr>
          <w:p w14:paraId="6920C052" w14:textId="77777777" w:rsidR="001D685C" w:rsidRPr="00C43E6D" w:rsidRDefault="001D685C" w:rsidP="001D685C">
            <w:pPr>
              <w:rPr>
                <w:rFonts w:ascii="Times New Roman" w:hAnsi="Times New Roman" w:cs="Times New Roman"/>
              </w:rPr>
            </w:pPr>
            <w:r w:rsidRPr="00C43E6D">
              <w:rPr>
                <w:rFonts w:ascii="Times New Roman" w:eastAsia="Times New Roman" w:hAnsi="Times New Roman" w:cs="Times New Roman"/>
              </w:rPr>
              <w:t>CNED</w:t>
            </w:r>
          </w:p>
        </w:tc>
      </w:tr>
      <w:tr w:rsidR="001D685C" w:rsidRPr="00C43E6D" w14:paraId="2D9126F4" w14:textId="77777777" w:rsidTr="00A41F94">
        <w:trPr>
          <w:trHeight w:val="155"/>
        </w:trPr>
        <w:tc>
          <w:tcPr>
            <w:tcW w:w="323" w:type="pct"/>
            <w:vMerge/>
            <w:vAlign w:val="center"/>
          </w:tcPr>
          <w:p w14:paraId="2825DB32" w14:textId="77777777" w:rsidR="001D685C" w:rsidRPr="00C43E6D" w:rsidRDefault="001D685C" w:rsidP="001D685C">
            <w:pPr>
              <w:jc w:val="center"/>
              <w:rPr>
                <w:rFonts w:ascii="Times New Roman" w:hAnsi="Times New Roman" w:cs="Times New Roman"/>
              </w:rPr>
            </w:pPr>
          </w:p>
        </w:tc>
        <w:tc>
          <w:tcPr>
            <w:tcW w:w="2440" w:type="pct"/>
            <w:shd w:val="clear" w:color="auto" w:fill="auto"/>
            <w:vAlign w:val="center"/>
          </w:tcPr>
          <w:p w14:paraId="4F56CF7A" w14:textId="61463C61" w:rsidR="001D685C" w:rsidRPr="00C43E6D" w:rsidRDefault="001D685C" w:rsidP="001D685C">
            <w:pPr>
              <w:jc w:val="both"/>
              <w:rPr>
                <w:rFonts w:ascii="Times New Roman" w:hAnsi="Times New Roman" w:cs="Times New Roman"/>
              </w:rPr>
            </w:pPr>
            <w:r w:rsidRPr="00977D47">
              <w:rPr>
                <w:rFonts w:ascii="Times New Roman" w:hAnsi="Times New Roman" w:cs="Times New Roman"/>
              </w:rPr>
              <w:t>4</w:t>
            </w:r>
            <w:r>
              <w:rPr>
                <w:rFonts w:ascii="Times New Roman" w:hAnsi="Times New Roman" w:cs="Times New Roman"/>
              </w:rPr>
              <w:t>4</w:t>
            </w:r>
            <w:r w:rsidRPr="00977D47">
              <w:rPr>
                <w:rFonts w:ascii="Times New Roman" w:hAnsi="Times New Roman" w:cs="Times New Roman"/>
              </w:rPr>
              <w:t>.2.</w:t>
            </w:r>
            <w:r w:rsidRPr="00C43E6D">
              <w:rPr>
                <w:rFonts w:ascii="Times New Roman" w:hAnsi="Times New Roman" w:cs="Times New Roman"/>
              </w:rPr>
              <w:t xml:space="preserve"> Monitorizarea și publicarea pe pagina oficială web a Centrului a consumului de resurse energetice în sectorul public pentru sezonul de încălzire și înaintarea, după caz, a propunerilor de îmbunătățire a programelor de eficiență energetică și valorificare a surselor de energie regenerabile în cadrul acestor instituții publice menționate la pct. </w:t>
            </w:r>
            <w:r w:rsidRPr="00977D47">
              <w:rPr>
                <w:rFonts w:ascii="Times New Roman" w:hAnsi="Times New Roman" w:cs="Times New Roman"/>
              </w:rPr>
              <w:t>4</w:t>
            </w:r>
            <w:r>
              <w:rPr>
                <w:rFonts w:ascii="Times New Roman" w:hAnsi="Times New Roman" w:cs="Times New Roman"/>
              </w:rPr>
              <w:t>4</w:t>
            </w:r>
            <w:r w:rsidRPr="00977D47">
              <w:rPr>
                <w:rFonts w:ascii="Times New Roman" w:hAnsi="Times New Roman" w:cs="Times New Roman"/>
              </w:rPr>
              <w:t>.1.</w:t>
            </w:r>
          </w:p>
        </w:tc>
        <w:tc>
          <w:tcPr>
            <w:tcW w:w="888" w:type="pct"/>
            <w:shd w:val="clear" w:color="auto" w:fill="auto"/>
            <w:vAlign w:val="center"/>
          </w:tcPr>
          <w:p w14:paraId="50624BA5" w14:textId="71269364" w:rsidR="001D685C" w:rsidRPr="00C43E6D" w:rsidRDefault="001D685C" w:rsidP="001D685C">
            <w:pPr>
              <w:jc w:val="center"/>
              <w:rPr>
                <w:rFonts w:ascii="Times New Roman" w:hAnsi="Times New Roman" w:cs="Times New Roman"/>
              </w:rPr>
            </w:pPr>
            <w:r w:rsidRPr="00C43E6D">
              <w:rPr>
                <w:rFonts w:ascii="Times New Roman" w:hAnsi="Times New Roman" w:cs="Times New Roman"/>
              </w:rPr>
              <w:t>2025-2026</w:t>
            </w:r>
          </w:p>
        </w:tc>
        <w:tc>
          <w:tcPr>
            <w:tcW w:w="1349" w:type="pct"/>
            <w:vMerge/>
            <w:shd w:val="clear" w:color="auto" w:fill="auto"/>
            <w:vAlign w:val="center"/>
          </w:tcPr>
          <w:p w14:paraId="65FCC7FD" w14:textId="77777777" w:rsidR="001D685C" w:rsidRPr="00C43E6D" w:rsidRDefault="001D685C" w:rsidP="001D685C">
            <w:pPr>
              <w:rPr>
                <w:rFonts w:ascii="Times New Roman" w:hAnsi="Times New Roman" w:cs="Times New Roman"/>
              </w:rPr>
            </w:pPr>
          </w:p>
        </w:tc>
      </w:tr>
      <w:tr w:rsidR="001D685C" w:rsidRPr="00C43E6D" w14:paraId="6FE7EAE2" w14:textId="77777777" w:rsidTr="00A41F94">
        <w:trPr>
          <w:trHeight w:val="1184"/>
        </w:trPr>
        <w:tc>
          <w:tcPr>
            <w:tcW w:w="323" w:type="pct"/>
            <w:vAlign w:val="center"/>
          </w:tcPr>
          <w:p w14:paraId="349023A7" w14:textId="087BD17A" w:rsidR="001D685C" w:rsidRPr="00C43E6D" w:rsidRDefault="001D685C" w:rsidP="001D685C">
            <w:pPr>
              <w:jc w:val="center"/>
              <w:rPr>
                <w:rFonts w:ascii="Times New Roman" w:hAnsi="Times New Roman" w:cs="Times New Roman"/>
              </w:rPr>
            </w:pPr>
            <w:r>
              <w:rPr>
                <w:rFonts w:ascii="Times New Roman" w:hAnsi="Times New Roman" w:cs="Times New Roman"/>
              </w:rPr>
              <w:t>45</w:t>
            </w:r>
          </w:p>
        </w:tc>
        <w:tc>
          <w:tcPr>
            <w:tcW w:w="2440" w:type="pct"/>
            <w:shd w:val="clear" w:color="auto" w:fill="auto"/>
            <w:vAlign w:val="center"/>
          </w:tcPr>
          <w:p w14:paraId="18B47C50" w14:textId="3083DC2A" w:rsidR="001D685C" w:rsidRPr="00C43E6D" w:rsidRDefault="001D685C" w:rsidP="001D685C">
            <w:pPr>
              <w:jc w:val="both"/>
              <w:rPr>
                <w:rFonts w:ascii="Times New Roman" w:hAnsi="Times New Roman" w:cs="Times New Roman"/>
              </w:rPr>
            </w:pPr>
            <w:r w:rsidRPr="00C43E6D">
              <w:rPr>
                <w:rFonts w:ascii="Times New Roman" w:hAnsi="Times New Roman" w:cs="Times New Roman"/>
              </w:rPr>
              <w:t>Organizarea seminarelor tematice, ședințelor de lucru cu Managerii energetici raionali, operatorii de centrale termice, administratorii instituțiilor publice, producătorii de biomasă etc. privind necesitatea utilizării centralelor termice pe biomasă precum și necesitatea reducerii consumurilor de energie în cadrul instituțiilor publice</w:t>
            </w:r>
          </w:p>
        </w:tc>
        <w:tc>
          <w:tcPr>
            <w:tcW w:w="888" w:type="pct"/>
            <w:shd w:val="clear" w:color="auto" w:fill="auto"/>
            <w:vAlign w:val="center"/>
          </w:tcPr>
          <w:p w14:paraId="5F11B6D8" w14:textId="3915BBD9" w:rsidR="001D685C" w:rsidRPr="00C43E6D" w:rsidRDefault="001D685C" w:rsidP="001D685C">
            <w:pPr>
              <w:jc w:val="center"/>
              <w:rPr>
                <w:rFonts w:ascii="Times New Roman" w:hAnsi="Times New Roman" w:cs="Times New Roman"/>
              </w:rPr>
            </w:pPr>
            <w:r w:rsidRPr="00C43E6D">
              <w:rPr>
                <w:rFonts w:ascii="Times New Roman" w:hAnsi="Times New Roman" w:cs="Times New Roman"/>
              </w:rPr>
              <w:t>2025-2026</w:t>
            </w:r>
          </w:p>
        </w:tc>
        <w:tc>
          <w:tcPr>
            <w:tcW w:w="1349" w:type="pct"/>
            <w:shd w:val="clear" w:color="auto" w:fill="auto"/>
            <w:vAlign w:val="center"/>
          </w:tcPr>
          <w:p w14:paraId="45A055A2" w14:textId="77777777" w:rsidR="001D685C" w:rsidRPr="00C43E6D" w:rsidRDefault="001D685C" w:rsidP="001D685C">
            <w:pPr>
              <w:rPr>
                <w:rFonts w:ascii="Times New Roman" w:eastAsia="Times New Roman" w:hAnsi="Times New Roman" w:cs="Times New Roman"/>
              </w:rPr>
            </w:pPr>
            <w:r w:rsidRPr="00C43E6D">
              <w:rPr>
                <w:rFonts w:ascii="Times New Roman" w:eastAsia="Times New Roman" w:hAnsi="Times New Roman" w:cs="Times New Roman"/>
              </w:rPr>
              <w:t>CNED</w:t>
            </w:r>
          </w:p>
          <w:p w14:paraId="33020789" w14:textId="77777777" w:rsidR="001D685C" w:rsidRPr="00C43E6D" w:rsidRDefault="001D685C" w:rsidP="001D685C">
            <w:pPr>
              <w:rPr>
                <w:rFonts w:ascii="Times New Roman" w:hAnsi="Times New Roman" w:cs="Times New Roman"/>
              </w:rPr>
            </w:pPr>
            <w:r w:rsidRPr="00C43E6D">
              <w:rPr>
                <w:rFonts w:ascii="Times New Roman" w:hAnsi="Times New Roman" w:cs="Times New Roman"/>
              </w:rPr>
              <w:t>APL</w:t>
            </w:r>
          </w:p>
        </w:tc>
      </w:tr>
      <w:tr w:rsidR="001D685C" w:rsidRPr="00C43E6D" w14:paraId="3E87774C" w14:textId="77777777" w:rsidTr="00A41F94">
        <w:trPr>
          <w:trHeight w:val="155"/>
        </w:trPr>
        <w:tc>
          <w:tcPr>
            <w:tcW w:w="323" w:type="pct"/>
            <w:vAlign w:val="center"/>
          </w:tcPr>
          <w:p w14:paraId="2F2AD152" w14:textId="12C4EE2B" w:rsidR="001D685C" w:rsidRPr="00C43E6D" w:rsidRDefault="001D685C" w:rsidP="001D685C">
            <w:pPr>
              <w:jc w:val="center"/>
              <w:rPr>
                <w:rFonts w:ascii="Times New Roman" w:hAnsi="Times New Roman" w:cs="Times New Roman"/>
              </w:rPr>
            </w:pPr>
            <w:r>
              <w:rPr>
                <w:rFonts w:ascii="Times New Roman" w:hAnsi="Times New Roman" w:cs="Times New Roman"/>
              </w:rPr>
              <w:t>46</w:t>
            </w:r>
          </w:p>
        </w:tc>
        <w:tc>
          <w:tcPr>
            <w:tcW w:w="2440" w:type="pct"/>
            <w:shd w:val="clear" w:color="auto" w:fill="auto"/>
            <w:vAlign w:val="center"/>
          </w:tcPr>
          <w:p w14:paraId="18ACFBF3" w14:textId="26314B77" w:rsidR="001D685C" w:rsidRPr="00C43E6D" w:rsidRDefault="001D685C" w:rsidP="001D685C">
            <w:pPr>
              <w:jc w:val="both"/>
              <w:rPr>
                <w:rFonts w:ascii="Times New Roman" w:hAnsi="Times New Roman" w:cs="Times New Roman"/>
              </w:rPr>
            </w:pPr>
            <w:r w:rsidRPr="00C43E6D">
              <w:rPr>
                <w:rFonts w:ascii="Times New Roman" w:hAnsi="Times New Roman" w:cs="Times New Roman"/>
              </w:rPr>
              <w:t>Elaborarea și lansarea campaniilor de informare privind importanța utilizării altor resurse energetice alternative de producere a energiei termice (biomasă, cărbune, energie electrică (prin pompe de căldură)), unde este posibil din punct de vedere tehnic, în sensul reducerii consumului de gaze naturale.</w:t>
            </w:r>
          </w:p>
          <w:p w14:paraId="3F4A65DB" w14:textId="77777777" w:rsidR="001D685C" w:rsidRPr="00C43E6D" w:rsidRDefault="001D685C" w:rsidP="001D685C">
            <w:pPr>
              <w:jc w:val="both"/>
              <w:rPr>
                <w:rFonts w:ascii="Times New Roman" w:hAnsi="Times New Roman" w:cs="Times New Roman"/>
              </w:rPr>
            </w:pPr>
            <w:r w:rsidRPr="00C43E6D">
              <w:rPr>
                <w:rFonts w:ascii="Times New Roman" w:hAnsi="Times New Roman" w:cs="Times New Roman"/>
              </w:rPr>
              <w:t>Elaborarea și lansarea campaniilor de informare privind măsurile necesare a fi întreprinse de cetățeni în scopul reducerii consumului de resurse energetice: izolarea termică a clădirilor, utilizarea termostatelor de ambianță, reducerea temperaturii interioare, etc..</w:t>
            </w:r>
          </w:p>
        </w:tc>
        <w:tc>
          <w:tcPr>
            <w:tcW w:w="888" w:type="pct"/>
            <w:shd w:val="clear" w:color="auto" w:fill="auto"/>
            <w:vAlign w:val="center"/>
          </w:tcPr>
          <w:p w14:paraId="24324E77" w14:textId="4BD20FFC" w:rsidR="001D685C" w:rsidRPr="00C43E6D" w:rsidRDefault="001D685C" w:rsidP="001D685C">
            <w:pPr>
              <w:jc w:val="center"/>
              <w:rPr>
                <w:rFonts w:ascii="Times New Roman" w:hAnsi="Times New Roman" w:cs="Times New Roman"/>
              </w:rPr>
            </w:pPr>
            <w:r w:rsidRPr="00C43E6D">
              <w:rPr>
                <w:rFonts w:ascii="Times New Roman" w:hAnsi="Times New Roman" w:cs="Times New Roman"/>
              </w:rPr>
              <w:t>15.10.2025</w:t>
            </w:r>
          </w:p>
        </w:tc>
        <w:tc>
          <w:tcPr>
            <w:tcW w:w="1349" w:type="pct"/>
            <w:shd w:val="clear" w:color="auto" w:fill="auto"/>
            <w:vAlign w:val="center"/>
          </w:tcPr>
          <w:p w14:paraId="17C31C06" w14:textId="77777777" w:rsidR="001D685C" w:rsidRPr="00C43E6D" w:rsidRDefault="001D685C" w:rsidP="001D685C">
            <w:pPr>
              <w:rPr>
                <w:rFonts w:ascii="Times New Roman" w:eastAsia="Times New Roman" w:hAnsi="Times New Roman" w:cs="Times New Roman"/>
              </w:rPr>
            </w:pPr>
            <w:r w:rsidRPr="00C43E6D">
              <w:rPr>
                <w:rFonts w:ascii="Times New Roman" w:eastAsia="Times New Roman" w:hAnsi="Times New Roman" w:cs="Times New Roman"/>
              </w:rPr>
              <w:t>CNED</w:t>
            </w:r>
          </w:p>
          <w:p w14:paraId="160E5BB8" w14:textId="77777777" w:rsidR="001D685C" w:rsidRPr="00C43E6D" w:rsidRDefault="001D685C" w:rsidP="001D685C">
            <w:pPr>
              <w:rPr>
                <w:rFonts w:ascii="Times New Roman" w:eastAsia="Times New Roman" w:hAnsi="Times New Roman" w:cs="Times New Roman"/>
              </w:rPr>
            </w:pPr>
            <w:r w:rsidRPr="00C43E6D">
              <w:rPr>
                <w:rFonts w:ascii="Times New Roman" w:eastAsia="Times New Roman" w:hAnsi="Times New Roman" w:cs="Times New Roman"/>
              </w:rPr>
              <w:t>Ministerul Energiei</w:t>
            </w:r>
          </w:p>
          <w:p w14:paraId="38F8DEC8" w14:textId="660DD1F9" w:rsidR="001D685C" w:rsidRPr="00C43E6D" w:rsidRDefault="001D685C" w:rsidP="001D685C">
            <w:pPr>
              <w:rPr>
                <w:rFonts w:ascii="Times New Roman" w:hAnsi="Times New Roman" w:cs="Times New Roman"/>
              </w:rPr>
            </w:pPr>
            <w:r w:rsidRPr="00C43E6D">
              <w:rPr>
                <w:rFonts w:ascii="Times New Roman" w:hAnsi="Times New Roman" w:cs="Times New Roman"/>
              </w:rPr>
              <w:t>Întreprinderi din sectorul energetic</w:t>
            </w:r>
          </w:p>
        </w:tc>
      </w:tr>
      <w:tr w:rsidR="009933D7" w:rsidRPr="00C43E6D" w14:paraId="0A9B8F53" w14:textId="77777777" w:rsidTr="00A41F94">
        <w:trPr>
          <w:trHeight w:val="155"/>
        </w:trPr>
        <w:tc>
          <w:tcPr>
            <w:tcW w:w="323" w:type="pct"/>
            <w:vAlign w:val="center"/>
          </w:tcPr>
          <w:p w14:paraId="7B341C1D" w14:textId="0C7C8CAC" w:rsidR="009933D7" w:rsidRDefault="009933D7" w:rsidP="001D685C">
            <w:pPr>
              <w:jc w:val="center"/>
              <w:rPr>
                <w:rFonts w:ascii="Times New Roman" w:hAnsi="Times New Roman" w:cs="Times New Roman"/>
              </w:rPr>
            </w:pPr>
            <w:r>
              <w:rPr>
                <w:rFonts w:ascii="Times New Roman" w:hAnsi="Times New Roman" w:cs="Times New Roman"/>
              </w:rPr>
              <w:t>47</w:t>
            </w:r>
          </w:p>
        </w:tc>
        <w:tc>
          <w:tcPr>
            <w:tcW w:w="2440" w:type="pct"/>
            <w:shd w:val="clear" w:color="auto" w:fill="auto"/>
            <w:vAlign w:val="center"/>
          </w:tcPr>
          <w:p w14:paraId="1927887D" w14:textId="5EB6BE30" w:rsidR="009933D7" w:rsidRPr="009933D7" w:rsidRDefault="009933D7" w:rsidP="001D685C">
            <w:pPr>
              <w:jc w:val="both"/>
              <w:rPr>
                <w:rFonts w:ascii="Times New Roman" w:hAnsi="Times New Roman" w:cs="Times New Roman"/>
              </w:rPr>
            </w:pPr>
            <w:r w:rsidRPr="009933D7">
              <w:rPr>
                <w:rFonts w:ascii="Times New Roman" w:hAnsi="Times New Roman" w:cs="Times New Roman"/>
              </w:rPr>
              <w:t>Elaborarea și implementarea campaniilor de informare privind măsurile de sprijin destinate gospodăriilor casnice aflate în situație de sărăcie energetică, pentru sezonul rece 2025–2026, acordate în temeiul Legii nr. 241/2022 privind Fondul de reducere a vulnerabilității energetice</w:t>
            </w:r>
          </w:p>
        </w:tc>
        <w:tc>
          <w:tcPr>
            <w:tcW w:w="888" w:type="pct"/>
            <w:shd w:val="clear" w:color="auto" w:fill="auto"/>
            <w:vAlign w:val="center"/>
          </w:tcPr>
          <w:p w14:paraId="1CABD1F1" w14:textId="3C982493" w:rsidR="009933D7" w:rsidRPr="00C43E6D" w:rsidRDefault="009933D7" w:rsidP="001D685C">
            <w:pPr>
              <w:jc w:val="center"/>
              <w:rPr>
                <w:rFonts w:ascii="Times New Roman" w:hAnsi="Times New Roman" w:cs="Times New Roman"/>
              </w:rPr>
            </w:pPr>
            <w:r>
              <w:rPr>
                <w:rFonts w:ascii="Times New Roman" w:hAnsi="Times New Roman" w:cs="Times New Roman"/>
              </w:rPr>
              <w:t>2025-2026</w:t>
            </w:r>
          </w:p>
        </w:tc>
        <w:tc>
          <w:tcPr>
            <w:tcW w:w="1349" w:type="pct"/>
            <w:shd w:val="clear" w:color="auto" w:fill="auto"/>
            <w:vAlign w:val="center"/>
          </w:tcPr>
          <w:p w14:paraId="06A1DCAD" w14:textId="2A2D4D6A" w:rsidR="009933D7" w:rsidRPr="00C43E6D" w:rsidRDefault="009933D7" w:rsidP="001D685C">
            <w:pPr>
              <w:rPr>
                <w:rFonts w:ascii="Times New Roman" w:eastAsia="Times New Roman" w:hAnsi="Times New Roman" w:cs="Times New Roman"/>
              </w:rPr>
            </w:pPr>
            <w:r>
              <w:rPr>
                <w:rFonts w:ascii="Times New Roman" w:eastAsia="Times New Roman" w:hAnsi="Times New Roman" w:cs="Times New Roman"/>
              </w:rPr>
              <w:t>Ministerul Muncii și Protecției Sociale</w:t>
            </w:r>
          </w:p>
        </w:tc>
      </w:tr>
      <w:tr w:rsidR="001D685C" w:rsidRPr="00C43E6D" w14:paraId="26F7E364" w14:textId="77777777" w:rsidTr="00A41F94">
        <w:trPr>
          <w:trHeight w:val="155"/>
        </w:trPr>
        <w:tc>
          <w:tcPr>
            <w:tcW w:w="323" w:type="pct"/>
            <w:vAlign w:val="center"/>
          </w:tcPr>
          <w:p w14:paraId="6DF873E0" w14:textId="63C8EA38" w:rsidR="001D685C" w:rsidRPr="00C43E6D" w:rsidRDefault="001D685C" w:rsidP="001D685C">
            <w:pPr>
              <w:jc w:val="center"/>
              <w:rPr>
                <w:rFonts w:ascii="Times New Roman" w:hAnsi="Times New Roman" w:cs="Times New Roman"/>
              </w:rPr>
            </w:pPr>
            <w:r>
              <w:rPr>
                <w:rFonts w:ascii="Times New Roman" w:hAnsi="Times New Roman" w:cs="Times New Roman"/>
              </w:rPr>
              <w:t>4</w:t>
            </w:r>
            <w:r w:rsidR="009933D7">
              <w:rPr>
                <w:rFonts w:ascii="Times New Roman" w:hAnsi="Times New Roman" w:cs="Times New Roman"/>
              </w:rPr>
              <w:t>8</w:t>
            </w:r>
          </w:p>
        </w:tc>
        <w:tc>
          <w:tcPr>
            <w:tcW w:w="2440" w:type="pct"/>
            <w:shd w:val="clear" w:color="auto" w:fill="auto"/>
            <w:vAlign w:val="center"/>
          </w:tcPr>
          <w:p w14:paraId="6F824D56" w14:textId="2C3B4E4C" w:rsidR="001D685C" w:rsidRPr="00C43E6D" w:rsidRDefault="001D685C" w:rsidP="001D685C">
            <w:pPr>
              <w:jc w:val="both"/>
              <w:rPr>
                <w:rFonts w:ascii="Times New Roman" w:hAnsi="Times New Roman" w:cs="Times New Roman"/>
              </w:rPr>
            </w:pPr>
            <w:r w:rsidRPr="00C43E6D">
              <w:rPr>
                <w:rFonts w:ascii="Times New Roman" w:hAnsi="Times New Roman" w:cs="Times New Roman"/>
              </w:rPr>
              <w:t xml:space="preserve">Implementarea măsurilor de eficientizare a consumului de energie în clădiri publice conform recomandărilor autorității responsabile de implementarea politicilor în domeniul eficienței energetice (un Plan model de măsuri se prezintă în tabelul </w:t>
            </w:r>
            <w:r>
              <w:rPr>
                <w:rFonts w:ascii="Times New Roman" w:hAnsi="Times New Roman" w:cs="Times New Roman"/>
              </w:rPr>
              <w:t>6</w:t>
            </w:r>
            <w:r w:rsidRPr="00C43E6D">
              <w:rPr>
                <w:rFonts w:ascii="Times New Roman" w:hAnsi="Times New Roman" w:cs="Times New Roman"/>
              </w:rPr>
              <w:t>)</w:t>
            </w:r>
          </w:p>
        </w:tc>
        <w:tc>
          <w:tcPr>
            <w:tcW w:w="888" w:type="pct"/>
            <w:shd w:val="clear" w:color="auto" w:fill="auto"/>
            <w:vAlign w:val="center"/>
          </w:tcPr>
          <w:p w14:paraId="74DDCAE9" w14:textId="67A0BE4B" w:rsidR="001D685C" w:rsidRPr="00C43E6D" w:rsidRDefault="001D685C" w:rsidP="001D685C">
            <w:pPr>
              <w:jc w:val="center"/>
              <w:rPr>
                <w:rFonts w:ascii="Times New Roman" w:hAnsi="Times New Roman" w:cs="Times New Roman"/>
              </w:rPr>
            </w:pPr>
            <w:r w:rsidRPr="00C43E6D">
              <w:rPr>
                <w:rFonts w:ascii="Times New Roman" w:hAnsi="Times New Roman" w:cs="Times New Roman"/>
              </w:rPr>
              <w:t>2025-2026</w:t>
            </w:r>
          </w:p>
        </w:tc>
        <w:tc>
          <w:tcPr>
            <w:tcW w:w="1349" w:type="pct"/>
            <w:shd w:val="clear" w:color="auto" w:fill="auto"/>
            <w:vAlign w:val="center"/>
          </w:tcPr>
          <w:p w14:paraId="7BBE316B" w14:textId="77777777" w:rsidR="001D685C" w:rsidRPr="00C43E6D" w:rsidRDefault="001D685C" w:rsidP="001D685C">
            <w:pPr>
              <w:rPr>
                <w:rFonts w:ascii="Times New Roman" w:hAnsi="Times New Roman" w:cs="Times New Roman"/>
              </w:rPr>
            </w:pPr>
            <w:r w:rsidRPr="00C43E6D">
              <w:rPr>
                <w:rFonts w:ascii="Times New Roman" w:eastAsia="Times New Roman" w:hAnsi="Times New Roman" w:cs="Times New Roman"/>
              </w:rPr>
              <w:t>CNED</w:t>
            </w:r>
          </w:p>
          <w:p w14:paraId="4A7AE1E9" w14:textId="77777777" w:rsidR="001D685C" w:rsidRPr="00C43E6D" w:rsidRDefault="001D685C" w:rsidP="001D685C">
            <w:pPr>
              <w:rPr>
                <w:rFonts w:ascii="Times New Roman" w:hAnsi="Times New Roman" w:cs="Times New Roman"/>
              </w:rPr>
            </w:pPr>
            <w:r w:rsidRPr="00C43E6D">
              <w:rPr>
                <w:rFonts w:ascii="Times New Roman" w:hAnsi="Times New Roman" w:cs="Times New Roman"/>
              </w:rPr>
              <w:t>APC</w:t>
            </w:r>
          </w:p>
          <w:p w14:paraId="67399437" w14:textId="77777777" w:rsidR="001D685C" w:rsidRPr="00C43E6D" w:rsidRDefault="001D685C" w:rsidP="001D685C">
            <w:pPr>
              <w:rPr>
                <w:rFonts w:ascii="Times New Roman" w:hAnsi="Times New Roman" w:cs="Times New Roman"/>
              </w:rPr>
            </w:pPr>
            <w:r w:rsidRPr="00C43E6D">
              <w:rPr>
                <w:rFonts w:ascii="Times New Roman" w:hAnsi="Times New Roman" w:cs="Times New Roman"/>
              </w:rPr>
              <w:t>APL</w:t>
            </w:r>
          </w:p>
        </w:tc>
      </w:tr>
    </w:tbl>
    <w:p w14:paraId="051434F4" w14:textId="0B6CFE0E" w:rsidR="003F5255" w:rsidRDefault="003F5255" w:rsidP="004A3E53">
      <w:pPr>
        <w:pStyle w:val="NormalWeb"/>
        <w:spacing w:before="120" w:after="120"/>
        <w:ind w:firstLine="547"/>
        <w:jc w:val="both"/>
        <w:rPr>
          <w:b/>
          <w:bCs/>
          <w:lang w:val="ro-MD"/>
        </w:rPr>
      </w:pPr>
    </w:p>
    <w:p w14:paraId="3CFB366E" w14:textId="516DC97A" w:rsidR="00581508" w:rsidRPr="00C43E6D" w:rsidRDefault="009140E8" w:rsidP="004A3E53">
      <w:pPr>
        <w:pStyle w:val="NormalWeb"/>
        <w:spacing w:before="120" w:after="120"/>
        <w:ind w:firstLine="547"/>
        <w:jc w:val="both"/>
        <w:rPr>
          <w:lang w:val="ro-MD"/>
        </w:rPr>
      </w:pPr>
      <w:r>
        <w:rPr>
          <w:b/>
          <w:bCs/>
          <w:lang w:val="ro-MD"/>
        </w:rPr>
        <w:t>65</w:t>
      </w:r>
      <w:r w:rsidR="00C72A00" w:rsidRPr="00C43E6D">
        <w:rPr>
          <w:b/>
          <w:bCs/>
          <w:lang w:val="ro-MD"/>
        </w:rPr>
        <w:t>.</w:t>
      </w:r>
      <w:r w:rsidR="00C72A00" w:rsidRPr="00C43E6D">
        <w:rPr>
          <w:lang w:val="ro-MD"/>
        </w:rPr>
        <w:t xml:space="preserve"> </w:t>
      </w:r>
      <w:r w:rsidR="00581508" w:rsidRPr="00C43E6D">
        <w:rPr>
          <w:lang w:val="ro-MD"/>
        </w:rPr>
        <w:t xml:space="preserve">Persoana desemnată responsabilă conform </w:t>
      </w:r>
      <w:r w:rsidR="002428FB" w:rsidRPr="00977D47">
        <w:rPr>
          <w:lang w:val="ro-MD"/>
        </w:rPr>
        <w:t>măsurii</w:t>
      </w:r>
      <w:r w:rsidR="00581508" w:rsidRPr="00977D47">
        <w:rPr>
          <w:lang w:val="ro-MD"/>
        </w:rPr>
        <w:t xml:space="preserve"> nr. </w:t>
      </w:r>
      <w:r w:rsidR="004E1A83" w:rsidRPr="00977D47">
        <w:rPr>
          <w:lang w:val="ro-MD"/>
        </w:rPr>
        <w:t>4</w:t>
      </w:r>
      <w:r w:rsidR="00514A5E">
        <w:rPr>
          <w:lang w:val="ro-MD"/>
        </w:rPr>
        <w:t>1</w:t>
      </w:r>
      <w:r w:rsidR="00581508" w:rsidRPr="00C43E6D">
        <w:rPr>
          <w:shd w:val="clear" w:color="auto" w:fill="FFFFFF" w:themeFill="background1"/>
          <w:lang w:val="ro-MD"/>
        </w:rPr>
        <w:t xml:space="preserve"> din tabelul </w:t>
      </w:r>
      <w:r w:rsidR="006B7A1A">
        <w:rPr>
          <w:lang w:val="ro-MD"/>
        </w:rPr>
        <w:t>5</w:t>
      </w:r>
      <w:r w:rsidR="00581508" w:rsidRPr="00C43E6D">
        <w:rPr>
          <w:lang w:val="ro-MD"/>
        </w:rPr>
        <w:t xml:space="preserve"> va asigura </w:t>
      </w:r>
      <w:r w:rsidR="00AC33CA" w:rsidRPr="00C43E6D">
        <w:rPr>
          <w:lang w:val="ro-MD"/>
        </w:rPr>
        <w:t>monitorizarea</w:t>
      </w:r>
      <w:r w:rsidR="00581508" w:rsidRPr="00C43E6D">
        <w:rPr>
          <w:lang w:val="ro-MD"/>
        </w:rPr>
        <w:t xml:space="preserve"> și </w:t>
      </w:r>
      <w:r w:rsidR="00AC33CA" w:rsidRPr="00C43E6D">
        <w:rPr>
          <w:lang w:val="ro-MD"/>
        </w:rPr>
        <w:t>controlul</w:t>
      </w:r>
      <w:r w:rsidR="00581508" w:rsidRPr="00C43E6D">
        <w:rPr>
          <w:lang w:val="ro-MD"/>
        </w:rPr>
        <w:t xml:space="preserve"> zilnic a consumului rațional de resurse energetice și asigurarea menținerii temperaturii interioare recomandate în cadrul clădirilor, conform Planului model prezentat </w:t>
      </w:r>
      <w:r w:rsidR="00581508" w:rsidRPr="003F5255">
        <w:rPr>
          <w:shd w:val="clear" w:color="auto" w:fill="FFFFFF" w:themeFill="background1"/>
          <w:lang w:val="ro-MD"/>
        </w:rPr>
        <w:t xml:space="preserve">în tabelul </w:t>
      </w:r>
      <w:r w:rsidR="006B7A1A">
        <w:rPr>
          <w:shd w:val="clear" w:color="auto" w:fill="FFFFFF" w:themeFill="background1"/>
          <w:lang w:val="ro-MD"/>
        </w:rPr>
        <w:t>6</w:t>
      </w:r>
      <w:r w:rsidR="00581508" w:rsidRPr="00C43E6D">
        <w:rPr>
          <w:lang w:val="ro-MD"/>
        </w:rPr>
        <w:t>.</w:t>
      </w:r>
      <w:r w:rsidR="00BA4AA3">
        <w:rPr>
          <w:lang w:val="ro-MD"/>
        </w:rPr>
        <w:t xml:space="preserve"> </w:t>
      </w:r>
    </w:p>
    <w:p w14:paraId="0C63FB39" w14:textId="16BCDAAA" w:rsidR="00581508" w:rsidRPr="00C43E6D" w:rsidRDefault="00581508" w:rsidP="00581508">
      <w:pPr>
        <w:pStyle w:val="cb"/>
        <w:spacing w:after="120"/>
        <w:jc w:val="both"/>
        <w:rPr>
          <w:b w:val="0"/>
          <w:bCs w:val="0"/>
        </w:rPr>
      </w:pPr>
      <w:r w:rsidRPr="00C43E6D">
        <w:rPr>
          <w:shd w:val="clear" w:color="auto" w:fill="FFFFFF" w:themeFill="background1"/>
        </w:rPr>
        <w:t xml:space="preserve">Tabelul </w:t>
      </w:r>
      <w:r w:rsidR="006B7A1A">
        <w:rPr>
          <w:shd w:val="clear" w:color="auto" w:fill="FFFFFF" w:themeFill="background1"/>
        </w:rPr>
        <w:t>6</w:t>
      </w:r>
      <w:r w:rsidRPr="00C43E6D">
        <w:rPr>
          <w:shd w:val="clear" w:color="auto" w:fill="FFFFFF" w:themeFill="background1"/>
        </w:rPr>
        <w:t>.</w:t>
      </w:r>
      <w:r w:rsidRPr="00C43E6D">
        <w:t xml:space="preserve"> </w:t>
      </w:r>
      <w:r w:rsidRPr="00C43E6D">
        <w:rPr>
          <w:b w:val="0"/>
          <w:bCs w:val="0"/>
        </w:rPr>
        <w:t>Plan model măsuri de eficientizare a consumului de energie în clădiri publice conform recomandărilor autorității responsabile de implementarea politicilor în domeniul eficienței energetice</w:t>
      </w:r>
    </w:p>
    <w:tbl>
      <w:tblPr>
        <w:tblStyle w:val="TableGridLight1"/>
        <w:tblW w:w="5000" w:type="pct"/>
        <w:tblLook w:val="04A0" w:firstRow="1" w:lastRow="0" w:firstColumn="1" w:lastColumn="0" w:noHBand="0" w:noVBand="1"/>
      </w:tblPr>
      <w:tblGrid>
        <w:gridCol w:w="436"/>
        <w:gridCol w:w="2282"/>
        <w:gridCol w:w="1354"/>
        <w:gridCol w:w="437"/>
        <w:gridCol w:w="537"/>
        <w:gridCol w:w="557"/>
        <w:gridCol w:w="496"/>
        <w:gridCol w:w="486"/>
        <w:gridCol w:w="506"/>
        <w:gridCol w:w="477"/>
        <w:gridCol w:w="506"/>
        <w:gridCol w:w="556"/>
        <w:gridCol w:w="526"/>
        <w:gridCol w:w="526"/>
        <w:gridCol w:w="487"/>
      </w:tblGrid>
      <w:tr w:rsidR="00581508" w:rsidRPr="00C43E6D" w14:paraId="039BA137" w14:textId="77777777" w:rsidTr="00C94B35">
        <w:tc>
          <w:tcPr>
            <w:tcW w:w="196" w:type="pct"/>
            <w:vMerge w:val="restart"/>
            <w:shd w:val="clear" w:color="auto" w:fill="DEEAF6" w:themeFill="accent1" w:themeFillTint="33"/>
            <w:vAlign w:val="center"/>
          </w:tcPr>
          <w:p w14:paraId="6127C9F9" w14:textId="77777777" w:rsidR="00581508" w:rsidRPr="00C43E6D" w:rsidRDefault="00581508" w:rsidP="00C94B35">
            <w:pPr>
              <w:spacing w:line="276" w:lineRule="auto"/>
              <w:jc w:val="center"/>
              <w:rPr>
                <w:rFonts w:ascii="Times New Roman" w:hAnsi="Times New Roman" w:cs="Times New Roman"/>
                <w:b/>
              </w:rPr>
            </w:pPr>
            <w:r w:rsidRPr="00C43E6D">
              <w:rPr>
                <w:rFonts w:ascii="Times New Roman" w:hAnsi="Times New Roman" w:cs="Times New Roman"/>
                <w:b/>
              </w:rPr>
              <w:t>#</w:t>
            </w:r>
          </w:p>
        </w:tc>
        <w:tc>
          <w:tcPr>
            <w:tcW w:w="1551" w:type="pct"/>
            <w:vMerge w:val="restart"/>
            <w:shd w:val="clear" w:color="auto" w:fill="DEEAF6" w:themeFill="accent1" w:themeFillTint="33"/>
            <w:vAlign w:val="center"/>
          </w:tcPr>
          <w:p w14:paraId="4E7C32AB" w14:textId="77777777" w:rsidR="00581508" w:rsidRPr="00C43E6D" w:rsidRDefault="00581508" w:rsidP="00C94B35">
            <w:pPr>
              <w:spacing w:line="276" w:lineRule="auto"/>
              <w:jc w:val="center"/>
              <w:rPr>
                <w:rFonts w:ascii="Times New Roman" w:hAnsi="Times New Roman" w:cs="Times New Roman"/>
                <w:b/>
              </w:rPr>
            </w:pPr>
            <w:r w:rsidRPr="00C43E6D">
              <w:rPr>
                <w:rFonts w:ascii="Times New Roman" w:hAnsi="Times New Roman" w:cs="Times New Roman"/>
                <w:b/>
              </w:rPr>
              <w:t>Obiective și măsuri</w:t>
            </w:r>
          </w:p>
        </w:tc>
        <w:tc>
          <w:tcPr>
            <w:tcW w:w="680" w:type="pct"/>
            <w:vMerge w:val="restart"/>
            <w:shd w:val="clear" w:color="auto" w:fill="DEEAF6" w:themeFill="accent1" w:themeFillTint="33"/>
            <w:vAlign w:val="center"/>
          </w:tcPr>
          <w:p w14:paraId="0DB0A277" w14:textId="77777777" w:rsidR="00581508" w:rsidRPr="00C43E6D" w:rsidRDefault="00581508" w:rsidP="00C94B35">
            <w:pPr>
              <w:spacing w:line="276" w:lineRule="auto"/>
              <w:jc w:val="center"/>
              <w:rPr>
                <w:rFonts w:ascii="Times New Roman" w:hAnsi="Times New Roman" w:cs="Times New Roman"/>
                <w:b/>
              </w:rPr>
            </w:pPr>
            <w:r w:rsidRPr="00C43E6D">
              <w:rPr>
                <w:rFonts w:ascii="Times New Roman" w:hAnsi="Times New Roman" w:cs="Times New Roman"/>
                <w:b/>
              </w:rPr>
              <w:t>Responsabil</w:t>
            </w:r>
          </w:p>
        </w:tc>
        <w:tc>
          <w:tcPr>
            <w:tcW w:w="2573" w:type="pct"/>
            <w:gridSpan w:val="12"/>
            <w:shd w:val="clear" w:color="auto" w:fill="DEEAF6" w:themeFill="accent1" w:themeFillTint="33"/>
            <w:vAlign w:val="center"/>
          </w:tcPr>
          <w:p w14:paraId="4C5568A0" w14:textId="77777777" w:rsidR="00581508" w:rsidRPr="00C43E6D" w:rsidRDefault="00581508" w:rsidP="00C94B35">
            <w:pPr>
              <w:spacing w:line="276" w:lineRule="auto"/>
              <w:jc w:val="center"/>
              <w:rPr>
                <w:rFonts w:ascii="Times New Roman" w:hAnsi="Times New Roman" w:cs="Times New Roman"/>
                <w:b/>
              </w:rPr>
            </w:pPr>
            <w:r w:rsidRPr="00C43E6D">
              <w:rPr>
                <w:rFonts w:ascii="Times New Roman" w:hAnsi="Times New Roman" w:cs="Times New Roman"/>
                <w:b/>
              </w:rPr>
              <w:t>Perioada de implementare</w:t>
            </w:r>
          </w:p>
        </w:tc>
      </w:tr>
      <w:tr w:rsidR="00581508" w:rsidRPr="00C43E6D" w14:paraId="77BD89AD" w14:textId="77777777" w:rsidTr="00C94B35">
        <w:trPr>
          <w:trHeight w:val="143"/>
        </w:trPr>
        <w:tc>
          <w:tcPr>
            <w:tcW w:w="196" w:type="pct"/>
            <w:vMerge/>
            <w:shd w:val="clear" w:color="auto" w:fill="DEEAF6" w:themeFill="accent1" w:themeFillTint="33"/>
            <w:vAlign w:val="center"/>
          </w:tcPr>
          <w:p w14:paraId="04845B5A" w14:textId="77777777" w:rsidR="00581508" w:rsidRPr="00C43E6D" w:rsidRDefault="00581508" w:rsidP="00C94B35">
            <w:pPr>
              <w:spacing w:line="276" w:lineRule="auto"/>
              <w:jc w:val="center"/>
              <w:rPr>
                <w:rFonts w:ascii="Times New Roman" w:hAnsi="Times New Roman" w:cs="Times New Roman"/>
                <w:b/>
              </w:rPr>
            </w:pPr>
          </w:p>
        </w:tc>
        <w:tc>
          <w:tcPr>
            <w:tcW w:w="1551" w:type="pct"/>
            <w:vMerge/>
            <w:shd w:val="clear" w:color="auto" w:fill="DEEAF6" w:themeFill="accent1" w:themeFillTint="33"/>
            <w:vAlign w:val="center"/>
          </w:tcPr>
          <w:p w14:paraId="64B15127" w14:textId="77777777" w:rsidR="00581508" w:rsidRPr="00C43E6D" w:rsidRDefault="00581508" w:rsidP="00C94B35">
            <w:pPr>
              <w:spacing w:line="276" w:lineRule="auto"/>
              <w:jc w:val="center"/>
              <w:rPr>
                <w:rFonts w:ascii="Times New Roman" w:hAnsi="Times New Roman" w:cs="Times New Roman"/>
                <w:b/>
              </w:rPr>
            </w:pPr>
          </w:p>
        </w:tc>
        <w:tc>
          <w:tcPr>
            <w:tcW w:w="680" w:type="pct"/>
            <w:vMerge/>
            <w:shd w:val="clear" w:color="auto" w:fill="DEEAF6" w:themeFill="accent1" w:themeFillTint="33"/>
            <w:vAlign w:val="center"/>
          </w:tcPr>
          <w:p w14:paraId="01832D9F" w14:textId="77777777" w:rsidR="00581508" w:rsidRPr="00C43E6D" w:rsidRDefault="00581508" w:rsidP="00C94B35">
            <w:pPr>
              <w:spacing w:line="276" w:lineRule="auto"/>
              <w:jc w:val="center"/>
              <w:rPr>
                <w:rFonts w:ascii="Times New Roman" w:hAnsi="Times New Roman" w:cs="Times New Roman"/>
                <w:b/>
              </w:rPr>
            </w:pPr>
          </w:p>
        </w:tc>
        <w:tc>
          <w:tcPr>
            <w:tcW w:w="1427" w:type="pct"/>
            <w:gridSpan w:val="6"/>
            <w:shd w:val="clear" w:color="auto" w:fill="DEEAF6" w:themeFill="accent1" w:themeFillTint="33"/>
            <w:vAlign w:val="center"/>
          </w:tcPr>
          <w:p w14:paraId="2079E82F" w14:textId="722D17F0" w:rsidR="00581508" w:rsidRPr="00C43E6D" w:rsidRDefault="00581508" w:rsidP="00C94B35">
            <w:pPr>
              <w:spacing w:line="276" w:lineRule="auto"/>
              <w:jc w:val="center"/>
              <w:rPr>
                <w:rFonts w:ascii="Times New Roman" w:hAnsi="Times New Roman" w:cs="Times New Roman"/>
                <w:b/>
              </w:rPr>
            </w:pPr>
            <w:r w:rsidRPr="00C43E6D">
              <w:rPr>
                <w:rFonts w:ascii="Times New Roman" w:hAnsi="Times New Roman" w:cs="Times New Roman"/>
                <w:b/>
              </w:rPr>
              <w:t>202</w:t>
            </w:r>
            <w:r w:rsidR="00D97978" w:rsidRPr="00C43E6D">
              <w:rPr>
                <w:rFonts w:ascii="Times New Roman" w:hAnsi="Times New Roman" w:cs="Times New Roman"/>
                <w:b/>
              </w:rPr>
              <w:t>5</w:t>
            </w:r>
          </w:p>
        </w:tc>
        <w:tc>
          <w:tcPr>
            <w:tcW w:w="1147" w:type="pct"/>
            <w:gridSpan w:val="6"/>
            <w:shd w:val="clear" w:color="auto" w:fill="DEEAF6" w:themeFill="accent1" w:themeFillTint="33"/>
            <w:vAlign w:val="center"/>
          </w:tcPr>
          <w:p w14:paraId="7FCD081F" w14:textId="596492E7" w:rsidR="00581508" w:rsidRPr="00C43E6D" w:rsidRDefault="00581508" w:rsidP="00C94B35">
            <w:pPr>
              <w:spacing w:line="276" w:lineRule="auto"/>
              <w:jc w:val="center"/>
              <w:rPr>
                <w:rFonts w:ascii="Times New Roman" w:hAnsi="Times New Roman" w:cs="Times New Roman"/>
                <w:b/>
              </w:rPr>
            </w:pPr>
            <w:r w:rsidRPr="00C43E6D">
              <w:rPr>
                <w:rFonts w:ascii="Times New Roman" w:hAnsi="Times New Roman" w:cs="Times New Roman"/>
                <w:b/>
              </w:rPr>
              <w:t>202</w:t>
            </w:r>
            <w:r w:rsidR="00D97978" w:rsidRPr="00C43E6D">
              <w:rPr>
                <w:rFonts w:ascii="Times New Roman" w:hAnsi="Times New Roman" w:cs="Times New Roman"/>
                <w:b/>
              </w:rPr>
              <w:t>6</w:t>
            </w:r>
          </w:p>
        </w:tc>
      </w:tr>
      <w:tr w:rsidR="00581508" w:rsidRPr="00C43E6D" w14:paraId="1F127E13" w14:textId="77777777" w:rsidTr="00C94B35">
        <w:trPr>
          <w:trHeight w:val="391"/>
        </w:trPr>
        <w:tc>
          <w:tcPr>
            <w:tcW w:w="196" w:type="pct"/>
            <w:vMerge/>
            <w:shd w:val="clear" w:color="auto" w:fill="DEEAF6" w:themeFill="accent1" w:themeFillTint="33"/>
            <w:vAlign w:val="center"/>
          </w:tcPr>
          <w:p w14:paraId="3D57B68C" w14:textId="77777777" w:rsidR="00581508" w:rsidRPr="00C43E6D" w:rsidRDefault="00581508" w:rsidP="00C94B35">
            <w:pPr>
              <w:spacing w:line="276" w:lineRule="auto"/>
              <w:jc w:val="center"/>
              <w:rPr>
                <w:rFonts w:ascii="Times New Roman" w:hAnsi="Times New Roman" w:cs="Times New Roman"/>
                <w:b/>
              </w:rPr>
            </w:pPr>
          </w:p>
        </w:tc>
        <w:tc>
          <w:tcPr>
            <w:tcW w:w="1551" w:type="pct"/>
            <w:vMerge/>
            <w:shd w:val="clear" w:color="auto" w:fill="DEEAF6" w:themeFill="accent1" w:themeFillTint="33"/>
            <w:vAlign w:val="center"/>
          </w:tcPr>
          <w:p w14:paraId="6902E6B5" w14:textId="77777777" w:rsidR="00581508" w:rsidRPr="00C43E6D" w:rsidRDefault="00581508" w:rsidP="00C94B35">
            <w:pPr>
              <w:spacing w:line="276" w:lineRule="auto"/>
              <w:jc w:val="center"/>
              <w:rPr>
                <w:rFonts w:ascii="Times New Roman" w:hAnsi="Times New Roman" w:cs="Times New Roman"/>
                <w:b/>
              </w:rPr>
            </w:pPr>
          </w:p>
        </w:tc>
        <w:tc>
          <w:tcPr>
            <w:tcW w:w="680" w:type="pct"/>
            <w:vMerge/>
            <w:shd w:val="clear" w:color="auto" w:fill="DEEAF6" w:themeFill="accent1" w:themeFillTint="33"/>
            <w:vAlign w:val="center"/>
          </w:tcPr>
          <w:p w14:paraId="2F59A365" w14:textId="77777777" w:rsidR="00581508" w:rsidRPr="00C43E6D" w:rsidRDefault="00581508" w:rsidP="00C94B35">
            <w:pPr>
              <w:spacing w:line="276" w:lineRule="auto"/>
              <w:jc w:val="center"/>
              <w:rPr>
                <w:rFonts w:ascii="Times New Roman" w:hAnsi="Times New Roman" w:cs="Times New Roman"/>
                <w:b/>
              </w:rPr>
            </w:pPr>
          </w:p>
        </w:tc>
        <w:tc>
          <w:tcPr>
            <w:tcW w:w="259" w:type="pct"/>
            <w:shd w:val="clear" w:color="auto" w:fill="DEEAF6" w:themeFill="accent1" w:themeFillTint="33"/>
            <w:vAlign w:val="center"/>
          </w:tcPr>
          <w:p w14:paraId="1CDE13EA" w14:textId="77777777" w:rsidR="00581508" w:rsidRPr="00C43E6D" w:rsidRDefault="00581508" w:rsidP="00C94B35">
            <w:pPr>
              <w:spacing w:line="276" w:lineRule="auto"/>
              <w:jc w:val="center"/>
              <w:rPr>
                <w:rFonts w:ascii="Times New Roman" w:hAnsi="Times New Roman" w:cs="Times New Roman"/>
                <w:b/>
                <w:sz w:val="18"/>
                <w:szCs w:val="18"/>
              </w:rPr>
            </w:pPr>
            <w:r w:rsidRPr="00C43E6D">
              <w:rPr>
                <w:rFonts w:ascii="Times New Roman" w:hAnsi="Times New Roman" w:cs="Times New Roman"/>
                <w:b/>
                <w:sz w:val="18"/>
                <w:szCs w:val="18"/>
              </w:rPr>
              <w:t>Iul</w:t>
            </w:r>
          </w:p>
        </w:tc>
        <w:tc>
          <w:tcPr>
            <w:tcW w:w="292" w:type="pct"/>
            <w:shd w:val="clear" w:color="auto" w:fill="DEEAF6" w:themeFill="accent1" w:themeFillTint="33"/>
            <w:vAlign w:val="center"/>
          </w:tcPr>
          <w:p w14:paraId="0EAEB0A8" w14:textId="77777777" w:rsidR="00581508" w:rsidRPr="00C43E6D" w:rsidRDefault="00581508" w:rsidP="00C94B35">
            <w:pPr>
              <w:spacing w:line="276" w:lineRule="auto"/>
              <w:jc w:val="center"/>
              <w:rPr>
                <w:rFonts w:ascii="Times New Roman" w:hAnsi="Times New Roman" w:cs="Times New Roman"/>
                <w:b/>
                <w:sz w:val="18"/>
                <w:szCs w:val="18"/>
              </w:rPr>
            </w:pPr>
            <w:r w:rsidRPr="00C43E6D">
              <w:rPr>
                <w:rFonts w:ascii="Times New Roman" w:hAnsi="Times New Roman" w:cs="Times New Roman"/>
                <w:b/>
                <w:sz w:val="18"/>
                <w:szCs w:val="18"/>
              </w:rPr>
              <w:t>Aug</w:t>
            </w:r>
          </w:p>
        </w:tc>
        <w:tc>
          <w:tcPr>
            <w:tcW w:w="218" w:type="pct"/>
            <w:shd w:val="clear" w:color="auto" w:fill="DEEAF6" w:themeFill="accent1" w:themeFillTint="33"/>
            <w:vAlign w:val="center"/>
          </w:tcPr>
          <w:p w14:paraId="5EBBDCCB" w14:textId="77777777" w:rsidR="00581508" w:rsidRPr="00C43E6D" w:rsidRDefault="00581508" w:rsidP="00C94B35">
            <w:pPr>
              <w:spacing w:line="276" w:lineRule="auto"/>
              <w:jc w:val="center"/>
              <w:rPr>
                <w:rFonts w:ascii="Times New Roman" w:hAnsi="Times New Roman" w:cs="Times New Roman"/>
                <w:b/>
                <w:sz w:val="18"/>
                <w:szCs w:val="18"/>
              </w:rPr>
            </w:pPr>
            <w:r w:rsidRPr="00C43E6D">
              <w:rPr>
                <w:rFonts w:ascii="Times New Roman" w:hAnsi="Times New Roman" w:cs="Times New Roman"/>
                <w:b/>
                <w:sz w:val="18"/>
                <w:szCs w:val="18"/>
              </w:rPr>
              <w:t>Sept</w:t>
            </w:r>
          </w:p>
        </w:tc>
        <w:tc>
          <w:tcPr>
            <w:tcW w:w="173" w:type="pct"/>
            <w:shd w:val="clear" w:color="auto" w:fill="DEEAF6" w:themeFill="accent1" w:themeFillTint="33"/>
            <w:vAlign w:val="center"/>
          </w:tcPr>
          <w:p w14:paraId="681247B0" w14:textId="77777777" w:rsidR="00581508" w:rsidRPr="00C43E6D" w:rsidRDefault="00581508" w:rsidP="00C94B35">
            <w:pPr>
              <w:spacing w:line="276" w:lineRule="auto"/>
              <w:jc w:val="center"/>
              <w:rPr>
                <w:rFonts w:ascii="Times New Roman" w:hAnsi="Times New Roman" w:cs="Times New Roman"/>
                <w:b/>
                <w:sz w:val="18"/>
                <w:szCs w:val="18"/>
              </w:rPr>
            </w:pPr>
            <w:r w:rsidRPr="00C43E6D">
              <w:rPr>
                <w:rFonts w:ascii="Times New Roman" w:hAnsi="Times New Roman" w:cs="Times New Roman"/>
                <w:b/>
                <w:sz w:val="18"/>
                <w:szCs w:val="18"/>
              </w:rPr>
              <w:t>Oct</w:t>
            </w:r>
          </w:p>
        </w:tc>
        <w:tc>
          <w:tcPr>
            <w:tcW w:w="218" w:type="pct"/>
            <w:shd w:val="clear" w:color="auto" w:fill="DEEAF6" w:themeFill="accent1" w:themeFillTint="33"/>
            <w:vAlign w:val="center"/>
          </w:tcPr>
          <w:p w14:paraId="20551304" w14:textId="77777777" w:rsidR="00581508" w:rsidRPr="00C43E6D" w:rsidRDefault="00581508" w:rsidP="00C94B35">
            <w:pPr>
              <w:spacing w:line="276" w:lineRule="auto"/>
              <w:jc w:val="center"/>
              <w:rPr>
                <w:rFonts w:ascii="Times New Roman" w:hAnsi="Times New Roman" w:cs="Times New Roman"/>
                <w:b/>
                <w:sz w:val="18"/>
                <w:szCs w:val="18"/>
              </w:rPr>
            </w:pPr>
            <w:r w:rsidRPr="00C43E6D">
              <w:rPr>
                <w:rFonts w:ascii="Times New Roman" w:hAnsi="Times New Roman" w:cs="Times New Roman"/>
                <w:b/>
                <w:sz w:val="18"/>
                <w:szCs w:val="18"/>
              </w:rPr>
              <w:t>Noi</w:t>
            </w:r>
          </w:p>
        </w:tc>
        <w:tc>
          <w:tcPr>
            <w:tcW w:w="267" w:type="pct"/>
            <w:shd w:val="clear" w:color="auto" w:fill="DEEAF6" w:themeFill="accent1" w:themeFillTint="33"/>
            <w:vAlign w:val="center"/>
          </w:tcPr>
          <w:p w14:paraId="7AC73F64" w14:textId="77777777" w:rsidR="00581508" w:rsidRPr="00C43E6D" w:rsidRDefault="00581508" w:rsidP="00C94B35">
            <w:pPr>
              <w:spacing w:line="276" w:lineRule="auto"/>
              <w:jc w:val="center"/>
              <w:rPr>
                <w:rFonts w:ascii="Times New Roman" w:hAnsi="Times New Roman" w:cs="Times New Roman"/>
                <w:b/>
                <w:sz w:val="18"/>
                <w:szCs w:val="18"/>
              </w:rPr>
            </w:pPr>
            <w:r w:rsidRPr="00C43E6D">
              <w:rPr>
                <w:rFonts w:ascii="Times New Roman" w:hAnsi="Times New Roman" w:cs="Times New Roman"/>
                <w:b/>
                <w:sz w:val="18"/>
                <w:szCs w:val="18"/>
              </w:rPr>
              <w:t>Dec</w:t>
            </w:r>
          </w:p>
        </w:tc>
        <w:tc>
          <w:tcPr>
            <w:tcW w:w="132" w:type="pct"/>
            <w:shd w:val="clear" w:color="auto" w:fill="DEEAF6" w:themeFill="accent1" w:themeFillTint="33"/>
            <w:vAlign w:val="center"/>
          </w:tcPr>
          <w:p w14:paraId="48D7CF59" w14:textId="77777777" w:rsidR="00581508" w:rsidRPr="00C43E6D" w:rsidRDefault="00581508" w:rsidP="00C94B35">
            <w:pPr>
              <w:spacing w:line="276" w:lineRule="auto"/>
              <w:jc w:val="center"/>
              <w:rPr>
                <w:rFonts w:ascii="Times New Roman" w:hAnsi="Times New Roman" w:cs="Times New Roman"/>
                <w:b/>
                <w:sz w:val="18"/>
                <w:szCs w:val="18"/>
              </w:rPr>
            </w:pPr>
            <w:r w:rsidRPr="00C43E6D">
              <w:rPr>
                <w:rFonts w:ascii="Times New Roman" w:hAnsi="Times New Roman" w:cs="Times New Roman"/>
                <w:b/>
                <w:sz w:val="18"/>
                <w:szCs w:val="18"/>
              </w:rPr>
              <w:t>Ian</w:t>
            </w:r>
          </w:p>
        </w:tc>
        <w:tc>
          <w:tcPr>
            <w:tcW w:w="182" w:type="pct"/>
            <w:shd w:val="clear" w:color="auto" w:fill="DEEAF6" w:themeFill="accent1" w:themeFillTint="33"/>
            <w:vAlign w:val="center"/>
          </w:tcPr>
          <w:p w14:paraId="1A3A5217" w14:textId="77777777" w:rsidR="00581508" w:rsidRPr="00C43E6D" w:rsidRDefault="00581508" w:rsidP="00C94B35">
            <w:pPr>
              <w:spacing w:line="276" w:lineRule="auto"/>
              <w:jc w:val="center"/>
              <w:rPr>
                <w:rFonts w:ascii="Times New Roman" w:hAnsi="Times New Roman" w:cs="Times New Roman"/>
                <w:b/>
                <w:sz w:val="18"/>
                <w:szCs w:val="18"/>
              </w:rPr>
            </w:pPr>
            <w:r w:rsidRPr="00C43E6D">
              <w:rPr>
                <w:rFonts w:ascii="Times New Roman" w:hAnsi="Times New Roman" w:cs="Times New Roman"/>
                <w:b/>
                <w:sz w:val="18"/>
                <w:szCs w:val="18"/>
              </w:rPr>
              <w:t>Feb</w:t>
            </w:r>
          </w:p>
        </w:tc>
        <w:tc>
          <w:tcPr>
            <w:tcW w:w="218" w:type="pct"/>
            <w:shd w:val="clear" w:color="auto" w:fill="DEEAF6" w:themeFill="accent1" w:themeFillTint="33"/>
            <w:vAlign w:val="center"/>
          </w:tcPr>
          <w:p w14:paraId="4A6BFE24" w14:textId="77777777" w:rsidR="00581508" w:rsidRPr="00C43E6D" w:rsidRDefault="00581508" w:rsidP="00C94B35">
            <w:pPr>
              <w:spacing w:line="276" w:lineRule="auto"/>
              <w:jc w:val="center"/>
              <w:rPr>
                <w:rFonts w:ascii="Times New Roman" w:hAnsi="Times New Roman" w:cs="Times New Roman"/>
                <w:b/>
                <w:sz w:val="18"/>
                <w:szCs w:val="18"/>
              </w:rPr>
            </w:pPr>
            <w:r w:rsidRPr="00C43E6D">
              <w:rPr>
                <w:rFonts w:ascii="Times New Roman" w:hAnsi="Times New Roman" w:cs="Times New Roman"/>
                <w:b/>
                <w:sz w:val="18"/>
                <w:szCs w:val="18"/>
              </w:rPr>
              <w:t>Mar</w:t>
            </w:r>
          </w:p>
        </w:tc>
        <w:tc>
          <w:tcPr>
            <w:tcW w:w="218" w:type="pct"/>
            <w:shd w:val="clear" w:color="auto" w:fill="DEEAF6" w:themeFill="accent1" w:themeFillTint="33"/>
            <w:vAlign w:val="center"/>
          </w:tcPr>
          <w:p w14:paraId="2C01975A" w14:textId="77777777" w:rsidR="00581508" w:rsidRPr="00C43E6D" w:rsidRDefault="00581508" w:rsidP="00C94B35">
            <w:pPr>
              <w:spacing w:line="276" w:lineRule="auto"/>
              <w:jc w:val="center"/>
              <w:rPr>
                <w:rFonts w:ascii="Times New Roman" w:hAnsi="Times New Roman" w:cs="Times New Roman"/>
                <w:b/>
                <w:sz w:val="18"/>
                <w:szCs w:val="18"/>
              </w:rPr>
            </w:pPr>
            <w:r w:rsidRPr="00C43E6D">
              <w:rPr>
                <w:rFonts w:ascii="Times New Roman" w:hAnsi="Times New Roman" w:cs="Times New Roman"/>
                <w:b/>
                <w:sz w:val="18"/>
                <w:szCs w:val="18"/>
              </w:rPr>
              <w:t>Apr</w:t>
            </w:r>
          </w:p>
        </w:tc>
        <w:tc>
          <w:tcPr>
            <w:tcW w:w="176" w:type="pct"/>
            <w:shd w:val="clear" w:color="auto" w:fill="DEEAF6" w:themeFill="accent1" w:themeFillTint="33"/>
            <w:vAlign w:val="center"/>
          </w:tcPr>
          <w:p w14:paraId="54181D3A" w14:textId="77777777" w:rsidR="00581508" w:rsidRPr="00C43E6D" w:rsidRDefault="00581508" w:rsidP="00C94B35">
            <w:pPr>
              <w:spacing w:line="276" w:lineRule="auto"/>
              <w:jc w:val="center"/>
              <w:rPr>
                <w:rFonts w:ascii="Times New Roman" w:hAnsi="Times New Roman" w:cs="Times New Roman"/>
                <w:b/>
                <w:sz w:val="18"/>
                <w:szCs w:val="18"/>
              </w:rPr>
            </w:pPr>
            <w:r w:rsidRPr="00C43E6D">
              <w:rPr>
                <w:rFonts w:ascii="Times New Roman" w:hAnsi="Times New Roman" w:cs="Times New Roman"/>
                <w:b/>
                <w:sz w:val="18"/>
                <w:szCs w:val="18"/>
              </w:rPr>
              <w:t>Mai</w:t>
            </w:r>
          </w:p>
        </w:tc>
        <w:tc>
          <w:tcPr>
            <w:tcW w:w="218" w:type="pct"/>
            <w:shd w:val="clear" w:color="auto" w:fill="DEEAF6" w:themeFill="accent1" w:themeFillTint="33"/>
            <w:vAlign w:val="center"/>
          </w:tcPr>
          <w:p w14:paraId="3C26297D" w14:textId="77777777" w:rsidR="00581508" w:rsidRPr="00C43E6D" w:rsidRDefault="00581508" w:rsidP="00C94B35">
            <w:pPr>
              <w:spacing w:line="276" w:lineRule="auto"/>
              <w:jc w:val="center"/>
              <w:rPr>
                <w:rFonts w:ascii="Times New Roman" w:hAnsi="Times New Roman" w:cs="Times New Roman"/>
                <w:b/>
                <w:sz w:val="18"/>
                <w:szCs w:val="18"/>
              </w:rPr>
            </w:pPr>
            <w:r w:rsidRPr="00C43E6D">
              <w:rPr>
                <w:rFonts w:ascii="Times New Roman" w:hAnsi="Times New Roman" w:cs="Times New Roman"/>
                <w:b/>
                <w:sz w:val="18"/>
                <w:szCs w:val="18"/>
              </w:rPr>
              <w:t>Iun</w:t>
            </w:r>
          </w:p>
        </w:tc>
      </w:tr>
      <w:tr w:rsidR="00581508" w:rsidRPr="00C43E6D" w14:paraId="7C1EE098" w14:textId="77777777" w:rsidTr="00DB2EB6">
        <w:tc>
          <w:tcPr>
            <w:tcW w:w="196" w:type="pct"/>
          </w:tcPr>
          <w:p w14:paraId="237B5454" w14:textId="77777777" w:rsidR="00581508" w:rsidRPr="00C43E6D" w:rsidRDefault="00581508" w:rsidP="00C94B35">
            <w:pPr>
              <w:spacing w:line="276" w:lineRule="auto"/>
              <w:jc w:val="center"/>
              <w:rPr>
                <w:rFonts w:ascii="Times New Roman" w:hAnsi="Times New Roman" w:cs="Times New Roman"/>
              </w:rPr>
            </w:pPr>
            <w:r w:rsidRPr="00C43E6D">
              <w:rPr>
                <w:rFonts w:ascii="Times New Roman" w:hAnsi="Times New Roman" w:cs="Times New Roman"/>
              </w:rPr>
              <w:lastRenderedPageBreak/>
              <w:t>1</w:t>
            </w:r>
          </w:p>
        </w:tc>
        <w:tc>
          <w:tcPr>
            <w:tcW w:w="1551" w:type="pct"/>
          </w:tcPr>
          <w:p w14:paraId="4D5EE18C" w14:textId="77777777" w:rsidR="00581508" w:rsidRPr="00C43E6D" w:rsidRDefault="00581508" w:rsidP="00C94B35">
            <w:pPr>
              <w:spacing w:line="276" w:lineRule="auto"/>
              <w:rPr>
                <w:rFonts w:ascii="Times New Roman" w:hAnsi="Times New Roman" w:cs="Times New Roman"/>
              </w:rPr>
            </w:pPr>
            <w:r w:rsidRPr="00C43E6D">
              <w:rPr>
                <w:rFonts w:ascii="Times New Roman" w:hAnsi="Times New Roman" w:cs="Times New Roman"/>
              </w:rPr>
              <w:t>Organizarea instruirilor periodice pentru angajații și elevii/studenții din cadrul instituției cu privire la importanța eficientizări consumului de energie</w:t>
            </w:r>
          </w:p>
        </w:tc>
        <w:tc>
          <w:tcPr>
            <w:tcW w:w="680" w:type="pct"/>
          </w:tcPr>
          <w:p w14:paraId="4BFF9931" w14:textId="77777777" w:rsidR="00581508" w:rsidRPr="00C43E6D" w:rsidRDefault="00581508" w:rsidP="00C94B35">
            <w:pPr>
              <w:spacing w:line="276" w:lineRule="auto"/>
              <w:rPr>
                <w:rFonts w:ascii="Times New Roman" w:hAnsi="Times New Roman" w:cs="Times New Roman"/>
              </w:rPr>
            </w:pPr>
            <w:r w:rsidRPr="00C43E6D">
              <w:rPr>
                <w:rFonts w:ascii="Times New Roman" w:hAnsi="Times New Roman" w:cs="Times New Roman"/>
              </w:rPr>
              <w:t>Echipa de management</w:t>
            </w:r>
          </w:p>
        </w:tc>
        <w:tc>
          <w:tcPr>
            <w:tcW w:w="259" w:type="pct"/>
          </w:tcPr>
          <w:p w14:paraId="27A4C4C5" w14:textId="77777777" w:rsidR="00581508" w:rsidRPr="00C43E6D" w:rsidRDefault="00581508" w:rsidP="00C94B35">
            <w:pPr>
              <w:spacing w:line="276" w:lineRule="auto"/>
              <w:jc w:val="both"/>
              <w:rPr>
                <w:rFonts w:ascii="Times New Roman" w:hAnsi="Times New Roman" w:cs="Times New Roman"/>
                <w:b/>
              </w:rPr>
            </w:pPr>
          </w:p>
        </w:tc>
        <w:tc>
          <w:tcPr>
            <w:tcW w:w="292" w:type="pct"/>
          </w:tcPr>
          <w:p w14:paraId="771D767B" w14:textId="77777777" w:rsidR="00581508" w:rsidRPr="00C43E6D" w:rsidRDefault="00581508" w:rsidP="00C94B35">
            <w:pPr>
              <w:spacing w:line="276" w:lineRule="auto"/>
              <w:jc w:val="both"/>
              <w:rPr>
                <w:rFonts w:ascii="Times New Roman" w:hAnsi="Times New Roman" w:cs="Times New Roman"/>
                <w:b/>
              </w:rPr>
            </w:pPr>
          </w:p>
        </w:tc>
        <w:tc>
          <w:tcPr>
            <w:tcW w:w="218" w:type="pct"/>
            <w:shd w:val="clear" w:color="auto" w:fill="92D050"/>
          </w:tcPr>
          <w:p w14:paraId="40574060" w14:textId="77777777" w:rsidR="00581508" w:rsidRPr="00C43E6D" w:rsidRDefault="00581508" w:rsidP="00C94B35">
            <w:pPr>
              <w:spacing w:line="276" w:lineRule="auto"/>
              <w:jc w:val="both"/>
              <w:rPr>
                <w:rFonts w:ascii="Times New Roman" w:hAnsi="Times New Roman" w:cs="Times New Roman"/>
                <w:b/>
              </w:rPr>
            </w:pPr>
          </w:p>
        </w:tc>
        <w:tc>
          <w:tcPr>
            <w:tcW w:w="173" w:type="pct"/>
          </w:tcPr>
          <w:p w14:paraId="6E4D67BB" w14:textId="77777777" w:rsidR="00581508" w:rsidRPr="00C43E6D" w:rsidRDefault="00581508" w:rsidP="00C94B35">
            <w:pPr>
              <w:spacing w:line="276" w:lineRule="auto"/>
              <w:jc w:val="both"/>
              <w:rPr>
                <w:rFonts w:ascii="Times New Roman" w:hAnsi="Times New Roman" w:cs="Times New Roman"/>
                <w:b/>
              </w:rPr>
            </w:pPr>
          </w:p>
        </w:tc>
        <w:tc>
          <w:tcPr>
            <w:tcW w:w="218" w:type="pct"/>
          </w:tcPr>
          <w:p w14:paraId="2A916E5D" w14:textId="77777777" w:rsidR="00581508" w:rsidRPr="00C43E6D" w:rsidRDefault="00581508" w:rsidP="00C94B35">
            <w:pPr>
              <w:spacing w:line="276" w:lineRule="auto"/>
              <w:jc w:val="both"/>
              <w:rPr>
                <w:rFonts w:ascii="Times New Roman" w:hAnsi="Times New Roman" w:cs="Times New Roman"/>
                <w:b/>
              </w:rPr>
            </w:pPr>
          </w:p>
        </w:tc>
        <w:tc>
          <w:tcPr>
            <w:tcW w:w="267" w:type="pct"/>
          </w:tcPr>
          <w:p w14:paraId="2843C253" w14:textId="77777777" w:rsidR="00581508" w:rsidRPr="00C43E6D" w:rsidRDefault="00581508" w:rsidP="00C94B35">
            <w:pPr>
              <w:spacing w:line="276" w:lineRule="auto"/>
              <w:jc w:val="both"/>
              <w:rPr>
                <w:rFonts w:ascii="Times New Roman" w:hAnsi="Times New Roman" w:cs="Times New Roman"/>
                <w:b/>
              </w:rPr>
            </w:pPr>
          </w:p>
        </w:tc>
        <w:tc>
          <w:tcPr>
            <w:tcW w:w="132" w:type="pct"/>
          </w:tcPr>
          <w:p w14:paraId="4A82AA24" w14:textId="77777777" w:rsidR="00581508" w:rsidRPr="00C43E6D" w:rsidRDefault="00581508" w:rsidP="00C94B35">
            <w:pPr>
              <w:spacing w:line="276" w:lineRule="auto"/>
              <w:jc w:val="both"/>
              <w:rPr>
                <w:rFonts w:ascii="Times New Roman" w:hAnsi="Times New Roman" w:cs="Times New Roman"/>
                <w:b/>
              </w:rPr>
            </w:pPr>
          </w:p>
        </w:tc>
        <w:tc>
          <w:tcPr>
            <w:tcW w:w="182" w:type="pct"/>
          </w:tcPr>
          <w:p w14:paraId="11C60591" w14:textId="77777777" w:rsidR="00581508" w:rsidRPr="00C43E6D" w:rsidRDefault="00581508" w:rsidP="00C94B35">
            <w:pPr>
              <w:spacing w:line="276" w:lineRule="auto"/>
              <w:jc w:val="both"/>
              <w:rPr>
                <w:rFonts w:ascii="Times New Roman" w:hAnsi="Times New Roman" w:cs="Times New Roman"/>
                <w:b/>
              </w:rPr>
            </w:pPr>
          </w:p>
        </w:tc>
        <w:tc>
          <w:tcPr>
            <w:tcW w:w="218" w:type="pct"/>
            <w:shd w:val="clear" w:color="auto" w:fill="auto"/>
          </w:tcPr>
          <w:p w14:paraId="74D04106" w14:textId="77777777" w:rsidR="00581508" w:rsidRPr="00C43E6D" w:rsidRDefault="00581508" w:rsidP="00C94B35">
            <w:pPr>
              <w:spacing w:line="276" w:lineRule="auto"/>
              <w:jc w:val="both"/>
              <w:rPr>
                <w:rFonts w:ascii="Times New Roman" w:hAnsi="Times New Roman" w:cs="Times New Roman"/>
                <w:b/>
              </w:rPr>
            </w:pPr>
          </w:p>
        </w:tc>
        <w:tc>
          <w:tcPr>
            <w:tcW w:w="218" w:type="pct"/>
          </w:tcPr>
          <w:p w14:paraId="745B699B" w14:textId="77777777" w:rsidR="00581508" w:rsidRPr="00C43E6D" w:rsidRDefault="00581508" w:rsidP="00C94B35">
            <w:pPr>
              <w:spacing w:line="276" w:lineRule="auto"/>
              <w:jc w:val="both"/>
              <w:rPr>
                <w:rFonts w:ascii="Times New Roman" w:hAnsi="Times New Roman" w:cs="Times New Roman"/>
                <w:b/>
              </w:rPr>
            </w:pPr>
          </w:p>
        </w:tc>
        <w:tc>
          <w:tcPr>
            <w:tcW w:w="176" w:type="pct"/>
            <w:shd w:val="clear" w:color="auto" w:fill="92D050"/>
          </w:tcPr>
          <w:p w14:paraId="71EF44D5" w14:textId="77777777" w:rsidR="00581508" w:rsidRPr="00C43E6D" w:rsidRDefault="00581508" w:rsidP="00C94B35">
            <w:pPr>
              <w:spacing w:line="276" w:lineRule="auto"/>
              <w:jc w:val="both"/>
              <w:rPr>
                <w:rFonts w:ascii="Times New Roman" w:hAnsi="Times New Roman" w:cs="Times New Roman"/>
                <w:b/>
              </w:rPr>
            </w:pPr>
          </w:p>
        </w:tc>
        <w:tc>
          <w:tcPr>
            <w:tcW w:w="218" w:type="pct"/>
          </w:tcPr>
          <w:p w14:paraId="0330A461" w14:textId="77777777" w:rsidR="00581508" w:rsidRPr="00C43E6D" w:rsidRDefault="00581508" w:rsidP="00C94B35">
            <w:pPr>
              <w:spacing w:line="276" w:lineRule="auto"/>
              <w:jc w:val="both"/>
              <w:rPr>
                <w:rFonts w:ascii="Times New Roman" w:hAnsi="Times New Roman" w:cs="Times New Roman"/>
                <w:b/>
              </w:rPr>
            </w:pPr>
          </w:p>
        </w:tc>
      </w:tr>
      <w:tr w:rsidR="00581508" w:rsidRPr="00C43E6D" w14:paraId="0FC53914" w14:textId="77777777" w:rsidTr="00DB2EB6">
        <w:trPr>
          <w:trHeight w:val="60"/>
        </w:trPr>
        <w:tc>
          <w:tcPr>
            <w:tcW w:w="196" w:type="pct"/>
          </w:tcPr>
          <w:p w14:paraId="479B32BD" w14:textId="77777777" w:rsidR="00581508" w:rsidRPr="00C43E6D" w:rsidRDefault="00581508" w:rsidP="00C94B35">
            <w:pPr>
              <w:spacing w:line="276" w:lineRule="auto"/>
              <w:jc w:val="center"/>
              <w:rPr>
                <w:rFonts w:ascii="Times New Roman" w:hAnsi="Times New Roman" w:cs="Times New Roman"/>
              </w:rPr>
            </w:pPr>
            <w:r w:rsidRPr="00C43E6D">
              <w:rPr>
                <w:rFonts w:ascii="Times New Roman" w:hAnsi="Times New Roman" w:cs="Times New Roman"/>
              </w:rPr>
              <w:t>2</w:t>
            </w:r>
          </w:p>
        </w:tc>
        <w:tc>
          <w:tcPr>
            <w:tcW w:w="1551" w:type="pct"/>
          </w:tcPr>
          <w:p w14:paraId="27F64F75"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Asigurarea funcționării și verificarea periodică și setarea în mod optim a parametrilor centralei termice, inclusiv prin ajustarea acesteia la condițiile exterioare, pentru zilele de week-end și perioade nefuncționale a instituției. Asigurarea instruirii operatorului centralei termice după caz. În cazul centralei termice pe biocombustibil solid, asigurarea cu biocombustibil și verificarea spațiului de depozitare destinat pentru acesta</w:t>
            </w:r>
          </w:p>
        </w:tc>
        <w:tc>
          <w:tcPr>
            <w:tcW w:w="680" w:type="pct"/>
          </w:tcPr>
          <w:p w14:paraId="2F530A54" w14:textId="77777777" w:rsidR="00581508" w:rsidRPr="00C43E6D" w:rsidRDefault="00581508" w:rsidP="00C94B35">
            <w:pPr>
              <w:spacing w:line="276" w:lineRule="auto"/>
              <w:rPr>
                <w:rFonts w:ascii="Times New Roman" w:hAnsi="Times New Roman" w:cs="Times New Roman"/>
              </w:rPr>
            </w:pPr>
            <w:r w:rsidRPr="00C43E6D">
              <w:rPr>
                <w:rFonts w:ascii="Times New Roman" w:hAnsi="Times New Roman" w:cs="Times New Roman"/>
              </w:rPr>
              <w:t>Managerul energetic</w:t>
            </w:r>
          </w:p>
          <w:p w14:paraId="1FC015A7" w14:textId="77777777" w:rsidR="00581508" w:rsidRPr="00C43E6D" w:rsidRDefault="00581508" w:rsidP="00C94B35">
            <w:pPr>
              <w:spacing w:line="276" w:lineRule="auto"/>
              <w:rPr>
                <w:rFonts w:ascii="Times New Roman" w:hAnsi="Times New Roman" w:cs="Times New Roman"/>
              </w:rPr>
            </w:pPr>
            <w:r w:rsidRPr="00C43E6D">
              <w:rPr>
                <w:rFonts w:ascii="Times New Roman" w:hAnsi="Times New Roman" w:cs="Times New Roman"/>
              </w:rPr>
              <w:t>Operatorul centralei</w:t>
            </w:r>
          </w:p>
        </w:tc>
        <w:tc>
          <w:tcPr>
            <w:tcW w:w="259" w:type="pct"/>
          </w:tcPr>
          <w:p w14:paraId="270B790B" w14:textId="77777777" w:rsidR="00581508" w:rsidRPr="00C43E6D" w:rsidRDefault="00581508" w:rsidP="00C94B35">
            <w:pPr>
              <w:spacing w:line="276" w:lineRule="auto"/>
              <w:jc w:val="both"/>
              <w:rPr>
                <w:rFonts w:ascii="Times New Roman" w:hAnsi="Times New Roman" w:cs="Times New Roman"/>
              </w:rPr>
            </w:pPr>
          </w:p>
        </w:tc>
        <w:tc>
          <w:tcPr>
            <w:tcW w:w="292" w:type="pct"/>
            <w:shd w:val="clear" w:color="auto" w:fill="92D050"/>
          </w:tcPr>
          <w:p w14:paraId="7E2F5882" w14:textId="77777777" w:rsidR="00581508" w:rsidRPr="00C43E6D" w:rsidRDefault="00581508" w:rsidP="00C94B35">
            <w:pPr>
              <w:spacing w:line="276" w:lineRule="auto"/>
              <w:jc w:val="both"/>
              <w:rPr>
                <w:rFonts w:ascii="Times New Roman" w:hAnsi="Times New Roman" w:cs="Times New Roman"/>
              </w:rPr>
            </w:pPr>
          </w:p>
        </w:tc>
        <w:tc>
          <w:tcPr>
            <w:tcW w:w="218" w:type="pct"/>
            <w:shd w:val="clear" w:color="auto" w:fill="92D050"/>
          </w:tcPr>
          <w:p w14:paraId="7963784C" w14:textId="77777777" w:rsidR="00581508" w:rsidRPr="00C43E6D" w:rsidRDefault="00581508" w:rsidP="00C94B35">
            <w:pPr>
              <w:spacing w:line="276" w:lineRule="auto"/>
              <w:jc w:val="both"/>
              <w:rPr>
                <w:rFonts w:ascii="Times New Roman" w:hAnsi="Times New Roman" w:cs="Times New Roman"/>
              </w:rPr>
            </w:pPr>
          </w:p>
        </w:tc>
        <w:tc>
          <w:tcPr>
            <w:tcW w:w="173" w:type="pct"/>
            <w:shd w:val="clear" w:color="auto" w:fill="92D050"/>
          </w:tcPr>
          <w:p w14:paraId="780AEC39" w14:textId="77777777" w:rsidR="00581508" w:rsidRPr="00C43E6D" w:rsidRDefault="00581508" w:rsidP="00C94B35">
            <w:pPr>
              <w:spacing w:line="276" w:lineRule="auto"/>
              <w:jc w:val="both"/>
              <w:rPr>
                <w:rFonts w:ascii="Times New Roman" w:hAnsi="Times New Roman" w:cs="Times New Roman"/>
              </w:rPr>
            </w:pPr>
          </w:p>
        </w:tc>
        <w:tc>
          <w:tcPr>
            <w:tcW w:w="218" w:type="pct"/>
            <w:shd w:val="clear" w:color="auto" w:fill="auto"/>
          </w:tcPr>
          <w:p w14:paraId="56154735" w14:textId="77777777" w:rsidR="00581508" w:rsidRPr="00C43E6D" w:rsidRDefault="00581508" w:rsidP="00C94B35">
            <w:pPr>
              <w:spacing w:line="276" w:lineRule="auto"/>
              <w:jc w:val="both"/>
              <w:rPr>
                <w:rFonts w:ascii="Times New Roman" w:hAnsi="Times New Roman" w:cs="Times New Roman"/>
              </w:rPr>
            </w:pPr>
          </w:p>
        </w:tc>
        <w:tc>
          <w:tcPr>
            <w:tcW w:w="267" w:type="pct"/>
            <w:shd w:val="clear" w:color="auto" w:fill="auto"/>
          </w:tcPr>
          <w:p w14:paraId="0959A9E1" w14:textId="77777777" w:rsidR="00581508" w:rsidRPr="00C43E6D" w:rsidRDefault="00581508" w:rsidP="00C94B35">
            <w:pPr>
              <w:spacing w:line="276" w:lineRule="auto"/>
              <w:jc w:val="both"/>
              <w:rPr>
                <w:rFonts w:ascii="Times New Roman" w:hAnsi="Times New Roman" w:cs="Times New Roman"/>
              </w:rPr>
            </w:pPr>
          </w:p>
        </w:tc>
        <w:tc>
          <w:tcPr>
            <w:tcW w:w="132" w:type="pct"/>
            <w:shd w:val="clear" w:color="auto" w:fill="auto"/>
          </w:tcPr>
          <w:p w14:paraId="4FD6C63F" w14:textId="77777777" w:rsidR="00581508" w:rsidRPr="00C43E6D" w:rsidRDefault="00581508" w:rsidP="00C94B35">
            <w:pPr>
              <w:spacing w:line="276" w:lineRule="auto"/>
              <w:jc w:val="both"/>
              <w:rPr>
                <w:rFonts w:ascii="Times New Roman" w:hAnsi="Times New Roman" w:cs="Times New Roman"/>
              </w:rPr>
            </w:pPr>
          </w:p>
        </w:tc>
        <w:tc>
          <w:tcPr>
            <w:tcW w:w="182" w:type="pct"/>
            <w:shd w:val="clear" w:color="auto" w:fill="auto"/>
          </w:tcPr>
          <w:p w14:paraId="7D8050D9" w14:textId="77777777" w:rsidR="00581508" w:rsidRPr="00C43E6D" w:rsidRDefault="00581508" w:rsidP="00C94B35">
            <w:pPr>
              <w:spacing w:line="276" w:lineRule="auto"/>
              <w:jc w:val="both"/>
              <w:rPr>
                <w:rFonts w:ascii="Times New Roman" w:hAnsi="Times New Roman" w:cs="Times New Roman"/>
              </w:rPr>
            </w:pPr>
          </w:p>
        </w:tc>
        <w:tc>
          <w:tcPr>
            <w:tcW w:w="218" w:type="pct"/>
            <w:shd w:val="clear" w:color="auto" w:fill="auto"/>
          </w:tcPr>
          <w:p w14:paraId="3EAA9F9A" w14:textId="77777777" w:rsidR="00581508" w:rsidRPr="00C43E6D" w:rsidRDefault="00581508" w:rsidP="00C94B35">
            <w:pPr>
              <w:spacing w:line="276" w:lineRule="auto"/>
              <w:jc w:val="both"/>
              <w:rPr>
                <w:rFonts w:ascii="Times New Roman" w:hAnsi="Times New Roman" w:cs="Times New Roman"/>
              </w:rPr>
            </w:pPr>
          </w:p>
        </w:tc>
        <w:tc>
          <w:tcPr>
            <w:tcW w:w="218" w:type="pct"/>
            <w:shd w:val="clear" w:color="auto" w:fill="auto"/>
          </w:tcPr>
          <w:p w14:paraId="32B999B5" w14:textId="77777777" w:rsidR="00581508" w:rsidRPr="00C43E6D" w:rsidRDefault="00581508" w:rsidP="00C94B35">
            <w:pPr>
              <w:spacing w:line="276" w:lineRule="auto"/>
              <w:jc w:val="both"/>
              <w:rPr>
                <w:rFonts w:ascii="Times New Roman" w:hAnsi="Times New Roman" w:cs="Times New Roman"/>
              </w:rPr>
            </w:pPr>
          </w:p>
        </w:tc>
        <w:tc>
          <w:tcPr>
            <w:tcW w:w="176" w:type="pct"/>
          </w:tcPr>
          <w:p w14:paraId="154A8887" w14:textId="77777777" w:rsidR="00581508" w:rsidRPr="00C43E6D" w:rsidRDefault="00581508" w:rsidP="00C94B35">
            <w:pPr>
              <w:spacing w:line="276" w:lineRule="auto"/>
              <w:jc w:val="both"/>
              <w:rPr>
                <w:rFonts w:ascii="Times New Roman" w:hAnsi="Times New Roman" w:cs="Times New Roman"/>
              </w:rPr>
            </w:pPr>
          </w:p>
        </w:tc>
        <w:tc>
          <w:tcPr>
            <w:tcW w:w="218" w:type="pct"/>
          </w:tcPr>
          <w:p w14:paraId="6764595D" w14:textId="77777777" w:rsidR="00581508" w:rsidRPr="00C43E6D" w:rsidRDefault="00581508" w:rsidP="00C94B35">
            <w:pPr>
              <w:spacing w:line="276" w:lineRule="auto"/>
              <w:jc w:val="both"/>
              <w:rPr>
                <w:rFonts w:ascii="Times New Roman" w:hAnsi="Times New Roman" w:cs="Times New Roman"/>
              </w:rPr>
            </w:pPr>
          </w:p>
        </w:tc>
      </w:tr>
      <w:tr w:rsidR="00581508" w:rsidRPr="00C43E6D" w14:paraId="70AC52E8" w14:textId="77777777" w:rsidTr="00DB2EB6">
        <w:tc>
          <w:tcPr>
            <w:tcW w:w="196" w:type="pct"/>
          </w:tcPr>
          <w:p w14:paraId="1C2B6426" w14:textId="77777777" w:rsidR="00581508" w:rsidRPr="00C43E6D" w:rsidRDefault="00581508" w:rsidP="00C94B35">
            <w:pPr>
              <w:spacing w:line="276" w:lineRule="auto"/>
              <w:jc w:val="center"/>
              <w:rPr>
                <w:rFonts w:ascii="Times New Roman" w:hAnsi="Times New Roman" w:cs="Times New Roman"/>
              </w:rPr>
            </w:pPr>
            <w:r w:rsidRPr="00C43E6D">
              <w:rPr>
                <w:rFonts w:ascii="Times New Roman" w:hAnsi="Times New Roman" w:cs="Times New Roman"/>
              </w:rPr>
              <w:t>3</w:t>
            </w:r>
          </w:p>
        </w:tc>
        <w:tc>
          <w:tcPr>
            <w:tcW w:w="1551" w:type="pct"/>
          </w:tcPr>
          <w:p w14:paraId="47ADBBE7" w14:textId="460F6AEC"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 xml:space="preserve">Verificarea  </w:t>
            </w:r>
            <w:r w:rsidR="001D685C">
              <w:rPr>
                <w:rFonts w:ascii="Times New Roman" w:hAnsi="Times New Roman" w:cs="Times New Roman"/>
              </w:rPr>
              <w:t>rețelelor</w:t>
            </w:r>
            <w:r w:rsidR="001D685C" w:rsidRPr="00C43E6D">
              <w:rPr>
                <w:rFonts w:ascii="Times New Roman" w:hAnsi="Times New Roman" w:cs="Times New Roman"/>
              </w:rPr>
              <w:t xml:space="preserve"> </w:t>
            </w:r>
            <w:r w:rsidRPr="00C43E6D">
              <w:rPr>
                <w:rFonts w:ascii="Times New Roman" w:hAnsi="Times New Roman" w:cs="Times New Roman"/>
              </w:rPr>
              <w:t>de agent termic care traversează spațiile neîncălzite cu izolarea corespunzătoare a acestora, inclusiv înlăturarea imediată a scurgerilor de agent termic</w:t>
            </w:r>
          </w:p>
        </w:tc>
        <w:tc>
          <w:tcPr>
            <w:tcW w:w="680" w:type="pct"/>
          </w:tcPr>
          <w:p w14:paraId="6F0E6C4D"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Operatorul centralei</w:t>
            </w:r>
          </w:p>
          <w:p w14:paraId="175DA895"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Managerul energetic</w:t>
            </w:r>
          </w:p>
          <w:p w14:paraId="7F19111A"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Specialist instalator</w:t>
            </w:r>
          </w:p>
        </w:tc>
        <w:tc>
          <w:tcPr>
            <w:tcW w:w="259" w:type="pct"/>
            <w:shd w:val="clear" w:color="auto" w:fill="auto"/>
          </w:tcPr>
          <w:p w14:paraId="7FB1FC64" w14:textId="77777777" w:rsidR="00581508" w:rsidRPr="00C43E6D" w:rsidRDefault="00581508" w:rsidP="00C94B35">
            <w:pPr>
              <w:spacing w:line="276" w:lineRule="auto"/>
              <w:jc w:val="both"/>
              <w:rPr>
                <w:rFonts w:ascii="Times New Roman" w:hAnsi="Times New Roman" w:cs="Times New Roman"/>
              </w:rPr>
            </w:pPr>
          </w:p>
        </w:tc>
        <w:tc>
          <w:tcPr>
            <w:tcW w:w="292" w:type="pct"/>
            <w:shd w:val="clear" w:color="auto" w:fill="92D050"/>
          </w:tcPr>
          <w:p w14:paraId="6A2C8289" w14:textId="77777777" w:rsidR="00581508" w:rsidRPr="00C43E6D" w:rsidRDefault="00581508" w:rsidP="00C94B35">
            <w:pPr>
              <w:spacing w:line="276" w:lineRule="auto"/>
              <w:jc w:val="both"/>
              <w:rPr>
                <w:rFonts w:ascii="Times New Roman" w:hAnsi="Times New Roman" w:cs="Times New Roman"/>
              </w:rPr>
            </w:pPr>
          </w:p>
        </w:tc>
        <w:tc>
          <w:tcPr>
            <w:tcW w:w="218" w:type="pct"/>
            <w:shd w:val="clear" w:color="auto" w:fill="92D050"/>
          </w:tcPr>
          <w:p w14:paraId="4898A580" w14:textId="77777777" w:rsidR="00581508" w:rsidRPr="00C43E6D" w:rsidRDefault="00581508" w:rsidP="00C94B35">
            <w:pPr>
              <w:spacing w:line="276" w:lineRule="auto"/>
              <w:jc w:val="both"/>
              <w:rPr>
                <w:rFonts w:ascii="Times New Roman" w:hAnsi="Times New Roman" w:cs="Times New Roman"/>
              </w:rPr>
            </w:pPr>
          </w:p>
        </w:tc>
        <w:tc>
          <w:tcPr>
            <w:tcW w:w="173" w:type="pct"/>
          </w:tcPr>
          <w:p w14:paraId="2311F046" w14:textId="77777777" w:rsidR="00581508" w:rsidRPr="00C43E6D" w:rsidRDefault="00581508" w:rsidP="00C94B35">
            <w:pPr>
              <w:spacing w:line="276" w:lineRule="auto"/>
              <w:jc w:val="both"/>
              <w:rPr>
                <w:rFonts w:ascii="Times New Roman" w:hAnsi="Times New Roman" w:cs="Times New Roman"/>
              </w:rPr>
            </w:pPr>
          </w:p>
        </w:tc>
        <w:tc>
          <w:tcPr>
            <w:tcW w:w="218" w:type="pct"/>
          </w:tcPr>
          <w:p w14:paraId="023B7FEE" w14:textId="77777777" w:rsidR="00581508" w:rsidRPr="00C43E6D" w:rsidRDefault="00581508" w:rsidP="00C94B35">
            <w:pPr>
              <w:spacing w:line="276" w:lineRule="auto"/>
              <w:jc w:val="both"/>
              <w:rPr>
                <w:rFonts w:ascii="Times New Roman" w:hAnsi="Times New Roman" w:cs="Times New Roman"/>
              </w:rPr>
            </w:pPr>
          </w:p>
        </w:tc>
        <w:tc>
          <w:tcPr>
            <w:tcW w:w="267" w:type="pct"/>
          </w:tcPr>
          <w:p w14:paraId="3FA7806A" w14:textId="77777777" w:rsidR="00581508" w:rsidRPr="00C43E6D" w:rsidRDefault="00581508" w:rsidP="00C94B35">
            <w:pPr>
              <w:spacing w:line="276" w:lineRule="auto"/>
              <w:jc w:val="both"/>
              <w:rPr>
                <w:rFonts w:ascii="Times New Roman" w:hAnsi="Times New Roman" w:cs="Times New Roman"/>
              </w:rPr>
            </w:pPr>
          </w:p>
        </w:tc>
        <w:tc>
          <w:tcPr>
            <w:tcW w:w="132" w:type="pct"/>
          </w:tcPr>
          <w:p w14:paraId="17F629C5" w14:textId="77777777" w:rsidR="00581508" w:rsidRPr="00C43E6D" w:rsidRDefault="00581508" w:rsidP="00C94B35">
            <w:pPr>
              <w:spacing w:line="276" w:lineRule="auto"/>
              <w:jc w:val="both"/>
              <w:rPr>
                <w:rFonts w:ascii="Times New Roman" w:hAnsi="Times New Roman" w:cs="Times New Roman"/>
              </w:rPr>
            </w:pPr>
          </w:p>
        </w:tc>
        <w:tc>
          <w:tcPr>
            <w:tcW w:w="182" w:type="pct"/>
          </w:tcPr>
          <w:p w14:paraId="59AD2B14" w14:textId="77777777" w:rsidR="00581508" w:rsidRPr="00C43E6D" w:rsidRDefault="00581508" w:rsidP="00C94B35">
            <w:pPr>
              <w:spacing w:line="276" w:lineRule="auto"/>
              <w:jc w:val="both"/>
              <w:rPr>
                <w:rFonts w:ascii="Times New Roman" w:hAnsi="Times New Roman" w:cs="Times New Roman"/>
              </w:rPr>
            </w:pPr>
          </w:p>
        </w:tc>
        <w:tc>
          <w:tcPr>
            <w:tcW w:w="218" w:type="pct"/>
          </w:tcPr>
          <w:p w14:paraId="635A872A" w14:textId="77777777" w:rsidR="00581508" w:rsidRPr="00C43E6D" w:rsidRDefault="00581508" w:rsidP="00C94B35">
            <w:pPr>
              <w:spacing w:line="276" w:lineRule="auto"/>
              <w:jc w:val="both"/>
              <w:rPr>
                <w:rFonts w:ascii="Times New Roman" w:hAnsi="Times New Roman" w:cs="Times New Roman"/>
              </w:rPr>
            </w:pPr>
          </w:p>
        </w:tc>
        <w:tc>
          <w:tcPr>
            <w:tcW w:w="218" w:type="pct"/>
          </w:tcPr>
          <w:p w14:paraId="23003B7D" w14:textId="77777777" w:rsidR="00581508" w:rsidRPr="00C43E6D" w:rsidRDefault="00581508" w:rsidP="00C94B35">
            <w:pPr>
              <w:spacing w:line="276" w:lineRule="auto"/>
              <w:jc w:val="both"/>
              <w:rPr>
                <w:rFonts w:ascii="Times New Roman" w:hAnsi="Times New Roman" w:cs="Times New Roman"/>
              </w:rPr>
            </w:pPr>
          </w:p>
        </w:tc>
        <w:tc>
          <w:tcPr>
            <w:tcW w:w="176" w:type="pct"/>
          </w:tcPr>
          <w:p w14:paraId="5AF6ED18" w14:textId="77777777" w:rsidR="00581508" w:rsidRPr="00C43E6D" w:rsidRDefault="00581508" w:rsidP="00C94B35">
            <w:pPr>
              <w:spacing w:line="276" w:lineRule="auto"/>
              <w:jc w:val="both"/>
              <w:rPr>
                <w:rFonts w:ascii="Times New Roman" w:hAnsi="Times New Roman" w:cs="Times New Roman"/>
              </w:rPr>
            </w:pPr>
          </w:p>
        </w:tc>
        <w:tc>
          <w:tcPr>
            <w:tcW w:w="218" w:type="pct"/>
          </w:tcPr>
          <w:p w14:paraId="4DF2A4E2" w14:textId="77777777" w:rsidR="00581508" w:rsidRPr="00C43E6D" w:rsidRDefault="00581508" w:rsidP="00C94B35">
            <w:pPr>
              <w:spacing w:line="276" w:lineRule="auto"/>
              <w:jc w:val="both"/>
              <w:rPr>
                <w:rFonts w:ascii="Times New Roman" w:hAnsi="Times New Roman" w:cs="Times New Roman"/>
              </w:rPr>
            </w:pPr>
          </w:p>
        </w:tc>
      </w:tr>
      <w:tr w:rsidR="00581508" w:rsidRPr="00C43E6D" w14:paraId="4B83FC01" w14:textId="77777777" w:rsidTr="00DB2EB6">
        <w:tc>
          <w:tcPr>
            <w:tcW w:w="196" w:type="pct"/>
          </w:tcPr>
          <w:p w14:paraId="1DF58233" w14:textId="77777777" w:rsidR="00581508" w:rsidRPr="00C43E6D" w:rsidRDefault="00581508" w:rsidP="00C94B35">
            <w:pPr>
              <w:spacing w:line="276" w:lineRule="auto"/>
              <w:jc w:val="center"/>
              <w:rPr>
                <w:rFonts w:ascii="Times New Roman" w:hAnsi="Times New Roman" w:cs="Times New Roman"/>
              </w:rPr>
            </w:pPr>
            <w:r w:rsidRPr="00C43E6D">
              <w:rPr>
                <w:rFonts w:ascii="Times New Roman" w:hAnsi="Times New Roman" w:cs="Times New Roman"/>
              </w:rPr>
              <w:t>4</w:t>
            </w:r>
          </w:p>
        </w:tc>
        <w:tc>
          <w:tcPr>
            <w:tcW w:w="1551" w:type="pct"/>
          </w:tcPr>
          <w:p w14:paraId="6E909200" w14:textId="77777777" w:rsidR="00581508" w:rsidRPr="00C43E6D" w:rsidRDefault="00581508" w:rsidP="00C94B35">
            <w:pPr>
              <w:spacing w:line="276" w:lineRule="auto"/>
              <w:jc w:val="both"/>
              <w:rPr>
                <w:rFonts w:ascii="Times New Roman" w:hAnsi="Times New Roman" w:cs="Times New Roman"/>
                <w:color w:val="92D050"/>
              </w:rPr>
            </w:pPr>
            <w:r w:rsidRPr="00C43E6D">
              <w:rPr>
                <w:rFonts w:ascii="Times New Roman" w:hAnsi="Times New Roman" w:cs="Times New Roman"/>
              </w:rPr>
              <w:t>Verificarea stării ferestrelor și ușilor și izolarea rosturilor acestora în cazul geamurilor vechi și/sau reglarea ferestrelor din PVC, în vederea reducerii pierderilor de energie datorită infiltrărilor de aer. Curățarea geamurilor pentru utilizarea optimă a luminii solare</w:t>
            </w:r>
          </w:p>
        </w:tc>
        <w:tc>
          <w:tcPr>
            <w:tcW w:w="680" w:type="pct"/>
          </w:tcPr>
          <w:p w14:paraId="3B3E0209"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Managerul energetic</w:t>
            </w:r>
          </w:p>
          <w:p w14:paraId="54E0ECCF"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Personalul instituției</w:t>
            </w:r>
          </w:p>
        </w:tc>
        <w:tc>
          <w:tcPr>
            <w:tcW w:w="259" w:type="pct"/>
          </w:tcPr>
          <w:p w14:paraId="53E99D5C" w14:textId="77777777" w:rsidR="00581508" w:rsidRPr="00C43E6D" w:rsidRDefault="00581508" w:rsidP="00C94B35">
            <w:pPr>
              <w:spacing w:line="276" w:lineRule="auto"/>
              <w:jc w:val="both"/>
              <w:rPr>
                <w:rFonts w:ascii="Times New Roman" w:hAnsi="Times New Roman" w:cs="Times New Roman"/>
              </w:rPr>
            </w:pPr>
          </w:p>
        </w:tc>
        <w:tc>
          <w:tcPr>
            <w:tcW w:w="292" w:type="pct"/>
          </w:tcPr>
          <w:p w14:paraId="4446BC4C" w14:textId="77777777" w:rsidR="00581508" w:rsidRPr="00C43E6D" w:rsidRDefault="00581508" w:rsidP="00C94B35">
            <w:pPr>
              <w:spacing w:line="276" w:lineRule="auto"/>
              <w:jc w:val="both"/>
              <w:rPr>
                <w:rFonts w:ascii="Times New Roman" w:hAnsi="Times New Roman" w:cs="Times New Roman"/>
              </w:rPr>
            </w:pPr>
          </w:p>
        </w:tc>
        <w:tc>
          <w:tcPr>
            <w:tcW w:w="218" w:type="pct"/>
          </w:tcPr>
          <w:p w14:paraId="68B27C55" w14:textId="77777777" w:rsidR="00581508" w:rsidRPr="00C43E6D" w:rsidRDefault="00581508" w:rsidP="00C94B35">
            <w:pPr>
              <w:spacing w:line="276" w:lineRule="auto"/>
              <w:jc w:val="both"/>
              <w:rPr>
                <w:rFonts w:ascii="Times New Roman" w:hAnsi="Times New Roman" w:cs="Times New Roman"/>
              </w:rPr>
            </w:pPr>
          </w:p>
        </w:tc>
        <w:tc>
          <w:tcPr>
            <w:tcW w:w="173" w:type="pct"/>
            <w:shd w:val="clear" w:color="auto" w:fill="92D050"/>
          </w:tcPr>
          <w:p w14:paraId="2258C915" w14:textId="77777777" w:rsidR="00581508" w:rsidRPr="00C43E6D" w:rsidRDefault="00581508" w:rsidP="00C94B35">
            <w:pPr>
              <w:spacing w:line="276" w:lineRule="auto"/>
              <w:jc w:val="both"/>
              <w:rPr>
                <w:rFonts w:ascii="Times New Roman" w:hAnsi="Times New Roman" w:cs="Times New Roman"/>
              </w:rPr>
            </w:pPr>
          </w:p>
        </w:tc>
        <w:tc>
          <w:tcPr>
            <w:tcW w:w="218" w:type="pct"/>
          </w:tcPr>
          <w:p w14:paraId="4326FC4D" w14:textId="77777777" w:rsidR="00581508" w:rsidRPr="00C43E6D" w:rsidRDefault="00581508" w:rsidP="00C94B35">
            <w:pPr>
              <w:spacing w:line="276" w:lineRule="auto"/>
              <w:jc w:val="both"/>
              <w:rPr>
                <w:rFonts w:ascii="Times New Roman" w:hAnsi="Times New Roman" w:cs="Times New Roman"/>
              </w:rPr>
            </w:pPr>
          </w:p>
        </w:tc>
        <w:tc>
          <w:tcPr>
            <w:tcW w:w="267" w:type="pct"/>
          </w:tcPr>
          <w:p w14:paraId="49A9EF5D" w14:textId="77777777" w:rsidR="00581508" w:rsidRPr="00C43E6D" w:rsidRDefault="00581508" w:rsidP="00C94B35">
            <w:pPr>
              <w:spacing w:line="276" w:lineRule="auto"/>
              <w:jc w:val="both"/>
              <w:rPr>
                <w:rFonts w:ascii="Times New Roman" w:hAnsi="Times New Roman" w:cs="Times New Roman"/>
              </w:rPr>
            </w:pPr>
          </w:p>
        </w:tc>
        <w:tc>
          <w:tcPr>
            <w:tcW w:w="132" w:type="pct"/>
          </w:tcPr>
          <w:p w14:paraId="17509103" w14:textId="77777777" w:rsidR="00581508" w:rsidRPr="00C43E6D" w:rsidRDefault="00581508" w:rsidP="00C94B35">
            <w:pPr>
              <w:spacing w:line="276" w:lineRule="auto"/>
              <w:jc w:val="both"/>
              <w:rPr>
                <w:rFonts w:ascii="Times New Roman" w:hAnsi="Times New Roman" w:cs="Times New Roman"/>
              </w:rPr>
            </w:pPr>
          </w:p>
        </w:tc>
        <w:tc>
          <w:tcPr>
            <w:tcW w:w="182" w:type="pct"/>
          </w:tcPr>
          <w:p w14:paraId="08D7EBD9" w14:textId="77777777" w:rsidR="00581508" w:rsidRPr="00C43E6D" w:rsidRDefault="00581508" w:rsidP="00C94B35">
            <w:pPr>
              <w:spacing w:line="276" w:lineRule="auto"/>
              <w:jc w:val="both"/>
              <w:rPr>
                <w:rFonts w:ascii="Times New Roman" w:hAnsi="Times New Roman" w:cs="Times New Roman"/>
              </w:rPr>
            </w:pPr>
          </w:p>
        </w:tc>
        <w:tc>
          <w:tcPr>
            <w:tcW w:w="218" w:type="pct"/>
          </w:tcPr>
          <w:p w14:paraId="5E7F8972" w14:textId="77777777" w:rsidR="00581508" w:rsidRPr="00C43E6D" w:rsidRDefault="00581508" w:rsidP="00C94B35">
            <w:pPr>
              <w:spacing w:line="276" w:lineRule="auto"/>
              <w:jc w:val="both"/>
              <w:rPr>
                <w:rFonts w:ascii="Times New Roman" w:hAnsi="Times New Roman" w:cs="Times New Roman"/>
              </w:rPr>
            </w:pPr>
          </w:p>
        </w:tc>
        <w:tc>
          <w:tcPr>
            <w:tcW w:w="218" w:type="pct"/>
            <w:shd w:val="clear" w:color="auto" w:fill="92D050"/>
          </w:tcPr>
          <w:p w14:paraId="5DC8BB4B" w14:textId="77777777" w:rsidR="00581508" w:rsidRPr="00C43E6D" w:rsidRDefault="00581508" w:rsidP="00C94B35">
            <w:pPr>
              <w:spacing w:line="276" w:lineRule="auto"/>
              <w:jc w:val="both"/>
              <w:rPr>
                <w:rFonts w:ascii="Times New Roman" w:hAnsi="Times New Roman" w:cs="Times New Roman"/>
              </w:rPr>
            </w:pPr>
          </w:p>
        </w:tc>
        <w:tc>
          <w:tcPr>
            <w:tcW w:w="176" w:type="pct"/>
          </w:tcPr>
          <w:p w14:paraId="78C62720" w14:textId="77777777" w:rsidR="00581508" w:rsidRPr="00C43E6D" w:rsidRDefault="00581508" w:rsidP="00C94B35">
            <w:pPr>
              <w:spacing w:line="276" w:lineRule="auto"/>
              <w:jc w:val="both"/>
              <w:rPr>
                <w:rFonts w:ascii="Times New Roman" w:hAnsi="Times New Roman" w:cs="Times New Roman"/>
              </w:rPr>
            </w:pPr>
          </w:p>
        </w:tc>
        <w:tc>
          <w:tcPr>
            <w:tcW w:w="218" w:type="pct"/>
          </w:tcPr>
          <w:p w14:paraId="64D7F2A1" w14:textId="77777777" w:rsidR="00581508" w:rsidRPr="00C43E6D" w:rsidRDefault="00581508" w:rsidP="00C94B35">
            <w:pPr>
              <w:spacing w:line="276" w:lineRule="auto"/>
              <w:jc w:val="both"/>
              <w:rPr>
                <w:rFonts w:ascii="Times New Roman" w:hAnsi="Times New Roman" w:cs="Times New Roman"/>
              </w:rPr>
            </w:pPr>
          </w:p>
        </w:tc>
      </w:tr>
      <w:tr w:rsidR="00581508" w:rsidRPr="00C43E6D" w14:paraId="5C2AC7E4" w14:textId="77777777" w:rsidTr="00DB2EB6">
        <w:tc>
          <w:tcPr>
            <w:tcW w:w="196" w:type="pct"/>
          </w:tcPr>
          <w:p w14:paraId="21679353" w14:textId="77777777" w:rsidR="00581508" w:rsidRPr="00C43E6D" w:rsidRDefault="00581508" w:rsidP="00C94B35">
            <w:pPr>
              <w:spacing w:line="276" w:lineRule="auto"/>
              <w:jc w:val="center"/>
              <w:rPr>
                <w:rFonts w:ascii="Times New Roman" w:hAnsi="Times New Roman" w:cs="Times New Roman"/>
              </w:rPr>
            </w:pPr>
            <w:r w:rsidRPr="00C43E6D">
              <w:rPr>
                <w:rFonts w:ascii="Times New Roman" w:hAnsi="Times New Roman" w:cs="Times New Roman"/>
              </w:rPr>
              <w:lastRenderedPageBreak/>
              <w:t>5</w:t>
            </w:r>
          </w:p>
        </w:tc>
        <w:tc>
          <w:tcPr>
            <w:tcW w:w="1551" w:type="pct"/>
          </w:tcPr>
          <w:p w14:paraId="1D8B8C47"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Instalarea termostatelor electronice în încăperile interioare sau robinete cu cap termostat pe calorifere pentru reglarea și funcționarea în regim optim a centralei termice</w:t>
            </w:r>
          </w:p>
        </w:tc>
        <w:tc>
          <w:tcPr>
            <w:tcW w:w="680" w:type="pct"/>
          </w:tcPr>
          <w:p w14:paraId="0D915151"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Managerul energetic</w:t>
            </w:r>
          </w:p>
          <w:p w14:paraId="1AE95BE2"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Specialist instalator</w:t>
            </w:r>
          </w:p>
        </w:tc>
        <w:tc>
          <w:tcPr>
            <w:tcW w:w="259" w:type="pct"/>
          </w:tcPr>
          <w:p w14:paraId="05769D36" w14:textId="77777777" w:rsidR="00581508" w:rsidRPr="00C43E6D" w:rsidRDefault="00581508" w:rsidP="00C94B35">
            <w:pPr>
              <w:spacing w:line="276" w:lineRule="auto"/>
              <w:jc w:val="both"/>
              <w:rPr>
                <w:rFonts w:ascii="Times New Roman" w:hAnsi="Times New Roman" w:cs="Times New Roman"/>
              </w:rPr>
            </w:pPr>
          </w:p>
        </w:tc>
        <w:tc>
          <w:tcPr>
            <w:tcW w:w="292" w:type="pct"/>
          </w:tcPr>
          <w:p w14:paraId="3279C542" w14:textId="77777777" w:rsidR="00581508" w:rsidRPr="00C43E6D" w:rsidRDefault="00581508" w:rsidP="00C94B35">
            <w:pPr>
              <w:spacing w:line="276" w:lineRule="auto"/>
              <w:jc w:val="both"/>
              <w:rPr>
                <w:rFonts w:ascii="Times New Roman" w:hAnsi="Times New Roman" w:cs="Times New Roman"/>
              </w:rPr>
            </w:pPr>
          </w:p>
        </w:tc>
        <w:tc>
          <w:tcPr>
            <w:tcW w:w="218" w:type="pct"/>
          </w:tcPr>
          <w:p w14:paraId="04914800" w14:textId="77777777" w:rsidR="00581508" w:rsidRPr="00C43E6D" w:rsidRDefault="00581508" w:rsidP="00C94B35">
            <w:pPr>
              <w:spacing w:line="276" w:lineRule="auto"/>
              <w:jc w:val="both"/>
              <w:rPr>
                <w:rFonts w:ascii="Times New Roman" w:hAnsi="Times New Roman" w:cs="Times New Roman"/>
              </w:rPr>
            </w:pPr>
          </w:p>
        </w:tc>
        <w:tc>
          <w:tcPr>
            <w:tcW w:w="173" w:type="pct"/>
            <w:shd w:val="clear" w:color="auto" w:fill="92D050"/>
          </w:tcPr>
          <w:p w14:paraId="5483E55E" w14:textId="77777777" w:rsidR="00581508" w:rsidRPr="00C43E6D" w:rsidRDefault="00581508" w:rsidP="00C94B35">
            <w:pPr>
              <w:spacing w:line="276" w:lineRule="auto"/>
              <w:jc w:val="both"/>
              <w:rPr>
                <w:rFonts w:ascii="Times New Roman" w:hAnsi="Times New Roman" w:cs="Times New Roman"/>
              </w:rPr>
            </w:pPr>
          </w:p>
        </w:tc>
        <w:tc>
          <w:tcPr>
            <w:tcW w:w="218" w:type="pct"/>
          </w:tcPr>
          <w:p w14:paraId="630317EB" w14:textId="77777777" w:rsidR="00581508" w:rsidRPr="00C43E6D" w:rsidRDefault="00581508" w:rsidP="00C94B35">
            <w:pPr>
              <w:spacing w:line="276" w:lineRule="auto"/>
              <w:jc w:val="both"/>
              <w:rPr>
                <w:rFonts w:ascii="Times New Roman" w:hAnsi="Times New Roman" w:cs="Times New Roman"/>
              </w:rPr>
            </w:pPr>
          </w:p>
        </w:tc>
        <w:tc>
          <w:tcPr>
            <w:tcW w:w="267" w:type="pct"/>
          </w:tcPr>
          <w:p w14:paraId="08B98B3C" w14:textId="77777777" w:rsidR="00581508" w:rsidRPr="00C43E6D" w:rsidRDefault="00581508" w:rsidP="00C94B35">
            <w:pPr>
              <w:spacing w:line="276" w:lineRule="auto"/>
              <w:jc w:val="both"/>
              <w:rPr>
                <w:rFonts w:ascii="Times New Roman" w:hAnsi="Times New Roman" w:cs="Times New Roman"/>
              </w:rPr>
            </w:pPr>
          </w:p>
        </w:tc>
        <w:tc>
          <w:tcPr>
            <w:tcW w:w="132" w:type="pct"/>
          </w:tcPr>
          <w:p w14:paraId="511F2FBF" w14:textId="77777777" w:rsidR="00581508" w:rsidRPr="00C43E6D" w:rsidRDefault="00581508" w:rsidP="00C94B35">
            <w:pPr>
              <w:spacing w:line="276" w:lineRule="auto"/>
              <w:jc w:val="both"/>
              <w:rPr>
                <w:rFonts w:ascii="Times New Roman" w:hAnsi="Times New Roman" w:cs="Times New Roman"/>
              </w:rPr>
            </w:pPr>
          </w:p>
        </w:tc>
        <w:tc>
          <w:tcPr>
            <w:tcW w:w="182" w:type="pct"/>
          </w:tcPr>
          <w:p w14:paraId="3477A002" w14:textId="77777777" w:rsidR="00581508" w:rsidRPr="00C43E6D" w:rsidRDefault="00581508" w:rsidP="00C94B35">
            <w:pPr>
              <w:spacing w:line="276" w:lineRule="auto"/>
              <w:jc w:val="both"/>
              <w:rPr>
                <w:rFonts w:ascii="Times New Roman" w:hAnsi="Times New Roman" w:cs="Times New Roman"/>
              </w:rPr>
            </w:pPr>
          </w:p>
        </w:tc>
        <w:tc>
          <w:tcPr>
            <w:tcW w:w="218" w:type="pct"/>
          </w:tcPr>
          <w:p w14:paraId="6C423C99" w14:textId="77777777" w:rsidR="00581508" w:rsidRPr="00C43E6D" w:rsidRDefault="00581508" w:rsidP="00C94B35">
            <w:pPr>
              <w:spacing w:line="276" w:lineRule="auto"/>
              <w:jc w:val="both"/>
              <w:rPr>
                <w:rFonts w:ascii="Times New Roman" w:hAnsi="Times New Roman" w:cs="Times New Roman"/>
              </w:rPr>
            </w:pPr>
          </w:p>
        </w:tc>
        <w:tc>
          <w:tcPr>
            <w:tcW w:w="218" w:type="pct"/>
          </w:tcPr>
          <w:p w14:paraId="441BAB8C" w14:textId="77777777" w:rsidR="00581508" w:rsidRPr="00C43E6D" w:rsidRDefault="00581508" w:rsidP="00C94B35">
            <w:pPr>
              <w:spacing w:line="276" w:lineRule="auto"/>
              <w:jc w:val="both"/>
              <w:rPr>
                <w:rFonts w:ascii="Times New Roman" w:hAnsi="Times New Roman" w:cs="Times New Roman"/>
              </w:rPr>
            </w:pPr>
          </w:p>
        </w:tc>
        <w:tc>
          <w:tcPr>
            <w:tcW w:w="176" w:type="pct"/>
          </w:tcPr>
          <w:p w14:paraId="7490FE56" w14:textId="77777777" w:rsidR="00581508" w:rsidRPr="00C43E6D" w:rsidRDefault="00581508" w:rsidP="00C94B35">
            <w:pPr>
              <w:spacing w:line="276" w:lineRule="auto"/>
              <w:jc w:val="both"/>
              <w:rPr>
                <w:rFonts w:ascii="Times New Roman" w:hAnsi="Times New Roman" w:cs="Times New Roman"/>
              </w:rPr>
            </w:pPr>
          </w:p>
        </w:tc>
        <w:tc>
          <w:tcPr>
            <w:tcW w:w="218" w:type="pct"/>
          </w:tcPr>
          <w:p w14:paraId="797A1955" w14:textId="77777777" w:rsidR="00581508" w:rsidRPr="00C43E6D" w:rsidRDefault="00581508" w:rsidP="00C94B35">
            <w:pPr>
              <w:spacing w:line="276" w:lineRule="auto"/>
              <w:jc w:val="both"/>
              <w:rPr>
                <w:rFonts w:ascii="Times New Roman" w:hAnsi="Times New Roman" w:cs="Times New Roman"/>
              </w:rPr>
            </w:pPr>
          </w:p>
        </w:tc>
      </w:tr>
      <w:tr w:rsidR="00581508" w:rsidRPr="00C43E6D" w14:paraId="18C39EA7" w14:textId="77777777" w:rsidTr="00DB2EB6">
        <w:tc>
          <w:tcPr>
            <w:tcW w:w="196" w:type="pct"/>
          </w:tcPr>
          <w:p w14:paraId="704352F6" w14:textId="77777777" w:rsidR="00581508" w:rsidRPr="00C43E6D" w:rsidRDefault="00581508" w:rsidP="00C94B35">
            <w:pPr>
              <w:spacing w:line="276" w:lineRule="auto"/>
              <w:jc w:val="center"/>
              <w:rPr>
                <w:rFonts w:ascii="Times New Roman" w:hAnsi="Times New Roman" w:cs="Times New Roman"/>
              </w:rPr>
            </w:pPr>
            <w:r w:rsidRPr="00C43E6D">
              <w:rPr>
                <w:rFonts w:ascii="Times New Roman" w:hAnsi="Times New Roman" w:cs="Times New Roman"/>
              </w:rPr>
              <w:t>6</w:t>
            </w:r>
          </w:p>
        </w:tc>
        <w:tc>
          <w:tcPr>
            <w:tcW w:w="1551" w:type="pct"/>
          </w:tcPr>
          <w:p w14:paraId="61D29F1A"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Verificarea și înlocuirea pompelor vechi de circulație a agentului termic de încălzire, cu pompe noi, performante</w:t>
            </w:r>
          </w:p>
        </w:tc>
        <w:tc>
          <w:tcPr>
            <w:tcW w:w="680" w:type="pct"/>
          </w:tcPr>
          <w:p w14:paraId="682E8C79"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Managerul energetic</w:t>
            </w:r>
          </w:p>
          <w:p w14:paraId="5CCFEA9A"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Specialist instalator</w:t>
            </w:r>
          </w:p>
        </w:tc>
        <w:tc>
          <w:tcPr>
            <w:tcW w:w="259" w:type="pct"/>
          </w:tcPr>
          <w:p w14:paraId="2F67FE52" w14:textId="77777777" w:rsidR="00581508" w:rsidRPr="00C43E6D" w:rsidRDefault="00581508" w:rsidP="00C94B35">
            <w:pPr>
              <w:spacing w:line="276" w:lineRule="auto"/>
              <w:jc w:val="both"/>
              <w:rPr>
                <w:rFonts w:ascii="Times New Roman" w:hAnsi="Times New Roman" w:cs="Times New Roman"/>
              </w:rPr>
            </w:pPr>
          </w:p>
        </w:tc>
        <w:tc>
          <w:tcPr>
            <w:tcW w:w="292" w:type="pct"/>
            <w:tcBorders>
              <w:bottom w:val="single" w:sz="4" w:space="0" w:color="BFBFBF" w:themeColor="background1" w:themeShade="BF"/>
            </w:tcBorders>
            <w:shd w:val="clear" w:color="auto" w:fill="92D050"/>
          </w:tcPr>
          <w:p w14:paraId="43946A9A" w14:textId="77777777" w:rsidR="00581508" w:rsidRPr="00C43E6D" w:rsidRDefault="00581508" w:rsidP="00C94B35">
            <w:pPr>
              <w:spacing w:line="276" w:lineRule="auto"/>
              <w:jc w:val="both"/>
              <w:rPr>
                <w:rFonts w:ascii="Times New Roman" w:hAnsi="Times New Roman" w:cs="Times New Roman"/>
              </w:rPr>
            </w:pPr>
          </w:p>
        </w:tc>
        <w:tc>
          <w:tcPr>
            <w:tcW w:w="218" w:type="pct"/>
            <w:tcBorders>
              <w:bottom w:val="single" w:sz="4" w:space="0" w:color="BFBFBF" w:themeColor="background1" w:themeShade="BF"/>
            </w:tcBorders>
            <w:shd w:val="clear" w:color="auto" w:fill="92D050"/>
          </w:tcPr>
          <w:p w14:paraId="2FCA757B" w14:textId="77777777" w:rsidR="00581508" w:rsidRPr="00C43E6D" w:rsidRDefault="00581508" w:rsidP="00C94B35">
            <w:pPr>
              <w:spacing w:line="276" w:lineRule="auto"/>
              <w:jc w:val="both"/>
              <w:rPr>
                <w:rFonts w:ascii="Times New Roman" w:hAnsi="Times New Roman" w:cs="Times New Roman"/>
              </w:rPr>
            </w:pPr>
          </w:p>
        </w:tc>
        <w:tc>
          <w:tcPr>
            <w:tcW w:w="173" w:type="pct"/>
            <w:tcBorders>
              <w:bottom w:val="single" w:sz="4" w:space="0" w:color="BFBFBF" w:themeColor="background1" w:themeShade="BF"/>
            </w:tcBorders>
          </w:tcPr>
          <w:p w14:paraId="0509B9DE" w14:textId="77777777" w:rsidR="00581508" w:rsidRPr="00C43E6D" w:rsidRDefault="00581508" w:rsidP="00C94B35">
            <w:pPr>
              <w:spacing w:line="276" w:lineRule="auto"/>
              <w:jc w:val="both"/>
              <w:rPr>
                <w:rFonts w:ascii="Times New Roman" w:hAnsi="Times New Roman" w:cs="Times New Roman"/>
              </w:rPr>
            </w:pPr>
          </w:p>
        </w:tc>
        <w:tc>
          <w:tcPr>
            <w:tcW w:w="218" w:type="pct"/>
            <w:tcBorders>
              <w:bottom w:val="single" w:sz="4" w:space="0" w:color="BFBFBF" w:themeColor="background1" w:themeShade="BF"/>
            </w:tcBorders>
          </w:tcPr>
          <w:p w14:paraId="612C2661" w14:textId="77777777" w:rsidR="00581508" w:rsidRPr="00C43E6D" w:rsidRDefault="00581508" w:rsidP="00C94B35">
            <w:pPr>
              <w:spacing w:line="276" w:lineRule="auto"/>
              <w:jc w:val="both"/>
              <w:rPr>
                <w:rFonts w:ascii="Times New Roman" w:hAnsi="Times New Roman" w:cs="Times New Roman"/>
              </w:rPr>
            </w:pPr>
          </w:p>
        </w:tc>
        <w:tc>
          <w:tcPr>
            <w:tcW w:w="267" w:type="pct"/>
            <w:tcBorders>
              <w:bottom w:val="single" w:sz="4" w:space="0" w:color="BFBFBF" w:themeColor="background1" w:themeShade="BF"/>
            </w:tcBorders>
          </w:tcPr>
          <w:p w14:paraId="75C941EF" w14:textId="77777777" w:rsidR="00581508" w:rsidRPr="00C43E6D" w:rsidRDefault="00581508" w:rsidP="00C94B35">
            <w:pPr>
              <w:spacing w:line="276" w:lineRule="auto"/>
              <w:jc w:val="both"/>
              <w:rPr>
                <w:rFonts w:ascii="Times New Roman" w:hAnsi="Times New Roman" w:cs="Times New Roman"/>
              </w:rPr>
            </w:pPr>
          </w:p>
        </w:tc>
        <w:tc>
          <w:tcPr>
            <w:tcW w:w="132" w:type="pct"/>
            <w:tcBorders>
              <w:bottom w:val="single" w:sz="4" w:space="0" w:color="BFBFBF" w:themeColor="background1" w:themeShade="BF"/>
            </w:tcBorders>
          </w:tcPr>
          <w:p w14:paraId="44F360D7" w14:textId="77777777" w:rsidR="00581508" w:rsidRPr="00C43E6D" w:rsidRDefault="00581508" w:rsidP="00C94B35">
            <w:pPr>
              <w:spacing w:line="276" w:lineRule="auto"/>
              <w:jc w:val="both"/>
              <w:rPr>
                <w:rFonts w:ascii="Times New Roman" w:hAnsi="Times New Roman" w:cs="Times New Roman"/>
              </w:rPr>
            </w:pPr>
          </w:p>
        </w:tc>
        <w:tc>
          <w:tcPr>
            <w:tcW w:w="182" w:type="pct"/>
            <w:tcBorders>
              <w:bottom w:val="single" w:sz="4" w:space="0" w:color="BFBFBF" w:themeColor="background1" w:themeShade="BF"/>
            </w:tcBorders>
          </w:tcPr>
          <w:p w14:paraId="47D6EB0D" w14:textId="77777777" w:rsidR="00581508" w:rsidRPr="00C43E6D" w:rsidRDefault="00581508" w:rsidP="00C94B35">
            <w:pPr>
              <w:spacing w:line="276" w:lineRule="auto"/>
              <w:jc w:val="both"/>
              <w:rPr>
                <w:rFonts w:ascii="Times New Roman" w:hAnsi="Times New Roman" w:cs="Times New Roman"/>
              </w:rPr>
            </w:pPr>
          </w:p>
        </w:tc>
        <w:tc>
          <w:tcPr>
            <w:tcW w:w="218" w:type="pct"/>
            <w:tcBorders>
              <w:bottom w:val="single" w:sz="4" w:space="0" w:color="BFBFBF" w:themeColor="background1" w:themeShade="BF"/>
            </w:tcBorders>
          </w:tcPr>
          <w:p w14:paraId="1B042E7D" w14:textId="77777777" w:rsidR="00581508" w:rsidRPr="00C43E6D" w:rsidRDefault="00581508" w:rsidP="00C94B35">
            <w:pPr>
              <w:spacing w:line="276" w:lineRule="auto"/>
              <w:jc w:val="both"/>
              <w:rPr>
                <w:rFonts w:ascii="Times New Roman" w:hAnsi="Times New Roman" w:cs="Times New Roman"/>
              </w:rPr>
            </w:pPr>
          </w:p>
        </w:tc>
        <w:tc>
          <w:tcPr>
            <w:tcW w:w="218" w:type="pct"/>
            <w:tcBorders>
              <w:bottom w:val="single" w:sz="4" w:space="0" w:color="BFBFBF" w:themeColor="background1" w:themeShade="BF"/>
            </w:tcBorders>
          </w:tcPr>
          <w:p w14:paraId="0A781FF2" w14:textId="77777777" w:rsidR="00581508" w:rsidRPr="00C43E6D" w:rsidRDefault="00581508" w:rsidP="00C94B35">
            <w:pPr>
              <w:spacing w:line="276" w:lineRule="auto"/>
              <w:jc w:val="both"/>
              <w:rPr>
                <w:rFonts w:ascii="Times New Roman" w:hAnsi="Times New Roman" w:cs="Times New Roman"/>
              </w:rPr>
            </w:pPr>
          </w:p>
        </w:tc>
        <w:tc>
          <w:tcPr>
            <w:tcW w:w="176" w:type="pct"/>
          </w:tcPr>
          <w:p w14:paraId="3D6E32AC" w14:textId="77777777" w:rsidR="00581508" w:rsidRPr="00C43E6D" w:rsidRDefault="00581508" w:rsidP="00C94B35">
            <w:pPr>
              <w:spacing w:line="276" w:lineRule="auto"/>
              <w:jc w:val="both"/>
              <w:rPr>
                <w:rFonts w:ascii="Times New Roman" w:hAnsi="Times New Roman" w:cs="Times New Roman"/>
              </w:rPr>
            </w:pPr>
          </w:p>
        </w:tc>
        <w:tc>
          <w:tcPr>
            <w:tcW w:w="218" w:type="pct"/>
          </w:tcPr>
          <w:p w14:paraId="479ACD52" w14:textId="77777777" w:rsidR="00581508" w:rsidRPr="00C43E6D" w:rsidRDefault="00581508" w:rsidP="00C94B35">
            <w:pPr>
              <w:spacing w:line="276" w:lineRule="auto"/>
              <w:jc w:val="both"/>
              <w:rPr>
                <w:rFonts w:ascii="Times New Roman" w:hAnsi="Times New Roman" w:cs="Times New Roman"/>
              </w:rPr>
            </w:pPr>
          </w:p>
        </w:tc>
      </w:tr>
      <w:tr w:rsidR="00581508" w:rsidRPr="00C43E6D" w14:paraId="2537FA77" w14:textId="77777777" w:rsidTr="00DB2EB6">
        <w:tc>
          <w:tcPr>
            <w:tcW w:w="196" w:type="pct"/>
          </w:tcPr>
          <w:p w14:paraId="23AA3AAC" w14:textId="77777777" w:rsidR="00581508" w:rsidRPr="00C43E6D" w:rsidRDefault="00581508" w:rsidP="00C94B35">
            <w:pPr>
              <w:spacing w:line="276" w:lineRule="auto"/>
              <w:jc w:val="center"/>
              <w:rPr>
                <w:rFonts w:ascii="Times New Roman" w:hAnsi="Times New Roman" w:cs="Times New Roman"/>
              </w:rPr>
            </w:pPr>
            <w:r w:rsidRPr="00C43E6D">
              <w:rPr>
                <w:rFonts w:ascii="Times New Roman" w:hAnsi="Times New Roman" w:cs="Times New Roman"/>
              </w:rPr>
              <w:t>7</w:t>
            </w:r>
          </w:p>
        </w:tc>
        <w:tc>
          <w:tcPr>
            <w:tcW w:w="1551" w:type="pct"/>
          </w:tcPr>
          <w:p w14:paraId="54998F55"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Deschiderea draperiilor/ jaluzelelor în zilele însorite pentru a oferi posibilitatea încălzirii camerei de la soare și să le închideți pe noapte (iarna).</w:t>
            </w:r>
          </w:p>
        </w:tc>
        <w:tc>
          <w:tcPr>
            <w:tcW w:w="680" w:type="pct"/>
          </w:tcPr>
          <w:p w14:paraId="221C8839"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Managerul energetic</w:t>
            </w:r>
          </w:p>
          <w:p w14:paraId="3BA2AC1A"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Personalul instituției</w:t>
            </w:r>
          </w:p>
        </w:tc>
        <w:tc>
          <w:tcPr>
            <w:tcW w:w="259" w:type="pct"/>
          </w:tcPr>
          <w:p w14:paraId="6AB14087" w14:textId="77777777" w:rsidR="00581508" w:rsidRPr="00C43E6D" w:rsidRDefault="00581508" w:rsidP="00C94B35">
            <w:pPr>
              <w:spacing w:line="276" w:lineRule="auto"/>
              <w:jc w:val="both"/>
              <w:rPr>
                <w:rFonts w:ascii="Times New Roman" w:hAnsi="Times New Roman" w:cs="Times New Roman"/>
              </w:rPr>
            </w:pPr>
          </w:p>
        </w:tc>
        <w:tc>
          <w:tcPr>
            <w:tcW w:w="292" w:type="pct"/>
            <w:tcBorders>
              <w:bottom w:val="single" w:sz="4" w:space="0" w:color="BFBFBF" w:themeColor="background1" w:themeShade="BF"/>
            </w:tcBorders>
            <w:shd w:val="clear" w:color="auto" w:fill="auto"/>
          </w:tcPr>
          <w:p w14:paraId="2D056824" w14:textId="77777777" w:rsidR="00581508" w:rsidRPr="00C43E6D" w:rsidRDefault="00581508" w:rsidP="00C94B35">
            <w:pPr>
              <w:spacing w:line="276" w:lineRule="auto"/>
              <w:jc w:val="both"/>
              <w:rPr>
                <w:rFonts w:ascii="Times New Roman" w:hAnsi="Times New Roman" w:cs="Times New Roman"/>
              </w:rPr>
            </w:pPr>
          </w:p>
        </w:tc>
        <w:tc>
          <w:tcPr>
            <w:tcW w:w="218" w:type="pct"/>
            <w:tcBorders>
              <w:bottom w:val="single" w:sz="4" w:space="0" w:color="BFBFBF" w:themeColor="background1" w:themeShade="BF"/>
            </w:tcBorders>
            <w:shd w:val="clear" w:color="auto" w:fill="auto"/>
          </w:tcPr>
          <w:p w14:paraId="4378F289" w14:textId="77777777" w:rsidR="00581508" w:rsidRPr="00C43E6D" w:rsidRDefault="00581508" w:rsidP="00C94B35">
            <w:pPr>
              <w:spacing w:line="276" w:lineRule="auto"/>
              <w:jc w:val="both"/>
              <w:rPr>
                <w:rFonts w:ascii="Times New Roman" w:hAnsi="Times New Roman" w:cs="Times New Roman"/>
              </w:rPr>
            </w:pPr>
          </w:p>
        </w:tc>
        <w:tc>
          <w:tcPr>
            <w:tcW w:w="173" w:type="pct"/>
            <w:tcBorders>
              <w:bottom w:val="single" w:sz="4" w:space="0" w:color="BFBFBF" w:themeColor="background1" w:themeShade="BF"/>
            </w:tcBorders>
            <w:shd w:val="clear" w:color="auto" w:fill="92D050"/>
          </w:tcPr>
          <w:p w14:paraId="11FD5A39" w14:textId="77777777" w:rsidR="00581508" w:rsidRPr="00C43E6D" w:rsidRDefault="00581508" w:rsidP="00C94B35">
            <w:pPr>
              <w:spacing w:line="276" w:lineRule="auto"/>
              <w:jc w:val="both"/>
              <w:rPr>
                <w:rFonts w:ascii="Times New Roman" w:hAnsi="Times New Roman" w:cs="Times New Roman"/>
              </w:rPr>
            </w:pPr>
          </w:p>
        </w:tc>
        <w:tc>
          <w:tcPr>
            <w:tcW w:w="218" w:type="pct"/>
            <w:tcBorders>
              <w:bottom w:val="single" w:sz="4" w:space="0" w:color="BFBFBF" w:themeColor="background1" w:themeShade="BF"/>
            </w:tcBorders>
            <w:shd w:val="clear" w:color="auto" w:fill="92D050"/>
          </w:tcPr>
          <w:p w14:paraId="3F7AF820" w14:textId="77777777" w:rsidR="00581508" w:rsidRPr="00C43E6D" w:rsidRDefault="00581508" w:rsidP="00C94B35">
            <w:pPr>
              <w:spacing w:line="276" w:lineRule="auto"/>
              <w:jc w:val="both"/>
              <w:rPr>
                <w:rFonts w:ascii="Times New Roman" w:hAnsi="Times New Roman" w:cs="Times New Roman"/>
              </w:rPr>
            </w:pPr>
          </w:p>
        </w:tc>
        <w:tc>
          <w:tcPr>
            <w:tcW w:w="267" w:type="pct"/>
            <w:tcBorders>
              <w:bottom w:val="single" w:sz="4" w:space="0" w:color="BFBFBF" w:themeColor="background1" w:themeShade="BF"/>
            </w:tcBorders>
            <w:shd w:val="clear" w:color="auto" w:fill="92D050"/>
          </w:tcPr>
          <w:p w14:paraId="6B8DBF09" w14:textId="77777777" w:rsidR="00581508" w:rsidRPr="00C43E6D" w:rsidRDefault="00581508" w:rsidP="00C94B35">
            <w:pPr>
              <w:spacing w:line="276" w:lineRule="auto"/>
              <w:jc w:val="both"/>
              <w:rPr>
                <w:rFonts w:ascii="Times New Roman" w:hAnsi="Times New Roman" w:cs="Times New Roman"/>
              </w:rPr>
            </w:pPr>
          </w:p>
        </w:tc>
        <w:tc>
          <w:tcPr>
            <w:tcW w:w="132" w:type="pct"/>
            <w:tcBorders>
              <w:bottom w:val="single" w:sz="4" w:space="0" w:color="BFBFBF" w:themeColor="background1" w:themeShade="BF"/>
            </w:tcBorders>
            <w:shd w:val="clear" w:color="auto" w:fill="92D050"/>
          </w:tcPr>
          <w:p w14:paraId="37E6AD30" w14:textId="77777777" w:rsidR="00581508" w:rsidRPr="00C43E6D" w:rsidRDefault="00581508" w:rsidP="00C94B35">
            <w:pPr>
              <w:spacing w:line="276" w:lineRule="auto"/>
              <w:jc w:val="both"/>
              <w:rPr>
                <w:rFonts w:ascii="Times New Roman" w:hAnsi="Times New Roman" w:cs="Times New Roman"/>
              </w:rPr>
            </w:pPr>
          </w:p>
        </w:tc>
        <w:tc>
          <w:tcPr>
            <w:tcW w:w="182" w:type="pct"/>
            <w:tcBorders>
              <w:bottom w:val="single" w:sz="4" w:space="0" w:color="BFBFBF" w:themeColor="background1" w:themeShade="BF"/>
            </w:tcBorders>
            <w:shd w:val="clear" w:color="auto" w:fill="92D050"/>
          </w:tcPr>
          <w:p w14:paraId="278EDA17" w14:textId="77777777" w:rsidR="00581508" w:rsidRPr="00C43E6D" w:rsidRDefault="00581508" w:rsidP="00C94B35">
            <w:pPr>
              <w:spacing w:line="276" w:lineRule="auto"/>
              <w:jc w:val="both"/>
              <w:rPr>
                <w:rFonts w:ascii="Times New Roman" w:hAnsi="Times New Roman" w:cs="Times New Roman"/>
              </w:rPr>
            </w:pPr>
          </w:p>
        </w:tc>
        <w:tc>
          <w:tcPr>
            <w:tcW w:w="218" w:type="pct"/>
            <w:tcBorders>
              <w:bottom w:val="single" w:sz="4" w:space="0" w:color="BFBFBF" w:themeColor="background1" w:themeShade="BF"/>
            </w:tcBorders>
            <w:shd w:val="clear" w:color="auto" w:fill="92D050"/>
          </w:tcPr>
          <w:p w14:paraId="2E515B0E" w14:textId="77777777" w:rsidR="00581508" w:rsidRPr="00C43E6D" w:rsidRDefault="00581508" w:rsidP="00C94B35">
            <w:pPr>
              <w:spacing w:line="276" w:lineRule="auto"/>
              <w:jc w:val="both"/>
              <w:rPr>
                <w:rFonts w:ascii="Times New Roman" w:hAnsi="Times New Roman" w:cs="Times New Roman"/>
              </w:rPr>
            </w:pPr>
          </w:p>
        </w:tc>
        <w:tc>
          <w:tcPr>
            <w:tcW w:w="218" w:type="pct"/>
            <w:tcBorders>
              <w:bottom w:val="single" w:sz="4" w:space="0" w:color="BFBFBF" w:themeColor="background1" w:themeShade="BF"/>
            </w:tcBorders>
            <w:shd w:val="clear" w:color="auto" w:fill="92D050"/>
          </w:tcPr>
          <w:p w14:paraId="021EF27E" w14:textId="77777777" w:rsidR="00581508" w:rsidRPr="00C43E6D" w:rsidRDefault="00581508" w:rsidP="00C94B35">
            <w:pPr>
              <w:spacing w:line="276" w:lineRule="auto"/>
              <w:jc w:val="both"/>
              <w:rPr>
                <w:rFonts w:ascii="Times New Roman" w:hAnsi="Times New Roman" w:cs="Times New Roman"/>
              </w:rPr>
            </w:pPr>
          </w:p>
        </w:tc>
        <w:tc>
          <w:tcPr>
            <w:tcW w:w="176" w:type="pct"/>
          </w:tcPr>
          <w:p w14:paraId="78498D68" w14:textId="77777777" w:rsidR="00581508" w:rsidRPr="00C43E6D" w:rsidRDefault="00581508" w:rsidP="00C94B35">
            <w:pPr>
              <w:spacing w:line="276" w:lineRule="auto"/>
              <w:jc w:val="both"/>
              <w:rPr>
                <w:rFonts w:ascii="Times New Roman" w:hAnsi="Times New Roman" w:cs="Times New Roman"/>
              </w:rPr>
            </w:pPr>
          </w:p>
        </w:tc>
        <w:tc>
          <w:tcPr>
            <w:tcW w:w="218" w:type="pct"/>
          </w:tcPr>
          <w:p w14:paraId="38C2D37B" w14:textId="77777777" w:rsidR="00581508" w:rsidRPr="00C43E6D" w:rsidRDefault="00581508" w:rsidP="00C94B35">
            <w:pPr>
              <w:spacing w:line="276" w:lineRule="auto"/>
              <w:jc w:val="both"/>
              <w:rPr>
                <w:rFonts w:ascii="Times New Roman" w:hAnsi="Times New Roman" w:cs="Times New Roman"/>
              </w:rPr>
            </w:pPr>
          </w:p>
        </w:tc>
      </w:tr>
      <w:tr w:rsidR="00581508" w:rsidRPr="00C43E6D" w14:paraId="2D634071" w14:textId="77777777" w:rsidTr="00DB2EB6">
        <w:tc>
          <w:tcPr>
            <w:tcW w:w="196" w:type="pct"/>
          </w:tcPr>
          <w:p w14:paraId="6F906678" w14:textId="77777777" w:rsidR="00581508" w:rsidRPr="00C43E6D" w:rsidRDefault="00581508" w:rsidP="00C94B35">
            <w:pPr>
              <w:spacing w:line="276" w:lineRule="auto"/>
              <w:jc w:val="center"/>
              <w:rPr>
                <w:rFonts w:ascii="Times New Roman" w:hAnsi="Times New Roman" w:cs="Times New Roman"/>
              </w:rPr>
            </w:pPr>
            <w:r w:rsidRPr="00C43E6D">
              <w:rPr>
                <w:rFonts w:ascii="Times New Roman" w:hAnsi="Times New Roman" w:cs="Times New Roman"/>
              </w:rPr>
              <w:t>8</w:t>
            </w:r>
          </w:p>
        </w:tc>
        <w:tc>
          <w:tcPr>
            <w:tcW w:w="1551" w:type="pct"/>
          </w:tcPr>
          <w:p w14:paraId="11B7EF20"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Aerisirea corespunzătoarea a încăperilor pe timp de iarnă prin deschiderea largă a ferestrelor pentru perioade scurte de timp</w:t>
            </w:r>
          </w:p>
        </w:tc>
        <w:tc>
          <w:tcPr>
            <w:tcW w:w="680" w:type="pct"/>
          </w:tcPr>
          <w:p w14:paraId="585D56E5"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Managerul energetic</w:t>
            </w:r>
          </w:p>
          <w:p w14:paraId="0FDB78D8"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Personalul instituției</w:t>
            </w:r>
          </w:p>
        </w:tc>
        <w:tc>
          <w:tcPr>
            <w:tcW w:w="259" w:type="pct"/>
          </w:tcPr>
          <w:p w14:paraId="71B7AE4A" w14:textId="77777777" w:rsidR="00581508" w:rsidRPr="00C43E6D" w:rsidRDefault="00581508" w:rsidP="00C94B35">
            <w:pPr>
              <w:spacing w:line="276" w:lineRule="auto"/>
              <w:jc w:val="both"/>
              <w:rPr>
                <w:rFonts w:ascii="Times New Roman" w:hAnsi="Times New Roman" w:cs="Times New Roman"/>
              </w:rPr>
            </w:pPr>
          </w:p>
        </w:tc>
        <w:tc>
          <w:tcPr>
            <w:tcW w:w="292" w:type="pct"/>
            <w:shd w:val="clear" w:color="auto" w:fill="auto"/>
          </w:tcPr>
          <w:p w14:paraId="2EA63316" w14:textId="77777777" w:rsidR="00581508" w:rsidRPr="00C43E6D" w:rsidRDefault="00581508" w:rsidP="00C94B35">
            <w:pPr>
              <w:spacing w:line="276" w:lineRule="auto"/>
              <w:jc w:val="both"/>
              <w:rPr>
                <w:rFonts w:ascii="Times New Roman" w:hAnsi="Times New Roman" w:cs="Times New Roman"/>
              </w:rPr>
            </w:pPr>
          </w:p>
        </w:tc>
        <w:tc>
          <w:tcPr>
            <w:tcW w:w="218" w:type="pct"/>
            <w:shd w:val="clear" w:color="auto" w:fill="auto"/>
          </w:tcPr>
          <w:p w14:paraId="3902A38A" w14:textId="77777777" w:rsidR="00581508" w:rsidRPr="00C43E6D" w:rsidRDefault="00581508" w:rsidP="00C94B35">
            <w:pPr>
              <w:spacing w:line="276" w:lineRule="auto"/>
              <w:jc w:val="both"/>
              <w:rPr>
                <w:rFonts w:ascii="Times New Roman" w:hAnsi="Times New Roman" w:cs="Times New Roman"/>
              </w:rPr>
            </w:pPr>
          </w:p>
        </w:tc>
        <w:tc>
          <w:tcPr>
            <w:tcW w:w="173" w:type="pct"/>
            <w:shd w:val="clear" w:color="auto" w:fill="92D050"/>
          </w:tcPr>
          <w:p w14:paraId="3548C917" w14:textId="77777777" w:rsidR="00581508" w:rsidRPr="00C43E6D" w:rsidRDefault="00581508" w:rsidP="00C94B35">
            <w:pPr>
              <w:spacing w:line="276" w:lineRule="auto"/>
              <w:jc w:val="both"/>
              <w:rPr>
                <w:rFonts w:ascii="Times New Roman" w:hAnsi="Times New Roman" w:cs="Times New Roman"/>
              </w:rPr>
            </w:pPr>
          </w:p>
        </w:tc>
        <w:tc>
          <w:tcPr>
            <w:tcW w:w="218" w:type="pct"/>
            <w:shd w:val="clear" w:color="auto" w:fill="92D050"/>
          </w:tcPr>
          <w:p w14:paraId="445736AC" w14:textId="77777777" w:rsidR="00581508" w:rsidRPr="00C43E6D" w:rsidRDefault="00581508" w:rsidP="00C94B35">
            <w:pPr>
              <w:spacing w:line="276" w:lineRule="auto"/>
              <w:jc w:val="both"/>
              <w:rPr>
                <w:rFonts w:ascii="Times New Roman" w:hAnsi="Times New Roman" w:cs="Times New Roman"/>
              </w:rPr>
            </w:pPr>
          </w:p>
        </w:tc>
        <w:tc>
          <w:tcPr>
            <w:tcW w:w="267" w:type="pct"/>
            <w:shd w:val="clear" w:color="auto" w:fill="92D050"/>
          </w:tcPr>
          <w:p w14:paraId="60D92A9E" w14:textId="77777777" w:rsidR="00581508" w:rsidRPr="00C43E6D" w:rsidRDefault="00581508" w:rsidP="00C94B35">
            <w:pPr>
              <w:spacing w:line="276" w:lineRule="auto"/>
              <w:jc w:val="both"/>
              <w:rPr>
                <w:rFonts w:ascii="Times New Roman" w:hAnsi="Times New Roman" w:cs="Times New Roman"/>
              </w:rPr>
            </w:pPr>
          </w:p>
        </w:tc>
        <w:tc>
          <w:tcPr>
            <w:tcW w:w="132" w:type="pct"/>
            <w:shd w:val="clear" w:color="auto" w:fill="92D050"/>
          </w:tcPr>
          <w:p w14:paraId="0644C9D7" w14:textId="77777777" w:rsidR="00581508" w:rsidRPr="00C43E6D" w:rsidRDefault="00581508" w:rsidP="00C94B35">
            <w:pPr>
              <w:spacing w:line="276" w:lineRule="auto"/>
              <w:jc w:val="both"/>
              <w:rPr>
                <w:rFonts w:ascii="Times New Roman" w:hAnsi="Times New Roman" w:cs="Times New Roman"/>
              </w:rPr>
            </w:pPr>
          </w:p>
        </w:tc>
        <w:tc>
          <w:tcPr>
            <w:tcW w:w="182" w:type="pct"/>
            <w:shd w:val="clear" w:color="auto" w:fill="92D050"/>
          </w:tcPr>
          <w:p w14:paraId="17FFF9CD" w14:textId="77777777" w:rsidR="00581508" w:rsidRPr="00C43E6D" w:rsidRDefault="00581508" w:rsidP="00C94B35">
            <w:pPr>
              <w:spacing w:line="276" w:lineRule="auto"/>
              <w:jc w:val="both"/>
              <w:rPr>
                <w:rFonts w:ascii="Times New Roman" w:hAnsi="Times New Roman" w:cs="Times New Roman"/>
              </w:rPr>
            </w:pPr>
          </w:p>
        </w:tc>
        <w:tc>
          <w:tcPr>
            <w:tcW w:w="218" w:type="pct"/>
            <w:shd w:val="clear" w:color="auto" w:fill="92D050"/>
          </w:tcPr>
          <w:p w14:paraId="521EE5E5" w14:textId="77777777" w:rsidR="00581508" w:rsidRPr="00C43E6D" w:rsidRDefault="00581508" w:rsidP="00C94B35">
            <w:pPr>
              <w:spacing w:line="276" w:lineRule="auto"/>
              <w:jc w:val="both"/>
              <w:rPr>
                <w:rFonts w:ascii="Times New Roman" w:hAnsi="Times New Roman" w:cs="Times New Roman"/>
              </w:rPr>
            </w:pPr>
          </w:p>
        </w:tc>
        <w:tc>
          <w:tcPr>
            <w:tcW w:w="218" w:type="pct"/>
            <w:shd w:val="clear" w:color="auto" w:fill="92D050"/>
          </w:tcPr>
          <w:p w14:paraId="0666536B" w14:textId="77777777" w:rsidR="00581508" w:rsidRPr="00C43E6D" w:rsidRDefault="00581508" w:rsidP="00C94B35">
            <w:pPr>
              <w:spacing w:line="276" w:lineRule="auto"/>
              <w:jc w:val="both"/>
              <w:rPr>
                <w:rFonts w:ascii="Times New Roman" w:hAnsi="Times New Roman" w:cs="Times New Roman"/>
              </w:rPr>
            </w:pPr>
          </w:p>
        </w:tc>
        <w:tc>
          <w:tcPr>
            <w:tcW w:w="176" w:type="pct"/>
          </w:tcPr>
          <w:p w14:paraId="1E9ADF74" w14:textId="77777777" w:rsidR="00581508" w:rsidRPr="00C43E6D" w:rsidRDefault="00581508" w:rsidP="00C94B35">
            <w:pPr>
              <w:spacing w:line="276" w:lineRule="auto"/>
              <w:jc w:val="both"/>
              <w:rPr>
                <w:rFonts w:ascii="Times New Roman" w:hAnsi="Times New Roman" w:cs="Times New Roman"/>
              </w:rPr>
            </w:pPr>
          </w:p>
        </w:tc>
        <w:tc>
          <w:tcPr>
            <w:tcW w:w="218" w:type="pct"/>
          </w:tcPr>
          <w:p w14:paraId="367B25BB" w14:textId="77777777" w:rsidR="00581508" w:rsidRPr="00C43E6D" w:rsidRDefault="00581508" w:rsidP="00C94B35">
            <w:pPr>
              <w:spacing w:line="276" w:lineRule="auto"/>
              <w:jc w:val="both"/>
              <w:rPr>
                <w:rFonts w:ascii="Times New Roman" w:hAnsi="Times New Roman" w:cs="Times New Roman"/>
              </w:rPr>
            </w:pPr>
          </w:p>
        </w:tc>
      </w:tr>
      <w:tr w:rsidR="00581508" w:rsidRPr="00C43E6D" w14:paraId="02814173" w14:textId="77777777" w:rsidTr="00DB2EB6">
        <w:tc>
          <w:tcPr>
            <w:tcW w:w="196" w:type="pct"/>
          </w:tcPr>
          <w:p w14:paraId="53ABE9CB" w14:textId="77777777" w:rsidR="00581508" w:rsidRPr="00C43E6D" w:rsidRDefault="00581508" w:rsidP="00C94B35">
            <w:pPr>
              <w:spacing w:line="276" w:lineRule="auto"/>
              <w:jc w:val="center"/>
              <w:rPr>
                <w:rFonts w:ascii="Times New Roman" w:hAnsi="Times New Roman" w:cs="Times New Roman"/>
              </w:rPr>
            </w:pPr>
            <w:r w:rsidRPr="00C43E6D">
              <w:rPr>
                <w:rFonts w:ascii="Times New Roman" w:hAnsi="Times New Roman" w:cs="Times New Roman"/>
              </w:rPr>
              <w:t>9</w:t>
            </w:r>
          </w:p>
        </w:tc>
        <w:tc>
          <w:tcPr>
            <w:tcW w:w="1551" w:type="pct"/>
          </w:tcPr>
          <w:p w14:paraId="0534FA2D"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Utilizarea optimă a spațiilor din cadrul clădirilor prin încălzirea preponderentă doar a spațiilor utilizate în cadrul activității. Evitarea încălzirii spațiilor neutilizate pe parcursul sezonului de încălzire</w:t>
            </w:r>
          </w:p>
        </w:tc>
        <w:tc>
          <w:tcPr>
            <w:tcW w:w="680" w:type="pct"/>
          </w:tcPr>
          <w:p w14:paraId="5C6E3343"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Managerul energetic</w:t>
            </w:r>
          </w:p>
          <w:p w14:paraId="0AB183E9"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Directorul instituției</w:t>
            </w:r>
          </w:p>
        </w:tc>
        <w:tc>
          <w:tcPr>
            <w:tcW w:w="259" w:type="pct"/>
          </w:tcPr>
          <w:p w14:paraId="571E2AB4" w14:textId="77777777" w:rsidR="00581508" w:rsidRPr="00C43E6D" w:rsidRDefault="00581508" w:rsidP="00C94B35">
            <w:pPr>
              <w:spacing w:line="276" w:lineRule="auto"/>
              <w:jc w:val="both"/>
              <w:rPr>
                <w:rFonts w:ascii="Times New Roman" w:hAnsi="Times New Roman" w:cs="Times New Roman"/>
              </w:rPr>
            </w:pPr>
          </w:p>
        </w:tc>
        <w:tc>
          <w:tcPr>
            <w:tcW w:w="292" w:type="pct"/>
            <w:shd w:val="clear" w:color="auto" w:fill="auto"/>
          </w:tcPr>
          <w:p w14:paraId="3B5929E9" w14:textId="77777777" w:rsidR="00581508" w:rsidRPr="00C43E6D" w:rsidRDefault="00581508" w:rsidP="00C94B35">
            <w:pPr>
              <w:spacing w:line="276" w:lineRule="auto"/>
              <w:jc w:val="both"/>
              <w:rPr>
                <w:rFonts w:ascii="Times New Roman" w:hAnsi="Times New Roman" w:cs="Times New Roman"/>
              </w:rPr>
            </w:pPr>
          </w:p>
        </w:tc>
        <w:tc>
          <w:tcPr>
            <w:tcW w:w="218" w:type="pct"/>
            <w:shd w:val="clear" w:color="auto" w:fill="92D050"/>
          </w:tcPr>
          <w:p w14:paraId="66A9A669" w14:textId="77777777" w:rsidR="00581508" w:rsidRPr="00C43E6D" w:rsidRDefault="00581508" w:rsidP="00C94B35">
            <w:pPr>
              <w:spacing w:line="276" w:lineRule="auto"/>
              <w:jc w:val="both"/>
              <w:rPr>
                <w:rFonts w:ascii="Times New Roman" w:hAnsi="Times New Roman" w:cs="Times New Roman"/>
              </w:rPr>
            </w:pPr>
          </w:p>
        </w:tc>
        <w:tc>
          <w:tcPr>
            <w:tcW w:w="173" w:type="pct"/>
            <w:shd w:val="clear" w:color="auto" w:fill="auto"/>
          </w:tcPr>
          <w:p w14:paraId="1561F106" w14:textId="77777777" w:rsidR="00581508" w:rsidRPr="00C43E6D" w:rsidRDefault="00581508" w:rsidP="00C94B35">
            <w:pPr>
              <w:spacing w:line="276" w:lineRule="auto"/>
              <w:jc w:val="both"/>
              <w:rPr>
                <w:rFonts w:ascii="Times New Roman" w:hAnsi="Times New Roman" w:cs="Times New Roman"/>
              </w:rPr>
            </w:pPr>
          </w:p>
        </w:tc>
        <w:tc>
          <w:tcPr>
            <w:tcW w:w="218" w:type="pct"/>
            <w:shd w:val="clear" w:color="auto" w:fill="auto"/>
          </w:tcPr>
          <w:p w14:paraId="696835B7" w14:textId="77777777" w:rsidR="00581508" w:rsidRPr="00C43E6D" w:rsidRDefault="00581508" w:rsidP="00C94B35">
            <w:pPr>
              <w:spacing w:line="276" w:lineRule="auto"/>
              <w:jc w:val="both"/>
              <w:rPr>
                <w:rFonts w:ascii="Times New Roman" w:hAnsi="Times New Roman" w:cs="Times New Roman"/>
              </w:rPr>
            </w:pPr>
          </w:p>
        </w:tc>
        <w:tc>
          <w:tcPr>
            <w:tcW w:w="267" w:type="pct"/>
            <w:shd w:val="clear" w:color="auto" w:fill="auto"/>
          </w:tcPr>
          <w:p w14:paraId="5DE192B5" w14:textId="77777777" w:rsidR="00581508" w:rsidRPr="00C43E6D" w:rsidRDefault="00581508" w:rsidP="00C94B35">
            <w:pPr>
              <w:spacing w:line="276" w:lineRule="auto"/>
              <w:jc w:val="both"/>
              <w:rPr>
                <w:rFonts w:ascii="Times New Roman" w:hAnsi="Times New Roman" w:cs="Times New Roman"/>
              </w:rPr>
            </w:pPr>
          </w:p>
        </w:tc>
        <w:tc>
          <w:tcPr>
            <w:tcW w:w="132" w:type="pct"/>
            <w:shd w:val="clear" w:color="auto" w:fill="auto"/>
          </w:tcPr>
          <w:p w14:paraId="31C612CE" w14:textId="77777777" w:rsidR="00581508" w:rsidRPr="00C43E6D" w:rsidRDefault="00581508" w:rsidP="00C94B35">
            <w:pPr>
              <w:spacing w:line="276" w:lineRule="auto"/>
              <w:jc w:val="both"/>
              <w:rPr>
                <w:rFonts w:ascii="Times New Roman" w:hAnsi="Times New Roman" w:cs="Times New Roman"/>
              </w:rPr>
            </w:pPr>
          </w:p>
        </w:tc>
        <w:tc>
          <w:tcPr>
            <w:tcW w:w="182" w:type="pct"/>
            <w:shd w:val="clear" w:color="auto" w:fill="auto"/>
          </w:tcPr>
          <w:p w14:paraId="16CC35A4" w14:textId="77777777" w:rsidR="00581508" w:rsidRPr="00C43E6D" w:rsidRDefault="00581508" w:rsidP="00C94B35">
            <w:pPr>
              <w:spacing w:line="276" w:lineRule="auto"/>
              <w:jc w:val="both"/>
              <w:rPr>
                <w:rFonts w:ascii="Times New Roman" w:hAnsi="Times New Roman" w:cs="Times New Roman"/>
              </w:rPr>
            </w:pPr>
          </w:p>
        </w:tc>
        <w:tc>
          <w:tcPr>
            <w:tcW w:w="218" w:type="pct"/>
            <w:shd w:val="clear" w:color="auto" w:fill="auto"/>
          </w:tcPr>
          <w:p w14:paraId="33328F06" w14:textId="77777777" w:rsidR="00581508" w:rsidRPr="00C43E6D" w:rsidRDefault="00581508" w:rsidP="00C94B35">
            <w:pPr>
              <w:spacing w:line="276" w:lineRule="auto"/>
              <w:jc w:val="both"/>
              <w:rPr>
                <w:rFonts w:ascii="Times New Roman" w:hAnsi="Times New Roman" w:cs="Times New Roman"/>
              </w:rPr>
            </w:pPr>
          </w:p>
        </w:tc>
        <w:tc>
          <w:tcPr>
            <w:tcW w:w="218" w:type="pct"/>
            <w:shd w:val="clear" w:color="auto" w:fill="auto"/>
          </w:tcPr>
          <w:p w14:paraId="35A5A6BB" w14:textId="77777777" w:rsidR="00581508" w:rsidRPr="00C43E6D" w:rsidRDefault="00581508" w:rsidP="00C94B35">
            <w:pPr>
              <w:spacing w:line="276" w:lineRule="auto"/>
              <w:jc w:val="both"/>
              <w:rPr>
                <w:rFonts w:ascii="Times New Roman" w:hAnsi="Times New Roman" w:cs="Times New Roman"/>
              </w:rPr>
            </w:pPr>
          </w:p>
        </w:tc>
        <w:tc>
          <w:tcPr>
            <w:tcW w:w="176" w:type="pct"/>
          </w:tcPr>
          <w:p w14:paraId="2EFA2DB3" w14:textId="77777777" w:rsidR="00581508" w:rsidRPr="00C43E6D" w:rsidRDefault="00581508" w:rsidP="00C94B35">
            <w:pPr>
              <w:spacing w:line="276" w:lineRule="auto"/>
              <w:jc w:val="both"/>
              <w:rPr>
                <w:rFonts w:ascii="Times New Roman" w:hAnsi="Times New Roman" w:cs="Times New Roman"/>
              </w:rPr>
            </w:pPr>
          </w:p>
        </w:tc>
        <w:tc>
          <w:tcPr>
            <w:tcW w:w="218" w:type="pct"/>
          </w:tcPr>
          <w:p w14:paraId="4EB7F6BB" w14:textId="77777777" w:rsidR="00581508" w:rsidRPr="00C43E6D" w:rsidRDefault="00581508" w:rsidP="00C94B35">
            <w:pPr>
              <w:spacing w:line="276" w:lineRule="auto"/>
              <w:jc w:val="both"/>
              <w:rPr>
                <w:rFonts w:ascii="Times New Roman" w:hAnsi="Times New Roman" w:cs="Times New Roman"/>
              </w:rPr>
            </w:pPr>
          </w:p>
        </w:tc>
      </w:tr>
      <w:tr w:rsidR="00581508" w:rsidRPr="00C43E6D" w14:paraId="5D60F749" w14:textId="77777777" w:rsidTr="00DB2EB6">
        <w:tc>
          <w:tcPr>
            <w:tcW w:w="196" w:type="pct"/>
          </w:tcPr>
          <w:p w14:paraId="33B88044" w14:textId="77777777" w:rsidR="00581508" w:rsidRPr="00C43E6D" w:rsidRDefault="00581508" w:rsidP="00C94B35">
            <w:pPr>
              <w:spacing w:line="276" w:lineRule="auto"/>
              <w:ind w:left="-57"/>
              <w:jc w:val="center"/>
              <w:rPr>
                <w:rFonts w:ascii="Times New Roman" w:hAnsi="Times New Roman" w:cs="Times New Roman"/>
              </w:rPr>
            </w:pPr>
            <w:r w:rsidRPr="00C43E6D">
              <w:rPr>
                <w:rFonts w:ascii="Times New Roman" w:hAnsi="Times New Roman" w:cs="Times New Roman"/>
              </w:rPr>
              <w:t>10</w:t>
            </w:r>
          </w:p>
        </w:tc>
        <w:tc>
          <w:tcPr>
            <w:tcW w:w="1551" w:type="pct"/>
          </w:tcPr>
          <w:p w14:paraId="481D7FFB"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Înlocuirea, unde este posibil, a lămpilor incandescente cu lămpi economice (fluorescente sau LED)</w:t>
            </w:r>
          </w:p>
        </w:tc>
        <w:tc>
          <w:tcPr>
            <w:tcW w:w="680" w:type="pct"/>
          </w:tcPr>
          <w:p w14:paraId="2EC39168"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Managerul energetic</w:t>
            </w:r>
          </w:p>
          <w:p w14:paraId="1FAE18BA"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Specialist instalator</w:t>
            </w:r>
          </w:p>
        </w:tc>
        <w:tc>
          <w:tcPr>
            <w:tcW w:w="259" w:type="pct"/>
          </w:tcPr>
          <w:p w14:paraId="74F75828" w14:textId="77777777" w:rsidR="00581508" w:rsidRPr="00C43E6D" w:rsidRDefault="00581508" w:rsidP="00C94B35">
            <w:pPr>
              <w:spacing w:line="276" w:lineRule="auto"/>
              <w:jc w:val="both"/>
              <w:rPr>
                <w:rFonts w:ascii="Times New Roman" w:hAnsi="Times New Roman" w:cs="Times New Roman"/>
              </w:rPr>
            </w:pPr>
          </w:p>
        </w:tc>
        <w:tc>
          <w:tcPr>
            <w:tcW w:w="292" w:type="pct"/>
            <w:shd w:val="clear" w:color="auto" w:fill="92D050"/>
          </w:tcPr>
          <w:p w14:paraId="4FFDE666" w14:textId="77777777" w:rsidR="00581508" w:rsidRPr="00C43E6D" w:rsidRDefault="00581508" w:rsidP="00C94B35">
            <w:pPr>
              <w:spacing w:line="276" w:lineRule="auto"/>
              <w:jc w:val="both"/>
              <w:rPr>
                <w:rFonts w:ascii="Times New Roman" w:hAnsi="Times New Roman" w:cs="Times New Roman"/>
              </w:rPr>
            </w:pPr>
          </w:p>
        </w:tc>
        <w:tc>
          <w:tcPr>
            <w:tcW w:w="218" w:type="pct"/>
            <w:shd w:val="clear" w:color="auto" w:fill="92D050"/>
          </w:tcPr>
          <w:p w14:paraId="5A7CB83C" w14:textId="77777777" w:rsidR="00581508" w:rsidRPr="00C43E6D" w:rsidRDefault="00581508" w:rsidP="00C94B35">
            <w:pPr>
              <w:spacing w:line="276" w:lineRule="auto"/>
              <w:jc w:val="both"/>
              <w:rPr>
                <w:rFonts w:ascii="Times New Roman" w:hAnsi="Times New Roman" w:cs="Times New Roman"/>
              </w:rPr>
            </w:pPr>
          </w:p>
        </w:tc>
        <w:tc>
          <w:tcPr>
            <w:tcW w:w="173" w:type="pct"/>
          </w:tcPr>
          <w:p w14:paraId="7DB4C630" w14:textId="77777777" w:rsidR="00581508" w:rsidRPr="00C43E6D" w:rsidRDefault="00581508" w:rsidP="00C94B35">
            <w:pPr>
              <w:spacing w:line="276" w:lineRule="auto"/>
              <w:jc w:val="both"/>
              <w:rPr>
                <w:rFonts w:ascii="Times New Roman" w:hAnsi="Times New Roman" w:cs="Times New Roman"/>
              </w:rPr>
            </w:pPr>
          </w:p>
        </w:tc>
        <w:tc>
          <w:tcPr>
            <w:tcW w:w="218" w:type="pct"/>
          </w:tcPr>
          <w:p w14:paraId="1B240AF6" w14:textId="77777777" w:rsidR="00581508" w:rsidRPr="00C43E6D" w:rsidRDefault="00581508" w:rsidP="00C94B35">
            <w:pPr>
              <w:spacing w:line="276" w:lineRule="auto"/>
              <w:jc w:val="both"/>
              <w:rPr>
                <w:rFonts w:ascii="Times New Roman" w:hAnsi="Times New Roman" w:cs="Times New Roman"/>
              </w:rPr>
            </w:pPr>
          </w:p>
        </w:tc>
        <w:tc>
          <w:tcPr>
            <w:tcW w:w="267" w:type="pct"/>
          </w:tcPr>
          <w:p w14:paraId="50C54C05" w14:textId="77777777" w:rsidR="00581508" w:rsidRPr="00C43E6D" w:rsidRDefault="00581508" w:rsidP="00C94B35">
            <w:pPr>
              <w:spacing w:line="276" w:lineRule="auto"/>
              <w:jc w:val="both"/>
              <w:rPr>
                <w:rFonts w:ascii="Times New Roman" w:hAnsi="Times New Roman" w:cs="Times New Roman"/>
              </w:rPr>
            </w:pPr>
          </w:p>
        </w:tc>
        <w:tc>
          <w:tcPr>
            <w:tcW w:w="132" w:type="pct"/>
          </w:tcPr>
          <w:p w14:paraId="3C022EB0" w14:textId="77777777" w:rsidR="00581508" w:rsidRPr="00C43E6D" w:rsidRDefault="00581508" w:rsidP="00C94B35">
            <w:pPr>
              <w:spacing w:line="276" w:lineRule="auto"/>
              <w:jc w:val="both"/>
              <w:rPr>
                <w:rFonts w:ascii="Times New Roman" w:hAnsi="Times New Roman" w:cs="Times New Roman"/>
              </w:rPr>
            </w:pPr>
          </w:p>
        </w:tc>
        <w:tc>
          <w:tcPr>
            <w:tcW w:w="182" w:type="pct"/>
          </w:tcPr>
          <w:p w14:paraId="3AC5EBBB" w14:textId="77777777" w:rsidR="00581508" w:rsidRPr="00C43E6D" w:rsidRDefault="00581508" w:rsidP="00C94B35">
            <w:pPr>
              <w:spacing w:line="276" w:lineRule="auto"/>
              <w:jc w:val="both"/>
              <w:rPr>
                <w:rFonts w:ascii="Times New Roman" w:hAnsi="Times New Roman" w:cs="Times New Roman"/>
              </w:rPr>
            </w:pPr>
          </w:p>
        </w:tc>
        <w:tc>
          <w:tcPr>
            <w:tcW w:w="218" w:type="pct"/>
          </w:tcPr>
          <w:p w14:paraId="55F13DF3" w14:textId="77777777" w:rsidR="00581508" w:rsidRPr="00C43E6D" w:rsidRDefault="00581508" w:rsidP="00C94B35">
            <w:pPr>
              <w:spacing w:line="276" w:lineRule="auto"/>
              <w:jc w:val="both"/>
              <w:rPr>
                <w:rFonts w:ascii="Times New Roman" w:hAnsi="Times New Roman" w:cs="Times New Roman"/>
              </w:rPr>
            </w:pPr>
          </w:p>
        </w:tc>
        <w:tc>
          <w:tcPr>
            <w:tcW w:w="218" w:type="pct"/>
          </w:tcPr>
          <w:p w14:paraId="22E26507" w14:textId="77777777" w:rsidR="00581508" w:rsidRPr="00C43E6D" w:rsidRDefault="00581508" w:rsidP="00C94B35">
            <w:pPr>
              <w:spacing w:line="276" w:lineRule="auto"/>
              <w:jc w:val="both"/>
              <w:rPr>
                <w:rFonts w:ascii="Times New Roman" w:hAnsi="Times New Roman" w:cs="Times New Roman"/>
              </w:rPr>
            </w:pPr>
          </w:p>
        </w:tc>
        <w:tc>
          <w:tcPr>
            <w:tcW w:w="176" w:type="pct"/>
          </w:tcPr>
          <w:p w14:paraId="624A7789" w14:textId="77777777" w:rsidR="00581508" w:rsidRPr="00C43E6D" w:rsidRDefault="00581508" w:rsidP="00C94B35">
            <w:pPr>
              <w:spacing w:line="276" w:lineRule="auto"/>
              <w:jc w:val="both"/>
              <w:rPr>
                <w:rFonts w:ascii="Times New Roman" w:hAnsi="Times New Roman" w:cs="Times New Roman"/>
              </w:rPr>
            </w:pPr>
          </w:p>
        </w:tc>
        <w:tc>
          <w:tcPr>
            <w:tcW w:w="218" w:type="pct"/>
          </w:tcPr>
          <w:p w14:paraId="5DD8B33C" w14:textId="77777777" w:rsidR="00581508" w:rsidRPr="00C43E6D" w:rsidRDefault="00581508" w:rsidP="00C94B35">
            <w:pPr>
              <w:spacing w:line="276" w:lineRule="auto"/>
              <w:jc w:val="both"/>
              <w:rPr>
                <w:rFonts w:ascii="Times New Roman" w:hAnsi="Times New Roman" w:cs="Times New Roman"/>
              </w:rPr>
            </w:pPr>
          </w:p>
        </w:tc>
      </w:tr>
      <w:tr w:rsidR="00581508" w:rsidRPr="00C43E6D" w14:paraId="1C9EC191" w14:textId="77777777" w:rsidTr="00C94B35">
        <w:trPr>
          <w:trHeight w:val="1462"/>
        </w:trPr>
        <w:tc>
          <w:tcPr>
            <w:tcW w:w="196" w:type="pct"/>
          </w:tcPr>
          <w:p w14:paraId="6BFB9A56" w14:textId="77777777" w:rsidR="00581508" w:rsidRPr="00C43E6D" w:rsidRDefault="00581508" w:rsidP="00C94B35">
            <w:pPr>
              <w:spacing w:line="276" w:lineRule="auto"/>
              <w:ind w:left="-57"/>
              <w:jc w:val="center"/>
              <w:rPr>
                <w:rFonts w:ascii="Times New Roman" w:hAnsi="Times New Roman" w:cs="Times New Roman"/>
              </w:rPr>
            </w:pPr>
            <w:r w:rsidRPr="00C43E6D">
              <w:rPr>
                <w:rFonts w:ascii="Times New Roman" w:hAnsi="Times New Roman" w:cs="Times New Roman"/>
              </w:rPr>
              <w:t>11</w:t>
            </w:r>
          </w:p>
        </w:tc>
        <w:tc>
          <w:tcPr>
            <w:tcW w:w="1551" w:type="pct"/>
          </w:tcPr>
          <w:p w14:paraId="2E5CC7E2"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Instalarea senzorilor de mișcare pentru iluminatul exterior și pentru iluminatul din WC-uri și/sau holuri</w:t>
            </w:r>
          </w:p>
        </w:tc>
        <w:tc>
          <w:tcPr>
            <w:tcW w:w="680" w:type="pct"/>
          </w:tcPr>
          <w:p w14:paraId="386CFFA5"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Managerul energetic</w:t>
            </w:r>
          </w:p>
          <w:p w14:paraId="114C95E9" w14:textId="69EB59EB"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Specialist montator</w:t>
            </w:r>
          </w:p>
        </w:tc>
        <w:tc>
          <w:tcPr>
            <w:tcW w:w="259" w:type="pct"/>
            <w:tcBorders>
              <w:bottom w:val="single" w:sz="4" w:space="0" w:color="BFBFBF" w:themeColor="background1" w:themeShade="BF"/>
            </w:tcBorders>
          </w:tcPr>
          <w:p w14:paraId="421FC963" w14:textId="77777777" w:rsidR="00581508" w:rsidRPr="00C43E6D" w:rsidRDefault="00581508" w:rsidP="00C94B35">
            <w:pPr>
              <w:spacing w:line="276" w:lineRule="auto"/>
              <w:jc w:val="both"/>
              <w:rPr>
                <w:rFonts w:ascii="Times New Roman" w:hAnsi="Times New Roman" w:cs="Times New Roman"/>
              </w:rPr>
            </w:pPr>
          </w:p>
        </w:tc>
        <w:tc>
          <w:tcPr>
            <w:tcW w:w="292" w:type="pct"/>
            <w:tcBorders>
              <w:bottom w:val="single" w:sz="4" w:space="0" w:color="BFBFBF" w:themeColor="background1" w:themeShade="BF"/>
            </w:tcBorders>
            <w:shd w:val="clear" w:color="auto" w:fill="92D050"/>
          </w:tcPr>
          <w:p w14:paraId="587DA837" w14:textId="77777777" w:rsidR="00581508" w:rsidRPr="00C43E6D" w:rsidRDefault="00581508" w:rsidP="00C94B35">
            <w:pPr>
              <w:spacing w:line="276" w:lineRule="auto"/>
              <w:jc w:val="both"/>
              <w:rPr>
                <w:rFonts w:ascii="Times New Roman" w:hAnsi="Times New Roman" w:cs="Times New Roman"/>
              </w:rPr>
            </w:pPr>
          </w:p>
        </w:tc>
        <w:tc>
          <w:tcPr>
            <w:tcW w:w="218" w:type="pct"/>
            <w:tcBorders>
              <w:bottom w:val="single" w:sz="4" w:space="0" w:color="BFBFBF" w:themeColor="background1" w:themeShade="BF"/>
            </w:tcBorders>
            <w:shd w:val="clear" w:color="auto" w:fill="92D050"/>
          </w:tcPr>
          <w:p w14:paraId="67AB2A3C" w14:textId="77777777" w:rsidR="00581508" w:rsidRPr="00C43E6D" w:rsidRDefault="00581508" w:rsidP="00C94B35">
            <w:pPr>
              <w:spacing w:line="276" w:lineRule="auto"/>
              <w:jc w:val="both"/>
              <w:rPr>
                <w:rFonts w:ascii="Times New Roman" w:hAnsi="Times New Roman" w:cs="Times New Roman"/>
              </w:rPr>
            </w:pPr>
          </w:p>
        </w:tc>
        <w:tc>
          <w:tcPr>
            <w:tcW w:w="173" w:type="pct"/>
            <w:tcBorders>
              <w:bottom w:val="single" w:sz="4" w:space="0" w:color="BFBFBF" w:themeColor="background1" w:themeShade="BF"/>
            </w:tcBorders>
          </w:tcPr>
          <w:p w14:paraId="2C801AFC" w14:textId="77777777" w:rsidR="00581508" w:rsidRPr="00C43E6D" w:rsidRDefault="00581508" w:rsidP="00C94B35">
            <w:pPr>
              <w:spacing w:line="276" w:lineRule="auto"/>
              <w:jc w:val="both"/>
              <w:rPr>
                <w:rFonts w:ascii="Times New Roman" w:hAnsi="Times New Roman" w:cs="Times New Roman"/>
              </w:rPr>
            </w:pPr>
          </w:p>
        </w:tc>
        <w:tc>
          <w:tcPr>
            <w:tcW w:w="218" w:type="pct"/>
            <w:tcBorders>
              <w:bottom w:val="single" w:sz="4" w:space="0" w:color="BFBFBF" w:themeColor="background1" w:themeShade="BF"/>
            </w:tcBorders>
          </w:tcPr>
          <w:p w14:paraId="4998118F" w14:textId="77777777" w:rsidR="00581508" w:rsidRPr="00C43E6D" w:rsidRDefault="00581508" w:rsidP="00C94B35">
            <w:pPr>
              <w:spacing w:line="276" w:lineRule="auto"/>
              <w:jc w:val="both"/>
              <w:rPr>
                <w:rFonts w:ascii="Times New Roman" w:hAnsi="Times New Roman" w:cs="Times New Roman"/>
              </w:rPr>
            </w:pPr>
          </w:p>
        </w:tc>
        <w:tc>
          <w:tcPr>
            <w:tcW w:w="267" w:type="pct"/>
            <w:tcBorders>
              <w:bottom w:val="single" w:sz="4" w:space="0" w:color="BFBFBF" w:themeColor="background1" w:themeShade="BF"/>
            </w:tcBorders>
          </w:tcPr>
          <w:p w14:paraId="69E676E2" w14:textId="77777777" w:rsidR="00581508" w:rsidRPr="00C43E6D" w:rsidRDefault="00581508" w:rsidP="00C94B35">
            <w:pPr>
              <w:spacing w:line="276" w:lineRule="auto"/>
              <w:jc w:val="both"/>
              <w:rPr>
                <w:rFonts w:ascii="Times New Roman" w:hAnsi="Times New Roman" w:cs="Times New Roman"/>
              </w:rPr>
            </w:pPr>
          </w:p>
        </w:tc>
        <w:tc>
          <w:tcPr>
            <w:tcW w:w="132" w:type="pct"/>
            <w:tcBorders>
              <w:bottom w:val="single" w:sz="4" w:space="0" w:color="BFBFBF" w:themeColor="background1" w:themeShade="BF"/>
            </w:tcBorders>
          </w:tcPr>
          <w:p w14:paraId="496BB76F" w14:textId="77777777" w:rsidR="00581508" w:rsidRPr="00C43E6D" w:rsidRDefault="00581508" w:rsidP="00C94B35">
            <w:pPr>
              <w:spacing w:line="276" w:lineRule="auto"/>
              <w:jc w:val="both"/>
              <w:rPr>
                <w:rFonts w:ascii="Times New Roman" w:hAnsi="Times New Roman" w:cs="Times New Roman"/>
              </w:rPr>
            </w:pPr>
          </w:p>
        </w:tc>
        <w:tc>
          <w:tcPr>
            <w:tcW w:w="182" w:type="pct"/>
            <w:tcBorders>
              <w:bottom w:val="single" w:sz="4" w:space="0" w:color="BFBFBF" w:themeColor="background1" w:themeShade="BF"/>
            </w:tcBorders>
          </w:tcPr>
          <w:p w14:paraId="4468F66A" w14:textId="77777777" w:rsidR="00581508" w:rsidRPr="00C43E6D" w:rsidRDefault="00581508" w:rsidP="00C94B35">
            <w:pPr>
              <w:spacing w:line="276" w:lineRule="auto"/>
              <w:jc w:val="both"/>
              <w:rPr>
                <w:rFonts w:ascii="Times New Roman" w:hAnsi="Times New Roman" w:cs="Times New Roman"/>
              </w:rPr>
            </w:pPr>
          </w:p>
        </w:tc>
        <w:tc>
          <w:tcPr>
            <w:tcW w:w="218" w:type="pct"/>
            <w:tcBorders>
              <w:bottom w:val="single" w:sz="4" w:space="0" w:color="BFBFBF" w:themeColor="background1" w:themeShade="BF"/>
            </w:tcBorders>
          </w:tcPr>
          <w:p w14:paraId="09C2193A" w14:textId="77777777" w:rsidR="00581508" w:rsidRPr="00C43E6D" w:rsidRDefault="00581508" w:rsidP="00C94B35">
            <w:pPr>
              <w:spacing w:line="276" w:lineRule="auto"/>
              <w:jc w:val="both"/>
              <w:rPr>
                <w:rFonts w:ascii="Times New Roman" w:hAnsi="Times New Roman" w:cs="Times New Roman"/>
              </w:rPr>
            </w:pPr>
          </w:p>
        </w:tc>
        <w:tc>
          <w:tcPr>
            <w:tcW w:w="218" w:type="pct"/>
            <w:tcBorders>
              <w:bottom w:val="single" w:sz="4" w:space="0" w:color="BFBFBF" w:themeColor="background1" w:themeShade="BF"/>
            </w:tcBorders>
          </w:tcPr>
          <w:p w14:paraId="764E7BF1" w14:textId="77777777" w:rsidR="00581508" w:rsidRPr="00C43E6D" w:rsidRDefault="00581508" w:rsidP="00C94B35">
            <w:pPr>
              <w:spacing w:line="276" w:lineRule="auto"/>
              <w:jc w:val="both"/>
              <w:rPr>
                <w:rFonts w:ascii="Times New Roman" w:hAnsi="Times New Roman" w:cs="Times New Roman"/>
              </w:rPr>
            </w:pPr>
          </w:p>
        </w:tc>
        <w:tc>
          <w:tcPr>
            <w:tcW w:w="176" w:type="pct"/>
            <w:tcBorders>
              <w:bottom w:val="single" w:sz="4" w:space="0" w:color="BFBFBF" w:themeColor="background1" w:themeShade="BF"/>
            </w:tcBorders>
          </w:tcPr>
          <w:p w14:paraId="3BF5BD65" w14:textId="77777777" w:rsidR="00581508" w:rsidRPr="00C43E6D" w:rsidRDefault="00581508" w:rsidP="00C94B35">
            <w:pPr>
              <w:spacing w:line="276" w:lineRule="auto"/>
              <w:jc w:val="both"/>
              <w:rPr>
                <w:rFonts w:ascii="Times New Roman" w:hAnsi="Times New Roman" w:cs="Times New Roman"/>
              </w:rPr>
            </w:pPr>
          </w:p>
        </w:tc>
        <w:tc>
          <w:tcPr>
            <w:tcW w:w="218" w:type="pct"/>
            <w:tcBorders>
              <w:bottom w:val="single" w:sz="4" w:space="0" w:color="BFBFBF" w:themeColor="background1" w:themeShade="BF"/>
            </w:tcBorders>
          </w:tcPr>
          <w:p w14:paraId="5D6F9472" w14:textId="77777777" w:rsidR="00581508" w:rsidRPr="00C43E6D" w:rsidRDefault="00581508" w:rsidP="00C94B35">
            <w:pPr>
              <w:spacing w:line="276" w:lineRule="auto"/>
              <w:jc w:val="both"/>
              <w:rPr>
                <w:rFonts w:ascii="Times New Roman" w:hAnsi="Times New Roman" w:cs="Times New Roman"/>
              </w:rPr>
            </w:pPr>
          </w:p>
        </w:tc>
      </w:tr>
      <w:tr w:rsidR="00581508" w:rsidRPr="00C43E6D" w14:paraId="23958C4F" w14:textId="77777777" w:rsidTr="00DB2EB6">
        <w:tc>
          <w:tcPr>
            <w:tcW w:w="196" w:type="pct"/>
          </w:tcPr>
          <w:p w14:paraId="11749D96" w14:textId="77777777" w:rsidR="00581508" w:rsidRPr="00C43E6D" w:rsidRDefault="00581508" w:rsidP="00C94B35">
            <w:pPr>
              <w:spacing w:line="276" w:lineRule="auto"/>
              <w:ind w:left="-57"/>
              <w:jc w:val="center"/>
              <w:rPr>
                <w:rFonts w:ascii="Times New Roman" w:hAnsi="Times New Roman" w:cs="Times New Roman"/>
              </w:rPr>
            </w:pPr>
            <w:r w:rsidRPr="00C43E6D">
              <w:rPr>
                <w:rFonts w:ascii="Times New Roman" w:hAnsi="Times New Roman" w:cs="Times New Roman"/>
              </w:rPr>
              <w:lastRenderedPageBreak/>
              <w:t>12</w:t>
            </w:r>
          </w:p>
        </w:tc>
        <w:tc>
          <w:tcPr>
            <w:tcW w:w="1551" w:type="pct"/>
          </w:tcPr>
          <w:p w14:paraId="41CE4907"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Gestionarea eficientă a iluminatului interior și exterior, deconectarea iluminatului în zonele neutilizate, inclusiv pe timp de zi dacă e cazul</w:t>
            </w:r>
          </w:p>
        </w:tc>
        <w:tc>
          <w:tcPr>
            <w:tcW w:w="680" w:type="pct"/>
          </w:tcPr>
          <w:p w14:paraId="21D45A9A"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Managerul energetic</w:t>
            </w:r>
          </w:p>
          <w:p w14:paraId="6AA47D3D"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Personalul instituției</w:t>
            </w:r>
          </w:p>
        </w:tc>
        <w:tc>
          <w:tcPr>
            <w:tcW w:w="259" w:type="pct"/>
            <w:tcBorders>
              <w:bottom w:val="single" w:sz="4" w:space="0" w:color="BFBFBF" w:themeColor="background1" w:themeShade="BF"/>
            </w:tcBorders>
            <w:shd w:val="clear" w:color="auto" w:fill="92D050"/>
          </w:tcPr>
          <w:p w14:paraId="43658F50" w14:textId="77777777" w:rsidR="00581508" w:rsidRPr="00C43E6D" w:rsidRDefault="00581508" w:rsidP="00C94B35">
            <w:pPr>
              <w:spacing w:line="276" w:lineRule="auto"/>
              <w:jc w:val="both"/>
              <w:rPr>
                <w:rFonts w:ascii="Times New Roman" w:hAnsi="Times New Roman" w:cs="Times New Roman"/>
              </w:rPr>
            </w:pPr>
          </w:p>
        </w:tc>
        <w:tc>
          <w:tcPr>
            <w:tcW w:w="292" w:type="pct"/>
            <w:tcBorders>
              <w:bottom w:val="single" w:sz="4" w:space="0" w:color="BFBFBF" w:themeColor="background1" w:themeShade="BF"/>
            </w:tcBorders>
            <w:shd w:val="clear" w:color="auto" w:fill="92D050"/>
          </w:tcPr>
          <w:p w14:paraId="2A37B719" w14:textId="77777777" w:rsidR="00581508" w:rsidRPr="00C43E6D" w:rsidRDefault="00581508" w:rsidP="00C94B35">
            <w:pPr>
              <w:spacing w:line="276" w:lineRule="auto"/>
              <w:jc w:val="both"/>
              <w:rPr>
                <w:rFonts w:ascii="Times New Roman" w:hAnsi="Times New Roman" w:cs="Times New Roman"/>
              </w:rPr>
            </w:pPr>
          </w:p>
        </w:tc>
        <w:tc>
          <w:tcPr>
            <w:tcW w:w="218" w:type="pct"/>
            <w:tcBorders>
              <w:bottom w:val="single" w:sz="4" w:space="0" w:color="BFBFBF" w:themeColor="background1" w:themeShade="BF"/>
            </w:tcBorders>
            <w:shd w:val="clear" w:color="auto" w:fill="92D050"/>
          </w:tcPr>
          <w:p w14:paraId="3677F50D" w14:textId="77777777" w:rsidR="00581508" w:rsidRPr="00C43E6D" w:rsidRDefault="00581508" w:rsidP="00C94B35">
            <w:pPr>
              <w:spacing w:line="276" w:lineRule="auto"/>
              <w:jc w:val="both"/>
              <w:rPr>
                <w:rFonts w:ascii="Times New Roman" w:hAnsi="Times New Roman" w:cs="Times New Roman"/>
              </w:rPr>
            </w:pPr>
          </w:p>
        </w:tc>
        <w:tc>
          <w:tcPr>
            <w:tcW w:w="173" w:type="pct"/>
            <w:tcBorders>
              <w:bottom w:val="single" w:sz="4" w:space="0" w:color="BFBFBF" w:themeColor="background1" w:themeShade="BF"/>
            </w:tcBorders>
            <w:shd w:val="clear" w:color="auto" w:fill="92D050"/>
          </w:tcPr>
          <w:p w14:paraId="3300CBB1" w14:textId="77777777" w:rsidR="00581508" w:rsidRPr="00C43E6D" w:rsidRDefault="00581508" w:rsidP="00C94B35">
            <w:pPr>
              <w:spacing w:line="276" w:lineRule="auto"/>
              <w:jc w:val="both"/>
              <w:rPr>
                <w:rFonts w:ascii="Times New Roman" w:hAnsi="Times New Roman" w:cs="Times New Roman"/>
              </w:rPr>
            </w:pPr>
          </w:p>
        </w:tc>
        <w:tc>
          <w:tcPr>
            <w:tcW w:w="218" w:type="pct"/>
            <w:tcBorders>
              <w:bottom w:val="single" w:sz="4" w:space="0" w:color="BFBFBF" w:themeColor="background1" w:themeShade="BF"/>
            </w:tcBorders>
            <w:shd w:val="clear" w:color="auto" w:fill="92D050"/>
          </w:tcPr>
          <w:p w14:paraId="40930238" w14:textId="77777777" w:rsidR="00581508" w:rsidRPr="00C43E6D" w:rsidRDefault="00581508" w:rsidP="00C94B35">
            <w:pPr>
              <w:spacing w:line="276" w:lineRule="auto"/>
              <w:jc w:val="both"/>
              <w:rPr>
                <w:rFonts w:ascii="Times New Roman" w:hAnsi="Times New Roman" w:cs="Times New Roman"/>
              </w:rPr>
            </w:pPr>
          </w:p>
        </w:tc>
        <w:tc>
          <w:tcPr>
            <w:tcW w:w="267" w:type="pct"/>
            <w:tcBorders>
              <w:bottom w:val="single" w:sz="4" w:space="0" w:color="BFBFBF" w:themeColor="background1" w:themeShade="BF"/>
            </w:tcBorders>
            <w:shd w:val="clear" w:color="auto" w:fill="92D050"/>
          </w:tcPr>
          <w:p w14:paraId="62C8EBAB" w14:textId="77777777" w:rsidR="00581508" w:rsidRPr="00C43E6D" w:rsidRDefault="00581508" w:rsidP="00C94B35">
            <w:pPr>
              <w:spacing w:line="276" w:lineRule="auto"/>
              <w:jc w:val="both"/>
              <w:rPr>
                <w:rFonts w:ascii="Times New Roman" w:hAnsi="Times New Roman" w:cs="Times New Roman"/>
              </w:rPr>
            </w:pPr>
          </w:p>
        </w:tc>
        <w:tc>
          <w:tcPr>
            <w:tcW w:w="132" w:type="pct"/>
            <w:tcBorders>
              <w:bottom w:val="single" w:sz="4" w:space="0" w:color="BFBFBF" w:themeColor="background1" w:themeShade="BF"/>
            </w:tcBorders>
            <w:shd w:val="clear" w:color="auto" w:fill="92D050"/>
          </w:tcPr>
          <w:p w14:paraId="5105EA58" w14:textId="77777777" w:rsidR="00581508" w:rsidRPr="00C43E6D" w:rsidRDefault="00581508" w:rsidP="00C94B35">
            <w:pPr>
              <w:spacing w:line="276" w:lineRule="auto"/>
              <w:jc w:val="both"/>
              <w:rPr>
                <w:rFonts w:ascii="Times New Roman" w:hAnsi="Times New Roman" w:cs="Times New Roman"/>
              </w:rPr>
            </w:pPr>
          </w:p>
        </w:tc>
        <w:tc>
          <w:tcPr>
            <w:tcW w:w="182" w:type="pct"/>
            <w:tcBorders>
              <w:bottom w:val="single" w:sz="4" w:space="0" w:color="BFBFBF" w:themeColor="background1" w:themeShade="BF"/>
            </w:tcBorders>
            <w:shd w:val="clear" w:color="auto" w:fill="92D050"/>
          </w:tcPr>
          <w:p w14:paraId="6AFC0908" w14:textId="77777777" w:rsidR="00581508" w:rsidRPr="00C43E6D" w:rsidRDefault="00581508" w:rsidP="00C94B35">
            <w:pPr>
              <w:spacing w:line="276" w:lineRule="auto"/>
              <w:jc w:val="both"/>
              <w:rPr>
                <w:rFonts w:ascii="Times New Roman" w:hAnsi="Times New Roman" w:cs="Times New Roman"/>
              </w:rPr>
            </w:pPr>
          </w:p>
        </w:tc>
        <w:tc>
          <w:tcPr>
            <w:tcW w:w="218" w:type="pct"/>
            <w:tcBorders>
              <w:bottom w:val="single" w:sz="4" w:space="0" w:color="BFBFBF" w:themeColor="background1" w:themeShade="BF"/>
            </w:tcBorders>
            <w:shd w:val="clear" w:color="auto" w:fill="92D050"/>
          </w:tcPr>
          <w:p w14:paraId="61F37AA8" w14:textId="77777777" w:rsidR="00581508" w:rsidRPr="00C43E6D" w:rsidRDefault="00581508" w:rsidP="00C94B35">
            <w:pPr>
              <w:spacing w:line="276" w:lineRule="auto"/>
              <w:jc w:val="both"/>
              <w:rPr>
                <w:rFonts w:ascii="Times New Roman" w:hAnsi="Times New Roman" w:cs="Times New Roman"/>
              </w:rPr>
            </w:pPr>
          </w:p>
        </w:tc>
        <w:tc>
          <w:tcPr>
            <w:tcW w:w="218" w:type="pct"/>
            <w:tcBorders>
              <w:bottom w:val="single" w:sz="4" w:space="0" w:color="BFBFBF" w:themeColor="background1" w:themeShade="BF"/>
            </w:tcBorders>
            <w:shd w:val="clear" w:color="auto" w:fill="92D050"/>
          </w:tcPr>
          <w:p w14:paraId="54B55785" w14:textId="77777777" w:rsidR="00581508" w:rsidRPr="00C43E6D" w:rsidRDefault="00581508" w:rsidP="00C94B35">
            <w:pPr>
              <w:spacing w:line="276" w:lineRule="auto"/>
              <w:jc w:val="both"/>
              <w:rPr>
                <w:rFonts w:ascii="Times New Roman" w:hAnsi="Times New Roman" w:cs="Times New Roman"/>
              </w:rPr>
            </w:pPr>
          </w:p>
        </w:tc>
        <w:tc>
          <w:tcPr>
            <w:tcW w:w="176" w:type="pct"/>
            <w:tcBorders>
              <w:bottom w:val="single" w:sz="4" w:space="0" w:color="BFBFBF" w:themeColor="background1" w:themeShade="BF"/>
            </w:tcBorders>
            <w:shd w:val="clear" w:color="auto" w:fill="92D050"/>
          </w:tcPr>
          <w:p w14:paraId="4BEB7703" w14:textId="77777777" w:rsidR="00581508" w:rsidRPr="00C43E6D" w:rsidRDefault="00581508" w:rsidP="00C94B35">
            <w:pPr>
              <w:spacing w:line="276" w:lineRule="auto"/>
              <w:jc w:val="both"/>
              <w:rPr>
                <w:rFonts w:ascii="Times New Roman" w:hAnsi="Times New Roman" w:cs="Times New Roman"/>
              </w:rPr>
            </w:pPr>
          </w:p>
        </w:tc>
        <w:tc>
          <w:tcPr>
            <w:tcW w:w="218" w:type="pct"/>
            <w:tcBorders>
              <w:bottom w:val="single" w:sz="4" w:space="0" w:color="BFBFBF" w:themeColor="background1" w:themeShade="BF"/>
            </w:tcBorders>
            <w:shd w:val="clear" w:color="auto" w:fill="92D050"/>
          </w:tcPr>
          <w:p w14:paraId="234184EF" w14:textId="77777777" w:rsidR="00581508" w:rsidRPr="00C43E6D" w:rsidRDefault="00581508" w:rsidP="00C94B35">
            <w:pPr>
              <w:spacing w:line="276" w:lineRule="auto"/>
              <w:jc w:val="both"/>
              <w:rPr>
                <w:rFonts w:ascii="Times New Roman" w:hAnsi="Times New Roman" w:cs="Times New Roman"/>
              </w:rPr>
            </w:pPr>
          </w:p>
        </w:tc>
      </w:tr>
      <w:tr w:rsidR="00581508" w:rsidRPr="00C43E6D" w14:paraId="1F2F002B" w14:textId="77777777" w:rsidTr="00DB2EB6">
        <w:tc>
          <w:tcPr>
            <w:tcW w:w="196" w:type="pct"/>
          </w:tcPr>
          <w:p w14:paraId="3B34711D" w14:textId="77777777" w:rsidR="00581508" w:rsidRPr="00C43E6D" w:rsidRDefault="00581508" w:rsidP="00C94B35">
            <w:pPr>
              <w:spacing w:line="276" w:lineRule="auto"/>
              <w:ind w:left="-57"/>
              <w:jc w:val="center"/>
              <w:rPr>
                <w:rFonts w:ascii="Times New Roman" w:hAnsi="Times New Roman" w:cs="Times New Roman"/>
              </w:rPr>
            </w:pPr>
            <w:r w:rsidRPr="00C43E6D">
              <w:rPr>
                <w:rFonts w:ascii="Times New Roman" w:hAnsi="Times New Roman" w:cs="Times New Roman"/>
              </w:rPr>
              <w:t>13</w:t>
            </w:r>
          </w:p>
        </w:tc>
        <w:tc>
          <w:tcPr>
            <w:tcW w:w="1551" w:type="pct"/>
          </w:tcPr>
          <w:p w14:paraId="65E44B23"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Deconectarea aparatelor consumatoare de energie electrică de la priză atunci când acestea nu sunt folosite, pentru a evita consumul de energie în regim stand-by</w:t>
            </w:r>
          </w:p>
        </w:tc>
        <w:tc>
          <w:tcPr>
            <w:tcW w:w="680" w:type="pct"/>
          </w:tcPr>
          <w:p w14:paraId="0223633F"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Personalul instituției</w:t>
            </w:r>
          </w:p>
        </w:tc>
        <w:tc>
          <w:tcPr>
            <w:tcW w:w="259" w:type="pct"/>
            <w:shd w:val="clear" w:color="auto" w:fill="92D050"/>
          </w:tcPr>
          <w:p w14:paraId="22A32016" w14:textId="77777777" w:rsidR="00581508" w:rsidRPr="00C43E6D" w:rsidRDefault="00581508" w:rsidP="00C94B35">
            <w:pPr>
              <w:spacing w:line="276" w:lineRule="auto"/>
              <w:jc w:val="both"/>
              <w:rPr>
                <w:rFonts w:ascii="Times New Roman" w:hAnsi="Times New Roman" w:cs="Times New Roman"/>
              </w:rPr>
            </w:pPr>
          </w:p>
        </w:tc>
        <w:tc>
          <w:tcPr>
            <w:tcW w:w="292" w:type="pct"/>
            <w:shd w:val="clear" w:color="auto" w:fill="92D050"/>
          </w:tcPr>
          <w:p w14:paraId="6712A84F" w14:textId="77777777" w:rsidR="00581508" w:rsidRPr="00C43E6D" w:rsidRDefault="00581508" w:rsidP="00C94B35">
            <w:pPr>
              <w:spacing w:line="276" w:lineRule="auto"/>
              <w:jc w:val="both"/>
              <w:rPr>
                <w:rFonts w:ascii="Times New Roman" w:hAnsi="Times New Roman" w:cs="Times New Roman"/>
              </w:rPr>
            </w:pPr>
          </w:p>
        </w:tc>
        <w:tc>
          <w:tcPr>
            <w:tcW w:w="218" w:type="pct"/>
            <w:shd w:val="clear" w:color="auto" w:fill="92D050"/>
          </w:tcPr>
          <w:p w14:paraId="51CFD802" w14:textId="77777777" w:rsidR="00581508" w:rsidRPr="00C43E6D" w:rsidRDefault="00581508" w:rsidP="00C94B35">
            <w:pPr>
              <w:spacing w:line="276" w:lineRule="auto"/>
              <w:jc w:val="both"/>
              <w:rPr>
                <w:rFonts w:ascii="Times New Roman" w:hAnsi="Times New Roman" w:cs="Times New Roman"/>
              </w:rPr>
            </w:pPr>
          </w:p>
        </w:tc>
        <w:tc>
          <w:tcPr>
            <w:tcW w:w="173" w:type="pct"/>
            <w:shd w:val="clear" w:color="auto" w:fill="92D050"/>
          </w:tcPr>
          <w:p w14:paraId="2D9EA17D" w14:textId="77777777" w:rsidR="00581508" w:rsidRPr="00C43E6D" w:rsidRDefault="00581508" w:rsidP="00C94B35">
            <w:pPr>
              <w:spacing w:line="276" w:lineRule="auto"/>
              <w:jc w:val="both"/>
              <w:rPr>
                <w:rFonts w:ascii="Times New Roman" w:hAnsi="Times New Roman" w:cs="Times New Roman"/>
              </w:rPr>
            </w:pPr>
          </w:p>
        </w:tc>
        <w:tc>
          <w:tcPr>
            <w:tcW w:w="218" w:type="pct"/>
            <w:shd w:val="clear" w:color="auto" w:fill="92D050"/>
          </w:tcPr>
          <w:p w14:paraId="39A60D4E" w14:textId="77777777" w:rsidR="00581508" w:rsidRPr="00C43E6D" w:rsidRDefault="00581508" w:rsidP="00C94B35">
            <w:pPr>
              <w:spacing w:line="276" w:lineRule="auto"/>
              <w:jc w:val="both"/>
              <w:rPr>
                <w:rFonts w:ascii="Times New Roman" w:hAnsi="Times New Roman" w:cs="Times New Roman"/>
              </w:rPr>
            </w:pPr>
          </w:p>
        </w:tc>
        <w:tc>
          <w:tcPr>
            <w:tcW w:w="267" w:type="pct"/>
            <w:shd w:val="clear" w:color="auto" w:fill="92D050"/>
          </w:tcPr>
          <w:p w14:paraId="32593B75" w14:textId="77777777" w:rsidR="00581508" w:rsidRPr="00C43E6D" w:rsidRDefault="00581508" w:rsidP="00C94B35">
            <w:pPr>
              <w:spacing w:line="276" w:lineRule="auto"/>
              <w:jc w:val="both"/>
              <w:rPr>
                <w:rFonts w:ascii="Times New Roman" w:hAnsi="Times New Roman" w:cs="Times New Roman"/>
              </w:rPr>
            </w:pPr>
          </w:p>
        </w:tc>
        <w:tc>
          <w:tcPr>
            <w:tcW w:w="132" w:type="pct"/>
            <w:shd w:val="clear" w:color="auto" w:fill="92D050"/>
          </w:tcPr>
          <w:p w14:paraId="244AD458" w14:textId="77777777" w:rsidR="00581508" w:rsidRPr="00C43E6D" w:rsidRDefault="00581508" w:rsidP="00C94B35">
            <w:pPr>
              <w:spacing w:line="276" w:lineRule="auto"/>
              <w:jc w:val="both"/>
              <w:rPr>
                <w:rFonts w:ascii="Times New Roman" w:hAnsi="Times New Roman" w:cs="Times New Roman"/>
              </w:rPr>
            </w:pPr>
          </w:p>
        </w:tc>
        <w:tc>
          <w:tcPr>
            <w:tcW w:w="182" w:type="pct"/>
            <w:shd w:val="clear" w:color="auto" w:fill="92D050"/>
          </w:tcPr>
          <w:p w14:paraId="65C0E977" w14:textId="77777777" w:rsidR="00581508" w:rsidRPr="00C43E6D" w:rsidRDefault="00581508" w:rsidP="00C94B35">
            <w:pPr>
              <w:spacing w:line="276" w:lineRule="auto"/>
              <w:jc w:val="both"/>
              <w:rPr>
                <w:rFonts w:ascii="Times New Roman" w:hAnsi="Times New Roman" w:cs="Times New Roman"/>
              </w:rPr>
            </w:pPr>
          </w:p>
        </w:tc>
        <w:tc>
          <w:tcPr>
            <w:tcW w:w="218" w:type="pct"/>
            <w:shd w:val="clear" w:color="auto" w:fill="92D050"/>
          </w:tcPr>
          <w:p w14:paraId="34C96E98" w14:textId="77777777" w:rsidR="00581508" w:rsidRPr="00C43E6D" w:rsidRDefault="00581508" w:rsidP="00C94B35">
            <w:pPr>
              <w:spacing w:line="276" w:lineRule="auto"/>
              <w:jc w:val="both"/>
              <w:rPr>
                <w:rFonts w:ascii="Times New Roman" w:hAnsi="Times New Roman" w:cs="Times New Roman"/>
              </w:rPr>
            </w:pPr>
          </w:p>
        </w:tc>
        <w:tc>
          <w:tcPr>
            <w:tcW w:w="218" w:type="pct"/>
            <w:shd w:val="clear" w:color="auto" w:fill="92D050"/>
          </w:tcPr>
          <w:p w14:paraId="2EA49A6E" w14:textId="77777777" w:rsidR="00581508" w:rsidRPr="00C43E6D" w:rsidRDefault="00581508" w:rsidP="00C94B35">
            <w:pPr>
              <w:spacing w:line="276" w:lineRule="auto"/>
              <w:jc w:val="both"/>
              <w:rPr>
                <w:rFonts w:ascii="Times New Roman" w:hAnsi="Times New Roman" w:cs="Times New Roman"/>
              </w:rPr>
            </w:pPr>
          </w:p>
        </w:tc>
        <w:tc>
          <w:tcPr>
            <w:tcW w:w="176" w:type="pct"/>
            <w:shd w:val="clear" w:color="auto" w:fill="92D050"/>
          </w:tcPr>
          <w:p w14:paraId="7BC5464C" w14:textId="77777777" w:rsidR="00581508" w:rsidRPr="00C43E6D" w:rsidRDefault="00581508" w:rsidP="00C94B35">
            <w:pPr>
              <w:spacing w:line="276" w:lineRule="auto"/>
              <w:jc w:val="both"/>
              <w:rPr>
                <w:rFonts w:ascii="Times New Roman" w:hAnsi="Times New Roman" w:cs="Times New Roman"/>
              </w:rPr>
            </w:pPr>
          </w:p>
        </w:tc>
        <w:tc>
          <w:tcPr>
            <w:tcW w:w="218" w:type="pct"/>
            <w:shd w:val="clear" w:color="auto" w:fill="92D050"/>
          </w:tcPr>
          <w:p w14:paraId="5A26D7BB" w14:textId="77777777" w:rsidR="00581508" w:rsidRPr="00C43E6D" w:rsidRDefault="00581508" w:rsidP="00C94B35">
            <w:pPr>
              <w:spacing w:line="276" w:lineRule="auto"/>
              <w:jc w:val="both"/>
              <w:rPr>
                <w:rFonts w:ascii="Times New Roman" w:hAnsi="Times New Roman" w:cs="Times New Roman"/>
              </w:rPr>
            </w:pPr>
          </w:p>
        </w:tc>
      </w:tr>
      <w:tr w:rsidR="00581508" w:rsidRPr="00C43E6D" w14:paraId="708DCEB0" w14:textId="77777777" w:rsidTr="00DB2EB6">
        <w:tc>
          <w:tcPr>
            <w:tcW w:w="196" w:type="pct"/>
          </w:tcPr>
          <w:p w14:paraId="6926464A" w14:textId="77777777" w:rsidR="00581508" w:rsidRPr="00C43E6D" w:rsidRDefault="00581508" w:rsidP="00C94B35">
            <w:pPr>
              <w:spacing w:line="276" w:lineRule="auto"/>
              <w:ind w:left="-57"/>
              <w:jc w:val="center"/>
              <w:rPr>
                <w:rFonts w:ascii="Times New Roman" w:hAnsi="Times New Roman" w:cs="Times New Roman"/>
              </w:rPr>
            </w:pPr>
            <w:r w:rsidRPr="00C43E6D">
              <w:rPr>
                <w:rFonts w:ascii="Times New Roman" w:hAnsi="Times New Roman" w:cs="Times New Roman"/>
              </w:rPr>
              <w:t>14</w:t>
            </w:r>
          </w:p>
        </w:tc>
        <w:tc>
          <w:tcPr>
            <w:tcW w:w="1551" w:type="pct"/>
          </w:tcPr>
          <w:p w14:paraId="7C636876" w14:textId="5AE76DD2"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Monitorizarea consumurilor lunare de energie, instituirea registrului de consum a energiei electrice și a combustibililor utilizați (gaz</w:t>
            </w:r>
            <w:r w:rsidR="00AC33CA" w:rsidRPr="00C43E6D">
              <w:rPr>
                <w:rFonts w:ascii="Times New Roman" w:hAnsi="Times New Roman" w:cs="Times New Roman"/>
              </w:rPr>
              <w:t>e naturale</w:t>
            </w:r>
            <w:r w:rsidRPr="00C43E6D">
              <w:rPr>
                <w:rFonts w:ascii="Times New Roman" w:hAnsi="Times New Roman" w:cs="Times New Roman"/>
              </w:rPr>
              <w:t>, cărbune, lemne, pelete, brichete</w:t>
            </w:r>
            <w:r w:rsidR="00AC33CA" w:rsidRPr="00C43E6D">
              <w:rPr>
                <w:rFonts w:ascii="Times New Roman" w:hAnsi="Times New Roman" w:cs="Times New Roman"/>
              </w:rPr>
              <w:t>,</w:t>
            </w:r>
            <w:r w:rsidRPr="00C43E6D">
              <w:rPr>
                <w:rFonts w:ascii="Times New Roman" w:hAnsi="Times New Roman" w:cs="Times New Roman"/>
              </w:rPr>
              <w:t xml:space="preserve"> paie, etc), cu desemnarea persoanei responsabile de completare, evidență și raportare corespunzătoare conform solicitărilor parvenite din partea instituțiilor statului</w:t>
            </w:r>
          </w:p>
        </w:tc>
        <w:tc>
          <w:tcPr>
            <w:tcW w:w="680" w:type="pct"/>
          </w:tcPr>
          <w:p w14:paraId="0CAB6012"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Operatorul centralei</w:t>
            </w:r>
          </w:p>
          <w:p w14:paraId="259146EA"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Managerul energetic</w:t>
            </w:r>
          </w:p>
        </w:tc>
        <w:tc>
          <w:tcPr>
            <w:tcW w:w="259" w:type="pct"/>
          </w:tcPr>
          <w:p w14:paraId="515A5793" w14:textId="77777777" w:rsidR="00581508" w:rsidRPr="00C43E6D" w:rsidRDefault="00581508" w:rsidP="00C94B35">
            <w:pPr>
              <w:spacing w:line="276" w:lineRule="auto"/>
              <w:jc w:val="both"/>
              <w:rPr>
                <w:rFonts w:ascii="Times New Roman" w:hAnsi="Times New Roman" w:cs="Times New Roman"/>
              </w:rPr>
            </w:pPr>
          </w:p>
        </w:tc>
        <w:tc>
          <w:tcPr>
            <w:tcW w:w="292" w:type="pct"/>
            <w:shd w:val="clear" w:color="auto" w:fill="auto"/>
          </w:tcPr>
          <w:p w14:paraId="11DE70B5" w14:textId="77777777" w:rsidR="00581508" w:rsidRPr="00C43E6D" w:rsidRDefault="00581508" w:rsidP="00C94B35">
            <w:pPr>
              <w:spacing w:line="276" w:lineRule="auto"/>
              <w:jc w:val="both"/>
              <w:rPr>
                <w:rFonts w:ascii="Times New Roman" w:hAnsi="Times New Roman" w:cs="Times New Roman"/>
              </w:rPr>
            </w:pPr>
          </w:p>
        </w:tc>
        <w:tc>
          <w:tcPr>
            <w:tcW w:w="218" w:type="pct"/>
            <w:shd w:val="clear" w:color="auto" w:fill="auto"/>
          </w:tcPr>
          <w:p w14:paraId="1D967C1D" w14:textId="77777777" w:rsidR="00581508" w:rsidRPr="00C43E6D" w:rsidRDefault="00581508" w:rsidP="00C94B35">
            <w:pPr>
              <w:spacing w:line="276" w:lineRule="auto"/>
              <w:jc w:val="both"/>
              <w:rPr>
                <w:rFonts w:ascii="Times New Roman" w:hAnsi="Times New Roman" w:cs="Times New Roman"/>
              </w:rPr>
            </w:pPr>
          </w:p>
        </w:tc>
        <w:tc>
          <w:tcPr>
            <w:tcW w:w="173" w:type="pct"/>
            <w:shd w:val="clear" w:color="auto" w:fill="92D050"/>
          </w:tcPr>
          <w:p w14:paraId="31242C65" w14:textId="77777777" w:rsidR="00581508" w:rsidRPr="00C43E6D" w:rsidRDefault="00581508" w:rsidP="00C94B35">
            <w:pPr>
              <w:spacing w:line="276" w:lineRule="auto"/>
              <w:jc w:val="both"/>
              <w:rPr>
                <w:rFonts w:ascii="Times New Roman" w:hAnsi="Times New Roman" w:cs="Times New Roman"/>
              </w:rPr>
            </w:pPr>
          </w:p>
        </w:tc>
        <w:tc>
          <w:tcPr>
            <w:tcW w:w="218" w:type="pct"/>
            <w:shd w:val="clear" w:color="auto" w:fill="92D050"/>
          </w:tcPr>
          <w:p w14:paraId="53C7D996" w14:textId="77777777" w:rsidR="00581508" w:rsidRPr="00C43E6D" w:rsidRDefault="00581508" w:rsidP="00C94B35">
            <w:pPr>
              <w:spacing w:line="276" w:lineRule="auto"/>
              <w:jc w:val="both"/>
              <w:rPr>
                <w:rFonts w:ascii="Times New Roman" w:hAnsi="Times New Roman" w:cs="Times New Roman"/>
              </w:rPr>
            </w:pPr>
          </w:p>
        </w:tc>
        <w:tc>
          <w:tcPr>
            <w:tcW w:w="267" w:type="pct"/>
            <w:shd w:val="clear" w:color="auto" w:fill="92D050"/>
          </w:tcPr>
          <w:p w14:paraId="34F3207E" w14:textId="77777777" w:rsidR="00581508" w:rsidRPr="00C43E6D" w:rsidRDefault="00581508" w:rsidP="00C94B35">
            <w:pPr>
              <w:spacing w:line="276" w:lineRule="auto"/>
              <w:jc w:val="both"/>
              <w:rPr>
                <w:rFonts w:ascii="Times New Roman" w:hAnsi="Times New Roman" w:cs="Times New Roman"/>
              </w:rPr>
            </w:pPr>
          </w:p>
        </w:tc>
        <w:tc>
          <w:tcPr>
            <w:tcW w:w="132" w:type="pct"/>
            <w:shd w:val="clear" w:color="auto" w:fill="92D050"/>
          </w:tcPr>
          <w:p w14:paraId="6E3242CF" w14:textId="77777777" w:rsidR="00581508" w:rsidRPr="00C43E6D" w:rsidRDefault="00581508" w:rsidP="00C94B35">
            <w:pPr>
              <w:spacing w:line="276" w:lineRule="auto"/>
              <w:jc w:val="both"/>
              <w:rPr>
                <w:rFonts w:ascii="Times New Roman" w:hAnsi="Times New Roman" w:cs="Times New Roman"/>
              </w:rPr>
            </w:pPr>
          </w:p>
        </w:tc>
        <w:tc>
          <w:tcPr>
            <w:tcW w:w="182" w:type="pct"/>
            <w:shd w:val="clear" w:color="auto" w:fill="92D050"/>
          </w:tcPr>
          <w:p w14:paraId="1939F284" w14:textId="77777777" w:rsidR="00581508" w:rsidRPr="00C43E6D" w:rsidRDefault="00581508" w:rsidP="00C94B35">
            <w:pPr>
              <w:spacing w:line="276" w:lineRule="auto"/>
              <w:jc w:val="both"/>
              <w:rPr>
                <w:rFonts w:ascii="Times New Roman" w:hAnsi="Times New Roman" w:cs="Times New Roman"/>
              </w:rPr>
            </w:pPr>
          </w:p>
        </w:tc>
        <w:tc>
          <w:tcPr>
            <w:tcW w:w="218" w:type="pct"/>
            <w:shd w:val="clear" w:color="auto" w:fill="92D050"/>
          </w:tcPr>
          <w:p w14:paraId="5F197A68" w14:textId="77777777" w:rsidR="00581508" w:rsidRPr="00C43E6D" w:rsidRDefault="00581508" w:rsidP="00C94B35">
            <w:pPr>
              <w:spacing w:line="276" w:lineRule="auto"/>
              <w:jc w:val="both"/>
              <w:rPr>
                <w:rFonts w:ascii="Times New Roman" w:hAnsi="Times New Roman" w:cs="Times New Roman"/>
              </w:rPr>
            </w:pPr>
          </w:p>
        </w:tc>
        <w:tc>
          <w:tcPr>
            <w:tcW w:w="218" w:type="pct"/>
            <w:shd w:val="clear" w:color="auto" w:fill="92D050"/>
          </w:tcPr>
          <w:p w14:paraId="6F79DA6B" w14:textId="77777777" w:rsidR="00581508" w:rsidRPr="00C43E6D" w:rsidRDefault="00581508" w:rsidP="00C94B35">
            <w:pPr>
              <w:spacing w:line="276" w:lineRule="auto"/>
              <w:jc w:val="both"/>
              <w:rPr>
                <w:rFonts w:ascii="Times New Roman" w:hAnsi="Times New Roman" w:cs="Times New Roman"/>
              </w:rPr>
            </w:pPr>
          </w:p>
        </w:tc>
        <w:tc>
          <w:tcPr>
            <w:tcW w:w="176" w:type="pct"/>
          </w:tcPr>
          <w:p w14:paraId="30BD37A1" w14:textId="77777777" w:rsidR="00581508" w:rsidRPr="00C43E6D" w:rsidRDefault="00581508" w:rsidP="00C94B35">
            <w:pPr>
              <w:spacing w:line="276" w:lineRule="auto"/>
              <w:jc w:val="both"/>
              <w:rPr>
                <w:rFonts w:ascii="Times New Roman" w:hAnsi="Times New Roman" w:cs="Times New Roman"/>
              </w:rPr>
            </w:pPr>
          </w:p>
        </w:tc>
        <w:tc>
          <w:tcPr>
            <w:tcW w:w="218" w:type="pct"/>
          </w:tcPr>
          <w:p w14:paraId="660BDF99" w14:textId="77777777" w:rsidR="00581508" w:rsidRPr="00C43E6D" w:rsidRDefault="00581508" w:rsidP="00C94B35">
            <w:pPr>
              <w:spacing w:line="276" w:lineRule="auto"/>
              <w:jc w:val="both"/>
              <w:rPr>
                <w:rFonts w:ascii="Times New Roman" w:hAnsi="Times New Roman" w:cs="Times New Roman"/>
              </w:rPr>
            </w:pPr>
          </w:p>
        </w:tc>
      </w:tr>
      <w:tr w:rsidR="00581508" w:rsidRPr="00C43E6D" w14:paraId="20E861A1" w14:textId="77777777" w:rsidTr="00DB2EB6">
        <w:tc>
          <w:tcPr>
            <w:tcW w:w="196" w:type="pct"/>
          </w:tcPr>
          <w:p w14:paraId="0B3F3B8A" w14:textId="77777777" w:rsidR="00581508" w:rsidRPr="00C43E6D" w:rsidRDefault="00581508" w:rsidP="00C94B35">
            <w:pPr>
              <w:spacing w:line="276" w:lineRule="auto"/>
              <w:ind w:right="-57"/>
              <w:jc w:val="center"/>
              <w:rPr>
                <w:rFonts w:ascii="Times New Roman" w:hAnsi="Times New Roman" w:cs="Times New Roman"/>
              </w:rPr>
            </w:pPr>
            <w:r w:rsidRPr="00C43E6D">
              <w:rPr>
                <w:rFonts w:ascii="Times New Roman" w:hAnsi="Times New Roman" w:cs="Times New Roman"/>
              </w:rPr>
              <w:t>15</w:t>
            </w:r>
          </w:p>
        </w:tc>
        <w:tc>
          <w:tcPr>
            <w:tcW w:w="1551" w:type="pct"/>
          </w:tcPr>
          <w:p w14:paraId="13DBCB84"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Desemnarea persoanei responsabile de elaborarea raportului privind măsurarea și raportarea rezultatelor</w:t>
            </w:r>
          </w:p>
        </w:tc>
        <w:tc>
          <w:tcPr>
            <w:tcW w:w="680" w:type="pct"/>
          </w:tcPr>
          <w:p w14:paraId="721B4B23"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Echipa de management</w:t>
            </w:r>
          </w:p>
          <w:p w14:paraId="1C1E62CC" w14:textId="77777777" w:rsidR="00581508" w:rsidRPr="00C43E6D" w:rsidRDefault="00581508" w:rsidP="00C94B35">
            <w:pPr>
              <w:spacing w:line="276" w:lineRule="auto"/>
              <w:jc w:val="both"/>
              <w:rPr>
                <w:rFonts w:ascii="Times New Roman" w:hAnsi="Times New Roman" w:cs="Times New Roman"/>
              </w:rPr>
            </w:pPr>
            <w:r w:rsidRPr="00C43E6D">
              <w:rPr>
                <w:rFonts w:ascii="Times New Roman" w:hAnsi="Times New Roman" w:cs="Times New Roman"/>
              </w:rPr>
              <w:t>Managerul energetic</w:t>
            </w:r>
          </w:p>
        </w:tc>
        <w:tc>
          <w:tcPr>
            <w:tcW w:w="259" w:type="pct"/>
          </w:tcPr>
          <w:p w14:paraId="54C0E0EF" w14:textId="77777777" w:rsidR="00581508" w:rsidRPr="00C43E6D" w:rsidRDefault="00581508" w:rsidP="00C94B35">
            <w:pPr>
              <w:spacing w:line="276" w:lineRule="auto"/>
              <w:jc w:val="both"/>
              <w:rPr>
                <w:rFonts w:ascii="Times New Roman" w:hAnsi="Times New Roman" w:cs="Times New Roman"/>
              </w:rPr>
            </w:pPr>
          </w:p>
        </w:tc>
        <w:tc>
          <w:tcPr>
            <w:tcW w:w="292" w:type="pct"/>
          </w:tcPr>
          <w:p w14:paraId="06820CD7" w14:textId="77777777" w:rsidR="00581508" w:rsidRPr="00C43E6D" w:rsidRDefault="00581508" w:rsidP="00C94B35">
            <w:pPr>
              <w:spacing w:line="276" w:lineRule="auto"/>
              <w:jc w:val="both"/>
              <w:rPr>
                <w:rFonts w:ascii="Times New Roman" w:hAnsi="Times New Roman" w:cs="Times New Roman"/>
              </w:rPr>
            </w:pPr>
          </w:p>
        </w:tc>
        <w:tc>
          <w:tcPr>
            <w:tcW w:w="218" w:type="pct"/>
          </w:tcPr>
          <w:p w14:paraId="463349AE" w14:textId="77777777" w:rsidR="00581508" w:rsidRPr="00C43E6D" w:rsidRDefault="00581508" w:rsidP="00C94B35">
            <w:pPr>
              <w:spacing w:line="276" w:lineRule="auto"/>
              <w:jc w:val="both"/>
              <w:rPr>
                <w:rFonts w:ascii="Times New Roman" w:hAnsi="Times New Roman" w:cs="Times New Roman"/>
              </w:rPr>
            </w:pPr>
          </w:p>
        </w:tc>
        <w:tc>
          <w:tcPr>
            <w:tcW w:w="173" w:type="pct"/>
          </w:tcPr>
          <w:p w14:paraId="389E6D2E" w14:textId="77777777" w:rsidR="00581508" w:rsidRPr="00C43E6D" w:rsidRDefault="00581508" w:rsidP="00C94B35">
            <w:pPr>
              <w:spacing w:line="276" w:lineRule="auto"/>
              <w:jc w:val="both"/>
              <w:rPr>
                <w:rFonts w:ascii="Times New Roman" w:hAnsi="Times New Roman" w:cs="Times New Roman"/>
              </w:rPr>
            </w:pPr>
          </w:p>
        </w:tc>
        <w:tc>
          <w:tcPr>
            <w:tcW w:w="218" w:type="pct"/>
          </w:tcPr>
          <w:p w14:paraId="30CF56CD" w14:textId="77777777" w:rsidR="00581508" w:rsidRPr="00C43E6D" w:rsidRDefault="00581508" w:rsidP="00C94B35">
            <w:pPr>
              <w:spacing w:line="276" w:lineRule="auto"/>
              <w:jc w:val="both"/>
              <w:rPr>
                <w:rFonts w:ascii="Times New Roman" w:hAnsi="Times New Roman" w:cs="Times New Roman"/>
              </w:rPr>
            </w:pPr>
          </w:p>
        </w:tc>
        <w:tc>
          <w:tcPr>
            <w:tcW w:w="267" w:type="pct"/>
          </w:tcPr>
          <w:p w14:paraId="1D41CF31" w14:textId="77777777" w:rsidR="00581508" w:rsidRPr="00C43E6D" w:rsidRDefault="00581508" w:rsidP="00C94B35">
            <w:pPr>
              <w:spacing w:line="276" w:lineRule="auto"/>
              <w:jc w:val="both"/>
              <w:rPr>
                <w:rFonts w:ascii="Times New Roman" w:hAnsi="Times New Roman" w:cs="Times New Roman"/>
              </w:rPr>
            </w:pPr>
          </w:p>
        </w:tc>
        <w:tc>
          <w:tcPr>
            <w:tcW w:w="132" w:type="pct"/>
          </w:tcPr>
          <w:p w14:paraId="00B640AE" w14:textId="77777777" w:rsidR="00581508" w:rsidRPr="00C43E6D" w:rsidRDefault="00581508" w:rsidP="00C94B35">
            <w:pPr>
              <w:spacing w:line="276" w:lineRule="auto"/>
              <w:jc w:val="both"/>
              <w:rPr>
                <w:rFonts w:ascii="Times New Roman" w:hAnsi="Times New Roman" w:cs="Times New Roman"/>
              </w:rPr>
            </w:pPr>
          </w:p>
        </w:tc>
        <w:tc>
          <w:tcPr>
            <w:tcW w:w="182" w:type="pct"/>
          </w:tcPr>
          <w:p w14:paraId="6ADBF753" w14:textId="77777777" w:rsidR="00581508" w:rsidRPr="00C43E6D" w:rsidRDefault="00581508" w:rsidP="00C94B35">
            <w:pPr>
              <w:spacing w:line="276" w:lineRule="auto"/>
              <w:jc w:val="both"/>
              <w:rPr>
                <w:rFonts w:ascii="Times New Roman" w:hAnsi="Times New Roman" w:cs="Times New Roman"/>
              </w:rPr>
            </w:pPr>
          </w:p>
        </w:tc>
        <w:tc>
          <w:tcPr>
            <w:tcW w:w="218" w:type="pct"/>
          </w:tcPr>
          <w:p w14:paraId="13AC1A20" w14:textId="77777777" w:rsidR="00581508" w:rsidRPr="00C43E6D" w:rsidRDefault="00581508" w:rsidP="00C94B35">
            <w:pPr>
              <w:spacing w:line="276" w:lineRule="auto"/>
              <w:jc w:val="both"/>
              <w:rPr>
                <w:rFonts w:ascii="Times New Roman" w:hAnsi="Times New Roman" w:cs="Times New Roman"/>
              </w:rPr>
            </w:pPr>
          </w:p>
        </w:tc>
        <w:tc>
          <w:tcPr>
            <w:tcW w:w="218" w:type="pct"/>
            <w:shd w:val="clear" w:color="auto" w:fill="92D050"/>
          </w:tcPr>
          <w:p w14:paraId="4C72FD17" w14:textId="77777777" w:rsidR="00581508" w:rsidRPr="00C43E6D" w:rsidRDefault="00581508" w:rsidP="00C94B35">
            <w:pPr>
              <w:spacing w:line="276" w:lineRule="auto"/>
              <w:jc w:val="both"/>
              <w:rPr>
                <w:rFonts w:ascii="Times New Roman" w:hAnsi="Times New Roman" w:cs="Times New Roman"/>
              </w:rPr>
            </w:pPr>
          </w:p>
        </w:tc>
        <w:tc>
          <w:tcPr>
            <w:tcW w:w="176" w:type="pct"/>
          </w:tcPr>
          <w:p w14:paraId="72642F6C" w14:textId="77777777" w:rsidR="00581508" w:rsidRPr="00C43E6D" w:rsidRDefault="00581508" w:rsidP="00C94B35">
            <w:pPr>
              <w:spacing w:line="276" w:lineRule="auto"/>
              <w:jc w:val="both"/>
              <w:rPr>
                <w:rFonts w:ascii="Times New Roman" w:hAnsi="Times New Roman" w:cs="Times New Roman"/>
              </w:rPr>
            </w:pPr>
          </w:p>
        </w:tc>
        <w:tc>
          <w:tcPr>
            <w:tcW w:w="218" w:type="pct"/>
          </w:tcPr>
          <w:p w14:paraId="087C3ACC" w14:textId="77777777" w:rsidR="00581508" w:rsidRPr="00C43E6D" w:rsidRDefault="00581508" w:rsidP="00C94B35">
            <w:pPr>
              <w:spacing w:line="276" w:lineRule="auto"/>
              <w:jc w:val="both"/>
              <w:rPr>
                <w:rFonts w:ascii="Times New Roman" w:hAnsi="Times New Roman" w:cs="Times New Roman"/>
              </w:rPr>
            </w:pPr>
          </w:p>
        </w:tc>
      </w:tr>
    </w:tbl>
    <w:p w14:paraId="493B5F42" w14:textId="77777777" w:rsidR="00581508" w:rsidRPr="00C43E6D" w:rsidRDefault="00581508" w:rsidP="005103E9">
      <w:pPr>
        <w:pStyle w:val="cb"/>
        <w:spacing w:after="120"/>
        <w:jc w:val="both"/>
      </w:pPr>
    </w:p>
    <w:sectPr w:rsidR="00581508" w:rsidRPr="00C43E6D" w:rsidSect="00AD3333">
      <w:pgSz w:w="11907" w:h="16840" w:code="9"/>
      <w:pgMar w:top="1138" w:right="720" w:bottom="562" w:left="1008" w:header="144" w:footer="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B36EA7" w14:textId="77777777" w:rsidR="00714398" w:rsidRPr="00B331B6" w:rsidRDefault="00714398" w:rsidP="00736F61">
      <w:pPr>
        <w:spacing w:after="0" w:line="240" w:lineRule="auto"/>
      </w:pPr>
      <w:r w:rsidRPr="00B331B6">
        <w:separator/>
      </w:r>
    </w:p>
  </w:endnote>
  <w:endnote w:type="continuationSeparator" w:id="0">
    <w:p w14:paraId="46BD96FC" w14:textId="77777777" w:rsidR="00714398" w:rsidRPr="00B331B6" w:rsidRDefault="00714398" w:rsidP="00736F61">
      <w:pPr>
        <w:spacing w:after="0" w:line="240" w:lineRule="auto"/>
      </w:pPr>
      <w:r w:rsidRPr="00B331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slon">
    <w:altName w:val="Century Gothic"/>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EA8D3" w14:textId="1369575A" w:rsidR="009933D7" w:rsidRPr="00B331B6" w:rsidRDefault="009933D7" w:rsidP="00075921">
    <w:pPr>
      <w:spacing w:after="0"/>
      <w:jc w:val="center"/>
      <w:rPr>
        <w:rStyle w:val="Hyperlink"/>
        <w:rFonts w:asciiTheme="majorHAnsi" w:hAnsiTheme="majorHAnsi" w:cstheme="majorHAnsi"/>
        <w:color w:val="auto"/>
        <w:sz w:val="16"/>
        <w:szCs w:val="16"/>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D69F49" w14:textId="77777777" w:rsidR="00714398" w:rsidRPr="00B331B6" w:rsidRDefault="00714398" w:rsidP="00736F61">
      <w:pPr>
        <w:spacing w:after="0" w:line="240" w:lineRule="auto"/>
      </w:pPr>
      <w:r w:rsidRPr="00B331B6">
        <w:separator/>
      </w:r>
    </w:p>
  </w:footnote>
  <w:footnote w:type="continuationSeparator" w:id="0">
    <w:p w14:paraId="3F4CF551" w14:textId="77777777" w:rsidR="00714398" w:rsidRPr="00B331B6" w:rsidRDefault="00714398" w:rsidP="00736F61">
      <w:pPr>
        <w:spacing w:after="0" w:line="240" w:lineRule="auto"/>
      </w:pPr>
      <w:r w:rsidRPr="00B331B6">
        <w:continuationSeparator/>
      </w:r>
    </w:p>
  </w:footnote>
  <w:footnote w:id="1">
    <w:p w14:paraId="5281561F" w14:textId="5988E388" w:rsidR="009933D7" w:rsidRPr="00672A2D" w:rsidRDefault="009933D7">
      <w:pPr>
        <w:pStyle w:val="FootnoteText"/>
        <w:rPr>
          <w:rFonts w:ascii="Times New Roman" w:hAnsi="Times New Roman" w:cs="Times New Roman"/>
        </w:rPr>
      </w:pPr>
      <w:r w:rsidRPr="00672A2D">
        <w:rPr>
          <w:rStyle w:val="FootnoteReference"/>
          <w:rFonts w:ascii="Times New Roman" w:hAnsi="Times New Roman" w:cs="Times New Roman"/>
        </w:rPr>
        <w:footnoteRef/>
      </w:r>
      <w:r w:rsidRPr="00672A2D">
        <w:rPr>
          <w:rFonts w:ascii="Times New Roman" w:hAnsi="Times New Roman" w:cs="Times New Roman"/>
        </w:rPr>
        <w:t xml:space="preserve"> </w:t>
      </w:r>
      <w:hyperlink r:id="rId1" w:history="1">
        <w:r w:rsidRPr="00672A2D">
          <w:rPr>
            <w:rStyle w:val="Hyperlink"/>
            <w:rFonts w:ascii="Times New Roman" w:hAnsi="Times New Roman" w:cs="Times New Roman"/>
          </w:rPr>
          <w:t>https://www.iea.org/reports/gas-market-report-q2-2025</w:t>
        </w:r>
      </w:hyperlink>
      <w:r w:rsidRPr="00672A2D">
        <w:rPr>
          <w:rFonts w:ascii="Times New Roman" w:hAnsi="Times New Roman" w:cs="Times New Roman"/>
        </w:rPr>
        <w:t xml:space="preserve"> </w:t>
      </w:r>
    </w:p>
  </w:footnote>
  <w:footnote w:id="2">
    <w:p w14:paraId="50D335F5" w14:textId="4EE2F7D5" w:rsidR="009933D7" w:rsidRPr="00812E47" w:rsidRDefault="009933D7">
      <w:pPr>
        <w:pStyle w:val="FootnoteText"/>
        <w:rPr>
          <w:rFonts w:ascii="Times New Roman" w:hAnsi="Times New Roman" w:cs="Times New Roman"/>
        </w:rPr>
      </w:pPr>
      <w:r w:rsidRPr="00812E47">
        <w:rPr>
          <w:rStyle w:val="FootnoteReference"/>
          <w:rFonts w:ascii="Times New Roman" w:hAnsi="Times New Roman" w:cs="Times New Roman"/>
        </w:rPr>
        <w:footnoteRef/>
      </w:r>
      <w:r w:rsidRPr="00812E47">
        <w:rPr>
          <w:rFonts w:ascii="Times New Roman" w:hAnsi="Times New Roman" w:cs="Times New Roman"/>
        </w:rPr>
        <w:t xml:space="preserve"> </w:t>
      </w:r>
      <w:hyperlink r:id="rId2" w:history="1">
        <w:r w:rsidRPr="00812E47">
          <w:rPr>
            <w:rStyle w:val="Hyperlink"/>
            <w:rFonts w:ascii="Times New Roman" w:hAnsi="Times New Roman" w:cs="Times New Roman"/>
          </w:rPr>
          <w:t>https://www.iea.org/reports/gas-market-report-q2-2025</w:t>
        </w:r>
      </w:hyperlink>
      <w:r w:rsidRPr="00812E47">
        <w:rPr>
          <w:rFonts w:ascii="Times New Roman" w:hAnsi="Times New Roman" w:cs="Times New Roman"/>
        </w:rPr>
        <w:t xml:space="preserve"> </w:t>
      </w:r>
    </w:p>
  </w:footnote>
  <w:footnote w:id="3">
    <w:p w14:paraId="2B7E0A77" w14:textId="60BF9944" w:rsidR="009933D7" w:rsidRPr="00812E47" w:rsidRDefault="009933D7">
      <w:pPr>
        <w:pStyle w:val="FootnoteText"/>
      </w:pPr>
      <w:r w:rsidRPr="00812E47">
        <w:rPr>
          <w:rStyle w:val="FootnoteReference"/>
          <w:rFonts w:ascii="Times New Roman" w:hAnsi="Times New Roman" w:cs="Times New Roman"/>
        </w:rPr>
        <w:footnoteRef/>
      </w:r>
      <w:r w:rsidRPr="00812E47">
        <w:rPr>
          <w:rFonts w:ascii="Times New Roman" w:hAnsi="Times New Roman" w:cs="Times New Roman"/>
        </w:rPr>
        <w:t xml:space="preserve"> </w:t>
      </w:r>
      <w:hyperlink r:id="rId3" w:history="1">
        <w:r w:rsidRPr="00812E47">
          <w:rPr>
            <w:rStyle w:val="Hyperlink"/>
            <w:rFonts w:ascii="Times New Roman" w:hAnsi="Times New Roman" w:cs="Times New Roman"/>
          </w:rPr>
          <w:t>https://www.consilium.europa.eu/en/infographics/where-does-the-eu-s-gas-come-from/</w:t>
        </w:r>
      </w:hyperlink>
    </w:p>
  </w:footnote>
  <w:footnote w:id="4">
    <w:p w14:paraId="08AF7A42" w14:textId="23E7BB6B" w:rsidR="009933D7" w:rsidRPr="004F5981" w:rsidRDefault="009933D7" w:rsidP="00C278D7">
      <w:pPr>
        <w:pStyle w:val="FootnoteText"/>
        <w:rPr>
          <w:rFonts w:ascii="Times New Roman" w:hAnsi="Times New Roman" w:cs="Times New Roman"/>
        </w:rPr>
      </w:pPr>
      <w:r w:rsidRPr="004F5981">
        <w:rPr>
          <w:rStyle w:val="FootnoteReference"/>
          <w:rFonts w:ascii="Times New Roman" w:hAnsi="Times New Roman" w:cs="Times New Roman"/>
        </w:rPr>
        <w:footnoteRef/>
      </w:r>
      <w:r w:rsidRPr="004F5981">
        <w:rPr>
          <w:rFonts w:ascii="Times New Roman" w:hAnsi="Times New Roman" w:cs="Times New Roman"/>
        </w:rPr>
        <w:t xml:space="preserve"> </w:t>
      </w:r>
      <w:hyperlink r:id="rId4" w:anchor=":~:text=In%202024%2C%20the%20EU's%20total%20gas%20consumption,when%20EU%20gas%20consumption%20did%20not%20decline" w:history="1">
        <w:r w:rsidRPr="004F5981">
          <w:rPr>
            <w:rStyle w:val="Hyperlink"/>
            <w:rFonts w:ascii="Times New Roman" w:hAnsi="Times New Roman" w:cs="Times New Roman"/>
          </w:rPr>
          <w:t>https://energy.ec.europa.eu/document/download/4aebee79-01e9-4a06-927e-8dd42fc4f9a8_en?filename=New%20Quarterly%20Report%20on%20European%20gas%20markets%20Q4%202024.pdf#:~:text=In%202024%2C%20the%20EU's%20total%20gas%20consumption,when%20EU%20gas%20consumption%20did%20not%20decline</w:t>
        </w:r>
      </w:hyperlink>
      <w:r w:rsidRPr="004F5981">
        <w:rPr>
          <w:rFonts w:ascii="Times New Roman" w:hAnsi="Times New Roman" w:cs="Times New Roman"/>
        </w:rPr>
        <w:t xml:space="preserve"> </w:t>
      </w:r>
    </w:p>
  </w:footnote>
  <w:footnote w:id="5">
    <w:p w14:paraId="68915C9B" w14:textId="742644A2" w:rsidR="009933D7" w:rsidRPr="004F5981" w:rsidRDefault="009933D7">
      <w:pPr>
        <w:pStyle w:val="FootnoteText"/>
        <w:rPr>
          <w:rFonts w:ascii="Times New Roman" w:hAnsi="Times New Roman" w:cs="Times New Roman"/>
        </w:rPr>
      </w:pPr>
      <w:r w:rsidRPr="004F5981">
        <w:rPr>
          <w:rStyle w:val="FootnoteReference"/>
          <w:rFonts w:ascii="Times New Roman" w:hAnsi="Times New Roman" w:cs="Times New Roman"/>
        </w:rPr>
        <w:footnoteRef/>
      </w:r>
      <w:r w:rsidRPr="004F5981">
        <w:rPr>
          <w:rFonts w:ascii="Times New Roman" w:hAnsi="Times New Roman" w:cs="Times New Roman"/>
        </w:rPr>
        <w:t xml:space="preserve"> </w:t>
      </w:r>
      <w:hyperlink r:id="rId5" w:history="1">
        <w:r w:rsidRPr="004F5981">
          <w:rPr>
            <w:rStyle w:val="Hyperlink"/>
            <w:rFonts w:ascii="Times New Roman" w:hAnsi="Times New Roman" w:cs="Times New Roman"/>
          </w:rPr>
          <w:t>https://commission.europa.eu/topics/energy/repowereu_en</w:t>
        </w:r>
      </w:hyperlink>
      <w:r w:rsidRPr="004F5981">
        <w:rPr>
          <w:rFonts w:ascii="Times New Roman" w:hAnsi="Times New Roman" w:cs="Times New Roman"/>
        </w:rPr>
        <w:t xml:space="preserve"> </w:t>
      </w:r>
    </w:p>
  </w:footnote>
  <w:footnote w:id="6">
    <w:p w14:paraId="02F428BB" w14:textId="4A8E3A8B" w:rsidR="009933D7" w:rsidRPr="004F5981" w:rsidRDefault="009933D7">
      <w:pPr>
        <w:pStyle w:val="FootnoteText"/>
      </w:pPr>
      <w:r w:rsidRPr="004F5981">
        <w:rPr>
          <w:rStyle w:val="FootnoteReference"/>
          <w:rFonts w:ascii="Times New Roman" w:hAnsi="Times New Roman" w:cs="Times New Roman"/>
        </w:rPr>
        <w:footnoteRef/>
      </w:r>
      <w:r w:rsidRPr="004F5981">
        <w:rPr>
          <w:rFonts w:ascii="Times New Roman" w:hAnsi="Times New Roman" w:cs="Times New Roman"/>
        </w:rPr>
        <w:t xml:space="preserve"> </w:t>
      </w:r>
      <w:hyperlink r:id="rId6" w:history="1">
        <w:r w:rsidRPr="004F5981">
          <w:rPr>
            <w:rStyle w:val="Hyperlink"/>
            <w:rFonts w:ascii="Times New Roman" w:hAnsi="Times New Roman" w:cs="Times New Roman"/>
          </w:rPr>
          <w:t>https://eur-lex.europa.eu/legal-content/EN/TXT/?uri=CELEX%3A52025DC0440R%2801%29&amp;qid=1747125158211</w:t>
        </w:r>
      </w:hyperlink>
      <w:r>
        <w:t xml:space="preserve"> </w:t>
      </w:r>
    </w:p>
  </w:footnote>
  <w:footnote w:id="7">
    <w:p w14:paraId="7C7A345B" w14:textId="40DD18DE" w:rsidR="009933D7" w:rsidRPr="00982093" w:rsidRDefault="009933D7">
      <w:pPr>
        <w:pStyle w:val="FootnoteText"/>
        <w:rPr>
          <w:rFonts w:ascii="Times New Roman" w:hAnsi="Times New Roman" w:cs="Times New Roman"/>
        </w:rPr>
      </w:pPr>
      <w:r w:rsidRPr="00982093">
        <w:rPr>
          <w:rStyle w:val="FootnoteReference"/>
          <w:rFonts w:ascii="Times New Roman" w:hAnsi="Times New Roman" w:cs="Times New Roman"/>
        </w:rPr>
        <w:footnoteRef/>
      </w:r>
      <w:r w:rsidRPr="00982093">
        <w:rPr>
          <w:rFonts w:ascii="Times New Roman" w:hAnsi="Times New Roman" w:cs="Times New Roman"/>
        </w:rPr>
        <w:t xml:space="preserve"> </w:t>
      </w:r>
      <w:hyperlink r:id="rId7" w:history="1">
        <w:r w:rsidRPr="00982093">
          <w:rPr>
            <w:rStyle w:val="Hyperlink"/>
            <w:rFonts w:ascii="Times New Roman" w:hAnsi="Times New Roman" w:cs="Times New Roman"/>
          </w:rPr>
          <w:t>https://agsi.gie.eu/</w:t>
        </w:r>
      </w:hyperlink>
      <w:r w:rsidRPr="00982093">
        <w:rPr>
          <w:rFonts w:ascii="Times New Roman" w:hAnsi="Times New Roman" w:cs="Times New Roman"/>
        </w:rPr>
        <w:t xml:space="preserve"> </w:t>
      </w:r>
    </w:p>
  </w:footnote>
  <w:footnote w:id="8">
    <w:p w14:paraId="404C51C4" w14:textId="169D21FD" w:rsidR="009933D7" w:rsidRPr="004A045D" w:rsidRDefault="009933D7">
      <w:pPr>
        <w:pStyle w:val="FootnoteText"/>
        <w:rPr>
          <w:rFonts w:ascii="Times New Roman" w:hAnsi="Times New Roman" w:cs="Times New Roman"/>
        </w:rPr>
      </w:pPr>
      <w:r w:rsidRPr="004A045D">
        <w:rPr>
          <w:rStyle w:val="FootnoteReference"/>
          <w:rFonts w:ascii="Times New Roman" w:hAnsi="Times New Roman" w:cs="Times New Roman"/>
        </w:rPr>
        <w:footnoteRef/>
      </w:r>
      <w:r w:rsidRPr="004A045D">
        <w:rPr>
          <w:rFonts w:ascii="Times New Roman" w:hAnsi="Times New Roman" w:cs="Times New Roman"/>
        </w:rPr>
        <w:t xml:space="preserve"> </w:t>
      </w:r>
      <w:hyperlink r:id="rId8" w:history="1">
        <w:r w:rsidRPr="004A045D">
          <w:rPr>
            <w:rStyle w:val="Hyperlink"/>
            <w:rFonts w:ascii="Times New Roman" w:hAnsi="Times New Roman" w:cs="Times New Roman"/>
          </w:rPr>
          <w:t>https://enlargement.ec.europa.eu/news/eu-offers-emergency-support-tackle-energy-crisis-moldova-2025-01-27_en</w:t>
        </w:r>
      </w:hyperlink>
      <w:r w:rsidRPr="004A045D">
        <w:rPr>
          <w:rFonts w:ascii="Times New Roman" w:hAnsi="Times New Roman" w:cs="Times New Roman"/>
        </w:rPr>
        <w:t xml:space="preserve"> </w:t>
      </w:r>
    </w:p>
  </w:footnote>
  <w:footnote w:id="9">
    <w:p w14:paraId="1A04E473" w14:textId="753A9CC7" w:rsidR="009933D7" w:rsidRPr="00D001CA" w:rsidRDefault="009933D7">
      <w:pPr>
        <w:pStyle w:val="FootnoteText"/>
        <w:rPr>
          <w:rFonts w:ascii="Times New Roman" w:hAnsi="Times New Roman" w:cs="Times New Roman"/>
        </w:rPr>
      </w:pPr>
      <w:r w:rsidRPr="00D001CA">
        <w:rPr>
          <w:rStyle w:val="FootnoteReference"/>
          <w:rFonts w:ascii="Times New Roman" w:hAnsi="Times New Roman" w:cs="Times New Roman"/>
        </w:rPr>
        <w:footnoteRef/>
      </w:r>
      <w:r w:rsidRPr="00D001CA">
        <w:rPr>
          <w:rFonts w:ascii="Times New Roman" w:hAnsi="Times New Roman" w:cs="Times New Roman"/>
        </w:rPr>
        <w:t xml:space="preserve"> </w:t>
      </w:r>
      <w:hyperlink r:id="rId9" w:history="1">
        <w:r w:rsidRPr="00D001CA">
          <w:rPr>
            <w:rStyle w:val="Hyperlink"/>
            <w:rFonts w:ascii="Times New Roman" w:hAnsi="Times New Roman" w:cs="Times New Roman"/>
          </w:rPr>
          <w:t>https://ec.europa.eu/commission/presscorner/detail/en/ip_25_403</w:t>
        </w:r>
      </w:hyperlink>
      <w:r w:rsidRPr="00D001CA">
        <w:rPr>
          <w:rFonts w:ascii="Times New Roman" w:hAnsi="Times New Roman" w:cs="Times New Roman"/>
        </w:rPr>
        <w:t xml:space="preserve"> </w:t>
      </w:r>
    </w:p>
  </w:footnote>
  <w:footnote w:id="10">
    <w:p w14:paraId="0A2915CB" w14:textId="1F68F98D" w:rsidR="009933D7" w:rsidRPr="00DB1F51" w:rsidRDefault="009933D7">
      <w:pPr>
        <w:pStyle w:val="FootnoteText"/>
        <w:rPr>
          <w:rFonts w:ascii="Times New Roman" w:hAnsi="Times New Roman" w:cs="Times New Roman"/>
        </w:rPr>
      </w:pPr>
      <w:r w:rsidRPr="00DB1F51">
        <w:rPr>
          <w:rStyle w:val="FootnoteReference"/>
          <w:rFonts w:ascii="Times New Roman" w:hAnsi="Times New Roman" w:cs="Times New Roman"/>
        </w:rPr>
        <w:footnoteRef/>
      </w:r>
      <w:r w:rsidRPr="00DB1F51">
        <w:rPr>
          <w:rFonts w:ascii="Times New Roman" w:hAnsi="Times New Roman" w:cs="Times New Roman"/>
        </w:rPr>
        <w:t xml:space="preserve"> </w:t>
      </w:r>
      <w:hyperlink r:id="rId10" w:history="1">
        <w:r w:rsidRPr="00DB1F51">
          <w:rPr>
            <w:rStyle w:val="Hyperlink"/>
            <w:rFonts w:ascii="Times New Roman" w:hAnsi="Times New Roman" w:cs="Times New Roman"/>
          </w:rPr>
          <w:t>https://www.energy-community.org/news/Energy-Community-News/2024/05/28b.html</w:t>
        </w:r>
      </w:hyperlink>
      <w:r w:rsidRPr="00DB1F51">
        <w:rPr>
          <w:rFonts w:ascii="Times New Roman" w:hAnsi="Times New Roman" w:cs="Times New Roman"/>
        </w:rPr>
        <w:t xml:space="preserve"> </w:t>
      </w:r>
    </w:p>
  </w:footnote>
  <w:footnote w:id="11">
    <w:p w14:paraId="5E8C4274" w14:textId="53B6CA86" w:rsidR="009933D7" w:rsidRPr="00B331B6" w:rsidRDefault="009933D7" w:rsidP="00C2175D">
      <w:pPr>
        <w:pStyle w:val="FootnoteText"/>
        <w:jc w:val="both"/>
        <w:rPr>
          <w:rFonts w:ascii="Times New Roman" w:hAnsi="Times New Roman" w:cs="Times New Roman"/>
        </w:rPr>
      </w:pPr>
      <w:r w:rsidRPr="00B331B6">
        <w:rPr>
          <w:rStyle w:val="FootnoteReference"/>
        </w:rPr>
        <w:footnoteRef/>
      </w:r>
      <w:r>
        <w:t xml:space="preserve"> </w:t>
      </w:r>
      <w:r w:rsidRPr="00B331B6">
        <w:rPr>
          <w:rFonts w:ascii="Times New Roman" w:hAnsi="Times New Roman" w:cs="Times New Roman"/>
        </w:rPr>
        <w:t>Datele prezentate în acest tabel sunt unele estimative bazate pe consumurile de facto a gazelor naturale și energiei electrice în anii precedenți, precum și pe estimările disponibile pentru sezonul de încălzire 202</w:t>
      </w:r>
      <w:r>
        <w:rPr>
          <w:rFonts w:ascii="Times New Roman" w:hAnsi="Times New Roman" w:cs="Times New Roman"/>
        </w:rPr>
        <w:t>5</w:t>
      </w:r>
      <w:r w:rsidRPr="00B331B6">
        <w:rPr>
          <w:rFonts w:ascii="Times New Roman" w:hAnsi="Times New Roman" w:cs="Times New Roman"/>
        </w:rPr>
        <w:t>-202</w:t>
      </w:r>
      <w:r>
        <w:rPr>
          <w:rFonts w:ascii="Times New Roman" w:hAnsi="Times New Roman" w:cs="Times New Roman"/>
        </w:rPr>
        <w:t>6</w:t>
      </w:r>
      <w:r w:rsidRPr="00B331B6">
        <w:rPr>
          <w:rFonts w:ascii="Times New Roman" w:hAnsi="Times New Roman" w:cs="Times New Roman"/>
        </w:rPr>
        <w:t>.</w:t>
      </w:r>
    </w:p>
    <w:p w14:paraId="6256BA09" w14:textId="773D3560" w:rsidR="009933D7" w:rsidRPr="00C2175D" w:rsidRDefault="009933D7" w:rsidP="00C2175D">
      <w:pPr>
        <w:pStyle w:val="FootnoteText"/>
        <w:jc w:val="both"/>
        <w:rPr>
          <w:lang w:val="ro-RO"/>
        </w:rPr>
      </w:pPr>
      <w:r w:rsidRPr="00B331B6">
        <w:rPr>
          <w:rFonts w:ascii="Times New Roman" w:hAnsi="Times New Roman" w:cs="Times New Roman"/>
        </w:rPr>
        <w:t>Prognoza consumului lunar de gaze naturale în perioada octombrie 202</w:t>
      </w:r>
      <w:r>
        <w:rPr>
          <w:rFonts w:ascii="Times New Roman" w:hAnsi="Times New Roman" w:cs="Times New Roman"/>
        </w:rPr>
        <w:t>5</w:t>
      </w:r>
      <w:r w:rsidRPr="00B331B6">
        <w:rPr>
          <w:rFonts w:ascii="Times New Roman" w:hAnsi="Times New Roman" w:cs="Times New Roman"/>
        </w:rPr>
        <w:t xml:space="preserve"> - aprilie 202</w:t>
      </w:r>
      <w:r>
        <w:rPr>
          <w:rFonts w:ascii="Times New Roman" w:hAnsi="Times New Roman" w:cs="Times New Roman"/>
        </w:rPr>
        <w:t>6 la nivel de țară</w:t>
      </w:r>
      <w:r w:rsidRPr="00B331B6">
        <w:rPr>
          <w:rFonts w:ascii="Times New Roman" w:hAnsi="Times New Roman" w:cs="Times New Roman"/>
        </w:rPr>
        <w:t xml:space="preserve"> nu poate servi drept reper unic pentru achizițiile de gaze naturale efectuate de furnizori, reieșind din faptul că aceasta în perioada sezonului de încălzire poate fi influențată de mai mulți factori, cum ar fi: temperatura aerului atmosferic, prețurile de achiziție a gazelor naturale, funcționarea sau nu pe păcură a marilor consumatori de gaze naturale, nivelul prețurilor reglementate și capacitatea de plată a consumatorilor finali</w:t>
      </w:r>
      <w:r>
        <w:rPr>
          <w:rFonts w:ascii="Times New Roman" w:hAnsi="Times New Roman" w:cs="Times New Roman"/>
        </w:rPr>
        <w:t>, cota de piață a furnizorilor,</w:t>
      </w:r>
      <w:r w:rsidRPr="00B331B6">
        <w:rPr>
          <w:rFonts w:ascii="Times New Roman" w:hAnsi="Times New Roman" w:cs="Times New Roman"/>
        </w:rPr>
        <w:t xml:space="preserve"> etc. Astfel, titularii de licență pentru furnizarea gazelor naturale urmează să-și ajusteze </w:t>
      </w:r>
      <w:r>
        <w:rPr>
          <w:rFonts w:ascii="Times New Roman" w:hAnsi="Times New Roman" w:cs="Times New Roman"/>
        </w:rPr>
        <w:t xml:space="preserve">individual </w:t>
      </w:r>
      <w:r w:rsidRPr="00B331B6">
        <w:rPr>
          <w:rFonts w:ascii="Times New Roman" w:hAnsi="Times New Roman" w:cs="Times New Roman"/>
        </w:rPr>
        <w:t>lunar prognoza consumului de gaze naturale pentru următorul sezon de încălzire 202</w:t>
      </w:r>
      <w:r>
        <w:rPr>
          <w:rFonts w:ascii="Times New Roman" w:hAnsi="Times New Roman" w:cs="Times New Roman"/>
        </w:rPr>
        <w:t>5</w:t>
      </w:r>
      <w:r w:rsidRPr="00B331B6">
        <w:rPr>
          <w:rFonts w:ascii="Times New Roman" w:hAnsi="Times New Roman" w:cs="Times New Roman"/>
        </w:rPr>
        <w:t>-202</w:t>
      </w:r>
      <w:r>
        <w:rPr>
          <w:rFonts w:ascii="Times New Roman" w:hAnsi="Times New Roman" w:cs="Times New Roman"/>
        </w:rPr>
        <w:t>6</w:t>
      </w:r>
      <w:r w:rsidRPr="00B331B6">
        <w:rPr>
          <w:rFonts w:ascii="Times New Roman" w:hAnsi="Times New Roman" w:cs="Times New Roman"/>
        </w:rPr>
        <w:t xml:space="preserve"> în </w:t>
      </w:r>
      <w:r>
        <w:rPr>
          <w:rFonts w:ascii="Times New Roman" w:hAnsi="Times New Roman" w:cs="Times New Roman"/>
        </w:rPr>
        <w:t>funcție</w:t>
      </w:r>
      <w:r w:rsidRPr="00B331B6">
        <w:rPr>
          <w:rFonts w:ascii="Times New Roman" w:hAnsi="Times New Roman" w:cs="Times New Roman"/>
        </w:rPr>
        <w:t xml:space="preserve"> de evoluția mai multor factori ce pot influența nivelul consumului de gaze naturale al consumatorilor</w:t>
      </w:r>
      <w:r>
        <w:rPr>
          <w:rFonts w:ascii="Times New Roman" w:hAnsi="Times New Roman" w:cs="Times New Roman"/>
        </w:rPr>
        <w:t xml:space="preserve"> finali</w:t>
      </w:r>
      <w:r w:rsidRPr="00B331B6">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76A"/>
    <w:multiLevelType w:val="hybridMultilevel"/>
    <w:tmpl w:val="C218A47E"/>
    <w:lvl w:ilvl="0" w:tplc="D8C6E4F8">
      <w:start w:val="4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BD853A5"/>
    <w:multiLevelType w:val="multilevel"/>
    <w:tmpl w:val="3D1CE544"/>
    <w:lvl w:ilvl="0">
      <w:start w:val="1"/>
      <w:numFmt w:val="decimal"/>
      <w:lvlText w:val="%1."/>
      <w:lvlJc w:val="left"/>
      <w:pPr>
        <w:ind w:left="1066" w:hanging="360"/>
      </w:pPr>
      <w:rPr>
        <w:rFonts w:ascii="Times New Roman" w:eastAsia="Times New Roman" w:hAnsi="Times New Roman" w:cs="Times New Roman"/>
        <w:b/>
        <w:bCs/>
      </w:rPr>
    </w:lvl>
    <w:lvl w:ilvl="1">
      <w:start w:val="1"/>
      <w:numFmt w:val="decimal"/>
      <w:isLgl/>
      <w:lvlText w:val="%1.%2."/>
      <w:lvlJc w:val="left"/>
      <w:pPr>
        <w:ind w:left="1066" w:hanging="360"/>
      </w:pPr>
      <w:rPr>
        <w:rFonts w:hint="default"/>
      </w:rPr>
    </w:lvl>
    <w:lvl w:ilvl="2">
      <w:start w:val="1"/>
      <w:numFmt w:val="decimal"/>
      <w:isLgl/>
      <w:lvlText w:val="%1.%2.%3."/>
      <w:lvlJc w:val="left"/>
      <w:pPr>
        <w:ind w:left="1426" w:hanging="720"/>
      </w:pPr>
      <w:rPr>
        <w:rFonts w:hint="default"/>
      </w:rPr>
    </w:lvl>
    <w:lvl w:ilvl="3">
      <w:start w:val="1"/>
      <w:numFmt w:val="decimal"/>
      <w:isLgl/>
      <w:lvlText w:val="%1.%2.%3.%4."/>
      <w:lvlJc w:val="left"/>
      <w:pPr>
        <w:ind w:left="1426" w:hanging="720"/>
      </w:pPr>
      <w:rPr>
        <w:rFonts w:hint="default"/>
      </w:rPr>
    </w:lvl>
    <w:lvl w:ilvl="4">
      <w:start w:val="1"/>
      <w:numFmt w:val="decimal"/>
      <w:isLgl/>
      <w:lvlText w:val="%1.%2.%3.%4.%5."/>
      <w:lvlJc w:val="left"/>
      <w:pPr>
        <w:ind w:left="1786" w:hanging="1080"/>
      </w:pPr>
      <w:rPr>
        <w:rFonts w:hint="default"/>
      </w:rPr>
    </w:lvl>
    <w:lvl w:ilvl="5">
      <w:start w:val="1"/>
      <w:numFmt w:val="decimal"/>
      <w:isLgl/>
      <w:lvlText w:val="%1.%2.%3.%4.%5.%6."/>
      <w:lvlJc w:val="left"/>
      <w:pPr>
        <w:ind w:left="1786" w:hanging="1080"/>
      </w:pPr>
      <w:rPr>
        <w:rFonts w:hint="default"/>
      </w:rPr>
    </w:lvl>
    <w:lvl w:ilvl="6">
      <w:start w:val="1"/>
      <w:numFmt w:val="decimal"/>
      <w:isLgl/>
      <w:lvlText w:val="%1.%2.%3.%4.%5.%6.%7."/>
      <w:lvlJc w:val="left"/>
      <w:pPr>
        <w:ind w:left="2146" w:hanging="1440"/>
      </w:pPr>
      <w:rPr>
        <w:rFonts w:hint="default"/>
      </w:rPr>
    </w:lvl>
    <w:lvl w:ilvl="7">
      <w:start w:val="1"/>
      <w:numFmt w:val="decimal"/>
      <w:isLgl/>
      <w:lvlText w:val="%1.%2.%3.%4.%5.%6.%7.%8."/>
      <w:lvlJc w:val="left"/>
      <w:pPr>
        <w:ind w:left="2146" w:hanging="1440"/>
      </w:pPr>
      <w:rPr>
        <w:rFonts w:hint="default"/>
      </w:rPr>
    </w:lvl>
    <w:lvl w:ilvl="8">
      <w:start w:val="1"/>
      <w:numFmt w:val="decimal"/>
      <w:isLgl/>
      <w:lvlText w:val="%1.%2.%3.%4.%5.%6.%7.%8.%9."/>
      <w:lvlJc w:val="left"/>
      <w:pPr>
        <w:ind w:left="2506" w:hanging="1800"/>
      </w:pPr>
      <w:rPr>
        <w:rFonts w:hint="default"/>
      </w:rPr>
    </w:lvl>
  </w:abstractNum>
  <w:abstractNum w:abstractNumId="2" w15:restartNumberingAfterBreak="0">
    <w:nsid w:val="1E294F1D"/>
    <w:multiLevelType w:val="hybridMultilevel"/>
    <w:tmpl w:val="6B18E64A"/>
    <w:lvl w:ilvl="0" w:tplc="6A26AECE">
      <w:start w:val="1"/>
      <w:numFmt w:val="decimal"/>
      <w:lvlText w:val="%1."/>
      <w:lvlJc w:val="left"/>
      <w:pPr>
        <w:ind w:left="1353" w:hanging="360"/>
      </w:pPr>
      <w:rPr>
        <w:rFonts w:hint="default"/>
        <w:b/>
        <w:bCs/>
        <w:color w:val="auto"/>
        <w:sz w:val="24"/>
        <w:szCs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27146D2D"/>
    <w:multiLevelType w:val="hybridMultilevel"/>
    <w:tmpl w:val="724EB032"/>
    <w:lvl w:ilvl="0" w:tplc="17C8D5AC">
      <w:start w:val="1"/>
      <w:numFmt w:val="decimal"/>
      <w:lvlText w:val="%1)"/>
      <w:lvlJc w:val="left"/>
      <w:pPr>
        <w:ind w:left="1020" w:hanging="360"/>
      </w:pPr>
    </w:lvl>
    <w:lvl w:ilvl="1" w:tplc="CDD84E16">
      <w:start w:val="1"/>
      <w:numFmt w:val="decimal"/>
      <w:lvlText w:val="%2)"/>
      <w:lvlJc w:val="left"/>
      <w:pPr>
        <w:ind w:left="1020" w:hanging="360"/>
      </w:pPr>
    </w:lvl>
    <w:lvl w:ilvl="2" w:tplc="34E8F1FE">
      <w:start w:val="1"/>
      <w:numFmt w:val="decimal"/>
      <w:lvlText w:val="%3)"/>
      <w:lvlJc w:val="left"/>
      <w:pPr>
        <w:ind w:left="1020" w:hanging="360"/>
      </w:pPr>
    </w:lvl>
    <w:lvl w:ilvl="3" w:tplc="1DF80AB0">
      <w:start w:val="1"/>
      <w:numFmt w:val="decimal"/>
      <w:lvlText w:val="%4)"/>
      <w:lvlJc w:val="left"/>
      <w:pPr>
        <w:ind w:left="1020" w:hanging="360"/>
      </w:pPr>
    </w:lvl>
    <w:lvl w:ilvl="4" w:tplc="591C0C0E">
      <w:start w:val="1"/>
      <w:numFmt w:val="decimal"/>
      <w:lvlText w:val="%5)"/>
      <w:lvlJc w:val="left"/>
      <w:pPr>
        <w:ind w:left="1020" w:hanging="360"/>
      </w:pPr>
    </w:lvl>
    <w:lvl w:ilvl="5" w:tplc="EAA8D812">
      <w:start w:val="1"/>
      <w:numFmt w:val="decimal"/>
      <w:lvlText w:val="%6)"/>
      <w:lvlJc w:val="left"/>
      <w:pPr>
        <w:ind w:left="1020" w:hanging="360"/>
      </w:pPr>
    </w:lvl>
    <w:lvl w:ilvl="6" w:tplc="A6EE89C2">
      <w:start w:val="1"/>
      <w:numFmt w:val="decimal"/>
      <w:lvlText w:val="%7)"/>
      <w:lvlJc w:val="left"/>
      <w:pPr>
        <w:ind w:left="1020" w:hanging="360"/>
      </w:pPr>
    </w:lvl>
    <w:lvl w:ilvl="7" w:tplc="6FE88F2A">
      <w:start w:val="1"/>
      <w:numFmt w:val="decimal"/>
      <w:lvlText w:val="%8)"/>
      <w:lvlJc w:val="left"/>
      <w:pPr>
        <w:ind w:left="1020" w:hanging="360"/>
      </w:pPr>
    </w:lvl>
    <w:lvl w:ilvl="8" w:tplc="DE4C9408">
      <w:start w:val="1"/>
      <w:numFmt w:val="decimal"/>
      <w:lvlText w:val="%9)"/>
      <w:lvlJc w:val="left"/>
      <w:pPr>
        <w:ind w:left="1020" w:hanging="360"/>
      </w:pPr>
    </w:lvl>
  </w:abstractNum>
  <w:abstractNum w:abstractNumId="4" w15:restartNumberingAfterBreak="0">
    <w:nsid w:val="61802B37"/>
    <w:multiLevelType w:val="hybridMultilevel"/>
    <w:tmpl w:val="BC688A90"/>
    <w:lvl w:ilvl="0" w:tplc="5516894A">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2B42711"/>
    <w:multiLevelType w:val="multilevel"/>
    <w:tmpl w:val="F306AF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72CC4E7C"/>
    <w:multiLevelType w:val="hybridMultilevel"/>
    <w:tmpl w:val="1214E9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413C4E"/>
    <w:multiLevelType w:val="multilevel"/>
    <w:tmpl w:val="D3E6A058"/>
    <w:lvl w:ilvl="0">
      <w:start w:val="1"/>
      <w:numFmt w:val="decimal"/>
      <w:lvlText w:val="%1."/>
      <w:lvlJc w:val="left"/>
      <w:pPr>
        <w:ind w:left="920" w:hanging="38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num w:numId="1">
    <w:abstractNumId w:val="7"/>
  </w:num>
  <w:num w:numId="2">
    <w:abstractNumId w:val="1"/>
  </w:num>
  <w:num w:numId="3">
    <w:abstractNumId w:val="0"/>
  </w:num>
  <w:num w:numId="4">
    <w:abstractNumId w:val="2"/>
  </w:num>
  <w:num w:numId="5">
    <w:abstractNumId w:val="6"/>
  </w:num>
  <w:num w:numId="6">
    <w:abstractNumId w:val="5"/>
  </w:num>
  <w:num w:numId="7">
    <w:abstractNumId w:val="3"/>
  </w:num>
  <w:num w:numId="8">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01B"/>
    <w:rsid w:val="000005E5"/>
    <w:rsid w:val="00000FC1"/>
    <w:rsid w:val="0000176E"/>
    <w:rsid w:val="00002CD9"/>
    <w:rsid w:val="00002D6A"/>
    <w:rsid w:val="00006BF7"/>
    <w:rsid w:val="0000731F"/>
    <w:rsid w:val="000074D5"/>
    <w:rsid w:val="00007615"/>
    <w:rsid w:val="00007C94"/>
    <w:rsid w:val="000100BB"/>
    <w:rsid w:val="000108FE"/>
    <w:rsid w:val="00010A07"/>
    <w:rsid w:val="0001244E"/>
    <w:rsid w:val="000134C0"/>
    <w:rsid w:val="000137A4"/>
    <w:rsid w:val="00015157"/>
    <w:rsid w:val="00021036"/>
    <w:rsid w:val="00023008"/>
    <w:rsid w:val="000242B3"/>
    <w:rsid w:val="000261F3"/>
    <w:rsid w:val="0002634D"/>
    <w:rsid w:val="0002668B"/>
    <w:rsid w:val="00027584"/>
    <w:rsid w:val="000276FC"/>
    <w:rsid w:val="0002781B"/>
    <w:rsid w:val="00027B66"/>
    <w:rsid w:val="00030D73"/>
    <w:rsid w:val="00032766"/>
    <w:rsid w:val="0003290C"/>
    <w:rsid w:val="000347D9"/>
    <w:rsid w:val="00034B80"/>
    <w:rsid w:val="00034B8B"/>
    <w:rsid w:val="00034F68"/>
    <w:rsid w:val="00035E0A"/>
    <w:rsid w:val="00040114"/>
    <w:rsid w:val="00041819"/>
    <w:rsid w:val="00042527"/>
    <w:rsid w:val="00042694"/>
    <w:rsid w:val="000434C0"/>
    <w:rsid w:val="00043CD3"/>
    <w:rsid w:val="0004629F"/>
    <w:rsid w:val="00046462"/>
    <w:rsid w:val="00050D35"/>
    <w:rsid w:val="0005217B"/>
    <w:rsid w:val="00052479"/>
    <w:rsid w:val="00052FE8"/>
    <w:rsid w:val="000537A1"/>
    <w:rsid w:val="00054825"/>
    <w:rsid w:val="00057D8A"/>
    <w:rsid w:val="00060E6A"/>
    <w:rsid w:val="0006121C"/>
    <w:rsid w:val="000619B5"/>
    <w:rsid w:val="00062900"/>
    <w:rsid w:val="00064333"/>
    <w:rsid w:val="00065345"/>
    <w:rsid w:val="00065D47"/>
    <w:rsid w:val="000708E1"/>
    <w:rsid w:val="0007144C"/>
    <w:rsid w:val="0007187E"/>
    <w:rsid w:val="00071BA6"/>
    <w:rsid w:val="00072D5B"/>
    <w:rsid w:val="00073112"/>
    <w:rsid w:val="00074264"/>
    <w:rsid w:val="00074893"/>
    <w:rsid w:val="00075921"/>
    <w:rsid w:val="000778B8"/>
    <w:rsid w:val="00080F66"/>
    <w:rsid w:val="00082EF6"/>
    <w:rsid w:val="0008363C"/>
    <w:rsid w:val="000837B6"/>
    <w:rsid w:val="0008640A"/>
    <w:rsid w:val="000904E2"/>
    <w:rsid w:val="00090C10"/>
    <w:rsid w:val="00092224"/>
    <w:rsid w:val="00092553"/>
    <w:rsid w:val="000933C4"/>
    <w:rsid w:val="0009457B"/>
    <w:rsid w:val="000946B2"/>
    <w:rsid w:val="0009473A"/>
    <w:rsid w:val="00094A8D"/>
    <w:rsid w:val="00094D2C"/>
    <w:rsid w:val="00095794"/>
    <w:rsid w:val="00096B5C"/>
    <w:rsid w:val="000A1F5B"/>
    <w:rsid w:val="000A279E"/>
    <w:rsid w:val="000A360C"/>
    <w:rsid w:val="000A4F48"/>
    <w:rsid w:val="000A5963"/>
    <w:rsid w:val="000A6F88"/>
    <w:rsid w:val="000A750D"/>
    <w:rsid w:val="000B05B0"/>
    <w:rsid w:val="000B0CE1"/>
    <w:rsid w:val="000B163D"/>
    <w:rsid w:val="000B2C77"/>
    <w:rsid w:val="000B41B9"/>
    <w:rsid w:val="000B5173"/>
    <w:rsid w:val="000B5466"/>
    <w:rsid w:val="000B5E31"/>
    <w:rsid w:val="000B5F2F"/>
    <w:rsid w:val="000B6839"/>
    <w:rsid w:val="000B6B9D"/>
    <w:rsid w:val="000C0822"/>
    <w:rsid w:val="000C0C6E"/>
    <w:rsid w:val="000C1041"/>
    <w:rsid w:val="000C1554"/>
    <w:rsid w:val="000C1EF8"/>
    <w:rsid w:val="000C24DA"/>
    <w:rsid w:val="000C3B4A"/>
    <w:rsid w:val="000C450A"/>
    <w:rsid w:val="000D0A94"/>
    <w:rsid w:val="000D103A"/>
    <w:rsid w:val="000D1C75"/>
    <w:rsid w:val="000D527C"/>
    <w:rsid w:val="000D7AD8"/>
    <w:rsid w:val="000E1673"/>
    <w:rsid w:val="000E4B06"/>
    <w:rsid w:val="000E6ACE"/>
    <w:rsid w:val="000E6DAB"/>
    <w:rsid w:val="000E72FC"/>
    <w:rsid w:val="000F0526"/>
    <w:rsid w:val="000F16A4"/>
    <w:rsid w:val="000F26DC"/>
    <w:rsid w:val="000F42BD"/>
    <w:rsid w:val="000F5FFC"/>
    <w:rsid w:val="000F61E2"/>
    <w:rsid w:val="000F64C4"/>
    <w:rsid w:val="000F6ADA"/>
    <w:rsid w:val="000F790A"/>
    <w:rsid w:val="00100067"/>
    <w:rsid w:val="00100104"/>
    <w:rsid w:val="00100DBB"/>
    <w:rsid w:val="00101DD3"/>
    <w:rsid w:val="00102828"/>
    <w:rsid w:val="001034FE"/>
    <w:rsid w:val="001040A0"/>
    <w:rsid w:val="0010510C"/>
    <w:rsid w:val="001062A3"/>
    <w:rsid w:val="00106789"/>
    <w:rsid w:val="00106950"/>
    <w:rsid w:val="00107AA2"/>
    <w:rsid w:val="0011177B"/>
    <w:rsid w:val="0011634D"/>
    <w:rsid w:val="00117842"/>
    <w:rsid w:val="001228AE"/>
    <w:rsid w:val="001232E0"/>
    <w:rsid w:val="00123B95"/>
    <w:rsid w:val="00124529"/>
    <w:rsid w:val="001259E3"/>
    <w:rsid w:val="0012773E"/>
    <w:rsid w:val="00130AF8"/>
    <w:rsid w:val="00130B71"/>
    <w:rsid w:val="0013117B"/>
    <w:rsid w:val="00131A7A"/>
    <w:rsid w:val="0013585E"/>
    <w:rsid w:val="001369F6"/>
    <w:rsid w:val="001377BD"/>
    <w:rsid w:val="00141B3B"/>
    <w:rsid w:val="00141E11"/>
    <w:rsid w:val="00142DFB"/>
    <w:rsid w:val="00144D23"/>
    <w:rsid w:val="001451AA"/>
    <w:rsid w:val="00145771"/>
    <w:rsid w:val="00146D6E"/>
    <w:rsid w:val="00151595"/>
    <w:rsid w:val="00152354"/>
    <w:rsid w:val="00152638"/>
    <w:rsid w:val="0015361E"/>
    <w:rsid w:val="00153F1A"/>
    <w:rsid w:val="00155158"/>
    <w:rsid w:val="001553EB"/>
    <w:rsid w:val="0015662F"/>
    <w:rsid w:val="00156CD0"/>
    <w:rsid w:val="00156D9A"/>
    <w:rsid w:val="00161BFA"/>
    <w:rsid w:val="001652AF"/>
    <w:rsid w:val="00166BB7"/>
    <w:rsid w:val="00167E3C"/>
    <w:rsid w:val="00170A20"/>
    <w:rsid w:val="00171033"/>
    <w:rsid w:val="00173087"/>
    <w:rsid w:val="00175CEB"/>
    <w:rsid w:val="00176301"/>
    <w:rsid w:val="00180F4B"/>
    <w:rsid w:val="001836A3"/>
    <w:rsid w:val="00186076"/>
    <w:rsid w:val="00193A2C"/>
    <w:rsid w:val="001942B7"/>
    <w:rsid w:val="00194B2A"/>
    <w:rsid w:val="00195699"/>
    <w:rsid w:val="001A2381"/>
    <w:rsid w:val="001A43E6"/>
    <w:rsid w:val="001A4A5F"/>
    <w:rsid w:val="001A5ABE"/>
    <w:rsid w:val="001A6DD2"/>
    <w:rsid w:val="001A766C"/>
    <w:rsid w:val="001B0184"/>
    <w:rsid w:val="001B280E"/>
    <w:rsid w:val="001B6DE3"/>
    <w:rsid w:val="001B6EA1"/>
    <w:rsid w:val="001C11F6"/>
    <w:rsid w:val="001C1E27"/>
    <w:rsid w:val="001C2780"/>
    <w:rsid w:val="001C3FD4"/>
    <w:rsid w:val="001C4B3B"/>
    <w:rsid w:val="001C56BB"/>
    <w:rsid w:val="001C5BA6"/>
    <w:rsid w:val="001C61DF"/>
    <w:rsid w:val="001D0FF7"/>
    <w:rsid w:val="001D14A1"/>
    <w:rsid w:val="001D23BF"/>
    <w:rsid w:val="001D39D9"/>
    <w:rsid w:val="001D4823"/>
    <w:rsid w:val="001D49F1"/>
    <w:rsid w:val="001D600F"/>
    <w:rsid w:val="001D685C"/>
    <w:rsid w:val="001D730D"/>
    <w:rsid w:val="001E015B"/>
    <w:rsid w:val="001E122B"/>
    <w:rsid w:val="001E1552"/>
    <w:rsid w:val="001E307D"/>
    <w:rsid w:val="001E360D"/>
    <w:rsid w:val="001E4C5B"/>
    <w:rsid w:val="001E6775"/>
    <w:rsid w:val="001E6F0D"/>
    <w:rsid w:val="001E716A"/>
    <w:rsid w:val="001E7C78"/>
    <w:rsid w:val="001F08FB"/>
    <w:rsid w:val="001F0FAD"/>
    <w:rsid w:val="001F29FF"/>
    <w:rsid w:val="001F340C"/>
    <w:rsid w:val="001F6A8C"/>
    <w:rsid w:val="001F76FE"/>
    <w:rsid w:val="001F798D"/>
    <w:rsid w:val="001F7D13"/>
    <w:rsid w:val="00201198"/>
    <w:rsid w:val="00202393"/>
    <w:rsid w:val="00202D06"/>
    <w:rsid w:val="00202D6F"/>
    <w:rsid w:val="002056B7"/>
    <w:rsid w:val="0020579E"/>
    <w:rsid w:val="00206358"/>
    <w:rsid w:val="00206CB4"/>
    <w:rsid w:val="00207401"/>
    <w:rsid w:val="00207832"/>
    <w:rsid w:val="00212901"/>
    <w:rsid w:val="00212B4A"/>
    <w:rsid w:val="00214289"/>
    <w:rsid w:val="0021453F"/>
    <w:rsid w:val="0021576E"/>
    <w:rsid w:val="00215E5F"/>
    <w:rsid w:val="00216E07"/>
    <w:rsid w:val="00217E6D"/>
    <w:rsid w:val="002212E3"/>
    <w:rsid w:val="002249E4"/>
    <w:rsid w:val="00230614"/>
    <w:rsid w:val="00230D17"/>
    <w:rsid w:val="002319AA"/>
    <w:rsid w:val="00233803"/>
    <w:rsid w:val="0023445B"/>
    <w:rsid w:val="0023596B"/>
    <w:rsid w:val="00235EB7"/>
    <w:rsid w:val="0023621F"/>
    <w:rsid w:val="00236DF8"/>
    <w:rsid w:val="002379B9"/>
    <w:rsid w:val="00237A1A"/>
    <w:rsid w:val="002428FB"/>
    <w:rsid w:val="00242CEF"/>
    <w:rsid w:val="00244A15"/>
    <w:rsid w:val="00245BA8"/>
    <w:rsid w:val="002477FE"/>
    <w:rsid w:val="0025033D"/>
    <w:rsid w:val="002543F5"/>
    <w:rsid w:val="00254A23"/>
    <w:rsid w:val="002553AE"/>
    <w:rsid w:val="0025624D"/>
    <w:rsid w:val="00256A9B"/>
    <w:rsid w:val="00257561"/>
    <w:rsid w:val="0026067F"/>
    <w:rsid w:val="0026145F"/>
    <w:rsid w:val="002627E6"/>
    <w:rsid w:val="00262B58"/>
    <w:rsid w:val="0026385D"/>
    <w:rsid w:val="002640C3"/>
    <w:rsid w:val="00264D48"/>
    <w:rsid w:val="00270185"/>
    <w:rsid w:val="00270D88"/>
    <w:rsid w:val="00271485"/>
    <w:rsid w:val="0027191E"/>
    <w:rsid w:val="00272027"/>
    <w:rsid w:val="00274228"/>
    <w:rsid w:val="002761D4"/>
    <w:rsid w:val="00276E65"/>
    <w:rsid w:val="00276F6A"/>
    <w:rsid w:val="0027764E"/>
    <w:rsid w:val="002777F0"/>
    <w:rsid w:val="0027794E"/>
    <w:rsid w:val="002813FD"/>
    <w:rsid w:val="00284527"/>
    <w:rsid w:val="00285368"/>
    <w:rsid w:val="002856F6"/>
    <w:rsid w:val="00285D8D"/>
    <w:rsid w:val="002860E8"/>
    <w:rsid w:val="002861C1"/>
    <w:rsid w:val="00287FB6"/>
    <w:rsid w:val="002959F4"/>
    <w:rsid w:val="00296429"/>
    <w:rsid w:val="002A1211"/>
    <w:rsid w:val="002A2D86"/>
    <w:rsid w:val="002A33B0"/>
    <w:rsid w:val="002A33CE"/>
    <w:rsid w:val="002A5343"/>
    <w:rsid w:val="002A580B"/>
    <w:rsid w:val="002A6900"/>
    <w:rsid w:val="002B0A68"/>
    <w:rsid w:val="002B0E4E"/>
    <w:rsid w:val="002B1A05"/>
    <w:rsid w:val="002B1EB5"/>
    <w:rsid w:val="002B29FA"/>
    <w:rsid w:val="002B3306"/>
    <w:rsid w:val="002B424B"/>
    <w:rsid w:val="002B645F"/>
    <w:rsid w:val="002B6BC3"/>
    <w:rsid w:val="002B6CD1"/>
    <w:rsid w:val="002C0527"/>
    <w:rsid w:val="002C0ED1"/>
    <w:rsid w:val="002C27FA"/>
    <w:rsid w:val="002C6D7C"/>
    <w:rsid w:val="002C767B"/>
    <w:rsid w:val="002C785A"/>
    <w:rsid w:val="002D093B"/>
    <w:rsid w:val="002D116B"/>
    <w:rsid w:val="002D242C"/>
    <w:rsid w:val="002D2D9B"/>
    <w:rsid w:val="002D379B"/>
    <w:rsid w:val="002D4BEA"/>
    <w:rsid w:val="002D4ECF"/>
    <w:rsid w:val="002D5594"/>
    <w:rsid w:val="002D626F"/>
    <w:rsid w:val="002D7AC1"/>
    <w:rsid w:val="002E035B"/>
    <w:rsid w:val="002E17F4"/>
    <w:rsid w:val="002E2FAD"/>
    <w:rsid w:val="002E38CE"/>
    <w:rsid w:val="002E3A1C"/>
    <w:rsid w:val="002E4680"/>
    <w:rsid w:val="002E698A"/>
    <w:rsid w:val="002E7C48"/>
    <w:rsid w:val="002F05A1"/>
    <w:rsid w:val="002F1077"/>
    <w:rsid w:val="002F33BA"/>
    <w:rsid w:val="002F59D2"/>
    <w:rsid w:val="002F7117"/>
    <w:rsid w:val="002F724B"/>
    <w:rsid w:val="00302667"/>
    <w:rsid w:val="00304C2F"/>
    <w:rsid w:val="003051A0"/>
    <w:rsid w:val="00305248"/>
    <w:rsid w:val="003055EA"/>
    <w:rsid w:val="00305DD9"/>
    <w:rsid w:val="003070EA"/>
    <w:rsid w:val="00307792"/>
    <w:rsid w:val="00307CD4"/>
    <w:rsid w:val="00310720"/>
    <w:rsid w:val="0031220E"/>
    <w:rsid w:val="00312757"/>
    <w:rsid w:val="00313530"/>
    <w:rsid w:val="0031400C"/>
    <w:rsid w:val="00314153"/>
    <w:rsid w:val="00314F0A"/>
    <w:rsid w:val="00321483"/>
    <w:rsid w:val="0032406A"/>
    <w:rsid w:val="0032590B"/>
    <w:rsid w:val="00325D34"/>
    <w:rsid w:val="00327CAA"/>
    <w:rsid w:val="00330213"/>
    <w:rsid w:val="00333898"/>
    <w:rsid w:val="00334036"/>
    <w:rsid w:val="00334BBC"/>
    <w:rsid w:val="00335C46"/>
    <w:rsid w:val="003367A0"/>
    <w:rsid w:val="003378A6"/>
    <w:rsid w:val="003409EB"/>
    <w:rsid w:val="00340E84"/>
    <w:rsid w:val="00340EFE"/>
    <w:rsid w:val="00341B6C"/>
    <w:rsid w:val="00343521"/>
    <w:rsid w:val="0034412D"/>
    <w:rsid w:val="003441DF"/>
    <w:rsid w:val="003444C9"/>
    <w:rsid w:val="0034585D"/>
    <w:rsid w:val="00350C2D"/>
    <w:rsid w:val="00351C32"/>
    <w:rsid w:val="0035326F"/>
    <w:rsid w:val="00353363"/>
    <w:rsid w:val="0035407C"/>
    <w:rsid w:val="00355A5E"/>
    <w:rsid w:val="00356CCD"/>
    <w:rsid w:val="00361CCF"/>
    <w:rsid w:val="00366998"/>
    <w:rsid w:val="00370DB1"/>
    <w:rsid w:val="00370E86"/>
    <w:rsid w:val="00371427"/>
    <w:rsid w:val="003735DF"/>
    <w:rsid w:val="00373D2C"/>
    <w:rsid w:val="003743D1"/>
    <w:rsid w:val="00375196"/>
    <w:rsid w:val="00375403"/>
    <w:rsid w:val="00375FFB"/>
    <w:rsid w:val="00376D77"/>
    <w:rsid w:val="00380CE5"/>
    <w:rsid w:val="00380E48"/>
    <w:rsid w:val="003813EB"/>
    <w:rsid w:val="00381512"/>
    <w:rsid w:val="00382481"/>
    <w:rsid w:val="0038425E"/>
    <w:rsid w:val="00385531"/>
    <w:rsid w:val="00385839"/>
    <w:rsid w:val="00386B78"/>
    <w:rsid w:val="00387A54"/>
    <w:rsid w:val="00387EFA"/>
    <w:rsid w:val="00390110"/>
    <w:rsid w:val="00390F4D"/>
    <w:rsid w:val="00391B9D"/>
    <w:rsid w:val="00393B31"/>
    <w:rsid w:val="00393DA1"/>
    <w:rsid w:val="003953FC"/>
    <w:rsid w:val="00395AB2"/>
    <w:rsid w:val="003961F4"/>
    <w:rsid w:val="00397D42"/>
    <w:rsid w:val="003A2410"/>
    <w:rsid w:val="003A3BA6"/>
    <w:rsid w:val="003A651E"/>
    <w:rsid w:val="003A73E3"/>
    <w:rsid w:val="003B0625"/>
    <w:rsid w:val="003B0946"/>
    <w:rsid w:val="003B1162"/>
    <w:rsid w:val="003B2413"/>
    <w:rsid w:val="003B4773"/>
    <w:rsid w:val="003B587F"/>
    <w:rsid w:val="003B6A0E"/>
    <w:rsid w:val="003C0335"/>
    <w:rsid w:val="003C199E"/>
    <w:rsid w:val="003C1B7F"/>
    <w:rsid w:val="003C40FC"/>
    <w:rsid w:val="003C6EC0"/>
    <w:rsid w:val="003D0C76"/>
    <w:rsid w:val="003D32C3"/>
    <w:rsid w:val="003D699F"/>
    <w:rsid w:val="003D7519"/>
    <w:rsid w:val="003D769E"/>
    <w:rsid w:val="003D7D12"/>
    <w:rsid w:val="003E23D4"/>
    <w:rsid w:val="003E2754"/>
    <w:rsid w:val="003E28AC"/>
    <w:rsid w:val="003E31A2"/>
    <w:rsid w:val="003E5524"/>
    <w:rsid w:val="003E5F25"/>
    <w:rsid w:val="003E6826"/>
    <w:rsid w:val="003E77A0"/>
    <w:rsid w:val="003E7DC4"/>
    <w:rsid w:val="003F0B5E"/>
    <w:rsid w:val="003F1DB9"/>
    <w:rsid w:val="003F2050"/>
    <w:rsid w:val="003F2561"/>
    <w:rsid w:val="003F3834"/>
    <w:rsid w:val="003F43B5"/>
    <w:rsid w:val="003F5255"/>
    <w:rsid w:val="003F755E"/>
    <w:rsid w:val="003F77AA"/>
    <w:rsid w:val="00400745"/>
    <w:rsid w:val="004009C2"/>
    <w:rsid w:val="00402096"/>
    <w:rsid w:val="00402B73"/>
    <w:rsid w:val="00402FD3"/>
    <w:rsid w:val="0040468F"/>
    <w:rsid w:val="00405F11"/>
    <w:rsid w:val="00407297"/>
    <w:rsid w:val="00410EAD"/>
    <w:rsid w:val="00411014"/>
    <w:rsid w:val="004115AE"/>
    <w:rsid w:val="00414B41"/>
    <w:rsid w:val="00414C30"/>
    <w:rsid w:val="00416C3D"/>
    <w:rsid w:val="00416FE7"/>
    <w:rsid w:val="00417BF8"/>
    <w:rsid w:val="00420593"/>
    <w:rsid w:val="00420CE6"/>
    <w:rsid w:val="0042122B"/>
    <w:rsid w:val="004225F8"/>
    <w:rsid w:val="0042340B"/>
    <w:rsid w:val="00423589"/>
    <w:rsid w:val="00424D3D"/>
    <w:rsid w:val="00425A93"/>
    <w:rsid w:val="00426CCF"/>
    <w:rsid w:val="00427565"/>
    <w:rsid w:val="00431EEE"/>
    <w:rsid w:val="0043421E"/>
    <w:rsid w:val="00434ADF"/>
    <w:rsid w:val="00435210"/>
    <w:rsid w:val="004372B9"/>
    <w:rsid w:val="004402DA"/>
    <w:rsid w:val="00440999"/>
    <w:rsid w:val="00441AED"/>
    <w:rsid w:val="00441FC6"/>
    <w:rsid w:val="00442AAC"/>
    <w:rsid w:val="0044476C"/>
    <w:rsid w:val="004448AD"/>
    <w:rsid w:val="004457AB"/>
    <w:rsid w:val="0044585E"/>
    <w:rsid w:val="004501A7"/>
    <w:rsid w:val="004521D3"/>
    <w:rsid w:val="004523AF"/>
    <w:rsid w:val="00453491"/>
    <w:rsid w:val="004607A1"/>
    <w:rsid w:val="004612D8"/>
    <w:rsid w:val="004630CA"/>
    <w:rsid w:val="004642DA"/>
    <w:rsid w:val="00464930"/>
    <w:rsid w:val="004656DF"/>
    <w:rsid w:val="00465831"/>
    <w:rsid w:val="00465B65"/>
    <w:rsid w:val="00465C3F"/>
    <w:rsid w:val="004669AE"/>
    <w:rsid w:val="00471246"/>
    <w:rsid w:val="0047203B"/>
    <w:rsid w:val="00474049"/>
    <w:rsid w:val="00474D96"/>
    <w:rsid w:val="00476821"/>
    <w:rsid w:val="004770BF"/>
    <w:rsid w:val="00477C96"/>
    <w:rsid w:val="00481932"/>
    <w:rsid w:val="00482A22"/>
    <w:rsid w:val="00483A59"/>
    <w:rsid w:val="00484F97"/>
    <w:rsid w:val="00486CAE"/>
    <w:rsid w:val="0048740F"/>
    <w:rsid w:val="0049285A"/>
    <w:rsid w:val="00492EB6"/>
    <w:rsid w:val="00493174"/>
    <w:rsid w:val="004937E8"/>
    <w:rsid w:val="00493BB1"/>
    <w:rsid w:val="004949B2"/>
    <w:rsid w:val="0049503C"/>
    <w:rsid w:val="0049589E"/>
    <w:rsid w:val="00496A31"/>
    <w:rsid w:val="00496BC4"/>
    <w:rsid w:val="00497505"/>
    <w:rsid w:val="004A045D"/>
    <w:rsid w:val="004A374F"/>
    <w:rsid w:val="004A3DBA"/>
    <w:rsid w:val="004A3E53"/>
    <w:rsid w:val="004B0685"/>
    <w:rsid w:val="004B2C75"/>
    <w:rsid w:val="004B34FF"/>
    <w:rsid w:val="004B47CD"/>
    <w:rsid w:val="004B50EA"/>
    <w:rsid w:val="004B5628"/>
    <w:rsid w:val="004B5CD3"/>
    <w:rsid w:val="004B5ECE"/>
    <w:rsid w:val="004B7C66"/>
    <w:rsid w:val="004C3160"/>
    <w:rsid w:val="004C551D"/>
    <w:rsid w:val="004C62F2"/>
    <w:rsid w:val="004C7DEB"/>
    <w:rsid w:val="004D271A"/>
    <w:rsid w:val="004D2CB3"/>
    <w:rsid w:val="004D4089"/>
    <w:rsid w:val="004D5061"/>
    <w:rsid w:val="004D5461"/>
    <w:rsid w:val="004D5E76"/>
    <w:rsid w:val="004D70AE"/>
    <w:rsid w:val="004D77F1"/>
    <w:rsid w:val="004E0367"/>
    <w:rsid w:val="004E1A83"/>
    <w:rsid w:val="004E2221"/>
    <w:rsid w:val="004E2960"/>
    <w:rsid w:val="004E2AFD"/>
    <w:rsid w:val="004E391F"/>
    <w:rsid w:val="004E4328"/>
    <w:rsid w:val="004E546D"/>
    <w:rsid w:val="004E5617"/>
    <w:rsid w:val="004E666B"/>
    <w:rsid w:val="004E7C33"/>
    <w:rsid w:val="004F02FB"/>
    <w:rsid w:val="004F0D1F"/>
    <w:rsid w:val="004F1024"/>
    <w:rsid w:val="004F160A"/>
    <w:rsid w:val="004F19D8"/>
    <w:rsid w:val="004F505F"/>
    <w:rsid w:val="004F5374"/>
    <w:rsid w:val="004F5981"/>
    <w:rsid w:val="004F6886"/>
    <w:rsid w:val="004F7E41"/>
    <w:rsid w:val="005004F5"/>
    <w:rsid w:val="00500E57"/>
    <w:rsid w:val="005015CB"/>
    <w:rsid w:val="005020B2"/>
    <w:rsid w:val="00503929"/>
    <w:rsid w:val="00503A67"/>
    <w:rsid w:val="005043C7"/>
    <w:rsid w:val="0050460E"/>
    <w:rsid w:val="00505342"/>
    <w:rsid w:val="005103E9"/>
    <w:rsid w:val="00510D2E"/>
    <w:rsid w:val="00510E4E"/>
    <w:rsid w:val="00512EB5"/>
    <w:rsid w:val="005138A8"/>
    <w:rsid w:val="00513CE9"/>
    <w:rsid w:val="00514129"/>
    <w:rsid w:val="00514A5E"/>
    <w:rsid w:val="005167F6"/>
    <w:rsid w:val="00523288"/>
    <w:rsid w:val="00523F9F"/>
    <w:rsid w:val="00524EFC"/>
    <w:rsid w:val="00532376"/>
    <w:rsid w:val="005328A2"/>
    <w:rsid w:val="0053322F"/>
    <w:rsid w:val="005362F5"/>
    <w:rsid w:val="0053667C"/>
    <w:rsid w:val="00536ADF"/>
    <w:rsid w:val="0053710C"/>
    <w:rsid w:val="00537EBB"/>
    <w:rsid w:val="00540CD6"/>
    <w:rsid w:val="0054237D"/>
    <w:rsid w:val="00542A57"/>
    <w:rsid w:val="00542AA6"/>
    <w:rsid w:val="00542F2B"/>
    <w:rsid w:val="00543799"/>
    <w:rsid w:val="00545486"/>
    <w:rsid w:val="00546280"/>
    <w:rsid w:val="00546ADF"/>
    <w:rsid w:val="00550F63"/>
    <w:rsid w:val="00551185"/>
    <w:rsid w:val="005516D2"/>
    <w:rsid w:val="005519E2"/>
    <w:rsid w:val="00551EB8"/>
    <w:rsid w:val="00552AFE"/>
    <w:rsid w:val="00553D9B"/>
    <w:rsid w:val="00555356"/>
    <w:rsid w:val="0055537B"/>
    <w:rsid w:val="00555C59"/>
    <w:rsid w:val="0055742A"/>
    <w:rsid w:val="00560007"/>
    <w:rsid w:val="0056046C"/>
    <w:rsid w:val="00560B13"/>
    <w:rsid w:val="00560F39"/>
    <w:rsid w:val="005611C6"/>
    <w:rsid w:val="00561B4D"/>
    <w:rsid w:val="00563E6E"/>
    <w:rsid w:val="00565A48"/>
    <w:rsid w:val="005675FA"/>
    <w:rsid w:val="00567FED"/>
    <w:rsid w:val="00570AA8"/>
    <w:rsid w:val="00571D88"/>
    <w:rsid w:val="00571D9F"/>
    <w:rsid w:val="005731A0"/>
    <w:rsid w:val="00573656"/>
    <w:rsid w:val="0057379B"/>
    <w:rsid w:val="00573E04"/>
    <w:rsid w:val="00573E9E"/>
    <w:rsid w:val="0057495B"/>
    <w:rsid w:val="005750A2"/>
    <w:rsid w:val="005763C2"/>
    <w:rsid w:val="00581508"/>
    <w:rsid w:val="00583CA3"/>
    <w:rsid w:val="00585945"/>
    <w:rsid w:val="00585AB8"/>
    <w:rsid w:val="00586A38"/>
    <w:rsid w:val="00586D8F"/>
    <w:rsid w:val="00587599"/>
    <w:rsid w:val="005908B9"/>
    <w:rsid w:val="00590EBE"/>
    <w:rsid w:val="005914F1"/>
    <w:rsid w:val="0059269F"/>
    <w:rsid w:val="00594C39"/>
    <w:rsid w:val="00595034"/>
    <w:rsid w:val="00595510"/>
    <w:rsid w:val="00596A93"/>
    <w:rsid w:val="00596C7F"/>
    <w:rsid w:val="0059744C"/>
    <w:rsid w:val="00597B31"/>
    <w:rsid w:val="005A0A2A"/>
    <w:rsid w:val="005A16AF"/>
    <w:rsid w:val="005A1EA2"/>
    <w:rsid w:val="005A294D"/>
    <w:rsid w:val="005A2A86"/>
    <w:rsid w:val="005A4FFD"/>
    <w:rsid w:val="005A5DAB"/>
    <w:rsid w:val="005A62E5"/>
    <w:rsid w:val="005B2454"/>
    <w:rsid w:val="005B27C9"/>
    <w:rsid w:val="005B41D4"/>
    <w:rsid w:val="005B5A6E"/>
    <w:rsid w:val="005B6859"/>
    <w:rsid w:val="005B6CAF"/>
    <w:rsid w:val="005B7822"/>
    <w:rsid w:val="005C12A4"/>
    <w:rsid w:val="005C25A7"/>
    <w:rsid w:val="005C2F4B"/>
    <w:rsid w:val="005C3395"/>
    <w:rsid w:val="005C4FC9"/>
    <w:rsid w:val="005C6B60"/>
    <w:rsid w:val="005C7012"/>
    <w:rsid w:val="005C7636"/>
    <w:rsid w:val="005C7C7F"/>
    <w:rsid w:val="005C7FFC"/>
    <w:rsid w:val="005D190D"/>
    <w:rsid w:val="005D4AD9"/>
    <w:rsid w:val="005D4D28"/>
    <w:rsid w:val="005D5464"/>
    <w:rsid w:val="005D54C5"/>
    <w:rsid w:val="005D5517"/>
    <w:rsid w:val="005D5E46"/>
    <w:rsid w:val="005D6230"/>
    <w:rsid w:val="005D69BB"/>
    <w:rsid w:val="005E33B4"/>
    <w:rsid w:val="005E54AA"/>
    <w:rsid w:val="005E61A4"/>
    <w:rsid w:val="005F0D30"/>
    <w:rsid w:val="005F1779"/>
    <w:rsid w:val="005F1790"/>
    <w:rsid w:val="005F1C95"/>
    <w:rsid w:val="005F350C"/>
    <w:rsid w:val="005F5E6D"/>
    <w:rsid w:val="005F70A3"/>
    <w:rsid w:val="00600F69"/>
    <w:rsid w:val="006021ED"/>
    <w:rsid w:val="0060324F"/>
    <w:rsid w:val="00603607"/>
    <w:rsid w:val="006058DE"/>
    <w:rsid w:val="00606473"/>
    <w:rsid w:val="006115BC"/>
    <w:rsid w:val="0061252A"/>
    <w:rsid w:val="0061281B"/>
    <w:rsid w:val="0061350A"/>
    <w:rsid w:val="00614AE8"/>
    <w:rsid w:val="0061632A"/>
    <w:rsid w:val="00616BD4"/>
    <w:rsid w:val="00617406"/>
    <w:rsid w:val="00617C8F"/>
    <w:rsid w:val="00620285"/>
    <w:rsid w:val="0062031D"/>
    <w:rsid w:val="00620738"/>
    <w:rsid w:val="00620AE3"/>
    <w:rsid w:val="00622B25"/>
    <w:rsid w:val="00622CC0"/>
    <w:rsid w:val="00626495"/>
    <w:rsid w:val="00627936"/>
    <w:rsid w:val="00627EDE"/>
    <w:rsid w:val="00627FB1"/>
    <w:rsid w:val="0063056D"/>
    <w:rsid w:val="00630C0D"/>
    <w:rsid w:val="0063107F"/>
    <w:rsid w:val="0063125E"/>
    <w:rsid w:val="006344BC"/>
    <w:rsid w:val="00634869"/>
    <w:rsid w:val="00634BA4"/>
    <w:rsid w:val="00634CD0"/>
    <w:rsid w:val="00635703"/>
    <w:rsid w:val="00635764"/>
    <w:rsid w:val="0063590D"/>
    <w:rsid w:val="00635A07"/>
    <w:rsid w:val="00635A97"/>
    <w:rsid w:val="00635C15"/>
    <w:rsid w:val="0063614D"/>
    <w:rsid w:val="00640A8F"/>
    <w:rsid w:val="006416D6"/>
    <w:rsid w:val="00641D35"/>
    <w:rsid w:val="006421FA"/>
    <w:rsid w:val="00642F8F"/>
    <w:rsid w:val="00642FA8"/>
    <w:rsid w:val="006460BE"/>
    <w:rsid w:val="00646619"/>
    <w:rsid w:val="00651F9B"/>
    <w:rsid w:val="006526EB"/>
    <w:rsid w:val="006528AB"/>
    <w:rsid w:val="00653A3A"/>
    <w:rsid w:val="0065466A"/>
    <w:rsid w:val="00655A95"/>
    <w:rsid w:val="00655EBD"/>
    <w:rsid w:val="00656E0B"/>
    <w:rsid w:val="006612EB"/>
    <w:rsid w:val="00664462"/>
    <w:rsid w:val="006653B8"/>
    <w:rsid w:val="00665882"/>
    <w:rsid w:val="006660F6"/>
    <w:rsid w:val="00666343"/>
    <w:rsid w:val="006675BE"/>
    <w:rsid w:val="0067044E"/>
    <w:rsid w:val="00672340"/>
    <w:rsid w:val="00672A2D"/>
    <w:rsid w:val="0067330B"/>
    <w:rsid w:val="00673925"/>
    <w:rsid w:val="0067499D"/>
    <w:rsid w:val="006777F6"/>
    <w:rsid w:val="00680280"/>
    <w:rsid w:val="00680E12"/>
    <w:rsid w:val="006824F8"/>
    <w:rsid w:val="00682998"/>
    <w:rsid w:val="00682C77"/>
    <w:rsid w:val="0068545F"/>
    <w:rsid w:val="00687100"/>
    <w:rsid w:val="00687FC3"/>
    <w:rsid w:val="00690AC2"/>
    <w:rsid w:val="006927B2"/>
    <w:rsid w:val="006A0D8E"/>
    <w:rsid w:val="006A100B"/>
    <w:rsid w:val="006A101D"/>
    <w:rsid w:val="006A1540"/>
    <w:rsid w:val="006A1D3D"/>
    <w:rsid w:val="006A408A"/>
    <w:rsid w:val="006A6092"/>
    <w:rsid w:val="006B1823"/>
    <w:rsid w:val="006B55D5"/>
    <w:rsid w:val="006B7105"/>
    <w:rsid w:val="006B7A1A"/>
    <w:rsid w:val="006C082B"/>
    <w:rsid w:val="006C1B66"/>
    <w:rsid w:val="006C24FC"/>
    <w:rsid w:val="006C2A09"/>
    <w:rsid w:val="006C33C3"/>
    <w:rsid w:val="006C4183"/>
    <w:rsid w:val="006C4F0A"/>
    <w:rsid w:val="006C5B0D"/>
    <w:rsid w:val="006C651D"/>
    <w:rsid w:val="006C656E"/>
    <w:rsid w:val="006C7F4C"/>
    <w:rsid w:val="006D14F2"/>
    <w:rsid w:val="006D2E7D"/>
    <w:rsid w:val="006D3BB3"/>
    <w:rsid w:val="006D4B62"/>
    <w:rsid w:val="006D5420"/>
    <w:rsid w:val="006D5B60"/>
    <w:rsid w:val="006E0EA6"/>
    <w:rsid w:val="006E2D64"/>
    <w:rsid w:val="006E3872"/>
    <w:rsid w:val="006E474B"/>
    <w:rsid w:val="006E60E8"/>
    <w:rsid w:val="006E65FB"/>
    <w:rsid w:val="006E7483"/>
    <w:rsid w:val="006F0989"/>
    <w:rsid w:val="006F0A0F"/>
    <w:rsid w:val="006F0C64"/>
    <w:rsid w:val="006F11FE"/>
    <w:rsid w:val="006F22B9"/>
    <w:rsid w:val="006F2738"/>
    <w:rsid w:val="006F484B"/>
    <w:rsid w:val="006F4F73"/>
    <w:rsid w:val="006F506E"/>
    <w:rsid w:val="006F5F10"/>
    <w:rsid w:val="006F6467"/>
    <w:rsid w:val="006F6A34"/>
    <w:rsid w:val="006F6C95"/>
    <w:rsid w:val="006F6C9D"/>
    <w:rsid w:val="006F7516"/>
    <w:rsid w:val="006F7519"/>
    <w:rsid w:val="0070141B"/>
    <w:rsid w:val="007020D1"/>
    <w:rsid w:val="00702AFF"/>
    <w:rsid w:val="0070442A"/>
    <w:rsid w:val="00704F44"/>
    <w:rsid w:val="007053A5"/>
    <w:rsid w:val="00706355"/>
    <w:rsid w:val="00706A29"/>
    <w:rsid w:val="00706A61"/>
    <w:rsid w:val="00706EFD"/>
    <w:rsid w:val="00707063"/>
    <w:rsid w:val="007071EE"/>
    <w:rsid w:val="0070797F"/>
    <w:rsid w:val="00707C90"/>
    <w:rsid w:val="00711DF2"/>
    <w:rsid w:val="007134F8"/>
    <w:rsid w:val="00714398"/>
    <w:rsid w:val="007157D7"/>
    <w:rsid w:val="007165A9"/>
    <w:rsid w:val="0071704E"/>
    <w:rsid w:val="007177CB"/>
    <w:rsid w:val="00717824"/>
    <w:rsid w:val="00720F85"/>
    <w:rsid w:val="007228B0"/>
    <w:rsid w:val="0072401F"/>
    <w:rsid w:val="00724285"/>
    <w:rsid w:val="00726A49"/>
    <w:rsid w:val="007303FC"/>
    <w:rsid w:val="00730FDD"/>
    <w:rsid w:val="00732FB1"/>
    <w:rsid w:val="00733BDC"/>
    <w:rsid w:val="0073448A"/>
    <w:rsid w:val="00736F61"/>
    <w:rsid w:val="00737289"/>
    <w:rsid w:val="00737549"/>
    <w:rsid w:val="00737BBA"/>
    <w:rsid w:val="00740A8B"/>
    <w:rsid w:val="00741409"/>
    <w:rsid w:val="007427F2"/>
    <w:rsid w:val="007433FF"/>
    <w:rsid w:val="00743DC2"/>
    <w:rsid w:val="00744A3A"/>
    <w:rsid w:val="0074531F"/>
    <w:rsid w:val="00745583"/>
    <w:rsid w:val="007472A4"/>
    <w:rsid w:val="00750545"/>
    <w:rsid w:val="00750B8D"/>
    <w:rsid w:val="007513FA"/>
    <w:rsid w:val="00753F57"/>
    <w:rsid w:val="00753F5E"/>
    <w:rsid w:val="0075407B"/>
    <w:rsid w:val="0075463E"/>
    <w:rsid w:val="00755645"/>
    <w:rsid w:val="00761F2F"/>
    <w:rsid w:val="00762BCF"/>
    <w:rsid w:val="00762C37"/>
    <w:rsid w:val="00763F19"/>
    <w:rsid w:val="0076402A"/>
    <w:rsid w:val="0076483F"/>
    <w:rsid w:val="0076557B"/>
    <w:rsid w:val="00765A31"/>
    <w:rsid w:val="007670E6"/>
    <w:rsid w:val="0077026C"/>
    <w:rsid w:val="00770566"/>
    <w:rsid w:val="00771794"/>
    <w:rsid w:val="00772A5F"/>
    <w:rsid w:val="00772DCA"/>
    <w:rsid w:val="00776100"/>
    <w:rsid w:val="007762C3"/>
    <w:rsid w:val="007763C9"/>
    <w:rsid w:val="0078000B"/>
    <w:rsid w:val="00780C29"/>
    <w:rsid w:val="007840C3"/>
    <w:rsid w:val="007849D7"/>
    <w:rsid w:val="0078622A"/>
    <w:rsid w:val="0078677B"/>
    <w:rsid w:val="00787B06"/>
    <w:rsid w:val="00790186"/>
    <w:rsid w:val="00790293"/>
    <w:rsid w:val="007902D1"/>
    <w:rsid w:val="007908B9"/>
    <w:rsid w:val="00791409"/>
    <w:rsid w:val="00792961"/>
    <w:rsid w:val="007935A4"/>
    <w:rsid w:val="0079360C"/>
    <w:rsid w:val="0079712F"/>
    <w:rsid w:val="00797539"/>
    <w:rsid w:val="007A01B0"/>
    <w:rsid w:val="007A0487"/>
    <w:rsid w:val="007A10D1"/>
    <w:rsid w:val="007A2A3B"/>
    <w:rsid w:val="007A4666"/>
    <w:rsid w:val="007A505C"/>
    <w:rsid w:val="007A5178"/>
    <w:rsid w:val="007A6D5F"/>
    <w:rsid w:val="007A75F6"/>
    <w:rsid w:val="007B0C15"/>
    <w:rsid w:val="007B0FCB"/>
    <w:rsid w:val="007B2920"/>
    <w:rsid w:val="007B2EB8"/>
    <w:rsid w:val="007B3E2A"/>
    <w:rsid w:val="007B46BB"/>
    <w:rsid w:val="007B4D47"/>
    <w:rsid w:val="007B4FEC"/>
    <w:rsid w:val="007B5235"/>
    <w:rsid w:val="007B6477"/>
    <w:rsid w:val="007C02C3"/>
    <w:rsid w:val="007C0A89"/>
    <w:rsid w:val="007C1E02"/>
    <w:rsid w:val="007C36B1"/>
    <w:rsid w:val="007C5516"/>
    <w:rsid w:val="007C79D1"/>
    <w:rsid w:val="007D0E9A"/>
    <w:rsid w:val="007D35C5"/>
    <w:rsid w:val="007D3E4C"/>
    <w:rsid w:val="007D52ED"/>
    <w:rsid w:val="007D57CB"/>
    <w:rsid w:val="007D6516"/>
    <w:rsid w:val="007E3041"/>
    <w:rsid w:val="007E41F9"/>
    <w:rsid w:val="007E4ED8"/>
    <w:rsid w:val="007E6BC4"/>
    <w:rsid w:val="007E779A"/>
    <w:rsid w:val="007F0661"/>
    <w:rsid w:val="007F1047"/>
    <w:rsid w:val="007F3295"/>
    <w:rsid w:val="007F4465"/>
    <w:rsid w:val="007F4820"/>
    <w:rsid w:val="007F4896"/>
    <w:rsid w:val="007F5906"/>
    <w:rsid w:val="007F5A57"/>
    <w:rsid w:val="0080290E"/>
    <w:rsid w:val="0080325D"/>
    <w:rsid w:val="008047DA"/>
    <w:rsid w:val="0080542A"/>
    <w:rsid w:val="00805C53"/>
    <w:rsid w:val="00805DD4"/>
    <w:rsid w:val="00806CC3"/>
    <w:rsid w:val="008078FB"/>
    <w:rsid w:val="008110B3"/>
    <w:rsid w:val="00811C94"/>
    <w:rsid w:val="00811D29"/>
    <w:rsid w:val="00812E47"/>
    <w:rsid w:val="00812E70"/>
    <w:rsid w:val="00813433"/>
    <w:rsid w:val="00813936"/>
    <w:rsid w:val="00817F3B"/>
    <w:rsid w:val="00821461"/>
    <w:rsid w:val="0082343C"/>
    <w:rsid w:val="00824E8F"/>
    <w:rsid w:val="008255C6"/>
    <w:rsid w:val="0082604B"/>
    <w:rsid w:val="00830FE9"/>
    <w:rsid w:val="008318C3"/>
    <w:rsid w:val="0083348A"/>
    <w:rsid w:val="0083382A"/>
    <w:rsid w:val="00834D2A"/>
    <w:rsid w:val="008353DE"/>
    <w:rsid w:val="00840103"/>
    <w:rsid w:val="0084122E"/>
    <w:rsid w:val="008433B7"/>
    <w:rsid w:val="00844F82"/>
    <w:rsid w:val="00845887"/>
    <w:rsid w:val="0084776E"/>
    <w:rsid w:val="00847DD6"/>
    <w:rsid w:val="00850041"/>
    <w:rsid w:val="0085036D"/>
    <w:rsid w:val="008510C3"/>
    <w:rsid w:val="008522B5"/>
    <w:rsid w:val="00854D5A"/>
    <w:rsid w:val="00856328"/>
    <w:rsid w:val="00860E13"/>
    <w:rsid w:val="00860E44"/>
    <w:rsid w:val="00861A52"/>
    <w:rsid w:val="008627FD"/>
    <w:rsid w:val="00863A11"/>
    <w:rsid w:val="008650F3"/>
    <w:rsid w:val="0086536B"/>
    <w:rsid w:val="00866372"/>
    <w:rsid w:val="00866ABE"/>
    <w:rsid w:val="00873136"/>
    <w:rsid w:val="00874639"/>
    <w:rsid w:val="00877ADB"/>
    <w:rsid w:val="008814FA"/>
    <w:rsid w:val="00881F02"/>
    <w:rsid w:val="00882303"/>
    <w:rsid w:val="0088258B"/>
    <w:rsid w:val="00882DE0"/>
    <w:rsid w:val="00883C54"/>
    <w:rsid w:val="00884282"/>
    <w:rsid w:val="0088491D"/>
    <w:rsid w:val="00885737"/>
    <w:rsid w:val="00885DF3"/>
    <w:rsid w:val="00886BA6"/>
    <w:rsid w:val="00886C4E"/>
    <w:rsid w:val="00891B78"/>
    <w:rsid w:val="008932CC"/>
    <w:rsid w:val="00893976"/>
    <w:rsid w:val="00893AF8"/>
    <w:rsid w:val="00894E88"/>
    <w:rsid w:val="00897CF3"/>
    <w:rsid w:val="00897FF0"/>
    <w:rsid w:val="008A0E2A"/>
    <w:rsid w:val="008A1149"/>
    <w:rsid w:val="008A1B1E"/>
    <w:rsid w:val="008A20BC"/>
    <w:rsid w:val="008A23A5"/>
    <w:rsid w:val="008A3275"/>
    <w:rsid w:val="008A3BDE"/>
    <w:rsid w:val="008A3D94"/>
    <w:rsid w:val="008A3DB5"/>
    <w:rsid w:val="008A47FA"/>
    <w:rsid w:val="008A49DB"/>
    <w:rsid w:val="008A57CF"/>
    <w:rsid w:val="008A7EFA"/>
    <w:rsid w:val="008B1680"/>
    <w:rsid w:val="008B261F"/>
    <w:rsid w:val="008B3206"/>
    <w:rsid w:val="008B32F2"/>
    <w:rsid w:val="008B35D6"/>
    <w:rsid w:val="008B6CE6"/>
    <w:rsid w:val="008B706C"/>
    <w:rsid w:val="008C1012"/>
    <w:rsid w:val="008C1327"/>
    <w:rsid w:val="008C1A01"/>
    <w:rsid w:val="008C1B28"/>
    <w:rsid w:val="008C2D72"/>
    <w:rsid w:val="008C3810"/>
    <w:rsid w:val="008C3886"/>
    <w:rsid w:val="008C5890"/>
    <w:rsid w:val="008C69B4"/>
    <w:rsid w:val="008C6B0B"/>
    <w:rsid w:val="008C6E42"/>
    <w:rsid w:val="008C74F5"/>
    <w:rsid w:val="008D087B"/>
    <w:rsid w:val="008D0DDB"/>
    <w:rsid w:val="008D115B"/>
    <w:rsid w:val="008D20EA"/>
    <w:rsid w:val="008D5BD3"/>
    <w:rsid w:val="008E02C5"/>
    <w:rsid w:val="008E03E1"/>
    <w:rsid w:val="008E212F"/>
    <w:rsid w:val="008E30CB"/>
    <w:rsid w:val="008E53A2"/>
    <w:rsid w:val="008E5679"/>
    <w:rsid w:val="008E5DCA"/>
    <w:rsid w:val="008E664A"/>
    <w:rsid w:val="008F037B"/>
    <w:rsid w:val="008F16C8"/>
    <w:rsid w:val="008F2148"/>
    <w:rsid w:val="008F774B"/>
    <w:rsid w:val="0090170D"/>
    <w:rsid w:val="00902DAF"/>
    <w:rsid w:val="0090445D"/>
    <w:rsid w:val="0090547B"/>
    <w:rsid w:val="00906618"/>
    <w:rsid w:val="00907780"/>
    <w:rsid w:val="0090790C"/>
    <w:rsid w:val="00907B3F"/>
    <w:rsid w:val="00907C0E"/>
    <w:rsid w:val="009128F6"/>
    <w:rsid w:val="00913006"/>
    <w:rsid w:val="009140E8"/>
    <w:rsid w:val="00914484"/>
    <w:rsid w:val="00914F18"/>
    <w:rsid w:val="00915741"/>
    <w:rsid w:val="00915F15"/>
    <w:rsid w:val="009174AA"/>
    <w:rsid w:val="00920B79"/>
    <w:rsid w:val="00921354"/>
    <w:rsid w:val="00922EC6"/>
    <w:rsid w:val="0092329E"/>
    <w:rsid w:val="0092464C"/>
    <w:rsid w:val="00924AF0"/>
    <w:rsid w:val="009251A8"/>
    <w:rsid w:val="0092566D"/>
    <w:rsid w:val="00925F5D"/>
    <w:rsid w:val="00927CC1"/>
    <w:rsid w:val="00930BD6"/>
    <w:rsid w:val="00932E18"/>
    <w:rsid w:val="00934230"/>
    <w:rsid w:val="00934588"/>
    <w:rsid w:val="009358F7"/>
    <w:rsid w:val="009361CC"/>
    <w:rsid w:val="00936271"/>
    <w:rsid w:val="009369EB"/>
    <w:rsid w:val="00936CB1"/>
    <w:rsid w:val="00936D4F"/>
    <w:rsid w:val="009371D6"/>
    <w:rsid w:val="0093755D"/>
    <w:rsid w:val="009403D4"/>
    <w:rsid w:val="0094214D"/>
    <w:rsid w:val="009439AC"/>
    <w:rsid w:val="00943EFD"/>
    <w:rsid w:val="009443B6"/>
    <w:rsid w:val="009446F5"/>
    <w:rsid w:val="00944CE4"/>
    <w:rsid w:val="00945BCC"/>
    <w:rsid w:val="009462F0"/>
    <w:rsid w:val="00946D12"/>
    <w:rsid w:val="0095104D"/>
    <w:rsid w:val="009549DC"/>
    <w:rsid w:val="00954D6D"/>
    <w:rsid w:val="00955E0B"/>
    <w:rsid w:val="00956FF2"/>
    <w:rsid w:val="00957645"/>
    <w:rsid w:val="00960CDD"/>
    <w:rsid w:val="00961151"/>
    <w:rsid w:val="009646DD"/>
    <w:rsid w:val="00965C4A"/>
    <w:rsid w:val="00966295"/>
    <w:rsid w:val="00967F4B"/>
    <w:rsid w:val="00970EA0"/>
    <w:rsid w:val="00972D8F"/>
    <w:rsid w:val="00973DDC"/>
    <w:rsid w:val="00974769"/>
    <w:rsid w:val="00976970"/>
    <w:rsid w:val="00976D20"/>
    <w:rsid w:val="00977953"/>
    <w:rsid w:val="00977D47"/>
    <w:rsid w:val="0098024D"/>
    <w:rsid w:val="00980671"/>
    <w:rsid w:val="00982093"/>
    <w:rsid w:val="00983E08"/>
    <w:rsid w:val="00985318"/>
    <w:rsid w:val="00986E2A"/>
    <w:rsid w:val="009902D4"/>
    <w:rsid w:val="00990923"/>
    <w:rsid w:val="00991481"/>
    <w:rsid w:val="00991E97"/>
    <w:rsid w:val="009927F7"/>
    <w:rsid w:val="009933D7"/>
    <w:rsid w:val="0099357C"/>
    <w:rsid w:val="0099520D"/>
    <w:rsid w:val="009956D8"/>
    <w:rsid w:val="00995C94"/>
    <w:rsid w:val="009A094C"/>
    <w:rsid w:val="009A1975"/>
    <w:rsid w:val="009A1DFD"/>
    <w:rsid w:val="009A2BF6"/>
    <w:rsid w:val="009A310B"/>
    <w:rsid w:val="009A3655"/>
    <w:rsid w:val="009B1D60"/>
    <w:rsid w:val="009B2181"/>
    <w:rsid w:val="009B5059"/>
    <w:rsid w:val="009B5E82"/>
    <w:rsid w:val="009B5F23"/>
    <w:rsid w:val="009B73E0"/>
    <w:rsid w:val="009C00BD"/>
    <w:rsid w:val="009C0396"/>
    <w:rsid w:val="009C25B4"/>
    <w:rsid w:val="009C4101"/>
    <w:rsid w:val="009C59EC"/>
    <w:rsid w:val="009C66C3"/>
    <w:rsid w:val="009C7B68"/>
    <w:rsid w:val="009D058F"/>
    <w:rsid w:val="009D0FD1"/>
    <w:rsid w:val="009D1580"/>
    <w:rsid w:val="009D48F1"/>
    <w:rsid w:val="009D4CA3"/>
    <w:rsid w:val="009D594E"/>
    <w:rsid w:val="009D60DE"/>
    <w:rsid w:val="009D6346"/>
    <w:rsid w:val="009D6AC2"/>
    <w:rsid w:val="009E0458"/>
    <w:rsid w:val="009E26BA"/>
    <w:rsid w:val="009E4555"/>
    <w:rsid w:val="009E4590"/>
    <w:rsid w:val="009E5679"/>
    <w:rsid w:val="009E67CA"/>
    <w:rsid w:val="009E6E39"/>
    <w:rsid w:val="009E70CF"/>
    <w:rsid w:val="009F0662"/>
    <w:rsid w:val="009F5E64"/>
    <w:rsid w:val="009F660A"/>
    <w:rsid w:val="00A005A5"/>
    <w:rsid w:val="00A0090C"/>
    <w:rsid w:val="00A0235D"/>
    <w:rsid w:val="00A02B29"/>
    <w:rsid w:val="00A03CAB"/>
    <w:rsid w:val="00A053B2"/>
    <w:rsid w:val="00A07404"/>
    <w:rsid w:val="00A1145A"/>
    <w:rsid w:val="00A145B1"/>
    <w:rsid w:val="00A16063"/>
    <w:rsid w:val="00A167E9"/>
    <w:rsid w:val="00A16FF0"/>
    <w:rsid w:val="00A21B15"/>
    <w:rsid w:val="00A21E28"/>
    <w:rsid w:val="00A23EBB"/>
    <w:rsid w:val="00A24317"/>
    <w:rsid w:val="00A25319"/>
    <w:rsid w:val="00A3095B"/>
    <w:rsid w:val="00A312A7"/>
    <w:rsid w:val="00A320FF"/>
    <w:rsid w:val="00A35C07"/>
    <w:rsid w:val="00A37AAB"/>
    <w:rsid w:val="00A41F94"/>
    <w:rsid w:val="00A420C6"/>
    <w:rsid w:val="00A4211F"/>
    <w:rsid w:val="00A42EBB"/>
    <w:rsid w:val="00A43BBC"/>
    <w:rsid w:val="00A44451"/>
    <w:rsid w:val="00A4585C"/>
    <w:rsid w:val="00A45FCE"/>
    <w:rsid w:val="00A52125"/>
    <w:rsid w:val="00A53BA5"/>
    <w:rsid w:val="00A5465A"/>
    <w:rsid w:val="00A557B7"/>
    <w:rsid w:val="00A57936"/>
    <w:rsid w:val="00A57D45"/>
    <w:rsid w:val="00A600D3"/>
    <w:rsid w:val="00A60C8B"/>
    <w:rsid w:val="00A60D3B"/>
    <w:rsid w:val="00A612FE"/>
    <w:rsid w:val="00A61DDB"/>
    <w:rsid w:val="00A6207D"/>
    <w:rsid w:val="00A62153"/>
    <w:rsid w:val="00A6403F"/>
    <w:rsid w:val="00A649CD"/>
    <w:rsid w:val="00A657BF"/>
    <w:rsid w:val="00A6754C"/>
    <w:rsid w:val="00A70455"/>
    <w:rsid w:val="00A733E9"/>
    <w:rsid w:val="00A73E35"/>
    <w:rsid w:val="00A77A5F"/>
    <w:rsid w:val="00A77B36"/>
    <w:rsid w:val="00A77B57"/>
    <w:rsid w:val="00A80721"/>
    <w:rsid w:val="00A80BAA"/>
    <w:rsid w:val="00A80CBB"/>
    <w:rsid w:val="00A80E3C"/>
    <w:rsid w:val="00A80FC4"/>
    <w:rsid w:val="00A82787"/>
    <w:rsid w:val="00A82B07"/>
    <w:rsid w:val="00A8594E"/>
    <w:rsid w:val="00A8782F"/>
    <w:rsid w:val="00A9008E"/>
    <w:rsid w:val="00A9272B"/>
    <w:rsid w:val="00A93AF1"/>
    <w:rsid w:val="00A94902"/>
    <w:rsid w:val="00A94AB7"/>
    <w:rsid w:val="00A95365"/>
    <w:rsid w:val="00A95718"/>
    <w:rsid w:val="00A96743"/>
    <w:rsid w:val="00A96818"/>
    <w:rsid w:val="00A96940"/>
    <w:rsid w:val="00A96CF3"/>
    <w:rsid w:val="00AA0259"/>
    <w:rsid w:val="00AA0660"/>
    <w:rsid w:val="00AA1CB8"/>
    <w:rsid w:val="00AA3AAE"/>
    <w:rsid w:val="00AA4095"/>
    <w:rsid w:val="00AA45A9"/>
    <w:rsid w:val="00AA5E94"/>
    <w:rsid w:val="00AA77B5"/>
    <w:rsid w:val="00AA7ACC"/>
    <w:rsid w:val="00AA7E1D"/>
    <w:rsid w:val="00AB017A"/>
    <w:rsid w:val="00AB12A3"/>
    <w:rsid w:val="00AB1986"/>
    <w:rsid w:val="00AB25E6"/>
    <w:rsid w:val="00AB2DCF"/>
    <w:rsid w:val="00AB36DC"/>
    <w:rsid w:val="00AB41C6"/>
    <w:rsid w:val="00AB626C"/>
    <w:rsid w:val="00AB642C"/>
    <w:rsid w:val="00AC04AD"/>
    <w:rsid w:val="00AC33CA"/>
    <w:rsid w:val="00AC4FA8"/>
    <w:rsid w:val="00AC656B"/>
    <w:rsid w:val="00AD036A"/>
    <w:rsid w:val="00AD0864"/>
    <w:rsid w:val="00AD1D83"/>
    <w:rsid w:val="00AD2727"/>
    <w:rsid w:val="00AD29DD"/>
    <w:rsid w:val="00AD3333"/>
    <w:rsid w:val="00AD4094"/>
    <w:rsid w:val="00AD467D"/>
    <w:rsid w:val="00AD50FC"/>
    <w:rsid w:val="00AD7CD8"/>
    <w:rsid w:val="00AE15B3"/>
    <w:rsid w:val="00AE17CD"/>
    <w:rsid w:val="00AE1C55"/>
    <w:rsid w:val="00AE487C"/>
    <w:rsid w:val="00AE76FF"/>
    <w:rsid w:val="00AF4C6F"/>
    <w:rsid w:val="00AF53E7"/>
    <w:rsid w:val="00AF5B6F"/>
    <w:rsid w:val="00AF5C90"/>
    <w:rsid w:val="00B00610"/>
    <w:rsid w:val="00B0084B"/>
    <w:rsid w:val="00B00876"/>
    <w:rsid w:val="00B0091E"/>
    <w:rsid w:val="00B011E9"/>
    <w:rsid w:val="00B012C3"/>
    <w:rsid w:val="00B02A21"/>
    <w:rsid w:val="00B0340F"/>
    <w:rsid w:val="00B03844"/>
    <w:rsid w:val="00B05DEB"/>
    <w:rsid w:val="00B06CF2"/>
    <w:rsid w:val="00B07ADC"/>
    <w:rsid w:val="00B11ED3"/>
    <w:rsid w:val="00B13B12"/>
    <w:rsid w:val="00B145FB"/>
    <w:rsid w:val="00B23200"/>
    <w:rsid w:val="00B23891"/>
    <w:rsid w:val="00B23BFB"/>
    <w:rsid w:val="00B241C5"/>
    <w:rsid w:val="00B24982"/>
    <w:rsid w:val="00B2591D"/>
    <w:rsid w:val="00B26F86"/>
    <w:rsid w:val="00B2709A"/>
    <w:rsid w:val="00B331B6"/>
    <w:rsid w:val="00B3766F"/>
    <w:rsid w:val="00B40692"/>
    <w:rsid w:val="00B418BB"/>
    <w:rsid w:val="00B41DD2"/>
    <w:rsid w:val="00B42FC7"/>
    <w:rsid w:val="00B44C96"/>
    <w:rsid w:val="00B458A0"/>
    <w:rsid w:val="00B4624F"/>
    <w:rsid w:val="00B50980"/>
    <w:rsid w:val="00B51D02"/>
    <w:rsid w:val="00B5253C"/>
    <w:rsid w:val="00B525E5"/>
    <w:rsid w:val="00B53536"/>
    <w:rsid w:val="00B5487C"/>
    <w:rsid w:val="00B54CEC"/>
    <w:rsid w:val="00B55250"/>
    <w:rsid w:val="00B55E51"/>
    <w:rsid w:val="00B56987"/>
    <w:rsid w:val="00B56B75"/>
    <w:rsid w:val="00B57747"/>
    <w:rsid w:val="00B57EA5"/>
    <w:rsid w:val="00B6136E"/>
    <w:rsid w:val="00B618D6"/>
    <w:rsid w:val="00B61A4E"/>
    <w:rsid w:val="00B62702"/>
    <w:rsid w:val="00B67090"/>
    <w:rsid w:val="00B678FD"/>
    <w:rsid w:val="00B71120"/>
    <w:rsid w:val="00B727B2"/>
    <w:rsid w:val="00B72E5D"/>
    <w:rsid w:val="00B73840"/>
    <w:rsid w:val="00B7475F"/>
    <w:rsid w:val="00B74AD4"/>
    <w:rsid w:val="00B74F4F"/>
    <w:rsid w:val="00B75E53"/>
    <w:rsid w:val="00B7602A"/>
    <w:rsid w:val="00B7677B"/>
    <w:rsid w:val="00B779D3"/>
    <w:rsid w:val="00B836A5"/>
    <w:rsid w:val="00B8393A"/>
    <w:rsid w:val="00B85869"/>
    <w:rsid w:val="00B873B3"/>
    <w:rsid w:val="00B903E8"/>
    <w:rsid w:val="00B9042C"/>
    <w:rsid w:val="00B92942"/>
    <w:rsid w:val="00B9341B"/>
    <w:rsid w:val="00B95A34"/>
    <w:rsid w:val="00B9778B"/>
    <w:rsid w:val="00BA012D"/>
    <w:rsid w:val="00BA18D3"/>
    <w:rsid w:val="00BA3E10"/>
    <w:rsid w:val="00BA4AA3"/>
    <w:rsid w:val="00BA7DB1"/>
    <w:rsid w:val="00BB3E2B"/>
    <w:rsid w:val="00BB430E"/>
    <w:rsid w:val="00BB6323"/>
    <w:rsid w:val="00BB7718"/>
    <w:rsid w:val="00BC01F5"/>
    <w:rsid w:val="00BC0C3C"/>
    <w:rsid w:val="00BC10F2"/>
    <w:rsid w:val="00BC28BA"/>
    <w:rsid w:val="00BC3256"/>
    <w:rsid w:val="00BC4B77"/>
    <w:rsid w:val="00BC531C"/>
    <w:rsid w:val="00BC6629"/>
    <w:rsid w:val="00BC7F4C"/>
    <w:rsid w:val="00BD04AC"/>
    <w:rsid w:val="00BD11CC"/>
    <w:rsid w:val="00BD1840"/>
    <w:rsid w:val="00BD2152"/>
    <w:rsid w:val="00BD2661"/>
    <w:rsid w:val="00BD3C12"/>
    <w:rsid w:val="00BD54C6"/>
    <w:rsid w:val="00BD7901"/>
    <w:rsid w:val="00BE0333"/>
    <w:rsid w:val="00BE29EE"/>
    <w:rsid w:val="00BE6BD7"/>
    <w:rsid w:val="00BE6D62"/>
    <w:rsid w:val="00BF06E5"/>
    <w:rsid w:val="00BF09BD"/>
    <w:rsid w:val="00BF4246"/>
    <w:rsid w:val="00BF4FC6"/>
    <w:rsid w:val="00BF54B4"/>
    <w:rsid w:val="00BF5F2E"/>
    <w:rsid w:val="00BF5F50"/>
    <w:rsid w:val="00BF6F2F"/>
    <w:rsid w:val="00C02BDF"/>
    <w:rsid w:val="00C044D7"/>
    <w:rsid w:val="00C07C33"/>
    <w:rsid w:val="00C12FD9"/>
    <w:rsid w:val="00C137FC"/>
    <w:rsid w:val="00C16149"/>
    <w:rsid w:val="00C168A0"/>
    <w:rsid w:val="00C1733C"/>
    <w:rsid w:val="00C20621"/>
    <w:rsid w:val="00C2166D"/>
    <w:rsid w:val="00C2175D"/>
    <w:rsid w:val="00C21EF2"/>
    <w:rsid w:val="00C22B83"/>
    <w:rsid w:val="00C232AE"/>
    <w:rsid w:val="00C23E81"/>
    <w:rsid w:val="00C25939"/>
    <w:rsid w:val="00C278D7"/>
    <w:rsid w:val="00C302C6"/>
    <w:rsid w:val="00C30A28"/>
    <w:rsid w:val="00C31335"/>
    <w:rsid w:val="00C318CF"/>
    <w:rsid w:val="00C347DB"/>
    <w:rsid w:val="00C347E6"/>
    <w:rsid w:val="00C34F82"/>
    <w:rsid w:val="00C36186"/>
    <w:rsid w:val="00C404E3"/>
    <w:rsid w:val="00C408BA"/>
    <w:rsid w:val="00C409B4"/>
    <w:rsid w:val="00C40CB5"/>
    <w:rsid w:val="00C42073"/>
    <w:rsid w:val="00C42722"/>
    <w:rsid w:val="00C42800"/>
    <w:rsid w:val="00C43A0A"/>
    <w:rsid w:val="00C43E6D"/>
    <w:rsid w:val="00C450BA"/>
    <w:rsid w:val="00C4525E"/>
    <w:rsid w:val="00C4535D"/>
    <w:rsid w:val="00C45663"/>
    <w:rsid w:val="00C47CD8"/>
    <w:rsid w:val="00C51104"/>
    <w:rsid w:val="00C52C9D"/>
    <w:rsid w:val="00C546B3"/>
    <w:rsid w:val="00C546F8"/>
    <w:rsid w:val="00C569A6"/>
    <w:rsid w:val="00C61302"/>
    <w:rsid w:val="00C61A76"/>
    <w:rsid w:val="00C63CE6"/>
    <w:rsid w:val="00C65694"/>
    <w:rsid w:val="00C659CE"/>
    <w:rsid w:val="00C65F5F"/>
    <w:rsid w:val="00C6678E"/>
    <w:rsid w:val="00C67B5C"/>
    <w:rsid w:val="00C71ECE"/>
    <w:rsid w:val="00C7249F"/>
    <w:rsid w:val="00C72A00"/>
    <w:rsid w:val="00C72B92"/>
    <w:rsid w:val="00C734A7"/>
    <w:rsid w:val="00C73851"/>
    <w:rsid w:val="00C75155"/>
    <w:rsid w:val="00C75459"/>
    <w:rsid w:val="00C759C3"/>
    <w:rsid w:val="00C77EB1"/>
    <w:rsid w:val="00C808AA"/>
    <w:rsid w:val="00C813D2"/>
    <w:rsid w:val="00C8159C"/>
    <w:rsid w:val="00C818EE"/>
    <w:rsid w:val="00C820BE"/>
    <w:rsid w:val="00C84BC4"/>
    <w:rsid w:val="00C85327"/>
    <w:rsid w:val="00C8582E"/>
    <w:rsid w:val="00C85EBC"/>
    <w:rsid w:val="00C87609"/>
    <w:rsid w:val="00C87A2C"/>
    <w:rsid w:val="00C90D83"/>
    <w:rsid w:val="00C91DB5"/>
    <w:rsid w:val="00C93242"/>
    <w:rsid w:val="00C93E3D"/>
    <w:rsid w:val="00C94540"/>
    <w:rsid w:val="00C94B35"/>
    <w:rsid w:val="00C958F1"/>
    <w:rsid w:val="00C95C78"/>
    <w:rsid w:val="00C96C5C"/>
    <w:rsid w:val="00C97603"/>
    <w:rsid w:val="00C97A64"/>
    <w:rsid w:val="00CA0948"/>
    <w:rsid w:val="00CA6F3B"/>
    <w:rsid w:val="00CB070E"/>
    <w:rsid w:val="00CB5983"/>
    <w:rsid w:val="00CB719B"/>
    <w:rsid w:val="00CB77AD"/>
    <w:rsid w:val="00CC167E"/>
    <w:rsid w:val="00CC3731"/>
    <w:rsid w:val="00CC3C29"/>
    <w:rsid w:val="00CC4DD4"/>
    <w:rsid w:val="00CC4FC9"/>
    <w:rsid w:val="00CC4FF2"/>
    <w:rsid w:val="00CC7647"/>
    <w:rsid w:val="00CC7A67"/>
    <w:rsid w:val="00CC7FFB"/>
    <w:rsid w:val="00CD0420"/>
    <w:rsid w:val="00CD0D1C"/>
    <w:rsid w:val="00CD1D1F"/>
    <w:rsid w:val="00CD2200"/>
    <w:rsid w:val="00CD301E"/>
    <w:rsid w:val="00CD7843"/>
    <w:rsid w:val="00CE0328"/>
    <w:rsid w:val="00CE143D"/>
    <w:rsid w:val="00CE2D2B"/>
    <w:rsid w:val="00CE40CC"/>
    <w:rsid w:val="00CE436C"/>
    <w:rsid w:val="00CE5F53"/>
    <w:rsid w:val="00CE6B38"/>
    <w:rsid w:val="00CE72EC"/>
    <w:rsid w:val="00CE7A70"/>
    <w:rsid w:val="00CF1922"/>
    <w:rsid w:val="00CF2110"/>
    <w:rsid w:val="00CF2687"/>
    <w:rsid w:val="00CF3091"/>
    <w:rsid w:val="00CF31CF"/>
    <w:rsid w:val="00CF4D96"/>
    <w:rsid w:val="00CF60F0"/>
    <w:rsid w:val="00D001CA"/>
    <w:rsid w:val="00D024AA"/>
    <w:rsid w:val="00D04E77"/>
    <w:rsid w:val="00D05625"/>
    <w:rsid w:val="00D06229"/>
    <w:rsid w:val="00D068F7"/>
    <w:rsid w:val="00D06D10"/>
    <w:rsid w:val="00D07A96"/>
    <w:rsid w:val="00D07CB0"/>
    <w:rsid w:val="00D108D6"/>
    <w:rsid w:val="00D1234D"/>
    <w:rsid w:val="00D12C2E"/>
    <w:rsid w:val="00D1364C"/>
    <w:rsid w:val="00D13D8E"/>
    <w:rsid w:val="00D15153"/>
    <w:rsid w:val="00D200D7"/>
    <w:rsid w:val="00D20795"/>
    <w:rsid w:val="00D223A0"/>
    <w:rsid w:val="00D24525"/>
    <w:rsid w:val="00D24F5A"/>
    <w:rsid w:val="00D25A31"/>
    <w:rsid w:val="00D26AC6"/>
    <w:rsid w:val="00D26AFF"/>
    <w:rsid w:val="00D32420"/>
    <w:rsid w:val="00D32892"/>
    <w:rsid w:val="00D33E08"/>
    <w:rsid w:val="00D33F42"/>
    <w:rsid w:val="00D33FF1"/>
    <w:rsid w:val="00D342C5"/>
    <w:rsid w:val="00D3501B"/>
    <w:rsid w:val="00D3554A"/>
    <w:rsid w:val="00D35F1C"/>
    <w:rsid w:val="00D36978"/>
    <w:rsid w:val="00D423ED"/>
    <w:rsid w:val="00D425A1"/>
    <w:rsid w:val="00D4268C"/>
    <w:rsid w:val="00D427F9"/>
    <w:rsid w:val="00D44C38"/>
    <w:rsid w:val="00D45BD0"/>
    <w:rsid w:val="00D46117"/>
    <w:rsid w:val="00D46E90"/>
    <w:rsid w:val="00D4775A"/>
    <w:rsid w:val="00D477C0"/>
    <w:rsid w:val="00D5216E"/>
    <w:rsid w:val="00D52968"/>
    <w:rsid w:val="00D53CC7"/>
    <w:rsid w:val="00D53D5C"/>
    <w:rsid w:val="00D55871"/>
    <w:rsid w:val="00D56391"/>
    <w:rsid w:val="00D57922"/>
    <w:rsid w:val="00D57D29"/>
    <w:rsid w:val="00D6086F"/>
    <w:rsid w:val="00D620F3"/>
    <w:rsid w:val="00D638F5"/>
    <w:rsid w:val="00D64AAF"/>
    <w:rsid w:val="00D64B57"/>
    <w:rsid w:val="00D65549"/>
    <w:rsid w:val="00D659ED"/>
    <w:rsid w:val="00D65A9B"/>
    <w:rsid w:val="00D66AE8"/>
    <w:rsid w:val="00D70BEC"/>
    <w:rsid w:val="00D723C0"/>
    <w:rsid w:val="00D74DB8"/>
    <w:rsid w:val="00D76E87"/>
    <w:rsid w:val="00D772B3"/>
    <w:rsid w:val="00D77AAB"/>
    <w:rsid w:val="00D81289"/>
    <w:rsid w:val="00D81A12"/>
    <w:rsid w:val="00D81DC6"/>
    <w:rsid w:val="00D81E77"/>
    <w:rsid w:val="00D849A1"/>
    <w:rsid w:val="00D84B3F"/>
    <w:rsid w:val="00D85E3C"/>
    <w:rsid w:val="00D8622E"/>
    <w:rsid w:val="00D86872"/>
    <w:rsid w:val="00D8699C"/>
    <w:rsid w:val="00D87A57"/>
    <w:rsid w:val="00D91281"/>
    <w:rsid w:val="00D948EC"/>
    <w:rsid w:val="00D94BAD"/>
    <w:rsid w:val="00D95F49"/>
    <w:rsid w:val="00D967E5"/>
    <w:rsid w:val="00D96CDD"/>
    <w:rsid w:val="00D97864"/>
    <w:rsid w:val="00D97978"/>
    <w:rsid w:val="00D97AC2"/>
    <w:rsid w:val="00DA018D"/>
    <w:rsid w:val="00DA18C1"/>
    <w:rsid w:val="00DA24FB"/>
    <w:rsid w:val="00DA3FED"/>
    <w:rsid w:val="00DA4D5D"/>
    <w:rsid w:val="00DA7038"/>
    <w:rsid w:val="00DA771E"/>
    <w:rsid w:val="00DB1A77"/>
    <w:rsid w:val="00DB1F51"/>
    <w:rsid w:val="00DB271C"/>
    <w:rsid w:val="00DB2EB6"/>
    <w:rsid w:val="00DB3178"/>
    <w:rsid w:val="00DB38C9"/>
    <w:rsid w:val="00DB44C9"/>
    <w:rsid w:val="00DB4F12"/>
    <w:rsid w:val="00DC1397"/>
    <w:rsid w:val="00DC23BA"/>
    <w:rsid w:val="00DC36CC"/>
    <w:rsid w:val="00DC6FB3"/>
    <w:rsid w:val="00DC70F5"/>
    <w:rsid w:val="00DD20A4"/>
    <w:rsid w:val="00DD5258"/>
    <w:rsid w:val="00DD5745"/>
    <w:rsid w:val="00DD6EDA"/>
    <w:rsid w:val="00DD7208"/>
    <w:rsid w:val="00DE027B"/>
    <w:rsid w:val="00DE212D"/>
    <w:rsid w:val="00DE3F73"/>
    <w:rsid w:val="00DE4B0D"/>
    <w:rsid w:val="00DE62AF"/>
    <w:rsid w:val="00DE6DA3"/>
    <w:rsid w:val="00DE6F9C"/>
    <w:rsid w:val="00DF079C"/>
    <w:rsid w:val="00DF0CC7"/>
    <w:rsid w:val="00DF1862"/>
    <w:rsid w:val="00DF3225"/>
    <w:rsid w:val="00DF5CE4"/>
    <w:rsid w:val="00DF6EBF"/>
    <w:rsid w:val="00DF7A23"/>
    <w:rsid w:val="00E0079D"/>
    <w:rsid w:val="00E018CC"/>
    <w:rsid w:val="00E01AC8"/>
    <w:rsid w:val="00E0310D"/>
    <w:rsid w:val="00E04057"/>
    <w:rsid w:val="00E040D4"/>
    <w:rsid w:val="00E04696"/>
    <w:rsid w:val="00E051A9"/>
    <w:rsid w:val="00E055B3"/>
    <w:rsid w:val="00E06A43"/>
    <w:rsid w:val="00E10C29"/>
    <w:rsid w:val="00E12490"/>
    <w:rsid w:val="00E12C1E"/>
    <w:rsid w:val="00E135A2"/>
    <w:rsid w:val="00E135E4"/>
    <w:rsid w:val="00E14811"/>
    <w:rsid w:val="00E16601"/>
    <w:rsid w:val="00E1740A"/>
    <w:rsid w:val="00E20632"/>
    <w:rsid w:val="00E2187E"/>
    <w:rsid w:val="00E236CB"/>
    <w:rsid w:val="00E2374E"/>
    <w:rsid w:val="00E23959"/>
    <w:rsid w:val="00E23BE1"/>
    <w:rsid w:val="00E278F7"/>
    <w:rsid w:val="00E31BDF"/>
    <w:rsid w:val="00E32428"/>
    <w:rsid w:val="00E32687"/>
    <w:rsid w:val="00E3281A"/>
    <w:rsid w:val="00E33565"/>
    <w:rsid w:val="00E33AAF"/>
    <w:rsid w:val="00E34085"/>
    <w:rsid w:val="00E3453F"/>
    <w:rsid w:val="00E3529F"/>
    <w:rsid w:val="00E367DD"/>
    <w:rsid w:val="00E415BF"/>
    <w:rsid w:val="00E41D9F"/>
    <w:rsid w:val="00E422BB"/>
    <w:rsid w:val="00E426A8"/>
    <w:rsid w:val="00E4558C"/>
    <w:rsid w:val="00E45B87"/>
    <w:rsid w:val="00E45C1A"/>
    <w:rsid w:val="00E46A41"/>
    <w:rsid w:val="00E46FDD"/>
    <w:rsid w:val="00E47027"/>
    <w:rsid w:val="00E47213"/>
    <w:rsid w:val="00E47A7A"/>
    <w:rsid w:val="00E530B1"/>
    <w:rsid w:val="00E5420C"/>
    <w:rsid w:val="00E54305"/>
    <w:rsid w:val="00E54B14"/>
    <w:rsid w:val="00E557C9"/>
    <w:rsid w:val="00E5611E"/>
    <w:rsid w:val="00E57AB8"/>
    <w:rsid w:val="00E57C24"/>
    <w:rsid w:val="00E61D00"/>
    <w:rsid w:val="00E62DC0"/>
    <w:rsid w:val="00E639B0"/>
    <w:rsid w:val="00E64464"/>
    <w:rsid w:val="00E64853"/>
    <w:rsid w:val="00E6570B"/>
    <w:rsid w:val="00E661DD"/>
    <w:rsid w:val="00E6693A"/>
    <w:rsid w:val="00E66B21"/>
    <w:rsid w:val="00E66C78"/>
    <w:rsid w:val="00E713EA"/>
    <w:rsid w:val="00E71EC1"/>
    <w:rsid w:val="00E72017"/>
    <w:rsid w:val="00E72F5E"/>
    <w:rsid w:val="00E7348F"/>
    <w:rsid w:val="00E73943"/>
    <w:rsid w:val="00E739D7"/>
    <w:rsid w:val="00E752B9"/>
    <w:rsid w:val="00E7764B"/>
    <w:rsid w:val="00E80AC8"/>
    <w:rsid w:val="00E83011"/>
    <w:rsid w:val="00E85DC6"/>
    <w:rsid w:val="00E85F80"/>
    <w:rsid w:val="00E864DC"/>
    <w:rsid w:val="00E86F97"/>
    <w:rsid w:val="00E91D5E"/>
    <w:rsid w:val="00E91FD2"/>
    <w:rsid w:val="00E92099"/>
    <w:rsid w:val="00E92A56"/>
    <w:rsid w:val="00E93BA0"/>
    <w:rsid w:val="00E94DB0"/>
    <w:rsid w:val="00E95228"/>
    <w:rsid w:val="00E9616E"/>
    <w:rsid w:val="00E96391"/>
    <w:rsid w:val="00E973DE"/>
    <w:rsid w:val="00EA051A"/>
    <w:rsid w:val="00EA1C0C"/>
    <w:rsid w:val="00EA21D8"/>
    <w:rsid w:val="00EA2A5C"/>
    <w:rsid w:val="00EA3DF4"/>
    <w:rsid w:val="00EA3FEB"/>
    <w:rsid w:val="00EB0380"/>
    <w:rsid w:val="00EB0AD7"/>
    <w:rsid w:val="00EB1822"/>
    <w:rsid w:val="00EB19D6"/>
    <w:rsid w:val="00EB1FA6"/>
    <w:rsid w:val="00EB4C63"/>
    <w:rsid w:val="00EB5BB7"/>
    <w:rsid w:val="00EB6301"/>
    <w:rsid w:val="00EB7286"/>
    <w:rsid w:val="00EC0D49"/>
    <w:rsid w:val="00EC10A4"/>
    <w:rsid w:val="00EC3E7B"/>
    <w:rsid w:val="00EC4B55"/>
    <w:rsid w:val="00EC580E"/>
    <w:rsid w:val="00EC5F5B"/>
    <w:rsid w:val="00EC7D67"/>
    <w:rsid w:val="00EC7EA7"/>
    <w:rsid w:val="00ED155C"/>
    <w:rsid w:val="00ED15F2"/>
    <w:rsid w:val="00ED28B6"/>
    <w:rsid w:val="00ED2A2C"/>
    <w:rsid w:val="00ED4906"/>
    <w:rsid w:val="00ED6195"/>
    <w:rsid w:val="00ED7735"/>
    <w:rsid w:val="00EE1580"/>
    <w:rsid w:val="00EE1AE8"/>
    <w:rsid w:val="00EE3852"/>
    <w:rsid w:val="00EE39DD"/>
    <w:rsid w:val="00EE3A6F"/>
    <w:rsid w:val="00EE564F"/>
    <w:rsid w:val="00EE5FC1"/>
    <w:rsid w:val="00EE62BD"/>
    <w:rsid w:val="00EF1673"/>
    <w:rsid w:val="00EF2249"/>
    <w:rsid w:val="00EF3ADD"/>
    <w:rsid w:val="00EF5B61"/>
    <w:rsid w:val="00EF69DE"/>
    <w:rsid w:val="00EF6DC6"/>
    <w:rsid w:val="00EF76F2"/>
    <w:rsid w:val="00EF77E8"/>
    <w:rsid w:val="00F01126"/>
    <w:rsid w:val="00F0292D"/>
    <w:rsid w:val="00F03A36"/>
    <w:rsid w:val="00F04145"/>
    <w:rsid w:val="00F04BD2"/>
    <w:rsid w:val="00F04C32"/>
    <w:rsid w:val="00F054F3"/>
    <w:rsid w:val="00F10A0C"/>
    <w:rsid w:val="00F13E4E"/>
    <w:rsid w:val="00F146D1"/>
    <w:rsid w:val="00F160CA"/>
    <w:rsid w:val="00F22093"/>
    <w:rsid w:val="00F22A5D"/>
    <w:rsid w:val="00F230EA"/>
    <w:rsid w:val="00F24F07"/>
    <w:rsid w:val="00F251D8"/>
    <w:rsid w:val="00F254F1"/>
    <w:rsid w:val="00F25992"/>
    <w:rsid w:val="00F26557"/>
    <w:rsid w:val="00F329F5"/>
    <w:rsid w:val="00F3396D"/>
    <w:rsid w:val="00F34101"/>
    <w:rsid w:val="00F3656A"/>
    <w:rsid w:val="00F37F5B"/>
    <w:rsid w:val="00F41C7B"/>
    <w:rsid w:val="00F4312A"/>
    <w:rsid w:val="00F43A98"/>
    <w:rsid w:val="00F44111"/>
    <w:rsid w:val="00F44967"/>
    <w:rsid w:val="00F44C74"/>
    <w:rsid w:val="00F44D83"/>
    <w:rsid w:val="00F5005F"/>
    <w:rsid w:val="00F523C0"/>
    <w:rsid w:val="00F52E14"/>
    <w:rsid w:val="00F5364F"/>
    <w:rsid w:val="00F53663"/>
    <w:rsid w:val="00F539B8"/>
    <w:rsid w:val="00F53A0D"/>
    <w:rsid w:val="00F54DFE"/>
    <w:rsid w:val="00F55921"/>
    <w:rsid w:val="00F55A4E"/>
    <w:rsid w:val="00F56ADD"/>
    <w:rsid w:val="00F56E9D"/>
    <w:rsid w:val="00F6032E"/>
    <w:rsid w:val="00F61FD9"/>
    <w:rsid w:val="00F6250B"/>
    <w:rsid w:val="00F62826"/>
    <w:rsid w:val="00F64899"/>
    <w:rsid w:val="00F6798E"/>
    <w:rsid w:val="00F67E13"/>
    <w:rsid w:val="00F705E9"/>
    <w:rsid w:val="00F71058"/>
    <w:rsid w:val="00F7229A"/>
    <w:rsid w:val="00F73B05"/>
    <w:rsid w:val="00F806FB"/>
    <w:rsid w:val="00F80BA2"/>
    <w:rsid w:val="00F819DA"/>
    <w:rsid w:val="00F82F48"/>
    <w:rsid w:val="00F833AE"/>
    <w:rsid w:val="00F85F80"/>
    <w:rsid w:val="00F87064"/>
    <w:rsid w:val="00F90B48"/>
    <w:rsid w:val="00F90F1F"/>
    <w:rsid w:val="00F930D5"/>
    <w:rsid w:val="00F931E6"/>
    <w:rsid w:val="00F96F88"/>
    <w:rsid w:val="00FA07B3"/>
    <w:rsid w:val="00FA1FBE"/>
    <w:rsid w:val="00FA267E"/>
    <w:rsid w:val="00FA3E89"/>
    <w:rsid w:val="00FA6F0E"/>
    <w:rsid w:val="00FA765C"/>
    <w:rsid w:val="00FB28BA"/>
    <w:rsid w:val="00FB2EB6"/>
    <w:rsid w:val="00FB4712"/>
    <w:rsid w:val="00FB473D"/>
    <w:rsid w:val="00FB47EF"/>
    <w:rsid w:val="00FB5CA9"/>
    <w:rsid w:val="00FB6178"/>
    <w:rsid w:val="00FB61D5"/>
    <w:rsid w:val="00FB7CFC"/>
    <w:rsid w:val="00FC0AD6"/>
    <w:rsid w:val="00FC0E9E"/>
    <w:rsid w:val="00FC223B"/>
    <w:rsid w:val="00FC4690"/>
    <w:rsid w:val="00FC5CB4"/>
    <w:rsid w:val="00FC64C7"/>
    <w:rsid w:val="00FC7B57"/>
    <w:rsid w:val="00FD4C28"/>
    <w:rsid w:val="00FD5A75"/>
    <w:rsid w:val="00FD5DAD"/>
    <w:rsid w:val="00FD6518"/>
    <w:rsid w:val="00FD7E82"/>
    <w:rsid w:val="00FE2435"/>
    <w:rsid w:val="00FE2E3B"/>
    <w:rsid w:val="00FE3D19"/>
    <w:rsid w:val="00FE6886"/>
    <w:rsid w:val="00FE6BC3"/>
    <w:rsid w:val="00FE6F8C"/>
    <w:rsid w:val="00FE7505"/>
    <w:rsid w:val="00FE7745"/>
    <w:rsid w:val="00FF07FB"/>
    <w:rsid w:val="00FF15BD"/>
    <w:rsid w:val="00FF3EA6"/>
    <w:rsid w:val="00FF4E0F"/>
    <w:rsid w:val="00FF6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EDB36"/>
  <w15:docId w15:val="{AFB749FF-E7E9-423B-A949-744F8ACAD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00C"/>
    <w:rPr>
      <w:lang w:val="ro-MD"/>
    </w:rPr>
  </w:style>
  <w:style w:type="paragraph" w:styleId="Heading1">
    <w:name w:val="heading 1"/>
    <w:basedOn w:val="Normal"/>
    <w:next w:val="Normal"/>
    <w:link w:val="Heading1Char"/>
    <w:qFormat/>
    <w:rsid w:val="00724285"/>
    <w:pPr>
      <w:keepNext/>
      <w:suppressAutoHyphens/>
      <w:spacing w:after="120" w:line="240" w:lineRule="auto"/>
      <w:jc w:val="center"/>
      <w:outlineLvl w:val="0"/>
    </w:pPr>
    <w:rPr>
      <w:rFonts w:ascii="Times New Roman" w:eastAsia="Times New Roman" w:hAnsi="Times New Roman" w:cs="Times New Roman"/>
      <w:b/>
      <w:bCs/>
      <w:sz w:val="24"/>
      <w:szCs w:val="24"/>
      <w:lang w:val="ro-RO" w:eastAsia="ar-SA"/>
    </w:rPr>
  </w:style>
  <w:style w:type="paragraph" w:styleId="Heading2">
    <w:name w:val="heading 2"/>
    <w:basedOn w:val="Normal"/>
    <w:next w:val="Normal"/>
    <w:link w:val="Heading2Char"/>
    <w:unhideWhenUsed/>
    <w:qFormat/>
    <w:rsid w:val="00BA7DB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A42EBB"/>
    <w:pPr>
      <w:keepNext/>
      <w:spacing w:after="0" w:line="240" w:lineRule="auto"/>
      <w:jc w:val="both"/>
      <w:outlineLvl w:val="2"/>
    </w:pPr>
    <w:rPr>
      <w:rFonts w:ascii="Times New Roman" w:eastAsia="Times New Roman" w:hAnsi="Times New Roman" w:cs="Times New Roman"/>
      <w:b/>
      <w:bCs/>
      <w:sz w:val="28"/>
      <w:szCs w:val="24"/>
      <w:lang w:val="ro-RO" w:eastAsia="ru-RU"/>
    </w:rPr>
  </w:style>
  <w:style w:type="paragraph" w:styleId="Heading4">
    <w:name w:val="heading 4"/>
    <w:basedOn w:val="Normal"/>
    <w:next w:val="Normal"/>
    <w:link w:val="Heading4Char"/>
    <w:qFormat/>
    <w:rsid w:val="00A42EBB"/>
    <w:pPr>
      <w:keepNext/>
      <w:spacing w:after="0" w:line="240" w:lineRule="auto"/>
      <w:ind w:firstLine="540"/>
      <w:jc w:val="both"/>
      <w:outlineLvl w:val="3"/>
    </w:pPr>
    <w:rPr>
      <w:rFonts w:ascii="Times New Roman" w:eastAsia="Times New Roman" w:hAnsi="Times New Roman" w:cs="Times New Roman"/>
      <w:sz w:val="28"/>
      <w:szCs w:val="24"/>
      <w:lang w:val="ro-RO" w:eastAsia="ru-RU"/>
    </w:rPr>
  </w:style>
  <w:style w:type="paragraph" w:styleId="Heading5">
    <w:name w:val="heading 5"/>
    <w:basedOn w:val="Normal"/>
    <w:next w:val="Normal"/>
    <w:link w:val="Heading5Char"/>
    <w:qFormat/>
    <w:rsid w:val="00772A5F"/>
    <w:pPr>
      <w:keepNext/>
      <w:spacing w:after="0" w:line="240" w:lineRule="auto"/>
      <w:ind w:firstLine="720"/>
      <w:jc w:val="center"/>
      <w:outlineLvl w:val="4"/>
    </w:pPr>
    <w:rPr>
      <w:rFonts w:ascii="$Caslon" w:eastAsia="Times New Roman" w:hAnsi="$Caslon" w:cs="Times New Roman"/>
      <w:sz w:val="24"/>
      <w:szCs w:val="20"/>
    </w:rPr>
  </w:style>
  <w:style w:type="paragraph" w:styleId="Heading6">
    <w:name w:val="heading 6"/>
    <w:basedOn w:val="Normal"/>
    <w:next w:val="Normal"/>
    <w:link w:val="Heading6Char"/>
    <w:qFormat/>
    <w:rsid w:val="00A42EBB"/>
    <w:pPr>
      <w:keepNext/>
      <w:spacing w:after="0" w:line="360" w:lineRule="auto"/>
      <w:ind w:left="703"/>
      <w:jc w:val="both"/>
      <w:outlineLvl w:val="5"/>
    </w:pPr>
    <w:rPr>
      <w:rFonts w:ascii="Times New Roman" w:eastAsia="Times New Roman" w:hAnsi="Times New Roman" w:cs="Times New Roman"/>
      <w:bCs/>
      <w:sz w:val="28"/>
      <w:szCs w:val="24"/>
      <w:lang w:eastAsia="ru-RU"/>
    </w:rPr>
  </w:style>
  <w:style w:type="paragraph" w:styleId="Heading7">
    <w:name w:val="heading 7"/>
    <w:basedOn w:val="Normal"/>
    <w:next w:val="Normal"/>
    <w:link w:val="Heading7Char"/>
    <w:qFormat/>
    <w:rsid w:val="00A42EBB"/>
    <w:pPr>
      <w:keepNext/>
      <w:spacing w:after="0" w:line="240" w:lineRule="auto"/>
      <w:ind w:firstLine="540"/>
      <w:outlineLvl w:val="6"/>
    </w:pPr>
    <w:rPr>
      <w:rFonts w:ascii="Times New Roman" w:eastAsia="Times New Roman" w:hAnsi="Times New Roman" w:cs="Times New Roman"/>
      <w:b/>
      <w:sz w:val="28"/>
      <w:szCs w:val="24"/>
      <w:lang w:val="ro-RO" w:eastAsia="ru-RU"/>
    </w:rPr>
  </w:style>
  <w:style w:type="paragraph" w:styleId="Heading8">
    <w:name w:val="heading 8"/>
    <w:basedOn w:val="Normal"/>
    <w:next w:val="Normal"/>
    <w:link w:val="Heading8Char"/>
    <w:qFormat/>
    <w:rsid w:val="00772A5F"/>
    <w:pPr>
      <w:keepNext/>
      <w:spacing w:after="0" w:line="240" w:lineRule="auto"/>
      <w:ind w:firstLine="720"/>
      <w:jc w:val="center"/>
      <w:outlineLvl w:val="7"/>
    </w:pPr>
    <w:rPr>
      <w:rFonts w:ascii="$Caslon" w:eastAsia="Times New Roman" w:hAnsi="$Caslo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0E16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E1673"/>
    <w:rPr>
      <w:rFonts w:ascii="Segoe UI" w:hAnsi="Segoe UI" w:cs="Segoe UI"/>
      <w:sz w:val="18"/>
      <w:szCs w:val="18"/>
    </w:rPr>
  </w:style>
  <w:style w:type="character" w:styleId="Hyperlink">
    <w:name w:val="Hyperlink"/>
    <w:uiPriority w:val="99"/>
    <w:rsid w:val="00FD4C28"/>
    <w:rPr>
      <w:color w:val="0000FF"/>
      <w:u w:val="single"/>
    </w:rPr>
  </w:style>
  <w:style w:type="paragraph" w:styleId="Header">
    <w:name w:val="header"/>
    <w:basedOn w:val="Normal"/>
    <w:link w:val="HeaderChar"/>
    <w:unhideWhenUsed/>
    <w:rsid w:val="00736F61"/>
    <w:pPr>
      <w:tabs>
        <w:tab w:val="center" w:pos="4680"/>
        <w:tab w:val="right" w:pos="9360"/>
      </w:tabs>
      <w:spacing w:after="0" w:line="240" w:lineRule="auto"/>
    </w:pPr>
  </w:style>
  <w:style w:type="character" w:customStyle="1" w:styleId="HeaderChar">
    <w:name w:val="Header Char"/>
    <w:basedOn w:val="DefaultParagraphFont"/>
    <w:link w:val="Header"/>
    <w:rsid w:val="00736F61"/>
  </w:style>
  <w:style w:type="paragraph" w:styleId="Footer">
    <w:name w:val="footer"/>
    <w:basedOn w:val="Normal"/>
    <w:link w:val="FooterChar"/>
    <w:uiPriority w:val="99"/>
    <w:unhideWhenUsed/>
    <w:rsid w:val="00736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F61"/>
  </w:style>
  <w:style w:type="character" w:styleId="CommentReference">
    <w:name w:val="annotation reference"/>
    <w:basedOn w:val="DefaultParagraphFont"/>
    <w:uiPriority w:val="99"/>
    <w:semiHidden/>
    <w:unhideWhenUsed/>
    <w:rsid w:val="00736F61"/>
    <w:rPr>
      <w:sz w:val="16"/>
      <w:szCs w:val="16"/>
    </w:rPr>
  </w:style>
  <w:style w:type="paragraph" w:styleId="CommentText">
    <w:name w:val="annotation text"/>
    <w:basedOn w:val="Normal"/>
    <w:link w:val="CommentTextChar"/>
    <w:uiPriority w:val="99"/>
    <w:unhideWhenUsed/>
    <w:rsid w:val="00736F61"/>
    <w:pPr>
      <w:spacing w:line="240" w:lineRule="auto"/>
    </w:pPr>
    <w:rPr>
      <w:sz w:val="20"/>
      <w:szCs w:val="20"/>
    </w:rPr>
  </w:style>
  <w:style w:type="character" w:customStyle="1" w:styleId="CommentTextChar">
    <w:name w:val="Comment Text Char"/>
    <w:basedOn w:val="DefaultParagraphFont"/>
    <w:link w:val="CommentText"/>
    <w:uiPriority w:val="99"/>
    <w:rsid w:val="00736F61"/>
    <w:rPr>
      <w:sz w:val="20"/>
      <w:szCs w:val="20"/>
    </w:rPr>
  </w:style>
  <w:style w:type="paragraph" w:styleId="CommentSubject">
    <w:name w:val="annotation subject"/>
    <w:basedOn w:val="CommentText"/>
    <w:next w:val="CommentText"/>
    <w:link w:val="CommentSubjectChar"/>
    <w:uiPriority w:val="99"/>
    <w:semiHidden/>
    <w:unhideWhenUsed/>
    <w:rsid w:val="00736F61"/>
    <w:rPr>
      <w:b/>
      <w:bCs/>
    </w:rPr>
  </w:style>
  <w:style w:type="character" w:customStyle="1" w:styleId="CommentSubjectChar">
    <w:name w:val="Comment Subject Char"/>
    <w:basedOn w:val="CommentTextChar"/>
    <w:link w:val="CommentSubject"/>
    <w:uiPriority w:val="99"/>
    <w:semiHidden/>
    <w:rsid w:val="00736F61"/>
    <w:rPr>
      <w:b/>
      <w:bCs/>
      <w:sz w:val="20"/>
      <w:szCs w:val="20"/>
    </w:rPr>
  </w:style>
  <w:style w:type="paragraph" w:styleId="ListParagraph">
    <w:name w:val="List Paragraph"/>
    <w:aliases w:val="Scriptoria bullet points,List Paragraph 1,Bullets,List Paragraph (numbered (a)),Numbered Paragraph,Main numbered paragraph,Akapit z listą BS,Lettre d'introduction,List Paragraph11,Bullet Points,Liste Paragraf,Listenabsatz1,References,列出段落"/>
    <w:basedOn w:val="Normal"/>
    <w:link w:val="ListParagraphChar"/>
    <w:uiPriority w:val="34"/>
    <w:qFormat/>
    <w:rsid w:val="00C31335"/>
    <w:pPr>
      <w:ind w:left="720"/>
      <w:contextualSpacing/>
    </w:pPr>
  </w:style>
  <w:style w:type="table" w:styleId="TableGrid">
    <w:name w:val="Table Grid"/>
    <w:basedOn w:val="TableNormal"/>
    <w:uiPriority w:val="59"/>
    <w:rsid w:val="002A2D8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TableNormal"/>
    <w:next w:val="TableGrid"/>
    <w:uiPriority w:val="59"/>
    <w:rsid w:val="002A2D86"/>
    <w:pPr>
      <w:spacing w:after="0" w:line="240" w:lineRule="auto"/>
    </w:pPr>
    <w:rPr>
      <w:rFonts w:ascii="Calibri" w:eastAsia="Calibri" w:hAnsi="Calibri" w:cs="Times New Roman"/>
      <w:lang w:val="ro-RO"/>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2A2D8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A2D86"/>
    <w:pPr>
      <w:spacing w:after="0" w:line="240" w:lineRule="auto"/>
    </w:pPr>
    <w:rPr>
      <w:lang w:val="en-GB"/>
    </w:rPr>
  </w:style>
  <w:style w:type="paragraph" w:styleId="NormalWeb">
    <w:name w:val="Normal (Web)"/>
    <w:basedOn w:val="Normal"/>
    <w:uiPriority w:val="99"/>
    <w:rsid w:val="002A2D86"/>
    <w:pPr>
      <w:suppressAutoHyphens/>
      <w:spacing w:before="280" w:after="119" w:line="240" w:lineRule="auto"/>
    </w:pPr>
    <w:rPr>
      <w:rFonts w:ascii="Times New Roman" w:eastAsia="Times New Roman" w:hAnsi="Times New Roman" w:cs="Times New Roman"/>
      <w:sz w:val="24"/>
      <w:szCs w:val="24"/>
      <w:lang w:val="ru-RU" w:eastAsia="ar-SA"/>
    </w:rPr>
  </w:style>
  <w:style w:type="character" w:customStyle="1" w:styleId="Heading1Char">
    <w:name w:val="Heading 1 Char"/>
    <w:basedOn w:val="DefaultParagraphFont"/>
    <w:link w:val="Heading1"/>
    <w:rsid w:val="00724285"/>
    <w:rPr>
      <w:rFonts w:ascii="Times New Roman" w:eastAsia="Times New Roman" w:hAnsi="Times New Roman" w:cs="Times New Roman"/>
      <w:b/>
      <w:bCs/>
      <w:sz w:val="24"/>
      <w:szCs w:val="24"/>
      <w:lang w:val="ro-RO" w:eastAsia="ar-SA"/>
    </w:rPr>
  </w:style>
  <w:style w:type="paragraph" w:styleId="BodyText">
    <w:name w:val="Body Text"/>
    <w:basedOn w:val="Normal"/>
    <w:link w:val="BodyTextChar"/>
    <w:rsid w:val="00724285"/>
    <w:pPr>
      <w:suppressAutoHyphens/>
      <w:spacing w:after="120" w:line="240" w:lineRule="auto"/>
    </w:pPr>
    <w:rPr>
      <w:rFonts w:ascii="Times New Roman" w:eastAsia="Times New Roman" w:hAnsi="Times New Roman" w:cs="Times New Roman"/>
      <w:sz w:val="24"/>
      <w:szCs w:val="24"/>
      <w:lang w:val="ru-RU" w:eastAsia="ar-SA"/>
    </w:rPr>
  </w:style>
  <w:style w:type="character" w:customStyle="1" w:styleId="BodyTextChar">
    <w:name w:val="Body Text Char"/>
    <w:basedOn w:val="DefaultParagraphFont"/>
    <w:link w:val="BodyText"/>
    <w:rsid w:val="00724285"/>
    <w:rPr>
      <w:rFonts w:ascii="Times New Roman" w:eastAsia="Times New Roman" w:hAnsi="Times New Roman" w:cs="Times New Roman"/>
      <w:sz w:val="24"/>
      <w:szCs w:val="24"/>
      <w:lang w:val="ru-RU" w:eastAsia="ar-SA"/>
    </w:rPr>
  </w:style>
  <w:style w:type="paragraph" w:customStyle="1" w:styleId="norm">
    <w:name w:val="norm"/>
    <w:basedOn w:val="Normal"/>
    <w:rsid w:val="007242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BA7DB1"/>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rsid w:val="00772A5F"/>
    <w:rPr>
      <w:rFonts w:ascii="$Caslon" w:eastAsia="Times New Roman" w:hAnsi="$Caslon" w:cs="Times New Roman"/>
      <w:sz w:val="24"/>
      <w:szCs w:val="20"/>
    </w:rPr>
  </w:style>
  <w:style w:type="character" w:customStyle="1" w:styleId="Heading8Char">
    <w:name w:val="Heading 8 Char"/>
    <w:basedOn w:val="DefaultParagraphFont"/>
    <w:link w:val="Heading8"/>
    <w:rsid w:val="00772A5F"/>
    <w:rPr>
      <w:rFonts w:ascii="$Caslon" w:eastAsia="Times New Roman" w:hAnsi="$Caslon" w:cs="Times New Roman"/>
      <w:b/>
      <w:sz w:val="24"/>
      <w:szCs w:val="20"/>
    </w:rPr>
  </w:style>
  <w:style w:type="character" w:customStyle="1" w:styleId="Heading3Char">
    <w:name w:val="Heading 3 Char"/>
    <w:basedOn w:val="DefaultParagraphFont"/>
    <w:link w:val="Heading3"/>
    <w:rsid w:val="00A42EBB"/>
    <w:rPr>
      <w:rFonts w:ascii="Times New Roman" w:eastAsia="Times New Roman" w:hAnsi="Times New Roman" w:cs="Times New Roman"/>
      <w:b/>
      <w:bCs/>
      <w:sz w:val="28"/>
      <w:szCs w:val="24"/>
      <w:lang w:val="ro-RO" w:eastAsia="ru-RU"/>
    </w:rPr>
  </w:style>
  <w:style w:type="table" w:customStyle="1" w:styleId="TableGrid2">
    <w:name w:val="Table Grid2"/>
    <w:basedOn w:val="TableNormal"/>
    <w:next w:val="TableGrid"/>
    <w:rsid w:val="00772A5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ref">
    <w:name w:val="modref"/>
    <w:basedOn w:val="Normal"/>
    <w:rsid w:val="00772A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DefaultParagraphFont"/>
    <w:rsid w:val="00772A5F"/>
  </w:style>
  <w:style w:type="paragraph" w:customStyle="1" w:styleId="title-article-norm">
    <w:name w:val="title-article-norm"/>
    <w:basedOn w:val="Normal"/>
    <w:rsid w:val="00772A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article-norm">
    <w:name w:val="stitle-article-norm"/>
    <w:basedOn w:val="Normal"/>
    <w:rsid w:val="00772A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2A5F"/>
    <w:rPr>
      <w:b/>
      <w:bCs/>
    </w:rPr>
  </w:style>
  <w:style w:type="paragraph" w:customStyle="1" w:styleId="title-annex-1">
    <w:name w:val="title-annex-1"/>
    <w:basedOn w:val="Normal"/>
    <w:rsid w:val="00772A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nnex-2">
    <w:name w:val="title-annex-2"/>
    <w:basedOn w:val="Normal"/>
    <w:rsid w:val="00772A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seq-level-1">
    <w:name w:val="title-gr-seq-level-1"/>
    <w:basedOn w:val="Normal"/>
    <w:rsid w:val="00772A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face">
    <w:name w:val="boldface"/>
    <w:basedOn w:val="DefaultParagraphFont"/>
    <w:rsid w:val="00772A5F"/>
  </w:style>
  <w:style w:type="character" w:customStyle="1" w:styleId="italics">
    <w:name w:val="italics"/>
    <w:basedOn w:val="DefaultParagraphFont"/>
    <w:rsid w:val="00772A5F"/>
  </w:style>
  <w:style w:type="paragraph" w:customStyle="1" w:styleId="tbl-norm">
    <w:name w:val="tbl-norm"/>
    <w:basedOn w:val="Normal"/>
    <w:rsid w:val="00772A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script">
    <w:name w:val="subscript"/>
    <w:basedOn w:val="DefaultParagraphFont"/>
    <w:rsid w:val="00772A5F"/>
  </w:style>
  <w:style w:type="paragraph" w:customStyle="1" w:styleId="hd-column">
    <w:name w:val="hd-column"/>
    <w:basedOn w:val="Normal"/>
    <w:rsid w:val="00772A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A42EBB"/>
    <w:rPr>
      <w:rFonts w:ascii="Times New Roman" w:eastAsia="Times New Roman" w:hAnsi="Times New Roman" w:cs="Times New Roman"/>
      <w:sz w:val="28"/>
      <w:szCs w:val="24"/>
      <w:lang w:val="ro-RO" w:eastAsia="ru-RU"/>
    </w:rPr>
  </w:style>
  <w:style w:type="character" w:styleId="FollowedHyperlink">
    <w:name w:val="FollowedHyperlink"/>
    <w:basedOn w:val="DefaultParagraphFont"/>
    <w:uiPriority w:val="99"/>
    <w:semiHidden/>
    <w:unhideWhenUsed/>
    <w:rsid w:val="00772A5F"/>
    <w:rPr>
      <w:color w:val="800080"/>
      <w:u w:val="single"/>
    </w:rPr>
  </w:style>
  <w:style w:type="paragraph" w:customStyle="1" w:styleId="title-gr-seq-level-2">
    <w:name w:val="title-gr-seq-level-2"/>
    <w:basedOn w:val="Normal"/>
    <w:rsid w:val="00772A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xpanded">
    <w:name w:val="expanded"/>
    <w:basedOn w:val="DefaultParagraphFont"/>
    <w:rsid w:val="00772A5F"/>
  </w:style>
  <w:style w:type="character" w:styleId="Emphasis">
    <w:name w:val="Emphasis"/>
    <w:basedOn w:val="DefaultParagraphFont"/>
    <w:uiPriority w:val="20"/>
    <w:qFormat/>
    <w:rsid w:val="00772A5F"/>
    <w:rPr>
      <w:i/>
      <w:iCs/>
    </w:rPr>
  </w:style>
  <w:style w:type="table" w:customStyle="1" w:styleId="GrilTabel2">
    <w:name w:val="Grilă Tabel2"/>
    <w:basedOn w:val="TableNormal"/>
    <w:rsid w:val="00772A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Normal"/>
    <w:rsid w:val="00D8622E"/>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pb">
    <w:name w:val="pb"/>
    <w:basedOn w:val="Normal"/>
    <w:rsid w:val="00D8622E"/>
    <w:pPr>
      <w:spacing w:after="0" w:line="240" w:lineRule="auto"/>
      <w:jc w:val="center"/>
    </w:pPr>
    <w:rPr>
      <w:rFonts w:ascii="Times New Roman" w:eastAsia="Times New Roman" w:hAnsi="Times New Roman" w:cs="Times New Roman"/>
      <w:i/>
      <w:iCs/>
      <w:color w:val="663300"/>
      <w:sz w:val="20"/>
      <w:szCs w:val="20"/>
      <w:lang w:val="ru-RU" w:eastAsia="ru-RU"/>
    </w:rPr>
  </w:style>
  <w:style w:type="character" w:customStyle="1" w:styleId="UnresolvedMention1">
    <w:name w:val="Unresolved Mention1"/>
    <w:basedOn w:val="DefaultParagraphFont"/>
    <w:uiPriority w:val="99"/>
    <w:semiHidden/>
    <w:unhideWhenUsed/>
    <w:rsid w:val="00D45BD0"/>
    <w:rPr>
      <w:color w:val="605E5C"/>
      <w:shd w:val="clear" w:color="auto" w:fill="E1DFDD"/>
    </w:rPr>
  </w:style>
  <w:style w:type="character" w:customStyle="1" w:styleId="Heading6Char">
    <w:name w:val="Heading 6 Char"/>
    <w:basedOn w:val="DefaultParagraphFont"/>
    <w:link w:val="Heading6"/>
    <w:rsid w:val="00A42EBB"/>
    <w:rPr>
      <w:rFonts w:ascii="Times New Roman" w:eastAsia="Times New Roman" w:hAnsi="Times New Roman" w:cs="Times New Roman"/>
      <w:bCs/>
      <w:sz w:val="28"/>
      <w:szCs w:val="24"/>
      <w:lang w:eastAsia="ru-RU"/>
    </w:rPr>
  </w:style>
  <w:style w:type="character" w:customStyle="1" w:styleId="Heading7Char">
    <w:name w:val="Heading 7 Char"/>
    <w:basedOn w:val="DefaultParagraphFont"/>
    <w:link w:val="Heading7"/>
    <w:rsid w:val="00A42EBB"/>
    <w:rPr>
      <w:rFonts w:ascii="Times New Roman" w:eastAsia="Times New Roman" w:hAnsi="Times New Roman" w:cs="Times New Roman"/>
      <w:b/>
      <w:sz w:val="28"/>
      <w:szCs w:val="24"/>
      <w:lang w:val="ro-RO" w:eastAsia="ru-RU"/>
    </w:rPr>
  </w:style>
  <w:style w:type="paragraph" w:styleId="Title">
    <w:name w:val="Title"/>
    <w:basedOn w:val="Normal"/>
    <w:link w:val="TitleChar"/>
    <w:qFormat/>
    <w:rsid w:val="00A42EBB"/>
    <w:pPr>
      <w:spacing w:after="0" w:line="240" w:lineRule="auto"/>
      <w:jc w:val="center"/>
    </w:pPr>
    <w:rPr>
      <w:rFonts w:ascii="Times New Roman" w:eastAsia="Times New Roman" w:hAnsi="Times New Roman" w:cs="Times New Roman"/>
      <w:b/>
      <w:i/>
      <w:sz w:val="28"/>
      <w:szCs w:val="20"/>
      <w:lang w:val="ro-RO" w:eastAsia="ru-RU"/>
    </w:rPr>
  </w:style>
  <w:style w:type="character" w:customStyle="1" w:styleId="TitleChar">
    <w:name w:val="Title Char"/>
    <w:basedOn w:val="DefaultParagraphFont"/>
    <w:link w:val="Title"/>
    <w:rsid w:val="00A42EBB"/>
    <w:rPr>
      <w:rFonts w:ascii="Times New Roman" w:eastAsia="Times New Roman" w:hAnsi="Times New Roman" w:cs="Times New Roman"/>
      <w:b/>
      <w:i/>
      <w:sz w:val="28"/>
      <w:szCs w:val="20"/>
      <w:lang w:val="ro-RO" w:eastAsia="ru-RU"/>
    </w:rPr>
  </w:style>
  <w:style w:type="paragraph" w:styleId="BodyTextIndent">
    <w:name w:val="Body Text Indent"/>
    <w:basedOn w:val="Normal"/>
    <w:link w:val="BodyTextIndentChar"/>
    <w:rsid w:val="00A42EBB"/>
    <w:pPr>
      <w:spacing w:after="0" w:line="240" w:lineRule="auto"/>
      <w:ind w:left="180" w:firstLine="540"/>
      <w:jc w:val="both"/>
    </w:pPr>
    <w:rPr>
      <w:rFonts w:ascii="Times New Roman" w:eastAsia="Times New Roman" w:hAnsi="Times New Roman" w:cs="Times New Roman"/>
      <w:bCs/>
      <w:sz w:val="28"/>
      <w:szCs w:val="24"/>
      <w:lang w:eastAsia="ru-RU"/>
    </w:rPr>
  </w:style>
  <w:style w:type="character" w:customStyle="1" w:styleId="BodyTextIndentChar">
    <w:name w:val="Body Text Indent Char"/>
    <w:basedOn w:val="DefaultParagraphFont"/>
    <w:link w:val="BodyTextIndent"/>
    <w:rsid w:val="00A42EBB"/>
    <w:rPr>
      <w:rFonts w:ascii="Times New Roman" w:eastAsia="Times New Roman" w:hAnsi="Times New Roman" w:cs="Times New Roman"/>
      <w:bCs/>
      <w:sz w:val="28"/>
      <w:szCs w:val="24"/>
      <w:lang w:eastAsia="ru-RU"/>
    </w:rPr>
  </w:style>
  <w:style w:type="paragraph" w:styleId="BodyTextIndent2">
    <w:name w:val="Body Text Indent 2"/>
    <w:basedOn w:val="Normal"/>
    <w:link w:val="BodyTextIndent2Char"/>
    <w:rsid w:val="00A42EBB"/>
    <w:pPr>
      <w:spacing w:after="0" w:line="240" w:lineRule="auto"/>
      <w:ind w:left="180" w:firstLine="525"/>
      <w:jc w:val="both"/>
    </w:pPr>
    <w:rPr>
      <w:rFonts w:ascii="Times New Roman" w:eastAsia="Times New Roman" w:hAnsi="Times New Roman" w:cs="Times New Roman"/>
      <w:bCs/>
      <w:sz w:val="28"/>
      <w:szCs w:val="24"/>
      <w:lang w:eastAsia="ru-RU"/>
    </w:rPr>
  </w:style>
  <w:style w:type="character" w:customStyle="1" w:styleId="BodyTextIndent2Char">
    <w:name w:val="Body Text Indent 2 Char"/>
    <w:basedOn w:val="DefaultParagraphFont"/>
    <w:link w:val="BodyTextIndent2"/>
    <w:rsid w:val="00A42EBB"/>
    <w:rPr>
      <w:rFonts w:ascii="Times New Roman" w:eastAsia="Times New Roman" w:hAnsi="Times New Roman" w:cs="Times New Roman"/>
      <w:bCs/>
      <w:sz w:val="28"/>
      <w:szCs w:val="24"/>
      <w:lang w:eastAsia="ru-RU"/>
    </w:rPr>
  </w:style>
  <w:style w:type="paragraph" w:styleId="BodyText2">
    <w:name w:val="Body Text 2"/>
    <w:basedOn w:val="Normal"/>
    <w:link w:val="BodyText2Char"/>
    <w:rsid w:val="00A42EBB"/>
    <w:pPr>
      <w:spacing w:after="0" w:line="240" w:lineRule="auto"/>
      <w:jc w:val="both"/>
    </w:pPr>
    <w:rPr>
      <w:rFonts w:ascii="Times New Roman" w:eastAsia="Times New Roman" w:hAnsi="Times New Roman" w:cs="Times New Roman"/>
      <w:sz w:val="24"/>
      <w:szCs w:val="20"/>
      <w:lang w:val="ro-RO" w:eastAsia="ru-RU"/>
    </w:rPr>
  </w:style>
  <w:style w:type="character" w:customStyle="1" w:styleId="BodyText2Char">
    <w:name w:val="Body Text 2 Char"/>
    <w:basedOn w:val="DefaultParagraphFont"/>
    <w:link w:val="BodyText2"/>
    <w:rsid w:val="00A42EBB"/>
    <w:rPr>
      <w:rFonts w:ascii="Times New Roman" w:eastAsia="Times New Roman" w:hAnsi="Times New Roman" w:cs="Times New Roman"/>
      <w:sz w:val="24"/>
      <w:szCs w:val="20"/>
      <w:lang w:val="ro-RO" w:eastAsia="ru-RU"/>
    </w:rPr>
  </w:style>
  <w:style w:type="paragraph" w:styleId="BodyText3">
    <w:name w:val="Body Text 3"/>
    <w:basedOn w:val="Normal"/>
    <w:link w:val="BodyText3Char"/>
    <w:rsid w:val="00A42EBB"/>
    <w:pPr>
      <w:spacing w:after="0" w:line="240" w:lineRule="auto"/>
      <w:jc w:val="center"/>
    </w:pPr>
    <w:rPr>
      <w:rFonts w:ascii="Times New Roman" w:eastAsia="Times New Roman" w:hAnsi="Times New Roman" w:cs="Times New Roman"/>
      <w:b/>
      <w:sz w:val="28"/>
      <w:szCs w:val="24"/>
      <w:lang w:val="ro-RO" w:eastAsia="ru-RU"/>
    </w:rPr>
  </w:style>
  <w:style w:type="character" w:customStyle="1" w:styleId="BodyText3Char">
    <w:name w:val="Body Text 3 Char"/>
    <w:basedOn w:val="DefaultParagraphFont"/>
    <w:link w:val="BodyText3"/>
    <w:rsid w:val="00A42EBB"/>
    <w:rPr>
      <w:rFonts w:ascii="Times New Roman" w:eastAsia="Times New Roman" w:hAnsi="Times New Roman" w:cs="Times New Roman"/>
      <w:b/>
      <w:sz w:val="28"/>
      <w:szCs w:val="24"/>
      <w:lang w:val="ro-RO" w:eastAsia="ru-RU"/>
    </w:rPr>
  </w:style>
  <w:style w:type="paragraph" w:styleId="BodyTextIndent3">
    <w:name w:val="Body Text Indent 3"/>
    <w:basedOn w:val="Normal"/>
    <w:link w:val="BodyTextIndent3Char"/>
    <w:rsid w:val="00A42EBB"/>
    <w:pPr>
      <w:spacing w:after="0" w:line="240" w:lineRule="auto"/>
      <w:ind w:right="6" w:firstLine="570"/>
      <w:jc w:val="both"/>
    </w:pPr>
    <w:rPr>
      <w:rFonts w:ascii="Times New Roman" w:eastAsia="Times New Roman" w:hAnsi="Times New Roman" w:cs="Times New Roman"/>
      <w:sz w:val="28"/>
      <w:szCs w:val="24"/>
      <w:lang w:eastAsia="ru-RU"/>
    </w:rPr>
  </w:style>
  <w:style w:type="character" w:customStyle="1" w:styleId="BodyTextIndent3Char">
    <w:name w:val="Body Text Indent 3 Char"/>
    <w:basedOn w:val="DefaultParagraphFont"/>
    <w:link w:val="BodyTextIndent3"/>
    <w:rsid w:val="00A42EBB"/>
    <w:rPr>
      <w:rFonts w:ascii="Times New Roman" w:eastAsia="Times New Roman" w:hAnsi="Times New Roman" w:cs="Times New Roman"/>
      <w:sz w:val="28"/>
      <w:szCs w:val="24"/>
      <w:lang w:eastAsia="ru-RU"/>
    </w:rPr>
  </w:style>
  <w:style w:type="paragraph" w:customStyle="1" w:styleId="cn">
    <w:name w:val="cn"/>
    <w:basedOn w:val="Normal"/>
    <w:rsid w:val="00A42EBB"/>
    <w:pPr>
      <w:spacing w:after="0" w:line="240" w:lineRule="auto"/>
      <w:jc w:val="center"/>
    </w:pPr>
    <w:rPr>
      <w:rFonts w:ascii="Times New Roman" w:eastAsia="Times New Roman" w:hAnsi="Times New Roman" w:cs="Times New Roman"/>
      <w:sz w:val="24"/>
      <w:szCs w:val="24"/>
    </w:rPr>
  </w:style>
  <w:style w:type="paragraph" w:customStyle="1" w:styleId="nt">
    <w:name w:val="nt"/>
    <w:basedOn w:val="Normal"/>
    <w:rsid w:val="00A42EBB"/>
    <w:pPr>
      <w:spacing w:after="0" w:line="240" w:lineRule="auto"/>
      <w:ind w:left="567" w:right="567" w:hanging="567"/>
      <w:jc w:val="both"/>
    </w:pPr>
    <w:rPr>
      <w:rFonts w:ascii="Times New Roman" w:eastAsia="Times New Roman" w:hAnsi="Times New Roman" w:cs="Times New Roman"/>
      <w:i/>
      <w:iCs/>
      <w:color w:val="663300"/>
      <w:sz w:val="20"/>
      <w:szCs w:val="20"/>
    </w:rPr>
  </w:style>
  <w:style w:type="paragraph" w:customStyle="1" w:styleId="rg">
    <w:name w:val="rg"/>
    <w:basedOn w:val="Normal"/>
    <w:rsid w:val="00A42EBB"/>
    <w:pPr>
      <w:spacing w:after="0" w:line="240" w:lineRule="auto"/>
      <w:jc w:val="right"/>
    </w:pPr>
    <w:rPr>
      <w:rFonts w:ascii="Times New Roman" w:eastAsia="Times New Roman" w:hAnsi="Times New Roman" w:cs="Times New Roman"/>
      <w:sz w:val="24"/>
      <w:szCs w:val="24"/>
    </w:rPr>
  </w:style>
  <w:style w:type="paragraph" w:customStyle="1" w:styleId="cb">
    <w:name w:val="cb"/>
    <w:basedOn w:val="Normal"/>
    <w:rsid w:val="00A42EBB"/>
    <w:pPr>
      <w:spacing w:after="0" w:line="240" w:lineRule="auto"/>
      <w:jc w:val="center"/>
    </w:pPr>
    <w:rPr>
      <w:rFonts w:ascii="Times New Roman" w:eastAsia="Times New Roman" w:hAnsi="Times New Roman" w:cs="Times New Roman"/>
      <w:b/>
      <w:bCs/>
      <w:sz w:val="24"/>
      <w:szCs w:val="24"/>
    </w:rPr>
  </w:style>
  <w:style w:type="paragraph" w:customStyle="1" w:styleId="md">
    <w:name w:val="md"/>
    <w:basedOn w:val="Normal"/>
    <w:rsid w:val="00A42EBB"/>
    <w:pPr>
      <w:spacing w:after="0" w:line="240" w:lineRule="auto"/>
      <w:ind w:firstLine="567"/>
      <w:jc w:val="both"/>
    </w:pPr>
    <w:rPr>
      <w:rFonts w:ascii="Times New Roman" w:eastAsia="Times New Roman" w:hAnsi="Times New Roman" w:cs="Times New Roman"/>
      <w:i/>
      <w:iCs/>
      <w:color w:val="663300"/>
      <w:sz w:val="20"/>
      <w:szCs w:val="20"/>
    </w:rPr>
  </w:style>
  <w:style w:type="paragraph" w:customStyle="1" w:styleId="cu">
    <w:name w:val="cu"/>
    <w:basedOn w:val="Normal"/>
    <w:rsid w:val="00A42EBB"/>
    <w:pPr>
      <w:spacing w:before="45" w:after="0" w:line="240" w:lineRule="auto"/>
      <w:ind w:left="1134" w:right="567" w:hanging="567"/>
      <w:jc w:val="both"/>
    </w:pPr>
    <w:rPr>
      <w:rFonts w:ascii="Times New Roman" w:eastAsia="Times New Roman" w:hAnsi="Times New Roman" w:cs="Times New Roman"/>
      <w:sz w:val="20"/>
      <w:szCs w:val="20"/>
    </w:rPr>
  </w:style>
  <w:style w:type="paragraph" w:customStyle="1" w:styleId="cut">
    <w:name w:val="cut"/>
    <w:basedOn w:val="Normal"/>
    <w:rsid w:val="00A42EBB"/>
    <w:pPr>
      <w:spacing w:after="0" w:line="240" w:lineRule="auto"/>
      <w:ind w:left="567" w:right="567" w:firstLine="567"/>
      <w:jc w:val="center"/>
    </w:pPr>
    <w:rPr>
      <w:rFonts w:ascii="Times New Roman" w:eastAsia="Times New Roman" w:hAnsi="Times New Roman" w:cs="Times New Roman"/>
      <w:b/>
      <w:bCs/>
      <w:sz w:val="20"/>
      <w:szCs w:val="20"/>
    </w:rPr>
  </w:style>
  <w:style w:type="paragraph" w:customStyle="1" w:styleId="cp">
    <w:name w:val="cp"/>
    <w:basedOn w:val="Normal"/>
    <w:rsid w:val="00A42EBB"/>
    <w:pPr>
      <w:spacing w:after="0" w:line="240" w:lineRule="auto"/>
      <w:jc w:val="center"/>
    </w:pPr>
    <w:rPr>
      <w:rFonts w:ascii="Times New Roman" w:eastAsia="Times New Roman" w:hAnsi="Times New Roman" w:cs="Times New Roman"/>
      <w:b/>
      <w:bCs/>
      <w:sz w:val="24"/>
      <w:szCs w:val="24"/>
    </w:rPr>
  </w:style>
  <w:style w:type="paragraph" w:customStyle="1" w:styleId="js">
    <w:name w:val="js"/>
    <w:basedOn w:val="Normal"/>
    <w:rsid w:val="00A42EBB"/>
    <w:pPr>
      <w:spacing w:after="0" w:line="240" w:lineRule="auto"/>
      <w:jc w:val="both"/>
    </w:pPr>
    <w:rPr>
      <w:rFonts w:ascii="Times New Roman" w:eastAsia="Times New Roman" w:hAnsi="Times New Roman" w:cs="Times New Roman"/>
      <w:sz w:val="24"/>
      <w:szCs w:val="24"/>
    </w:rPr>
  </w:style>
  <w:style w:type="paragraph" w:customStyle="1" w:styleId="lf">
    <w:name w:val="lf"/>
    <w:basedOn w:val="Normal"/>
    <w:rsid w:val="00A42EBB"/>
    <w:pPr>
      <w:spacing w:after="0" w:line="240" w:lineRule="auto"/>
    </w:pPr>
    <w:rPr>
      <w:rFonts w:ascii="Times New Roman" w:eastAsia="Times New Roman" w:hAnsi="Times New Roman" w:cs="Times New Roman"/>
      <w:sz w:val="24"/>
      <w:szCs w:val="24"/>
    </w:rPr>
  </w:style>
  <w:style w:type="paragraph" w:customStyle="1" w:styleId="forma">
    <w:name w:val="forma"/>
    <w:basedOn w:val="Normal"/>
    <w:rsid w:val="00A42EBB"/>
    <w:pPr>
      <w:spacing w:after="0" w:line="240" w:lineRule="auto"/>
      <w:ind w:firstLine="567"/>
      <w:jc w:val="both"/>
    </w:pPr>
    <w:rPr>
      <w:rFonts w:ascii="Arial" w:eastAsia="Times New Roman" w:hAnsi="Arial" w:cs="Arial"/>
      <w:sz w:val="20"/>
      <w:szCs w:val="20"/>
    </w:rPr>
  </w:style>
  <w:style w:type="paragraph" w:customStyle="1" w:styleId="sm">
    <w:name w:val="sm"/>
    <w:basedOn w:val="Normal"/>
    <w:rsid w:val="00A42EBB"/>
    <w:pPr>
      <w:spacing w:before="240" w:after="0" w:line="240" w:lineRule="auto"/>
      <w:ind w:left="567" w:firstLine="567"/>
    </w:pPr>
    <w:rPr>
      <w:rFonts w:ascii="Times New Roman" w:eastAsia="Times New Roman" w:hAnsi="Times New Roman" w:cs="Times New Roman"/>
      <w:b/>
      <w:bCs/>
      <w:sz w:val="24"/>
      <w:szCs w:val="24"/>
    </w:rPr>
  </w:style>
  <w:style w:type="paragraph" w:customStyle="1" w:styleId="smfunctia">
    <w:name w:val="sm_functia"/>
    <w:basedOn w:val="Normal"/>
    <w:rsid w:val="00A42EBB"/>
    <w:pPr>
      <w:spacing w:after="0" w:line="240" w:lineRule="auto"/>
      <w:ind w:firstLine="567"/>
      <w:jc w:val="both"/>
    </w:pPr>
    <w:rPr>
      <w:rFonts w:ascii="Times New Roman" w:eastAsia="Times New Roman" w:hAnsi="Times New Roman" w:cs="Times New Roman"/>
      <w:sz w:val="24"/>
      <w:szCs w:val="24"/>
    </w:rPr>
  </w:style>
  <w:style w:type="paragraph" w:customStyle="1" w:styleId="smdata">
    <w:name w:val="sm_data"/>
    <w:basedOn w:val="Normal"/>
    <w:rsid w:val="00A42EBB"/>
    <w:pPr>
      <w:spacing w:after="0" w:line="240" w:lineRule="auto"/>
      <w:ind w:firstLine="567"/>
      <w:jc w:val="both"/>
    </w:pPr>
    <w:rPr>
      <w:rFonts w:ascii="Times New Roman" w:eastAsia="Times New Roman" w:hAnsi="Times New Roman" w:cs="Times New Roman"/>
      <w:sz w:val="24"/>
      <w:szCs w:val="24"/>
    </w:rPr>
  </w:style>
  <w:style w:type="character" w:customStyle="1" w:styleId="ListParagraphChar">
    <w:name w:val="List Paragraph Char"/>
    <w:aliases w:val="Scriptoria bullet points Char,List Paragraph 1 Char,Bullets Char,List Paragraph (numbered (a)) Char,Numbered Paragraph Char,Main numbered paragraph Char,Akapit z listą BS Char,Lettre d'introduction Char,List Paragraph11 Char"/>
    <w:link w:val="ListParagraph"/>
    <w:uiPriority w:val="34"/>
    <w:qFormat/>
    <w:locked/>
    <w:rsid w:val="00A42EBB"/>
  </w:style>
  <w:style w:type="paragraph" w:styleId="Revision">
    <w:name w:val="Revision"/>
    <w:hidden/>
    <w:uiPriority w:val="99"/>
    <w:semiHidden/>
    <w:rsid w:val="00A42EBB"/>
    <w:pPr>
      <w:spacing w:after="0" w:line="240" w:lineRule="auto"/>
    </w:pPr>
    <w:rPr>
      <w:rFonts w:ascii="Times New Roman" w:eastAsia="Times New Roman" w:hAnsi="Times New Roman" w:cs="Times New Roman"/>
      <w:sz w:val="24"/>
      <w:szCs w:val="24"/>
      <w:lang w:val="ru-RU" w:eastAsia="ru-RU"/>
    </w:rPr>
  </w:style>
  <w:style w:type="table" w:customStyle="1" w:styleId="TableGridLight1">
    <w:name w:val="Table Grid Light1"/>
    <w:basedOn w:val="TableNormal"/>
    <w:uiPriority w:val="40"/>
    <w:rsid w:val="006A0D8E"/>
    <w:pPr>
      <w:spacing w:after="0" w:line="240" w:lineRule="auto"/>
    </w:pPr>
    <w:rPr>
      <w:lang w:val="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655E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5EBD"/>
    <w:rPr>
      <w:sz w:val="20"/>
      <w:szCs w:val="20"/>
    </w:rPr>
  </w:style>
  <w:style w:type="character" w:styleId="FootnoteReference">
    <w:name w:val="footnote reference"/>
    <w:basedOn w:val="DefaultParagraphFont"/>
    <w:uiPriority w:val="99"/>
    <w:semiHidden/>
    <w:unhideWhenUsed/>
    <w:rsid w:val="00655EBD"/>
    <w:rPr>
      <w:vertAlign w:val="superscript"/>
    </w:rPr>
  </w:style>
  <w:style w:type="character" w:customStyle="1" w:styleId="UnresolvedMention2">
    <w:name w:val="Unresolved Mention2"/>
    <w:basedOn w:val="DefaultParagraphFont"/>
    <w:uiPriority w:val="99"/>
    <w:semiHidden/>
    <w:unhideWhenUsed/>
    <w:rsid w:val="00655EBD"/>
    <w:rPr>
      <w:color w:val="605E5C"/>
      <w:shd w:val="clear" w:color="auto" w:fill="E1DFDD"/>
    </w:rPr>
  </w:style>
  <w:style w:type="character" w:styleId="UnresolvedMention">
    <w:name w:val="Unresolved Mention"/>
    <w:basedOn w:val="DefaultParagraphFont"/>
    <w:uiPriority w:val="99"/>
    <w:semiHidden/>
    <w:unhideWhenUsed/>
    <w:rsid w:val="00790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9534">
      <w:bodyDiv w:val="1"/>
      <w:marLeft w:val="0"/>
      <w:marRight w:val="0"/>
      <w:marTop w:val="0"/>
      <w:marBottom w:val="0"/>
      <w:divBdr>
        <w:top w:val="none" w:sz="0" w:space="0" w:color="auto"/>
        <w:left w:val="none" w:sz="0" w:space="0" w:color="auto"/>
        <w:bottom w:val="none" w:sz="0" w:space="0" w:color="auto"/>
        <w:right w:val="none" w:sz="0" w:space="0" w:color="auto"/>
      </w:divBdr>
    </w:div>
    <w:div w:id="228618741">
      <w:bodyDiv w:val="1"/>
      <w:marLeft w:val="0"/>
      <w:marRight w:val="0"/>
      <w:marTop w:val="0"/>
      <w:marBottom w:val="0"/>
      <w:divBdr>
        <w:top w:val="none" w:sz="0" w:space="0" w:color="auto"/>
        <w:left w:val="none" w:sz="0" w:space="0" w:color="auto"/>
        <w:bottom w:val="none" w:sz="0" w:space="0" w:color="auto"/>
        <w:right w:val="none" w:sz="0" w:space="0" w:color="auto"/>
      </w:divBdr>
    </w:div>
    <w:div w:id="668598708">
      <w:bodyDiv w:val="1"/>
      <w:marLeft w:val="0"/>
      <w:marRight w:val="0"/>
      <w:marTop w:val="0"/>
      <w:marBottom w:val="0"/>
      <w:divBdr>
        <w:top w:val="none" w:sz="0" w:space="0" w:color="auto"/>
        <w:left w:val="none" w:sz="0" w:space="0" w:color="auto"/>
        <w:bottom w:val="none" w:sz="0" w:space="0" w:color="auto"/>
        <w:right w:val="none" w:sz="0" w:space="0" w:color="auto"/>
      </w:divBdr>
    </w:div>
    <w:div w:id="788939066">
      <w:bodyDiv w:val="1"/>
      <w:marLeft w:val="0"/>
      <w:marRight w:val="0"/>
      <w:marTop w:val="0"/>
      <w:marBottom w:val="0"/>
      <w:divBdr>
        <w:top w:val="none" w:sz="0" w:space="0" w:color="auto"/>
        <w:left w:val="none" w:sz="0" w:space="0" w:color="auto"/>
        <w:bottom w:val="none" w:sz="0" w:space="0" w:color="auto"/>
        <w:right w:val="none" w:sz="0" w:space="0" w:color="auto"/>
      </w:divBdr>
    </w:div>
    <w:div w:id="905184373">
      <w:bodyDiv w:val="1"/>
      <w:marLeft w:val="0"/>
      <w:marRight w:val="0"/>
      <w:marTop w:val="0"/>
      <w:marBottom w:val="0"/>
      <w:divBdr>
        <w:top w:val="none" w:sz="0" w:space="0" w:color="auto"/>
        <w:left w:val="none" w:sz="0" w:space="0" w:color="auto"/>
        <w:bottom w:val="none" w:sz="0" w:space="0" w:color="auto"/>
        <w:right w:val="none" w:sz="0" w:space="0" w:color="auto"/>
      </w:divBdr>
    </w:div>
    <w:div w:id="984118898">
      <w:bodyDiv w:val="1"/>
      <w:marLeft w:val="0"/>
      <w:marRight w:val="0"/>
      <w:marTop w:val="0"/>
      <w:marBottom w:val="0"/>
      <w:divBdr>
        <w:top w:val="none" w:sz="0" w:space="0" w:color="auto"/>
        <w:left w:val="none" w:sz="0" w:space="0" w:color="auto"/>
        <w:bottom w:val="none" w:sz="0" w:space="0" w:color="auto"/>
        <w:right w:val="none" w:sz="0" w:space="0" w:color="auto"/>
      </w:divBdr>
    </w:div>
    <w:div w:id="1139301195">
      <w:bodyDiv w:val="1"/>
      <w:marLeft w:val="0"/>
      <w:marRight w:val="0"/>
      <w:marTop w:val="0"/>
      <w:marBottom w:val="0"/>
      <w:divBdr>
        <w:top w:val="none" w:sz="0" w:space="0" w:color="auto"/>
        <w:left w:val="none" w:sz="0" w:space="0" w:color="auto"/>
        <w:bottom w:val="none" w:sz="0" w:space="0" w:color="auto"/>
        <w:right w:val="none" w:sz="0" w:space="0" w:color="auto"/>
      </w:divBdr>
    </w:div>
    <w:div w:id="1239173757">
      <w:bodyDiv w:val="1"/>
      <w:marLeft w:val="0"/>
      <w:marRight w:val="0"/>
      <w:marTop w:val="0"/>
      <w:marBottom w:val="0"/>
      <w:divBdr>
        <w:top w:val="none" w:sz="0" w:space="0" w:color="auto"/>
        <w:left w:val="none" w:sz="0" w:space="0" w:color="auto"/>
        <w:bottom w:val="none" w:sz="0" w:space="0" w:color="auto"/>
        <w:right w:val="none" w:sz="0" w:space="0" w:color="auto"/>
      </w:divBdr>
    </w:div>
    <w:div w:id="1247567307">
      <w:bodyDiv w:val="1"/>
      <w:marLeft w:val="0"/>
      <w:marRight w:val="0"/>
      <w:marTop w:val="0"/>
      <w:marBottom w:val="0"/>
      <w:divBdr>
        <w:top w:val="none" w:sz="0" w:space="0" w:color="auto"/>
        <w:left w:val="none" w:sz="0" w:space="0" w:color="auto"/>
        <w:bottom w:val="none" w:sz="0" w:space="0" w:color="auto"/>
        <w:right w:val="none" w:sz="0" w:space="0" w:color="auto"/>
      </w:divBdr>
    </w:div>
    <w:div w:id="1287077132">
      <w:bodyDiv w:val="1"/>
      <w:marLeft w:val="0"/>
      <w:marRight w:val="0"/>
      <w:marTop w:val="0"/>
      <w:marBottom w:val="0"/>
      <w:divBdr>
        <w:top w:val="none" w:sz="0" w:space="0" w:color="auto"/>
        <w:left w:val="none" w:sz="0" w:space="0" w:color="auto"/>
        <w:bottom w:val="none" w:sz="0" w:space="0" w:color="auto"/>
        <w:right w:val="none" w:sz="0" w:space="0" w:color="auto"/>
      </w:divBdr>
    </w:div>
    <w:div w:id="1319458148">
      <w:bodyDiv w:val="1"/>
      <w:marLeft w:val="0"/>
      <w:marRight w:val="0"/>
      <w:marTop w:val="0"/>
      <w:marBottom w:val="0"/>
      <w:divBdr>
        <w:top w:val="none" w:sz="0" w:space="0" w:color="auto"/>
        <w:left w:val="none" w:sz="0" w:space="0" w:color="auto"/>
        <w:bottom w:val="none" w:sz="0" w:space="0" w:color="auto"/>
        <w:right w:val="none" w:sz="0" w:space="0" w:color="auto"/>
      </w:divBdr>
    </w:div>
    <w:div w:id="1324966342">
      <w:bodyDiv w:val="1"/>
      <w:marLeft w:val="0"/>
      <w:marRight w:val="0"/>
      <w:marTop w:val="0"/>
      <w:marBottom w:val="0"/>
      <w:divBdr>
        <w:top w:val="none" w:sz="0" w:space="0" w:color="auto"/>
        <w:left w:val="none" w:sz="0" w:space="0" w:color="auto"/>
        <w:bottom w:val="none" w:sz="0" w:space="0" w:color="auto"/>
        <w:right w:val="none" w:sz="0" w:space="0" w:color="auto"/>
      </w:divBdr>
    </w:div>
    <w:div w:id="1461535102">
      <w:bodyDiv w:val="1"/>
      <w:marLeft w:val="0"/>
      <w:marRight w:val="0"/>
      <w:marTop w:val="0"/>
      <w:marBottom w:val="0"/>
      <w:divBdr>
        <w:top w:val="none" w:sz="0" w:space="0" w:color="auto"/>
        <w:left w:val="none" w:sz="0" w:space="0" w:color="auto"/>
        <w:bottom w:val="none" w:sz="0" w:space="0" w:color="auto"/>
        <w:right w:val="none" w:sz="0" w:space="0" w:color="auto"/>
      </w:divBdr>
    </w:div>
    <w:div w:id="1549343579">
      <w:bodyDiv w:val="1"/>
      <w:marLeft w:val="0"/>
      <w:marRight w:val="0"/>
      <w:marTop w:val="0"/>
      <w:marBottom w:val="0"/>
      <w:divBdr>
        <w:top w:val="none" w:sz="0" w:space="0" w:color="auto"/>
        <w:left w:val="none" w:sz="0" w:space="0" w:color="auto"/>
        <w:bottom w:val="none" w:sz="0" w:space="0" w:color="auto"/>
        <w:right w:val="none" w:sz="0" w:space="0" w:color="auto"/>
      </w:divBdr>
    </w:div>
    <w:div w:id="1583761642">
      <w:bodyDiv w:val="1"/>
      <w:marLeft w:val="0"/>
      <w:marRight w:val="0"/>
      <w:marTop w:val="0"/>
      <w:marBottom w:val="0"/>
      <w:divBdr>
        <w:top w:val="none" w:sz="0" w:space="0" w:color="auto"/>
        <w:left w:val="none" w:sz="0" w:space="0" w:color="auto"/>
        <w:bottom w:val="none" w:sz="0" w:space="0" w:color="auto"/>
        <w:right w:val="none" w:sz="0" w:space="0" w:color="auto"/>
      </w:divBdr>
    </w:div>
    <w:div w:id="1649436719">
      <w:bodyDiv w:val="1"/>
      <w:marLeft w:val="0"/>
      <w:marRight w:val="0"/>
      <w:marTop w:val="0"/>
      <w:marBottom w:val="0"/>
      <w:divBdr>
        <w:top w:val="none" w:sz="0" w:space="0" w:color="auto"/>
        <w:left w:val="none" w:sz="0" w:space="0" w:color="auto"/>
        <w:bottom w:val="none" w:sz="0" w:space="0" w:color="auto"/>
        <w:right w:val="none" w:sz="0" w:space="0" w:color="auto"/>
      </w:divBdr>
    </w:div>
    <w:div w:id="1729720685">
      <w:bodyDiv w:val="1"/>
      <w:marLeft w:val="0"/>
      <w:marRight w:val="0"/>
      <w:marTop w:val="0"/>
      <w:marBottom w:val="0"/>
      <w:divBdr>
        <w:top w:val="none" w:sz="0" w:space="0" w:color="auto"/>
        <w:left w:val="none" w:sz="0" w:space="0" w:color="auto"/>
        <w:bottom w:val="none" w:sz="0" w:space="0" w:color="auto"/>
        <w:right w:val="none" w:sz="0" w:space="0" w:color="auto"/>
      </w:divBdr>
    </w:div>
    <w:div w:id="1826627593">
      <w:bodyDiv w:val="1"/>
      <w:marLeft w:val="0"/>
      <w:marRight w:val="0"/>
      <w:marTop w:val="0"/>
      <w:marBottom w:val="0"/>
      <w:divBdr>
        <w:top w:val="none" w:sz="0" w:space="0" w:color="auto"/>
        <w:left w:val="none" w:sz="0" w:space="0" w:color="auto"/>
        <w:bottom w:val="none" w:sz="0" w:space="0" w:color="auto"/>
        <w:right w:val="none" w:sz="0" w:space="0" w:color="auto"/>
      </w:divBdr>
    </w:div>
    <w:div w:id="1833176901">
      <w:bodyDiv w:val="1"/>
      <w:marLeft w:val="0"/>
      <w:marRight w:val="0"/>
      <w:marTop w:val="0"/>
      <w:marBottom w:val="0"/>
      <w:divBdr>
        <w:top w:val="none" w:sz="0" w:space="0" w:color="auto"/>
        <w:left w:val="none" w:sz="0" w:space="0" w:color="auto"/>
        <w:bottom w:val="none" w:sz="0" w:space="0" w:color="auto"/>
        <w:right w:val="none" w:sz="0" w:space="0" w:color="auto"/>
      </w:divBdr>
    </w:div>
    <w:div w:id="1877038316">
      <w:bodyDiv w:val="1"/>
      <w:marLeft w:val="0"/>
      <w:marRight w:val="0"/>
      <w:marTop w:val="0"/>
      <w:marBottom w:val="0"/>
      <w:divBdr>
        <w:top w:val="none" w:sz="0" w:space="0" w:color="auto"/>
        <w:left w:val="none" w:sz="0" w:space="0" w:color="auto"/>
        <w:bottom w:val="none" w:sz="0" w:space="0" w:color="auto"/>
        <w:right w:val="none" w:sz="0" w:space="0" w:color="auto"/>
      </w:divBdr>
    </w:div>
    <w:div w:id="1919561295">
      <w:bodyDiv w:val="1"/>
      <w:marLeft w:val="0"/>
      <w:marRight w:val="0"/>
      <w:marTop w:val="0"/>
      <w:marBottom w:val="0"/>
      <w:divBdr>
        <w:top w:val="none" w:sz="0" w:space="0" w:color="auto"/>
        <w:left w:val="none" w:sz="0" w:space="0" w:color="auto"/>
        <w:bottom w:val="none" w:sz="0" w:space="0" w:color="auto"/>
        <w:right w:val="none" w:sz="0" w:space="0" w:color="auto"/>
      </w:divBdr>
    </w:div>
    <w:div w:id="2073309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ergy.ec.europa.eu/document/download/4aebee79-01e9-4a06-927e-8dd42fc4f9a8_en?filename=New%20Quarterly%20Report%20on%20European%20gas%20markets%20Q4%202024.pdf" TargetMode="External"/><Relationship Id="rId18" Type="http://schemas.openxmlformats.org/officeDocument/2006/relationships/chart" Target="charts/chart4.xml"/><Relationship Id="rId26"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hyperlink" Target="https://agsi.gie.eu/" TargetMode="External"/><Relationship Id="rId7" Type="http://schemas.openxmlformats.org/officeDocument/2006/relationships/endnotes" Target="endnotes.xml"/><Relationship Id="rId12" Type="http://schemas.openxmlformats.org/officeDocument/2006/relationships/hyperlink" Target="https://energy.ec.europa.eu/document/download/4aebee79-01e9-4a06-927e-8dd42fc4f9a8_en?filename=New%20Quarterly%20Report%20on%20European%20gas%20markets%20Q4%202024.pdf" TargetMode="External"/><Relationship Id="rId17" Type="http://schemas.openxmlformats.org/officeDocument/2006/relationships/chart" Target="charts/chart3.xml"/><Relationship Id="rId25" Type="http://schemas.openxmlformats.org/officeDocument/2006/relationships/hyperlink" Target="https://agsi.gie.e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ur-lex.europa.eu/legal-content/EN/TXT/?uri=CELEX%3A52025DC0440R%2801%29&amp;qid=1747125158211" TargetMode="External"/><Relationship Id="rId20" Type="http://schemas.openxmlformats.org/officeDocument/2006/relationships/chart" Target="charts/chart6.xml"/><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image" Target="media/image2.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c.europa.eu/commission/presscorner/detail/en/ip_25_1131" TargetMode="External"/><Relationship Id="rId23" Type="http://schemas.openxmlformats.org/officeDocument/2006/relationships/hyperlink" Target="https://www.investing.com/commodities/dutch-ttf-gas-c1-futures" TargetMode="External"/><Relationship Id="rId28" Type="http://schemas.openxmlformats.org/officeDocument/2006/relationships/chart" Target="charts/chart8.xml"/><Relationship Id="rId10" Type="http://schemas.openxmlformats.org/officeDocument/2006/relationships/chart" Target="charts/chart1.xml"/><Relationship Id="rId19" Type="http://schemas.openxmlformats.org/officeDocument/2006/relationships/chart" Target="charts/chart5.xm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ea.org/reports/gas-market-report-q2-2025" TargetMode="External"/><Relationship Id="rId14" Type="http://schemas.openxmlformats.org/officeDocument/2006/relationships/hyperlink" Target="https://commission.europa.eu/topics/energy/repowereu_en" TargetMode="External"/><Relationship Id="rId22" Type="http://schemas.openxmlformats.org/officeDocument/2006/relationships/image" Target="media/image1.png"/><Relationship Id="rId27" Type="http://schemas.openxmlformats.org/officeDocument/2006/relationships/image" Target="media/image3.png"/><Relationship Id="rId30" Type="http://schemas.openxmlformats.org/officeDocument/2006/relationships/hyperlink" Target="https://enlargement.ec.europa.eu/news/eu-offers-emergency-support-tackle-energy-crisis-moldova-2025-01-27_en" TargetMode="External"/><Relationship Id="rId8" Type="http://schemas.openxmlformats.org/officeDocument/2006/relationships/hyperlink" Target="https://www.iea.org/reports/gas-market-report-q2-2025"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nlargement.ec.europa.eu/news/eu-offers-emergency-support-tackle-energy-crisis-moldova-2025-01-27_en" TargetMode="External"/><Relationship Id="rId3" Type="http://schemas.openxmlformats.org/officeDocument/2006/relationships/hyperlink" Target="https://www.consilium.europa.eu/en/infographics/where-does-the-eu-s-gas-come-from/" TargetMode="External"/><Relationship Id="rId7" Type="http://schemas.openxmlformats.org/officeDocument/2006/relationships/hyperlink" Target="https://agsi.gie.eu/" TargetMode="External"/><Relationship Id="rId2" Type="http://schemas.openxmlformats.org/officeDocument/2006/relationships/hyperlink" Target="https://www.iea.org/reports/gas-market-report-q2-2025" TargetMode="External"/><Relationship Id="rId1" Type="http://schemas.openxmlformats.org/officeDocument/2006/relationships/hyperlink" Target="https://www.iea.org/reports/gas-market-report-q2-2025" TargetMode="External"/><Relationship Id="rId6" Type="http://schemas.openxmlformats.org/officeDocument/2006/relationships/hyperlink" Target="https://eur-lex.europa.eu/legal-content/EN/TXT/?uri=CELEX%3A52025DC0440R%2801%29&amp;qid=1747125158211" TargetMode="External"/><Relationship Id="rId5" Type="http://schemas.openxmlformats.org/officeDocument/2006/relationships/hyperlink" Target="https://commission.europa.eu/topics/energy/repowereu_en" TargetMode="External"/><Relationship Id="rId10" Type="http://schemas.openxmlformats.org/officeDocument/2006/relationships/hyperlink" Target="https://www.energy-community.org/news/Energy-Community-News/2024/05/28b.html" TargetMode="External"/><Relationship Id="rId4" Type="http://schemas.openxmlformats.org/officeDocument/2006/relationships/hyperlink" Target="https://energy.ec.europa.eu/document/download/4aebee79-01e9-4a06-927e-8dd42fc4f9a8_en?filename=New%20Quarterly%20Report%20on%20European%20gas%20markets%20Q4%202024.pdf" TargetMode="External"/><Relationship Id="rId9" Type="http://schemas.openxmlformats.org/officeDocument/2006/relationships/hyperlink" Target="https://ec.europa.eu/commission/presscorner/detail/en/ip_25_403"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jomir\Desktop\Lucru%202025\Planul%20de%20iarn&#259;%202025-2026\Tabele%20consum%20gaze%20naturale(AutoRecovere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jomir\Desktop\Lucru%202025\Planul%20de%20iarn&#259;%202025-2026\Tabele%20consum%20gaze%20naturale(AutoRecovere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jomir\Downloads\Tabele%20consum%20gaze%20naturale(AutoRecovered)%20(version%201)%20(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jomir\Desktop\Lucru%202025\Planul%20de%20iarn&#259;%202025-2026\HG%20toamna-iarna%202024-2025\Date%20statistice\15.07.2024%20Moldelectrica%20Consum%20energie%20electrica%20pe%20surse%202021-20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jomir\Downloads\Tabele%20consum%20gaze%20naturale(AutoRecovered)%20(version%201)%20(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jomir\Desktop\Lucru%202025\Planul%20de%20iarn&#259;%202025-2026\HG%20toamna-iarna%202024-2025\Date%20statistice\15.07.2024%20Moldelectrica%20Consum%20energie%20electrica%20pe%20surse%202021-2024.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jomir\Desktop\Lucru%202025\Planul%20de%20iarn&#259;%202025-2026\Date%20statistice%202025\20.05.2025%20Moldelectrica%20Consum%20energie%20electrica%20pe%20surse%202021-2024.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fileshare2\fileshare\new-fs\CNED_DCP_sarcini\Privat\SER\Produc&#259;tori\2025%20BD%20SER\aprilie\Info%20SER%20agregate_aprilie%202025.xlsm"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fileshare2\fileshare\new-fs\CNED_DCP_sarcini\Privat\SER\Produc&#259;tori\2025%20BD%20SER\aprilie\Info%20SER%20agregate_aprilie%202025.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ro-MD" sz="1400">
                <a:solidFill>
                  <a:schemeClr val="tx1"/>
                </a:solidFill>
              </a:rPr>
              <a:t>Țări furnizori de gaze naturale </a:t>
            </a:r>
          </a:p>
          <a:p>
            <a:pPr>
              <a:defRPr>
                <a:solidFill>
                  <a:schemeClr val="tx1"/>
                </a:solidFill>
              </a:defRPr>
            </a:pPr>
            <a:r>
              <a:rPr lang="ro-MD" sz="1400">
                <a:solidFill>
                  <a:schemeClr val="tx1"/>
                </a:solidFill>
              </a:rPr>
              <a:t>către UE - 2021</a:t>
            </a:r>
          </a:p>
        </c:rich>
      </c:tx>
      <c:layout>
        <c:manualLayout>
          <c:xMode val="edge"/>
          <c:yMode val="edge"/>
          <c:x val="0.13605555555555557"/>
          <c:y val="1.3888888888888888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2A16-4A44-96A6-E3B70FD6060E}"/>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2A16-4A44-96A6-E3B70FD6060E}"/>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2A16-4A44-96A6-E3B70FD6060E}"/>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2A16-4A44-96A6-E3B70FD6060E}"/>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2A16-4A44-96A6-E3B70FD6060E}"/>
              </c:ext>
            </c:extLst>
          </c:dPt>
          <c:dLbls>
            <c:dLbl>
              <c:idx val="0"/>
              <c:layout>
                <c:manualLayout>
                  <c:x val="-0.13009539672925508"/>
                  <c:y val="8.8920046689611204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A16-4A44-96A6-E3B70FD6060E}"/>
                </c:ext>
              </c:extLst>
            </c:dLbl>
            <c:dLbl>
              <c:idx val="1"/>
              <c:layout>
                <c:manualLayout>
                  <c:x val="-9.9245724826776446E-2"/>
                  <c:y val="-5.2149430532733687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A16-4A44-96A6-E3B70FD6060E}"/>
                </c:ext>
              </c:extLst>
            </c:dLbl>
            <c:dLbl>
              <c:idx val="4"/>
              <c:layout>
                <c:manualLayout>
                  <c:x val="8.9905108015344237E-2"/>
                  <c:y val="0.103897452378892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2A16-4A44-96A6-E3B70FD6060E}"/>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9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Foaie1!$C$58:$C$62</c:f>
              <c:strCache>
                <c:ptCount val="5"/>
                <c:pt idx="0">
                  <c:v>Norvegia</c:v>
                </c:pt>
                <c:pt idx="1">
                  <c:v>USA</c:v>
                </c:pt>
                <c:pt idx="2">
                  <c:v>Africa de Nord</c:v>
                </c:pt>
                <c:pt idx="3">
                  <c:v>Rusia</c:v>
                </c:pt>
                <c:pt idx="4">
                  <c:v>Alții</c:v>
                </c:pt>
              </c:strCache>
            </c:strRef>
          </c:cat>
          <c:val>
            <c:numRef>
              <c:f>Foaie1!$D$58:$D$62</c:f>
              <c:numCache>
                <c:formatCode>General</c:formatCode>
                <c:ptCount val="5"/>
                <c:pt idx="0">
                  <c:v>79.5</c:v>
                </c:pt>
                <c:pt idx="1">
                  <c:v>18.899999999999999</c:v>
                </c:pt>
                <c:pt idx="2">
                  <c:v>44.1</c:v>
                </c:pt>
                <c:pt idx="3">
                  <c:v>150</c:v>
                </c:pt>
                <c:pt idx="4">
                  <c:v>41.6</c:v>
                </c:pt>
              </c:numCache>
            </c:numRef>
          </c:val>
          <c:extLst>
            <c:ext xmlns:c16="http://schemas.microsoft.com/office/drawing/2014/chart" uri="{C3380CC4-5D6E-409C-BE32-E72D297353CC}">
              <c16:uniqueId val="{0000000A-2A16-4A44-96A6-E3B70FD6060E}"/>
            </c:ext>
          </c:extLst>
        </c:ser>
        <c:ser>
          <c:idx val="1"/>
          <c:order val="1"/>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C-2A16-4A44-96A6-E3B70FD6060E}"/>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E-2A16-4A44-96A6-E3B70FD6060E}"/>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0-2A16-4A44-96A6-E3B70FD6060E}"/>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2-2A16-4A44-96A6-E3B70FD6060E}"/>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4-2A16-4A44-96A6-E3B70FD6060E}"/>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Foaie1!$C$58:$C$62</c:f>
              <c:strCache>
                <c:ptCount val="5"/>
                <c:pt idx="0">
                  <c:v>Norvegia</c:v>
                </c:pt>
                <c:pt idx="1">
                  <c:v>USA</c:v>
                </c:pt>
                <c:pt idx="2">
                  <c:v>Africa de Nord</c:v>
                </c:pt>
                <c:pt idx="3">
                  <c:v>Rusia</c:v>
                </c:pt>
                <c:pt idx="4">
                  <c:v>Alții</c:v>
                </c:pt>
              </c:strCache>
            </c:strRef>
          </c:cat>
          <c:val>
            <c:numRef>
              <c:f>Foaie1!$E$58:$E$62</c:f>
              <c:numCache>
                <c:formatCode>0.0</c:formatCode>
                <c:ptCount val="5"/>
                <c:pt idx="0">
                  <c:v>23.795270876982936</c:v>
                </c:pt>
                <c:pt idx="1">
                  <c:v>5.6569889254714152</c:v>
                </c:pt>
                <c:pt idx="2">
                  <c:v>13.199640826099971</c:v>
                </c:pt>
                <c:pt idx="3">
                  <c:v>44.896737503741392</c:v>
                </c:pt>
                <c:pt idx="4">
                  <c:v>12.45136186770428</c:v>
                </c:pt>
              </c:numCache>
            </c:numRef>
          </c:val>
          <c:extLst>
            <c:ext xmlns:c16="http://schemas.microsoft.com/office/drawing/2014/chart" uri="{C3380CC4-5D6E-409C-BE32-E72D297353CC}">
              <c16:uniqueId val="{00000015-2A16-4A44-96A6-E3B70FD6060E}"/>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65585176260061728"/>
          <c:y val="0.41767178569236085"/>
          <c:w val="0.28640437268500851"/>
          <c:h val="0.32550993702726017"/>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ro-MD" sz="1400">
                <a:solidFill>
                  <a:schemeClr val="tx1"/>
                </a:solidFill>
              </a:rPr>
              <a:t>Țări furnizori de gaze naturale </a:t>
            </a:r>
          </a:p>
          <a:p>
            <a:pPr>
              <a:defRPr>
                <a:solidFill>
                  <a:schemeClr val="tx1"/>
                </a:solidFill>
              </a:defRPr>
            </a:pPr>
            <a:r>
              <a:rPr lang="ro-MD" sz="1400">
                <a:solidFill>
                  <a:schemeClr val="tx1"/>
                </a:solidFill>
              </a:rPr>
              <a:t>către UE - 2024</a:t>
            </a:r>
          </a:p>
        </c:rich>
      </c:tx>
      <c:layout>
        <c:manualLayout>
          <c:xMode val="edge"/>
          <c:yMode val="edge"/>
          <c:x val="0.11250594359699566"/>
          <c:y val="1.8518511812834156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4B1F-45B3-B51B-C5462427988E}"/>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4B1F-45B3-B51B-C5462427988E}"/>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4B1F-45B3-B51B-C5462427988E}"/>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4B1F-45B3-B51B-C5462427988E}"/>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4B1F-45B3-B51B-C5462427988E}"/>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4B1F-45B3-B51B-C5462427988E}"/>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D-4B1F-45B3-B51B-C5462427988E}"/>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F-4B1F-45B3-B51B-C5462427988E}"/>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1-4B1F-45B3-B51B-C5462427988E}"/>
              </c:ext>
            </c:extLst>
          </c:dPt>
          <c:dLbls>
            <c:dLbl>
              <c:idx val="0"/>
              <c:layout>
                <c:manualLayout>
                  <c:x val="-0.17885189380727645"/>
                  <c:y val="7.5497438520073012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B1F-45B3-B51B-C5462427988E}"/>
                </c:ext>
              </c:extLst>
            </c:dLbl>
            <c:dLbl>
              <c:idx val="1"/>
              <c:layout>
                <c:manualLayout>
                  <c:x val="-0.1222602221762656"/>
                  <c:y val="-0.19508407473701844"/>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B1F-45B3-B51B-C5462427988E}"/>
                </c:ext>
              </c:extLst>
            </c:dLbl>
            <c:dLbl>
              <c:idx val="2"/>
              <c:layout>
                <c:manualLayout>
                  <c:x val="0.11661969831191717"/>
                  <c:y val="-0.19719321758912284"/>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B1F-45B3-B51B-C5462427988E}"/>
                </c:ext>
              </c:extLst>
            </c:dLbl>
            <c:dLbl>
              <c:idx val="3"/>
              <c:layout>
                <c:manualLayout>
                  <c:x val="0.12295039462677906"/>
                  <c:y val="-8.8989251483542239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B1F-45B3-B51B-C5462427988E}"/>
                </c:ext>
              </c:extLst>
            </c:dLbl>
            <c:dLbl>
              <c:idx val="4"/>
              <c:layout>
                <c:manualLayout>
                  <c:x val="9.3310018921096236E-2"/>
                  <c:y val="2.4481575861247946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4B1F-45B3-B51B-C5462427988E}"/>
                </c:ext>
              </c:extLst>
            </c:dLbl>
            <c:dLbl>
              <c:idx val="5"/>
              <c:layout>
                <c:manualLayout>
                  <c:x val="-2.9715072366248225E-2"/>
                  <c:y val="1.1843648323354057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4B1F-45B3-B51B-C5462427988E}"/>
                </c:ext>
              </c:extLst>
            </c:dLbl>
            <c:dLbl>
              <c:idx val="6"/>
              <c:layout>
                <c:manualLayout>
                  <c:x val="-9.5188855999036974E-3"/>
                  <c:y val="-1.167858496971189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4B1F-45B3-B51B-C5462427988E}"/>
                </c:ext>
              </c:extLst>
            </c:dLbl>
            <c:dLbl>
              <c:idx val="7"/>
              <c:layout>
                <c:manualLayout>
                  <c:x val="2.9788534371267095E-2"/>
                  <c:y val="-1.7534101630353356E-2"/>
                </c:manualLayout>
              </c:layout>
              <c:dLblPos val="bestFit"/>
              <c:showLegendKey val="0"/>
              <c:showVal val="0"/>
              <c:showCatName val="0"/>
              <c:showSerName val="0"/>
              <c:showPercent val="1"/>
              <c:showBubbleSize val="0"/>
              <c:extLst>
                <c:ext xmlns:c15="http://schemas.microsoft.com/office/drawing/2012/chart" uri="{CE6537A1-D6FC-4f65-9D91-7224C49458BB}">
                  <c15:layout>
                    <c:manualLayout>
                      <c:w val="8.2320658565268517E-2"/>
                      <c:h val="4.7032474804031353E-2"/>
                    </c:manualLayout>
                  </c15:layout>
                </c:ext>
                <c:ext xmlns:c16="http://schemas.microsoft.com/office/drawing/2014/chart" uri="{C3380CC4-5D6E-409C-BE32-E72D297353CC}">
                  <c16:uniqueId val="{0000000F-4B1F-45B3-B51B-C5462427988E}"/>
                </c:ext>
              </c:extLst>
            </c:dLbl>
            <c:dLbl>
              <c:idx val="8"/>
              <c:layout>
                <c:manualLayout>
                  <c:x val="7.3005491130543221E-2"/>
                  <c:y val="-4.4369593778381287E-4"/>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1-4B1F-45B3-B51B-C5462427988E}"/>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Foaie1!$C$45:$C$53</c:f>
              <c:strCache>
                <c:ptCount val="9"/>
                <c:pt idx="0">
                  <c:v>Norvegia</c:v>
                </c:pt>
                <c:pt idx="1">
                  <c:v>USA</c:v>
                </c:pt>
                <c:pt idx="2">
                  <c:v>Africa de Nord</c:v>
                </c:pt>
                <c:pt idx="3">
                  <c:v>Rusia (prin gazoducte)</c:v>
                </c:pt>
                <c:pt idx="4">
                  <c:v>Rusia (LNG)</c:v>
                </c:pt>
                <c:pt idx="5">
                  <c:v>Marea Britanie</c:v>
                </c:pt>
                <c:pt idx="6">
                  <c:v>Azerbaijan</c:v>
                </c:pt>
                <c:pt idx="7">
                  <c:v>Qatar</c:v>
                </c:pt>
                <c:pt idx="8">
                  <c:v>Alții</c:v>
                </c:pt>
              </c:strCache>
            </c:strRef>
          </c:cat>
          <c:val>
            <c:numRef>
              <c:f>Foaie1!$D$45:$D$53</c:f>
              <c:numCache>
                <c:formatCode>General</c:formatCode>
                <c:ptCount val="9"/>
                <c:pt idx="0">
                  <c:v>91.1</c:v>
                </c:pt>
                <c:pt idx="1">
                  <c:v>45.1</c:v>
                </c:pt>
                <c:pt idx="2">
                  <c:v>39.200000000000003</c:v>
                </c:pt>
                <c:pt idx="3">
                  <c:v>31.6</c:v>
                </c:pt>
                <c:pt idx="4">
                  <c:v>20</c:v>
                </c:pt>
                <c:pt idx="5">
                  <c:v>11.7</c:v>
                </c:pt>
                <c:pt idx="6">
                  <c:v>11.7</c:v>
                </c:pt>
                <c:pt idx="7">
                  <c:v>11.7</c:v>
                </c:pt>
                <c:pt idx="8">
                  <c:v>10.6</c:v>
                </c:pt>
              </c:numCache>
            </c:numRef>
          </c:val>
          <c:extLst>
            <c:ext xmlns:c16="http://schemas.microsoft.com/office/drawing/2014/chart" uri="{C3380CC4-5D6E-409C-BE32-E72D297353CC}">
              <c16:uniqueId val="{00000012-4B1F-45B3-B51B-C5462427988E}"/>
            </c:ext>
          </c:extLst>
        </c:ser>
        <c:ser>
          <c:idx val="1"/>
          <c:order val="1"/>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4-4B1F-45B3-B51B-C5462427988E}"/>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6-4B1F-45B3-B51B-C5462427988E}"/>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8-4B1F-45B3-B51B-C5462427988E}"/>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A-4B1F-45B3-B51B-C5462427988E}"/>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C-4B1F-45B3-B51B-C5462427988E}"/>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E-4B1F-45B3-B51B-C5462427988E}"/>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20-4B1F-45B3-B51B-C5462427988E}"/>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22-4B1F-45B3-B51B-C5462427988E}"/>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24-4B1F-45B3-B51B-C5462427988E}"/>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Foaie1!$C$45:$C$53</c:f>
              <c:strCache>
                <c:ptCount val="9"/>
                <c:pt idx="0">
                  <c:v>Norvegia</c:v>
                </c:pt>
                <c:pt idx="1">
                  <c:v>USA</c:v>
                </c:pt>
                <c:pt idx="2">
                  <c:v>Africa de Nord</c:v>
                </c:pt>
                <c:pt idx="3">
                  <c:v>Rusia (prin gazoducte)</c:v>
                </c:pt>
                <c:pt idx="4">
                  <c:v>Rusia (LNG)</c:v>
                </c:pt>
                <c:pt idx="5">
                  <c:v>Marea Britanie</c:v>
                </c:pt>
                <c:pt idx="6">
                  <c:v>Azerbaijan</c:v>
                </c:pt>
                <c:pt idx="7">
                  <c:v>Qatar</c:v>
                </c:pt>
                <c:pt idx="8">
                  <c:v>Alții</c:v>
                </c:pt>
              </c:strCache>
            </c:strRef>
          </c:cat>
          <c:val>
            <c:numRef>
              <c:f>Foaie1!$E$45:$E$53</c:f>
              <c:numCache>
                <c:formatCode>General</c:formatCode>
                <c:ptCount val="9"/>
                <c:pt idx="0">
                  <c:v>33.4</c:v>
                </c:pt>
                <c:pt idx="1">
                  <c:v>16.5</c:v>
                </c:pt>
                <c:pt idx="2">
                  <c:v>14.4</c:v>
                </c:pt>
                <c:pt idx="3">
                  <c:v>11.6</c:v>
                </c:pt>
                <c:pt idx="4">
                  <c:v>7.3</c:v>
                </c:pt>
                <c:pt idx="5">
                  <c:v>4.3</c:v>
                </c:pt>
                <c:pt idx="6">
                  <c:v>4.3</c:v>
                </c:pt>
                <c:pt idx="7">
                  <c:v>4.3</c:v>
                </c:pt>
                <c:pt idx="8">
                  <c:v>3.9</c:v>
                </c:pt>
              </c:numCache>
            </c:numRef>
          </c:val>
          <c:extLst>
            <c:ext xmlns:c16="http://schemas.microsoft.com/office/drawing/2014/chart" uri="{C3380CC4-5D6E-409C-BE32-E72D297353CC}">
              <c16:uniqueId val="{00000025-4B1F-45B3-B51B-C5462427988E}"/>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64496609425528295"/>
          <c:y val="0.26103547419054701"/>
          <c:w val="0.35111391792749458"/>
          <c:h val="0.6494781025605467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GB" sz="1400" b="1" i="0" baseline="0">
                <a:effectLst/>
              </a:rPr>
              <a:t>Consum</a:t>
            </a:r>
            <a:r>
              <a:rPr lang="ro-RO" sz="1400" b="1" i="0" baseline="0">
                <a:effectLst/>
              </a:rPr>
              <a:t> </a:t>
            </a:r>
            <a:r>
              <a:rPr lang="en-GB" sz="1400" b="1" i="0" baseline="0">
                <a:effectLst/>
              </a:rPr>
              <a:t>lunar</a:t>
            </a:r>
            <a:r>
              <a:rPr lang="ro-RO" sz="1400" b="1" i="0" baseline="0">
                <a:effectLst/>
              </a:rPr>
              <a:t> de gaze naturale</a:t>
            </a:r>
            <a:r>
              <a:rPr lang="en-GB" sz="1400" b="1" i="0" baseline="0">
                <a:effectLst/>
              </a:rPr>
              <a:t> </a:t>
            </a:r>
            <a:r>
              <a:rPr lang="ro-MD" sz="1400" b="1" i="0" baseline="0">
                <a:effectLst/>
              </a:rPr>
              <a:t>în perioadele reci </a:t>
            </a:r>
            <a:endParaRPr lang="ru-RU" sz="1400">
              <a:effectLst/>
            </a:endParaRPr>
          </a:p>
          <a:p>
            <a:pPr>
              <a:defRPr b="1"/>
            </a:pPr>
            <a:r>
              <a:rPr lang="ro-MD" sz="1400" b="1" i="0" baseline="0">
                <a:effectLst/>
              </a:rPr>
              <a:t>a anilor 2018-202</a:t>
            </a:r>
            <a:r>
              <a:rPr lang="en-GB" sz="1400" b="1" i="0" baseline="0">
                <a:effectLst/>
              </a:rPr>
              <a:t>5</a:t>
            </a:r>
            <a:r>
              <a:rPr lang="ro-MD" sz="1400" b="1" i="0" baseline="0">
                <a:effectLst/>
              </a:rPr>
              <a:t>, </a:t>
            </a:r>
            <a:r>
              <a:rPr lang="en-GB" sz="1400" b="1" i="0" baseline="0">
                <a:effectLst/>
              </a:rPr>
              <a:t>mil. </a:t>
            </a:r>
            <a:r>
              <a:rPr lang="ro-MD" sz="1400" b="1" i="0" baseline="0">
                <a:effectLst/>
              </a:rPr>
              <a:t>m</a:t>
            </a:r>
            <a:r>
              <a:rPr lang="ro-MD" sz="1400" b="1" i="0" baseline="30000">
                <a:effectLst/>
              </a:rPr>
              <a:t>3</a:t>
            </a:r>
            <a:endParaRPr lang="ru-RU" sz="1400">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tx>
            <c:strRef>
              <c:f>'Diagrame consum EE'!$A$93</c:f>
              <c:strCache>
                <c:ptCount val="1"/>
                <c:pt idx="0">
                  <c:v>2018-2019</c:v>
                </c:pt>
              </c:strCache>
            </c:strRef>
          </c:tx>
          <c:spPr>
            <a:solidFill>
              <a:schemeClr val="accent1"/>
            </a:solidFill>
            <a:ln>
              <a:noFill/>
            </a:ln>
            <a:effectLst/>
          </c:spPr>
          <c:invertIfNegative val="0"/>
          <c:cat>
            <c:strRef>
              <c:f>'Diagrame consum EE'!$B$91:$H$91</c:f>
              <c:strCache>
                <c:ptCount val="7"/>
                <c:pt idx="0">
                  <c:v>Octombrie</c:v>
                </c:pt>
                <c:pt idx="1">
                  <c:v>Noiembrie</c:v>
                </c:pt>
                <c:pt idx="2">
                  <c:v>Decembrie</c:v>
                </c:pt>
                <c:pt idx="3">
                  <c:v>Ianuarie</c:v>
                </c:pt>
                <c:pt idx="4">
                  <c:v>Februarie</c:v>
                </c:pt>
                <c:pt idx="5">
                  <c:v>Martie</c:v>
                </c:pt>
                <c:pt idx="6">
                  <c:v>Aprilie</c:v>
                </c:pt>
              </c:strCache>
            </c:strRef>
          </c:cat>
          <c:val>
            <c:numRef>
              <c:f>'Diagrame consum EE'!$B$93:$H$93</c:f>
              <c:numCache>
                <c:formatCode>0.00</c:formatCode>
                <c:ptCount val="7"/>
                <c:pt idx="0">
                  <c:v>65.599999999999994</c:v>
                </c:pt>
                <c:pt idx="1">
                  <c:v>155.6</c:v>
                </c:pt>
                <c:pt idx="2">
                  <c:v>192.5</c:v>
                </c:pt>
                <c:pt idx="3">
                  <c:v>195.96287000000001</c:v>
                </c:pt>
                <c:pt idx="4">
                  <c:v>149.98687000000001</c:v>
                </c:pt>
                <c:pt idx="5">
                  <c:v>125.17487</c:v>
                </c:pt>
                <c:pt idx="6">
                  <c:v>70.400000000000006</c:v>
                </c:pt>
              </c:numCache>
            </c:numRef>
          </c:val>
          <c:extLst>
            <c:ext xmlns:c16="http://schemas.microsoft.com/office/drawing/2014/chart" uri="{C3380CC4-5D6E-409C-BE32-E72D297353CC}">
              <c16:uniqueId val="{00000000-53A6-4F84-A1E8-6132EFB6EB9C}"/>
            </c:ext>
          </c:extLst>
        </c:ser>
        <c:ser>
          <c:idx val="1"/>
          <c:order val="1"/>
          <c:tx>
            <c:strRef>
              <c:f>'Diagrame consum EE'!$A$94</c:f>
              <c:strCache>
                <c:ptCount val="1"/>
                <c:pt idx="0">
                  <c:v>2019-2020</c:v>
                </c:pt>
              </c:strCache>
            </c:strRef>
          </c:tx>
          <c:spPr>
            <a:solidFill>
              <a:schemeClr val="accent2"/>
            </a:solidFill>
            <a:ln>
              <a:noFill/>
            </a:ln>
            <a:effectLst/>
          </c:spPr>
          <c:invertIfNegative val="0"/>
          <c:cat>
            <c:strRef>
              <c:f>'Diagrame consum EE'!$B$91:$H$91</c:f>
              <c:strCache>
                <c:ptCount val="7"/>
                <c:pt idx="0">
                  <c:v>Octombrie</c:v>
                </c:pt>
                <c:pt idx="1">
                  <c:v>Noiembrie</c:v>
                </c:pt>
                <c:pt idx="2">
                  <c:v>Decembrie</c:v>
                </c:pt>
                <c:pt idx="3">
                  <c:v>Ianuarie</c:v>
                </c:pt>
                <c:pt idx="4">
                  <c:v>Februarie</c:v>
                </c:pt>
                <c:pt idx="5">
                  <c:v>Martie</c:v>
                </c:pt>
                <c:pt idx="6">
                  <c:v>Aprilie</c:v>
                </c:pt>
              </c:strCache>
            </c:strRef>
          </c:cat>
          <c:val>
            <c:numRef>
              <c:f>'Diagrame consum EE'!$B$94:$H$94</c:f>
              <c:numCache>
                <c:formatCode>0.00</c:formatCode>
                <c:ptCount val="7"/>
                <c:pt idx="0">
                  <c:v>70.091464000000002</c:v>
                </c:pt>
                <c:pt idx="1">
                  <c:v>121.179464</c:v>
                </c:pt>
                <c:pt idx="2">
                  <c:v>162.537464</c:v>
                </c:pt>
                <c:pt idx="3">
                  <c:v>176.63428400000001</c:v>
                </c:pt>
                <c:pt idx="4">
                  <c:v>146.900284</c:v>
                </c:pt>
                <c:pt idx="5">
                  <c:v>115.272284</c:v>
                </c:pt>
                <c:pt idx="6">
                  <c:v>64.043987000000001</c:v>
                </c:pt>
              </c:numCache>
            </c:numRef>
          </c:val>
          <c:extLst>
            <c:ext xmlns:c16="http://schemas.microsoft.com/office/drawing/2014/chart" uri="{C3380CC4-5D6E-409C-BE32-E72D297353CC}">
              <c16:uniqueId val="{00000001-53A6-4F84-A1E8-6132EFB6EB9C}"/>
            </c:ext>
          </c:extLst>
        </c:ser>
        <c:ser>
          <c:idx val="2"/>
          <c:order val="2"/>
          <c:tx>
            <c:strRef>
              <c:f>'Diagrame consum EE'!$A$95</c:f>
              <c:strCache>
                <c:ptCount val="1"/>
                <c:pt idx="0">
                  <c:v>2020-2021</c:v>
                </c:pt>
              </c:strCache>
            </c:strRef>
          </c:tx>
          <c:spPr>
            <a:solidFill>
              <a:schemeClr val="accent3"/>
            </a:solidFill>
            <a:ln>
              <a:noFill/>
            </a:ln>
            <a:effectLst/>
          </c:spPr>
          <c:invertIfNegative val="0"/>
          <c:cat>
            <c:strRef>
              <c:f>'Diagrame consum EE'!$B$91:$H$91</c:f>
              <c:strCache>
                <c:ptCount val="7"/>
                <c:pt idx="0">
                  <c:v>Octombrie</c:v>
                </c:pt>
                <c:pt idx="1">
                  <c:v>Noiembrie</c:v>
                </c:pt>
                <c:pt idx="2">
                  <c:v>Decembrie</c:v>
                </c:pt>
                <c:pt idx="3">
                  <c:v>Ianuarie</c:v>
                </c:pt>
                <c:pt idx="4">
                  <c:v>Februarie</c:v>
                </c:pt>
                <c:pt idx="5">
                  <c:v>Martie</c:v>
                </c:pt>
                <c:pt idx="6">
                  <c:v>Aprilie</c:v>
                </c:pt>
              </c:strCache>
            </c:strRef>
          </c:cat>
          <c:val>
            <c:numRef>
              <c:f>'Diagrame consum EE'!$B$95:$H$95</c:f>
              <c:numCache>
                <c:formatCode>0.00</c:formatCode>
                <c:ptCount val="7"/>
                <c:pt idx="0">
                  <c:v>62.743161666666701</c:v>
                </c:pt>
                <c:pt idx="1">
                  <c:v>150.68716166666701</c:v>
                </c:pt>
                <c:pt idx="2">
                  <c:v>186.31816166666701</c:v>
                </c:pt>
                <c:pt idx="3">
                  <c:v>195.01304500000001</c:v>
                </c:pt>
                <c:pt idx="4">
                  <c:v>189.81994499999999</c:v>
                </c:pt>
                <c:pt idx="5">
                  <c:v>168.04021</c:v>
                </c:pt>
                <c:pt idx="6">
                  <c:v>99.994935999999996</c:v>
                </c:pt>
              </c:numCache>
            </c:numRef>
          </c:val>
          <c:extLst>
            <c:ext xmlns:c16="http://schemas.microsoft.com/office/drawing/2014/chart" uri="{C3380CC4-5D6E-409C-BE32-E72D297353CC}">
              <c16:uniqueId val="{00000002-53A6-4F84-A1E8-6132EFB6EB9C}"/>
            </c:ext>
          </c:extLst>
        </c:ser>
        <c:ser>
          <c:idx val="3"/>
          <c:order val="3"/>
          <c:tx>
            <c:strRef>
              <c:f>'Diagrame consum EE'!$A$96</c:f>
              <c:strCache>
                <c:ptCount val="1"/>
                <c:pt idx="0">
                  <c:v>2021-2022</c:v>
                </c:pt>
              </c:strCache>
            </c:strRef>
          </c:tx>
          <c:spPr>
            <a:solidFill>
              <a:schemeClr val="accent4"/>
            </a:solidFill>
            <a:ln>
              <a:noFill/>
            </a:ln>
            <a:effectLst/>
          </c:spPr>
          <c:invertIfNegative val="0"/>
          <c:cat>
            <c:strRef>
              <c:f>'Diagrame consum EE'!$B$91:$H$91</c:f>
              <c:strCache>
                <c:ptCount val="7"/>
                <c:pt idx="0">
                  <c:v>Octombrie</c:v>
                </c:pt>
                <c:pt idx="1">
                  <c:v>Noiembrie</c:v>
                </c:pt>
                <c:pt idx="2">
                  <c:v>Decembrie</c:v>
                </c:pt>
                <c:pt idx="3">
                  <c:v>Ianuarie</c:v>
                </c:pt>
                <c:pt idx="4">
                  <c:v>Februarie</c:v>
                </c:pt>
                <c:pt idx="5">
                  <c:v>Martie</c:v>
                </c:pt>
                <c:pt idx="6">
                  <c:v>Aprilie</c:v>
                </c:pt>
              </c:strCache>
            </c:strRef>
          </c:cat>
          <c:val>
            <c:numRef>
              <c:f>'Diagrame consum EE'!$B$96:$H$96</c:f>
              <c:numCache>
                <c:formatCode>0.00</c:formatCode>
                <c:ptCount val="7"/>
                <c:pt idx="0">
                  <c:v>71.244890999999996</c:v>
                </c:pt>
                <c:pt idx="1">
                  <c:v>145.493741</c:v>
                </c:pt>
                <c:pt idx="2">
                  <c:v>201.62230299999999</c:v>
                </c:pt>
                <c:pt idx="3">
                  <c:v>190.83832126999999</c:v>
                </c:pt>
                <c:pt idx="4">
                  <c:v>139.45128192999999</c:v>
                </c:pt>
                <c:pt idx="5">
                  <c:v>151.56926322999999</c:v>
                </c:pt>
                <c:pt idx="6">
                  <c:v>45.356019809999999</c:v>
                </c:pt>
              </c:numCache>
            </c:numRef>
          </c:val>
          <c:extLst>
            <c:ext xmlns:c16="http://schemas.microsoft.com/office/drawing/2014/chart" uri="{C3380CC4-5D6E-409C-BE32-E72D297353CC}">
              <c16:uniqueId val="{00000003-53A6-4F84-A1E8-6132EFB6EB9C}"/>
            </c:ext>
          </c:extLst>
        </c:ser>
        <c:ser>
          <c:idx val="4"/>
          <c:order val="4"/>
          <c:tx>
            <c:strRef>
              <c:f>'Diagrame consum EE'!$A$97</c:f>
              <c:strCache>
                <c:ptCount val="1"/>
                <c:pt idx="0">
                  <c:v>2022-2023</c:v>
                </c:pt>
              </c:strCache>
            </c:strRef>
          </c:tx>
          <c:spPr>
            <a:solidFill>
              <a:schemeClr val="accent5"/>
            </a:solidFill>
            <a:ln>
              <a:noFill/>
            </a:ln>
            <a:effectLst/>
          </c:spPr>
          <c:invertIfNegative val="0"/>
          <c:cat>
            <c:strRef>
              <c:f>'Diagrame consum EE'!$B$91:$H$91</c:f>
              <c:strCache>
                <c:ptCount val="7"/>
                <c:pt idx="0">
                  <c:v>Octombrie</c:v>
                </c:pt>
                <c:pt idx="1">
                  <c:v>Noiembrie</c:v>
                </c:pt>
                <c:pt idx="2">
                  <c:v>Decembrie</c:v>
                </c:pt>
                <c:pt idx="3">
                  <c:v>Ianuarie</c:v>
                </c:pt>
                <c:pt idx="4">
                  <c:v>Februarie</c:v>
                </c:pt>
                <c:pt idx="5">
                  <c:v>Martie</c:v>
                </c:pt>
                <c:pt idx="6">
                  <c:v>Aprilie</c:v>
                </c:pt>
              </c:strCache>
            </c:strRef>
          </c:cat>
          <c:val>
            <c:numRef>
              <c:f>'Diagrame consum EE'!$B$97:$H$97</c:f>
              <c:numCache>
                <c:formatCode>0.00</c:formatCode>
                <c:ptCount val="7"/>
                <c:pt idx="0">
                  <c:v>32.176529270000003</c:v>
                </c:pt>
                <c:pt idx="1">
                  <c:v>68.684798279999995</c:v>
                </c:pt>
                <c:pt idx="2">
                  <c:v>108.36145135</c:v>
                </c:pt>
                <c:pt idx="3">
                  <c:v>100.78300611</c:v>
                </c:pt>
                <c:pt idx="4">
                  <c:v>98.521000090499996</c:v>
                </c:pt>
                <c:pt idx="5">
                  <c:v>69.376806740000006</c:v>
                </c:pt>
                <c:pt idx="6">
                  <c:v>49.189699259999998</c:v>
                </c:pt>
              </c:numCache>
            </c:numRef>
          </c:val>
          <c:extLst>
            <c:ext xmlns:c16="http://schemas.microsoft.com/office/drawing/2014/chart" uri="{C3380CC4-5D6E-409C-BE32-E72D297353CC}">
              <c16:uniqueId val="{00000004-53A6-4F84-A1E8-6132EFB6EB9C}"/>
            </c:ext>
          </c:extLst>
        </c:ser>
        <c:ser>
          <c:idx val="5"/>
          <c:order val="5"/>
          <c:tx>
            <c:strRef>
              <c:f>'Diagrame consum EE'!$A$98</c:f>
              <c:strCache>
                <c:ptCount val="1"/>
                <c:pt idx="0">
                  <c:v>2023-2024</c:v>
                </c:pt>
              </c:strCache>
            </c:strRef>
          </c:tx>
          <c:spPr>
            <a:solidFill>
              <a:schemeClr val="accent6"/>
            </a:solidFill>
            <a:ln>
              <a:noFill/>
            </a:ln>
            <a:effectLst/>
          </c:spPr>
          <c:invertIfNegative val="0"/>
          <c:cat>
            <c:strRef>
              <c:f>'Diagrame consum EE'!$B$91:$H$91</c:f>
              <c:strCache>
                <c:ptCount val="7"/>
                <c:pt idx="0">
                  <c:v>Octombrie</c:v>
                </c:pt>
                <c:pt idx="1">
                  <c:v>Noiembrie</c:v>
                </c:pt>
                <c:pt idx="2">
                  <c:v>Decembrie</c:v>
                </c:pt>
                <c:pt idx="3">
                  <c:v>Ianuarie</c:v>
                </c:pt>
                <c:pt idx="4">
                  <c:v>Februarie</c:v>
                </c:pt>
                <c:pt idx="5">
                  <c:v>Martie</c:v>
                </c:pt>
                <c:pt idx="6">
                  <c:v>Aprilie</c:v>
                </c:pt>
              </c:strCache>
            </c:strRef>
          </c:cat>
          <c:val>
            <c:numRef>
              <c:f>'Diagrame consum EE'!$B$98:$H$98</c:f>
              <c:numCache>
                <c:formatCode>0.00</c:formatCode>
                <c:ptCount val="7"/>
                <c:pt idx="0">
                  <c:v>44.140186450000002</c:v>
                </c:pt>
                <c:pt idx="1">
                  <c:v>91.507633249999998</c:v>
                </c:pt>
                <c:pt idx="2">
                  <c:v>145.65291083</c:v>
                </c:pt>
                <c:pt idx="3">
                  <c:v>163.63227098999999</c:v>
                </c:pt>
                <c:pt idx="4">
                  <c:v>117.26237603</c:v>
                </c:pt>
                <c:pt idx="5">
                  <c:v>111.94993198</c:v>
                </c:pt>
                <c:pt idx="6">
                  <c:v>38.083854430000002</c:v>
                </c:pt>
              </c:numCache>
            </c:numRef>
          </c:val>
          <c:extLst>
            <c:ext xmlns:c16="http://schemas.microsoft.com/office/drawing/2014/chart" uri="{C3380CC4-5D6E-409C-BE32-E72D297353CC}">
              <c16:uniqueId val="{00000005-53A6-4F84-A1E8-6132EFB6EB9C}"/>
            </c:ext>
          </c:extLst>
        </c:ser>
        <c:ser>
          <c:idx val="6"/>
          <c:order val="6"/>
          <c:tx>
            <c:strRef>
              <c:f>'Diagrame consum EE'!$A$99</c:f>
              <c:strCache>
                <c:ptCount val="1"/>
                <c:pt idx="0">
                  <c:v>2024-2025</c:v>
                </c:pt>
              </c:strCache>
            </c:strRef>
          </c:tx>
          <c:spPr>
            <a:solidFill>
              <a:schemeClr val="accent1">
                <a:lumMod val="60000"/>
              </a:schemeClr>
            </a:solidFill>
            <a:ln>
              <a:noFill/>
            </a:ln>
            <a:effectLst/>
          </c:spPr>
          <c:invertIfNegative val="0"/>
          <c:cat>
            <c:strRef>
              <c:f>'Diagrame consum EE'!$B$91:$H$91</c:f>
              <c:strCache>
                <c:ptCount val="7"/>
                <c:pt idx="0">
                  <c:v>Octombrie</c:v>
                </c:pt>
                <c:pt idx="1">
                  <c:v>Noiembrie</c:v>
                </c:pt>
                <c:pt idx="2">
                  <c:v>Decembrie</c:v>
                </c:pt>
                <c:pt idx="3">
                  <c:v>Ianuarie</c:v>
                </c:pt>
                <c:pt idx="4">
                  <c:v>Februarie</c:v>
                </c:pt>
                <c:pt idx="5">
                  <c:v>Martie</c:v>
                </c:pt>
                <c:pt idx="6">
                  <c:v>Aprilie</c:v>
                </c:pt>
              </c:strCache>
            </c:strRef>
          </c:cat>
          <c:val>
            <c:numRef>
              <c:f>'Diagrame consum EE'!$B$99:$H$99</c:f>
              <c:numCache>
                <c:formatCode>0.00</c:formatCode>
                <c:ptCount val="7"/>
                <c:pt idx="0">
                  <c:v>57.526000000000003</c:v>
                </c:pt>
                <c:pt idx="1">
                  <c:v>133.197</c:v>
                </c:pt>
                <c:pt idx="2">
                  <c:v>153.202</c:v>
                </c:pt>
                <c:pt idx="3">
                  <c:v>146.369</c:v>
                </c:pt>
                <c:pt idx="4">
                  <c:v>158.90100000000001</c:v>
                </c:pt>
                <c:pt idx="5">
                  <c:v>103.58</c:v>
                </c:pt>
                <c:pt idx="6">
                  <c:v>57.701000000000001</c:v>
                </c:pt>
              </c:numCache>
            </c:numRef>
          </c:val>
          <c:extLst>
            <c:ext xmlns:c16="http://schemas.microsoft.com/office/drawing/2014/chart" uri="{C3380CC4-5D6E-409C-BE32-E72D297353CC}">
              <c16:uniqueId val="{00000006-53A6-4F84-A1E8-6132EFB6EB9C}"/>
            </c:ext>
          </c:extLst>
        </c:ser>
        <c:dLbls>
          <c:showLegendKey val="0"/>
          <c:showVal val="0"/>
          <c:showCatName val="0"/>
          <c:showSerName val="0"/>
          <c:showPercent val="0"/>
          <c:showBubbleSize val="0"/>
        </c:dLbls>
        <c:gapWidth val="150"/>
        <c:axId val="-138282704"/>
        <c:axId val="-138281616"/>
      </c:barChart>
      <c:lineChart>
        <c:grouping val="standard"/>
        <c:varyColors val="0"/>
        <c:ser>
          <c:idx val="7"/>
          <c:order val="7"/>
          <c:tx>
            <c:strRef>
              <c:f>'Diagrame consum EE'!$A$100</c:f>
              <c:strCache>
                <c:ptCount val="1"/>
                <c:pt idx="0">
                  <c:v>Consumul mediu lunar</c:v>
                </c:pt>
              </c:strCache>
            </c:strRef>
          </c:tx>
          <c:spPr>
            <a:ln w="28575" cap="rnd">
              <a:solidFill>
                <a:schemeClr val="accent2">
                  <a:lumMod val="60000"/>
                </a:schemeClr>
              </a:solidFill>
              <a:round/>
            </a:ln>
            <a:effectLst/>
          </c:spPr>
          <c:marker>
            <c:symbol val="none"/>
          </c:marker>
          <c:cat>
            <c:strRef>
              <c:f>'Diagrame consum EE'!$B$91:$H$91</c:f>
              <c:strCache>
                <c:ptCount val="7"/>
                <c:pt idx="0">
                  <c:v>Octombrie</c:v>
                </c:pt>
                <c:pt idx="1">
                  <c:v>Noiembrie</c:v>
                </c:pt>
                <c:pt idx="2">
                  <c:v>Decembrie</c:v>
                </c:pt>
                <c:pt idx="3">
                  <c:v>Ianuarie</c:v>
                </c:pt>
                <c:pt idx="4">
                  <c:v>Februarie</c:v>
                </c:pt>
                <c:pt idx="5">
                  <c:v>Martie</c:v>
                </c:pt>
                <c:pt idx="6">
                  <c:v>Aprilie</c:v>
                </c:pt>
              </c:strCache>
            </c:strRef>
          </c:cat>
          <c:val>
            <c:numRef>
              <c:f>'Diagrame consum EE'!$B$100:$H$100</c:f>
              <c:numCache>
                <c:formatCode>0.00</c:formatCode>
                <c:ptCount val="7"/>
                <c:pt idx="0">
                  <c:v>57.646033198095246</c:v>
                </c:pt>
                <c:pt idx="1">
                  <c:v>123.76425688523814</c:v>
                </c:pt>
                <c:pt idx="2">
                  <c:v>164.31347012095245</c:v>
                </c:pt>
                <c:pt idx="3">
                  <c:v>167.03325676714283</c:v>
                </c:pt>
                <c:pt idx="4">
                  <c:v>142.9775367215</c:v>
                </c:pt>
                <c:pt idx="5">
                  <c:v>120.70905227857143</c:v>
                </c:pt>
                <c:pt idx="6">
                  <c:v>60.681356642857153</c:v>
                </c:pt>
              </c:numCache>
            </c:numRef>
          </c:val>
          <c:smooth val="0"/>
          <c:extLst>
            <c:ext xmlns:c16="http://schemas.microsoft.com/office/drawing/2014/chart" uri="{C3380CC4-5D6E-409C-BE32-E72D297353CC}">
              <c16:uniqueId val="{00000007-53A6-4F84-A1E8-6132EFB6EB9C}"/>
            </c:ext>
          </c:extLst>
        </c:ser>
        <c:dLbls>
          <c:showLegendKey val="0"/>
          <c:showVal val="0"/>
          <c:showCatName val="0"/>
          <c:showSerName val="0"/>
          <c:showPercent val="0"/>
          <c:showBubbleSize val="0"/>
        </c:dLbls>
        <c:marker val="1"/>
        <c:smooth val="0"/>
        <c:axId val="-138282704"/>
        <c:axId val="-138281616"/>
      </c:lineChart>
      <c:catAx>
        <c:axId val="-138282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38281616"/>
        <c:crosses val="autoZero"/>
        <c:auto val="1"/>
        <c:lblAlgn val="ctr"/>
        <c:lblOffset val="100"/>
        <c:noMultiLvlLbl val="0"/>
      </c:catAx>
      <c:valAx>
        <c:axId val="-13828161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3828270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o-MD" b="1">
                <a:solidFill>
                  <a:sysClr val="windowText" lastClr="000000"/>
                </a:solidFill>
              </a:rPr>
              <a:t>Consum </a:t>
            </a:r>
            <a:r>
              <a:rPr lang="en-GB" b="1">
                <a:solidFill>
                  <a:sysClr val="windowText" lastClr="000000"/>
                </a:solidFill>
              </a:rPr>
              <a:t>de gaze naturale </a:t>
            </a:r>
            <a:r>
              <a:rPr lang="ro-RO" b="1">
                <a:solidFill>
                  <a:sysClr val="windowText" lastClr="000000"/>
                </a:solidFill>
              </a:rPr>
              <a:t>în</a:t>
            </a:r>
            <a:r>
              <a:rPr lang="ro-RO" b="1" baseline="0">
                <a:solidFill>
                  <a:sysClr val="windowText" lastClr="000000"/>
                </a:solidFill>
              </a:rPr>
              <a:t> sezonul de încălzire </a:t>
            </a:r>
          </a:p>
          <a:p>
            <a:pPr>
              <a:defRPr b="1">
                <a:solidFill>
                  <a:sysClr val="windowText" lastClr="000000"/>
                </a:solidFill>
              </a:defRPr>
            </a:pPr>
            <a:r>
              <a:rPr lang="ro-RO" b="1" baseline="0">
                <a:solidFill>
                  <a:sysClr val="windowText" lastClr="000000"/>
                </a:solidFill>
              </a:rPr>
              <a:t>pentru perioadele octombrie </a:t>
            </a:r>
            <a:r>
              <a:rPr lang="ro-MD" b="1">
                <a:solidFill>
                  <a:sysClr val="windowText" lastClr="000000"/>
                </a:solidFill>
              </a:rPr>
              <a:t>2018 - </a:t>
            </a:r>
            <a:r>
              <a:rPr lang="ro-RO" sz="1400" b="1" i="0" u="none" strike="noStrike" baseline="0">
                <a:effectLst/>
              </a:rPr>
              <a:t>aprilie </a:t>
            </a:r>
            <a:r>
              <a:rPr lang="ro-MD" b="1">
                <a:solidFill>
                  <a:sysClr val="windowText" lastClr="000000"/>
                </a:solidFill>
              </a:rPr>
              <a:t>2025, </a:t>
            </a:r>
            <a:r>
              <a:rPr lang="en-GB" b="1">
                <a:solidFill>
                  <a:sysClr val="windowText" lastClr="000000"/>
                </a:solidFill>
              </a:rPr>
              <a:t>mil. </a:t>
            </a:r>
            <a:r>
              <a:rPr lang="ro-MD" b="1">
                <a:solidFill>
                  <a:sysClr val="windowText" lastClr="000000"/>
                </a:solidFill>
              </a:rPr>
              <a:t>m</a:t>
            </a:r>
            <a:r>
              <a:rPr lang="ro-MD" b="1" baseline="30000">
                <a:solidFill>
                  <a:sysClr val="windowText" lastClr="000000"/>
                </a:solidFill>
              </a:rPr>
              <a:t>3</a:t>
            </a:r>
            <a:endParaRPr lang="en-GB" b="1" baseline="30000">
              <a:solidFill>
                <a:sysClr val="windowText" lastClr="000000"/>
              </a:solidFill>
            </a:endParaRPr>
          </a:p>
        </c:rich>
      </c:tx>
      <c:layout>
        <c:manualLayout>
          <c:xMode val="edge"/>
          <c:yMode val="edge"/>
          <c:x val="0.16323404144850737"/>
          <c:y val="2.057189878625797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0.17177559055118111"/>
          <c:y val="0.19486111111111112"/>
          <c:w val="0.82822440944881892"/>
          <c:h val="0.72088764946048411"/>
        </c:manualLayout>
      </c:layout>
      <c:lineChart>
        <c:grouping val="standard"/>
        <c:varyColors val="0"/>
        <c:ser>
          <c:idx val="0"/>
          <c:order val="0"/>
          <c:spPr>
            <a:ln w="28575" cap="rnd">
              <a:solidFill>
                <a:schemeClr val="accent1"/>
              </a:solidFill>
              <a:round/>
            </a:ln>
            <a:effectLst/>
          </c:spPr>
          <c:marker>
            <c:symbol val="none"/>
          </c:marker>
          <c:dLbls>
            <c:dLbl>
              <c:idx val="0"/>
              <c:layout>
                <c:manualLayout>
                  <c:x val="-6.6666666666666693E-2"/>
                  <c:y val="-9.72222222222222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18F-4E85-A2FC-895E235DB2B9}"/>
                </c:ext>
              </c:extLst>
            </c:dLbl>
            <c:dLbl>
              <c:idx val="1"/>
              <c:layout>
                <c:manualLayout>
                  <c:x val="-2.884813517411914E-2"/>
                  <c:y val="-0.1023596129891293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18F-4E85-A2FC-895E235DB2B9}"/>
                </c:ext>
              </c:extLst>
            </c:dLbl>
            <c:dLbl>
              <c:idx val="2"/>
              <c:layout>
                <c:manualLayout>
                  <c:x val="-1.0185067526415994E-16"/>
                  <c:y val="-7.87037037037037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18F-4E85-A2FC-895E235DB2B9}"/>
                </c:ext>
              </c:extLst>
            </c:dLbl>
            <c:dLbl>
              <c:idx val="3"/>
              <c:layout>
                <c:manualLayout>
                  <c:x val="-1.6666666666666666E-2"/>
                  <c:y val="-0.111111111111111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18F-4E85-A2FC-895E235DB2B9}"/>
                </c:ext>
              </c:extLst>
            </c:dLbl>
            <c:dLbl>
              <c:idx val="4"/>
              <c:layout>
                <c:manualLayout>
                  <c:x val="-4.1040501348692957E-2"/>
                  <c:y val="-9.40984123806386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18F-4E85-A2FC-895E235DB2B9}"/>
                </c:ext>
              </c:extLst>
            </c:dLbl>
            <c:dLbl>
              <c:idx val="5"/>
              <c:delete val="1"/>
              <c:extLst>
                <c:ext xmlns:c15="http://schemas.microsoft.com/office/drawing/2012/chart" uri="{CE6537A1-D6FC-4f65-9D91-7224C49458BB}"/>
                <c:ext xmlns:c16="http://schemas.microsoft.com/office/drawing/2014/chart" uri="{C3380CC4-5D6E-409C-BE32-E72D297353CC}">
                  <c16:uniqueId val="{00000005-018F-4E85-A2FC-895E235DB2B9}"/>
                </c:ext>
              </c:extLst>
            </c:dLbl>
            <c:dLbl>
              <c:idx val="6"/>
              <c:layout>
                <c:manualLayout>
                  <c:x val="-4.7392865110430567E-2"/>
                  <c:y val="-8.63959851620483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18F-4E85-A2FC-895E235DB2B9}"/>
                </c:ext>
              </c:extLst>
            </c:dLbl>
            <c:dLbl>
              <c:idx val="7"/>
              <c:layout>
                <c:manualLayout>
                  <c:x val="-2.2666152878901575E-2"/>
                  <c:y val="-4.1140945315261156E-2"/>
                </c:manualLayout>
              </c:layout>
              <c:tx>
                <c:rich>
                  <a:bodyPr/>
                  <a:lstStyle/>
                  <a:p>
                    <a:fld id="{C35A0C74-67D4-4F9E-A94B-E1D29C1725D0}" type="VALUE">
                      <a:rPr lang="en-US" b="1">
                        <a:solidFill>
                          <a:srgbClr val="FF0000"/>
                        </a:solidFill>
                      </a:rPr>
                      <a:pPr/>
                      <a:t>[VALUE]</a:t>
                    </a:fld>
                    <a:endParaRPr lang="ru-R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018F-4E85-A2FC-895E235DB2B9}"/>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'Diagrame consum EE'!$A$93:$A$100</c:f>
              <c:strCache>
                <c:ptCount val="8"/>
                <c:pt idx="0">
                  <c:v>2018-2019</c:v>
                </c:pt>
                <c:pt idx="1">
                  <c:v>2019-2020</c:v>
                </c:pt>
                <c:pt idx="2">
                  <c:v>2020-2021</c:v>
                </c:pt>
                <c:pt idx="3">
                  <c:v>2021-2022</c:v>
                </c:pt>
                <c:pt idx="4">
                  <c:v>2022-2023</c:v>
                </c:pt>
                <c:pt idx="5">
                  <c:v>2023-2024</c:v>
                </c:pt>
                <c:pt idx="6">
                  <c:v>2024-2025</c:v>
                </c:pt>
                <c:pt idx="7">
                  <c:v>2025-2026</c:v>
                </c:pt>
              </c:strCache>
            </c:strRef>
          </c:cat>
          <c:val>
            <c:numRef>
              <c:f>'Diagrame consum EE'!$I$93:$I$100</c:f>
              <c:numCache>
                <c:formatCode>0.0</c:formatCode>
                <c:ptCount val="8"/>
                <c:pt idx="0">
                  <c:v>955.2246100000001</c:v>
                </c:pt>
                <c:pt idx="1">
                  <c:v>856.65923099999998</c:v>
                </c:pt>
                <c:pt idx="2">
                  <c:v>1052.6166210000008</c:v>
                </c:pt>
                <c:pt idx="3">
                  <c:v>945.57582123999998</c:v>
                </c:pt>
                <c:pt idx="4">
                  <c:v>527.09329110049998</c:v>
                </c:pt>
                <c:pt idx="5">
                  <c:v>712.22916395999994</c:v>
                </c:pt>
                <c:pt idx="6">
                  <c:v>810.476</c:v>
                </c:pt>
                <c:pt idx="7">
                  <c:v>837.12496261435717</c:v>
                </c:pt>
              </c:numCache>
            </c:numRef>
          </c:val>
          <c:smooth val="0"/>
          <c:extLst>
            <c:ext xmlns:c16="http://schemas.microsoft.com/office/drawing/2014/chart" uri="{C3380CC4-5D6E-409C-BE32-E72D297353CC}">
              <c16:uniqueId val="{00000009-018F-4E85-A2FC-895E235DB2B9}"/>
            </c:ext>
          </c:extLst>
        </c:ser>
        <c:ser>
          <c:idx val="1"/>
          <c:order val="1"/>
          <c:spPr>
            <a:ln w="28575" cap="rnd">
              <a:solidFill>
                <a:srgbClr val="FF0000"/>
              </a:solidFill>
              <a:prstDash val="sysDash"/>
              <a:round/>
            </a:ln>
            <a:effectLst/>
          </c:spPr>
          <c:marker>
            <c:symbol val="none"/>
          </c:marker>
          <c:cat>
            <c:strRef>
              <c:f>'Diagrame consum EE'!$A$93:$A$100</c:f>
              <c:strCache>
                <c:ptCount val="8"/>
                <c:pt idx="0">
                  <c:v>2018-2019</c:v>
                </c:pt>
                <c:pt idx="1">
                  <c:v>2019-2020</c:v>
                </c:pt>
                <c:pt idx="2">
                  <c:v>2020-2021</c:v>
                </c:pt>
                <c:pt idx="3">
                  <c:v>2021-2022</c:v>
                </c:pt>
                <c:pt idx="4">
                  <c:v>2022-2023</c:v>
                </c:pt>
                <c:pt idx="5">
                  <c:v>2023-2024</c:v>
                </c:pt>
                <c:pt idx="6">
                  <c:v>2024-2025</c:v>
                </c:pt>
                <c:pt idx="7">
                  <c:v>2025-2026</c:v>
                </c:pt>
              </c:strCache>
            </c:strRef>
          </c:cat>
          <c:val>
            <c:numRef>
              <c:f>'Diagrame consum EE'!$J$93:$J$100</c:f>
              <c:numCache>
                <c:formatCode>General</c:formatCode>
                <c:ptCount val="8"/>
                <c:pt idx="6" formatCode="0.0">
                  <c:v>810.476</c:v>
                </c:pt>
                <c:pt idx="7" formatCode="0.0">
                  <c:v>837.12496261435717</c:v>
                </c:pt>
              </c:numCache>
            </c:numRef>
          </c:val>
          <c:smooth val="0"/>
          <c:extLst>
            <c:ext xmlns:c16="http://schemas.microsoft.com/office/drawing/2014/chart" uri="{C3380CC4-5D6E-409C-BE32-E72D297353CC}">
              <c16:uniqueId val="{0000000A-018F-4E85-A2FC-895E235DB2B9}"/>
            </c:ext>
          </c:extLst>
        </c:ser>
        <c:dLbls>
          <c:showLegendKey val="0"/>
          <c:showVal val="0"/>
          <c:showCatName val="0"/>
          <c:showSerName val="0"/>
          <c:showPercent val="0"/>
          <c:showBubbleSize val="0"/>
        </c:dLbls>
        <c:smooth val="0"/>
        <c:axId val="-138273456"/>
        <c:axId val="-138272912"/>
      </c:lineChart>
      <c:catAx>
        <c:axId val="-138273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38272912"/>
        <c:crosses val="autoZero"/>
        <c:auto val="0"/>
        <c:lblAlgn val="ctr"/>
        <c:lblOffset val="100"/>
        <c:noMultiLvlLbl val="0"/>
      </c:catAx>
      <c:valAx>
        <c:axId val="-13827291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382734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o-MD" b="1"/>
              <a:t>Consum lunar de energie electrică </a:t>
            </a:r>
            <a:endParaRPr lang="ru-RU" b="1"/>
          </a:p>
          <a:p>
            <a:pPr>
              <a:defRPr b="1"/>
            </a:pPr>
            <a:r>
              <a:rPr lang="ro-MD" b="1"/>
              <a:t>în perioada octombrie</a:t>
            </a:r>
            <a:r>
              <a:rPr lang="en-GB" b="1"/>
              <a:t> 2021</a:t>
            </a:r>
            <a:r>
              <a:rPr lang="ro-RO" b="1"/>
              <a:t> </a:t>
            </a:r>
            <a:r>
              <a:rPr lang="en-GB" b="1"/>
              <a:t>-</a:t>
            </a:r>
            <a:r>
              <a:rPr lang="ro-RO" b="1"/>
              <a:t> </a:t>
            </a:r>
            <a:r>
              <a:rPr lang="ro-MD" sz="1400" b="1" i="0" u="none" strike="noStrike" baseline="0">
                <a:effectLst/>
              </a:rPr>
              <a:t>aprilie </a:t>
            </a:r>
            <a:r>
              <a:rPr lang="en-GB" b="1"/>
              <a:t>2025</a:t>
            </a:r>
            <a:r>
              <a:rPr lang="ro-MD" b="1"/>
              <a:t>, mil. kWh</a:t>
            </a:r>
            <a:endParaRPr lang="ru-RU" b="1"/>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tx>
            <c:strRef>
              <c:f>Foaie6!$E$7</c:f>
              <c:strCache>
                <c:ptCount val="1"/>
                <c:pt idx="0">
                  <c:v>2021-2022</c:v>
                </c:pt>
              </c:strCache>
            </c:strRef>
          </c:tx>
          <c:spPr>
            <a:solidFill>
              <a:schemeClr val="accent1"/>
            </a:solidFill>
            <a:ln>
              <a:noFill/>
            </a:ln>
            <a:effectLst/>
          </c:spPr>
          <c:invertIfNegative val="0"/>
          <c:cat>
            <c:strRef>
              <c:f>Foaie6!$F$6:$L$6</c:f>
              <c:strCache>
                <c:ptCount val="7"/>
                <c:pt idx="0">
                  <c:v>Octombrie</c:v>
                </c:pt>
                <c:pt idx="1">
                  <c:v>Noiembrie</c:v>
                </c:pt>
                <c:pt idx="2">
                  <c:v>Decembrie</c:v>
                </c:pt>
                <c:pt idx="3">
                  <c:v>Ianuarie</c:v>
                </c:pt>
                <c:pt idx="4">
                  <c:v>Februarie</c:v>
                </c:pt>
                <c:pt idx="5">
                  <c:v>Martie</c:v>
                </c:pt>
                <c:pt idx="6">
                  <c:v>Aprilie</c:v>
                </c:pt>
              </c:strCache>
            </c:strRef>
          </c:cat>
          <c:val>
            <c:numRef>
              <c:f>Foaie6!$F$7:$L$7</c:f>
              <c:numCache>
                <c:formatCode>0.0</c:formatCode>
                <c:ptCount val="7"/>
                <c:pt idx="0">
                  <c:v>371.23581500000006</c:v>
                </c:pt>
                <c:pt idx="1">
                  <c:v>409.19693000000001</c:v>
                </c:pt>
                <c:pt idx="2">
                  <c:v>448.54432400000019</c:v>
                </c:pt>
                <c:pt idx="3">
                  <c:v>439.11090800000005</c:v>
                </c:pt>
                <c:pt idx="4">
                  <c:v>376.55899599999998</c:v>
                </c:pt>
                <c:pt idx="5">
                  <c:v>426.0781320000001</c:v>
                </c:pt>
                <c:pt idx="6">
                  <c:v>361.52209400000004</c:v>
                </c:pt>
              </c:numCache>
            </c:numRef>
          </c:val>
          <c:extLst>
            <c:ext xmlns:c16="http://schemas.microsoft.com/office/drawing/2014/chart" uri="{C3380CC4-5D6E-409C-BE32-E72D297353CC}">
              <c16:uniqueId val="{00000000-BA84-480B-9F3D-CB1E5B94AC94}"/>
            </c:ext>
          </c:extLst>
        </c:ser>
        <c:ser>
          <c:idx val="1"/>
          <c:order val="1"/>
          <c:tx>
            <c:strRef>
              <c:f>Foaie6!$E$8</c:f>
              <c:strCache>
                <c:ptCount val="1"/>
                <c:pt idx="0">
                  <c:v>2022-2023</c:v>
                </c:pt>
              </c:strCache>
            </c:strRef>
          </c:tx>
          <c:spPr>
            <a:solidFill>
              <a:schemeClr val="accent2"/>
            </a:solidFill>
            <a:ln>
              <a:noFill/>
            </a:ln>
            <a:effectLst/>
          </c:spPr>
          <c:invertIfNegative val="0"/>
          <c:cat>
            <c:strRef>
              <c:f>Foaie6!$F$6:$L$6</c:f>
              <c:strCache>
                <c:ptCount val="7"/>
                <c:pt idx="0">
                  <c:v>Octombrie</c:v>
                </c:pt>
                <c:pt idx="1">
                  <c:v>Noiembrie</c:v>
                </c:pt>
                <c:pt idx="2">
                  <c:v>Decembrie</c:v>
                </c:pt>
                <c:pt idx="3">
                  <c:v>Ianuarie</c:v>
                </c:pt>
                <c:pt idx="4">
                  <c:v>Februarie</c:v>
                </c:pt>
                <c:pt idx="5">
                  <c:v>Martie</c:v>
                </c:pt>
                <c:pt idx="6">
                  <c:v>Aprilie</c:v>
                </c:pt>
              </c:strCache>
            </c:strRef>
          </c:cat>
          <c:val>
            <c:numRef>
              <c:f>Foaie6!$F$8:$L$8</c:f>
              <c:numCache>
                <c:formatCode>0.0</c:formatCode>
                <c:ptCount val="7"/>
                <c:pt idx="0">
                  <c:v>364.74184600000001</c:v>
                </c:pt>
                <c:pt idx="1">
                  <c:v>358.46082799999999</c:v>
                </c:pt>
                <c:pt idx="2">
                  <c:v>414.57446999999991</c:v>
                </c:pt>
                <c:pt idx="3">
                  <c:v>388.94576600000028</c:v>
                </c:pt>
                <c:pt idx="4">
                  <c:v>356.30158799999998</c:v>
                </c:pt>
                <c:pt idx="5">
                  <c:v>365.161188000001</c:v>
                </c:pt>
                <c:pt idx="6">
                  <c:v>344.3867240000011</c:v>
                </c:pt>
              </c:numCache>
            </c:numRef>
          </c:val>
          <c:extLst>
            <c:ext xmlns:c16="http://schemas.microsoft.com/office/drawing/2014/chart" uri="{C3380CC4-5D6E-409C-BE32-E72D297353CC}">
              <c16:uniqueId val="{00000001-BA84-480B-9F3D-CB1E5B94AC94}"/>
            </c:ext>
          </c:extLst>
        </c:ser>
        <c:ser>
          <c:idx val="2"/>
          <c:order val="2"/>
          <c:tx>
            <c:strRef>
              <c:f>Foaie6!$E$9</c:f>
              <c:strCache>
                <c:ptCount val="1"/>
                <c:pt idx="0">
                  <c:v>2023-2024</c:v>
                </c:pt>
              </c:strCache>
            </c:strRef>
          </c:tx>
          <c:spPr>
            <a:solidFill>
              <a:schemeClr val="accent3"/>
            </a:solidFill>
            <a:ln>
              <a:noFill/>
            </a:ln>
            <a:effectLst/>
          </c:spPr>
          <c:invertIfNegative val="0"/>
          <c:cat>
            <c:strRef>
              <c:f>Foaie6!$F$6:$L$6</c:f>
              <c:strCache>
                <c:ptCount val="7"/>
                <c:pt idx="0">
                  <c:v>Octombrie</c:v>
                </c:pt>
                <c:pt idx="1">
                  <c:v>Noiembrie</c:v>
                </c:pt>
                <c:pt idx="2">
                  <c:v>Decembrie</c:v>
                </c:pt>
                <c:pt idx="3">
                  <c:v>Ianuarie</c:v>
                </c:pt>
                <c:pt idx="4">
                  <c:v>Februarie</c:v>
                </c:pt>
                <c:pt idx="5">
                  <c:v>Martie</c:v>
                </c:pt>
                <c:pt idx="6">
                  <c:v>Aprilie</c:v>
                </c:pt>
              </c:strCache>
            </c:strRef>
          </c:cat>
          <c:val>
            <c:numRef>
              <c:f>Foaie6!$F$9:$L$9</c:f>
              <c:numCache>
                <c:formatCode>0.0</c:formatCode>
                <c:ptCount val="7"/>
                <c:pt idx="0">
                  <c:v>353.2</c:v>
                </c:pt>
                <c:pt idx="1">
                  <c:v>384.5</c:v>
                </c:pt>
                <c:pt idx="2">
                  <c:v>431.5</c:v>
                </c:pt>
                <c:pt idx="3">
                  <c:v>434.92760600000003</c:v>
                </c:pt>
                <c:pt idx="4">
                  <c:v>379.84929899999963</c:v>
                </c:pt>
                <c:pt idx="5">
                  <c:v>398.21217100000001</c:v>
                </c:pt>
                <c:pt idx="6">
                  <c:v>330.93591999999927</c:v>
                </c:pt>
              </c:numCache>
            </c:numRef>
          </c:val>
          <c:extLst>
            <c:ext xmlns:c16="http://schemas.microsoft.com/office/drawing/2014/chart" uri="{C3380CC4-5D6E-409C-BE32-E72D297353CC}">
              <c16:uniqueId val="{00000002-BA84-480B-9F3D-CB1E5B94AC94}"/>
            </c:ext>
          </c:extLst>
        </c:ser>
        <c:ser>
          <c:idx val="3"/>
          <c:order val="3"/>
          <c:tx>
            <c:strRef>
              <c:f>Foaie6!$E$10</c:f>
              <c:strCache>
                <c:ptCount val="1"/>
                <c:pt idx="0">
                  <c:v>2024-2025</c:v>
                </c:pt>
              </c:strCache>
            </c:strRef>
          </c:tx>
          <c:spPr>
            <a:solidFill>
              <a:schemeClr val="accent4"/>
            </a:solidFill>
            <a:ln>
              <a:noFill/>
            </a:ln>
            <a:effectLst/>
          </c:spPr>
          <c:invertIfNegative val="0"/>
          <c:cat>
            <c:strRef>
              <c:f>Foaie6!$F$6:$L$6</c:f>
              <c:strCache>
                <c:ptCount val="7"/>
                <c:pt idx="0">
                  <c:v>Octombrie</c:v>
                </c:pt>
                <c:pt idx="1">
                  <c:v>Noiembrie</c:v>
                </c:pt>
                <c:pt idx="2">
                  <c:v>Decembrie</c:v>
                </c:pt>
                <c:pt idx="3">
                  <c:v>Ianuarie</c:v>
                </c:pt>
                <c:pt idx="4">
                  <c:v>Februarie</c:v>
                </c:pt>
                <c:pt idx="5">
                  <c:v>Martie</c:v>
                </c:pt>
                <c:pt idx="6">
                  <c:v>Aprilie</c:v>
                </c:pt>
              </c:strCache>
            </c:strRef>
          </c:cat>
          <c:val>
            <c:numRef>
              <c:f>Foaie6!$F$10:$L$10</c:f>
              <c:numCache>
                <c:formatCode>General</c:formatCode>
                <c:ptCount val="7"/>
                <c:pt idx="0">
                  <c:v>385.1</c:v>
                </c:pt>
                <c:pt idx="1">
                  <c:v>430.5</c:v>
                </c:pt>
                <c:pt idx="2">
                  <c:v>464.5</c:v>
                </c:pt>
                <c:pt idx="3">
                  <c:v>421</c:v>
                </c:pt>
                <c:pt idx="4">
                  <c:v>405.5</c:v>
                </c:pt>
                <c:pt idx="5">
                  <c:v>389.9</c:v>
                </c:pt>
                <c:pt idx="6">
                  <c:v>310.8</c:v>
                </c:pt>
              </c:numCache>
            </c:numRef>
          </c:val>
          <c:extLst>
            <c:ext xmlns:c16="http://schemas.microsoft.com/office/drawing/2014/chart" uri="{C3380CC4-5D6E-409C-BE32-E72D297353CC}">
              <c16:uniqueId val="{00000003-BA84-480B-9F3D-CB1E5B94AC94}"/>
            </c:ext>
          </c:extLst>
        </c:ser>
        <c:dLbls>
          <c:showLegendKey val="0"/>
          <c:showVal val="0"/>
          <c:showCatName val="0"/>
          <c:showSerName val="0"/>
          <c:showPercent val="0"/>
          <c:showBubbleSize val="0"/>
        </c:dLbls>
        <c:gapWidth val="219"/>
        <c:overlap val="-27"/>
        <c:axId val="1880749503"/>
        <c:axId val="1880738943"/>
      </c:barChart>
      <c:lineChart>
        <c:grouping val="standard"/>
        <c:varyColors val="0"/>
        <c:ser>
          <c:idx val="4"/>
          <c:order val="4"/>
          <c:tx>
            <c:strRef>
              <c:f>Foaie6!$E$11</c:f>
              <c:strCache>
                <c:ptCount val="1"/>
                <c:pt idx="0">
                  <c:v>Consumul media lunar</c:v>
                </c:pt>
              </c:strCache>
            </c:strRef>
          </c:tx>
          <c:spPr>
            <a:ln w="28575" cap="rnd">
              <a:solidFill>
                <a:schemeClr val="accent5"/>
              </a:solidFill>
              <a:round/>
            </a:ln>
            <a:effectLst/>
          </c:spPr>
          <c:marker>
            <c:symbol val="none"/>
          </c:marker>
          <c:cat>
            <c:strRef>
              <c:f>Foaie6!$F$6:$L$6</c:f>
              <c:strCache>
                <c:ptCount val="7"/>
                <c:pt idx="0">
                  <c:v>Octombrie</c:v>
                </c:pt>
                <c:pt idx="1">
                  <c:v>Noiembrie</c:v>
                </c:pt>
                <c:pt idx="2">
                  <c:v>Decembrie</c:v>
                </c:pt>
                <c:pt idx="3">
                  <c:v>Ianuarie</c:v>
                </c:pt>
                <c:pt idx="4">
                  <c:v>Februarie</c:v>
                </c:pt>
                <c:pt idx="5">
                  <c:v>Martie</c:v>
                </c:pt>
                <c:pt idx="6">
                  <c:v>Aprilie</c:v>
                </c:pt>
              </c:strCache>
            </c:strRef>
          </c:cat>
          <c:val>
            <c:numRef>
              <c:f>Foaie6!$F$11:$L$11</c:f>
              <c:numCache>
                <c:formatCode>0.0</c:formatCode>
                <c:ptCount val="7"/>
                <c:pt idx="0">
                  <c:v>368.56941525000002</c:v>
                </c:pt>
                <c:pt idx="1">
                  <c:v>395.66443950000001</c:v>
                </c:pt>
                <c:pt idx="2">
                  <c:v>439.77969849999999</c:v>
                </c:pt>
                <c:pt idx="3">
                  <c:v>420.99607000000009</c:v>
                </c:pt>
                <c:pt idx="4">
                  <c:v>379.55247074999988</c:v>
                </c:pt>
                <c:pt idx="5">
                  <c:v>394.83787275000032</c:v>
                </c:pt>
                <c:pt idx="6">
                  <c:v>336.9111845000001</c:v>
                </c:pt>
              </c:numCache>
            </c:numRef>
          </c:val>
          <c:smooth val="0"/>
          <c:extLst>
            <c:ext xmlns:c16="http://schemas.microsoft.com/office/drawing/2014/chart" uri="{C3380CC4-5D6E-409C-BE32-E72D297353CC}">
              <c16:uniqueId val="{00000004-BA84-480B-9F3D-CB1E5B94AC94}"/>
            </c:ext>
          </c:extLst>
        </c:ser>
        <c:dLbls>
          <c:showLegendKey val="0"/>
          <c:showVal val="0"/>
          <c:showCatName val="0"/>
          <c:showSerName val="0"/>
          <c:showPercent val="0"/>
          <c:showBubbleSize val="0"/>
        </c:dLbls>
        <c:marker val="1"/>
        <c:smooth val="0"/>
        <c:axId val="1880749503"/>
        <c:axId val="1880738943"/>
      </c:lineChart>
      <c:catAx>
        <c:axId val="18807495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880738943"/>
        <c:crosses val="autoZero"/>
        <c:auto val="1"/>
        <c:lblAlgn val="ctr"/>
        <c:lblOffset val="100"/>
        <c:noMultiLvlLbl val="0"/>
      </c:catAx>
      <c:valAx>
        <c:axId val="1880738943"/>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880749503"/>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sz="1400" b="1" i="0" baseline="0">
                <a:solidFill>
                  <a:sysClr val="windowText" lastClr="000000"/>
                </a:solidFill>
                <a:effectLst/>
                <a:latin typeface="Times New Roman" panose="02020603050405020304" pitchFamily="18" charset="0"/>
                <a:cs typeface="Times New Roman" panose="02020603050405020304" pitchFamily="18" charset="0"/>
              </a:rPr>
              <a:t>Nivelul stocurilor de </a:t>
            </a:r>
            <a:r>
              <a:rPr lang="ro-RO" sz="1400" b="1" i="0" baseline="0">
                <a:solidFill>
                  <a:sysClr val="windowText" lastClr="000000"/>
                </a:solidFill>
                <a:effectLst/>
                <a:latin typeface="Times New Roman" panose="02020603050405020304" pitchFamily="18" charset="0"/>
                <a:cs typeface="Times New Roman" panose="02020603050405020304" pitchFamily="18" charset="0"/>
              </a:rPr>
              <a:t>gaze naturale</a:t>
            </a:r>
            <a:r>
              <a:rPr lang="en-US" sz="1400" b="1" i="0" baseline="0">
                <a:solidFill>
                  <a:sysClr val="windowText" lastClr="000000"/>
                </a:solidFill>
                <a:effectLst/>
                <a:latin typeface="Times New Roman" panose="02020603050405020304" pitchFamily="18" charset="0"/>
                <a:cs typeface="Times New Roman" panose="02020603050405020304" pitchFamily="18" charset="0"/>
              </a:rPr>
              <a:t> </a:t>
            </a:r>
            <a:r>
              <a:rPr lang="ro-RO" sz="1400" b="1" i="0" baseline="0">
                <a:solidFill>
                  <a:sysClr val="windowText" lastClr="000000"/>
                </a:solidFill>
                <a:effectLst/>
                <a:latin typeface="Times New Roman" panose="02020603050405020304" pitchFamily="18" charset="0"/>
                <a:cs typeface="Times New Roman" panose="02020603050405020304" pitchFamily="18" charset="0"/>
              </a:rPr>
              <a:t>în UE</a:t>
            </a:r>
          </a:p>
          <a:p>
            <a:pPr>
              <a:defRPr/>
            </a:pPr>
            <a:r>
              <a:rPr lang="ro-RO" sz="1400" b="1" i="0" baseline="0">
                <a:solidFill>
                  <a:sysClr val="windowText" lastClr="000000"/>
                </a:solidFill>
                <a:effectLst/>
                <a:latin typeface="Times New Roman" panose="02020603050405020304" pitchFamily="18" charset="0"/>
                <a:cs typeface="Times New Roman" panose="02020603050405020304" pitchFamily="18" charset="0"/>
              </a:rPr>
              <a:t>și evoluția prețurilor gazelor naturale TTF Futures</a:t>
            </a:r>
            <a:endParaRPr lang="en-US" sz="1400">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ru-RU"/>
        </a:p>
      </c:txPr>
    </c:title>
    <c:autoTitleDeleted val="0"/>
    <c:plotArea>
      <c:layout/>
      <c:lineChart>
        <c:grouping val="standard"/>
        <c:varyColors val="0"/>
        <c:ser>
          <c:idx val="0"/>
          <c:order val="0"/>
          <c:tx>
            <c:strRef>
              <c:f>'Diagrama stocuri UE 2018-2023'!$B$1</c:f>
              <c:strCache>
                <c:ptCount val="1"/>
                <c:pt idx="0">
                  <c:v>Cantitatea de gaze  (%)</c:v>
                </c:pt>
              </c:strCache>
            </c:strRef>
          </c:tx>
          <c:spPr>
            <a:ln w="22225" cap="rnd">
              <a:solidFill>
                <a:schemeClr val="accent1"/>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0-B91D-4536-B88B-72C57AB91827}"/>
                </c:ext>
              </c:extLst>
            </c:dLbl>
            <c:dLbl>
              <c:idx val="1"/>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6="http://schemas.microsoft.com/office/drawing/2014/chart" uri="{C3380CC4-5D6E-409C-BE32-E72D297353CC}">
                  <c16:uniqueId val="{00000001-B91D-4536-B88B-72C57AB91827}"/>
                </c:ext>
              </c:extLst>
            </c:dLbl>
            <c:dLbl>
              <c:idx val="2"/>
              <c:delete val="1"/>
              <c:extLst>
                <c:ext xmlns:c15="http://schemas.microsoft.com/office/drawing/2012/chart" uri="{CE6537A1-D6FC-4f65-9D91-7224C49458BB}"/>
                <c:ext xmlns:c16="http://schemas.microsoft.com/office/drawing/2014/chart" uri="{C3380CC4-5D6E-409C-BE32-E72D297353CC}">
                  <c16:uniqueId val="{00000002-B91D-4536-B88B-72C57AB91827}"/>
                </c:ext>
              </c:extLst>
            </c:dLbl>
            <c:dLbl>
              <c:idx val="3"/>
              <c:layout>
                <c:manualLayout>
                  <c:x val="-3.7774027144058986E-3"/>
                  <c:y val="-5.58364651058208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91D-4536-B88B-72C57AB91827}"/>
                </c:ext>
              </c:extLst>
            </c:dLbl>
            <c:dLbl>
              <c:idx val="4"/>
              <c:delete val="1"/>
              <c:extLst>
                <c:ext xmlns:c15="http://schemas.microsoft.com/office/drawing/2012/chart" uri="{CE6537A1-D6FC-4f65-9D91-7224C49458BB}"/>
                <c:ext xmlns:c16="http://schemas.microsoft.com/office/drawing/2014/chart" uri="{C3380CC4-5D6E-409C-BE32-E72D297353CC}">
                  <c16:uniqueId val="{00000004-B91D-4536-B88B-72C57AB91827}"/>
                </c:ext>
              </c:extLst>
            </c:dLbl>
            <c:dLbl>
              <c:idx val="5"/>
              <c:layout>
                <c:manualLayout>
                  <c:x val="-3.2107923072450174E-2"/>
                  <c:y val="3.9883189361300628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91D-4536-B88B-72C57AB91827}"/>
                </c:ext>
              </c:extLst>
            </c:dLbl>
            <c:dLbl>
              <c:idx val="6"/>
              <c:delete val="1"/>
              <c:extLst>
                <c:ext xmlns:c15="http://schemas.microsoft.com/office/drawing/2012/chart" uri="{CE6537A1-D6FC-4f65-9D91-7224C49458BB}"/>
                <c:ext xmlns:c16="http://schemas.microsoft.com/office/drawing/2014/chart" uri="{C3380CC4-5D6E-409C-BE32-E72D297353CC}">
                  <c16:uniqueId val="{00000006-B91D-4536-B88B-72C57AB91827}"/>
                </c:ext>
              </c:extLst>
            </c:dLbl>
            <c:dLbl>
              <c:idx val="7"/>
              <c:layout>
                <c:manualLayout>
                  <c:x val="-9.4435067860147472E-3"/>
                  <c:y val="-4.7859827233560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91D-4536-B88B-72C57AB91827}"/>
                </c:ext>
              </c:extLst>
            </c:dLbl>
            <c:dLbl>
              <c:idx val="8"/>
              <c:delete val="1"/>
              <c:extLst>
                <c:ext xmlns:c15="http://schemas.microsoft.com/office/drawing/2012/chart" uri="{CE6537A1-D6FC-4f65-9D91-7224C49458BB}"/>
                <c:ext xmlns:c16="http://schemas.microsoft.com/office/drawing/2014/chart" uri="{C3380CC4-5D6E-409C-BE32-E72D297353CC}">
                  <c16:uniqueId val="{00000008-B91D-4536-B88B-72C57AB91827}"/>
                </c:ext>
              </c:extLst>
            </c:dLbl>
            <c:dLbl>
              <c:idx val="9"/>
              <c:layout>
                <c:manualLayout>
                  <c:x val="-3.7774027144059058E-2"/>
                  <c:y val="5.5836465105820778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91D-4536-B88B-72C57AB91827}"/>
                </c:ext>
              </c:extLst>
            </c:dLbl>
            <c:dLbl>
              <c:idx val="10"/>
              <c:delete val="1"/>
              <c:extLst>
                <c:ext xmlns:c15="http://schemas.microsoft.com/office/drawing/2012/chart" uri="{CE6537A1-D6FC-4f65-9D91-7224C49458BB}"/>
                <c:ext xmlns:c16="http://schemas.microsoft.com/office/drawing/2014/chart" uri="{C3380CC4-5D6E-409C-BE32-E72D297353CC}">
                  <c16:uniqueId val="{0000000A-B91D-4536-B88B-72C57AB91827}"/>
                </c:ext>
              </c:extLst>
            </c:dLbl>
            <c:dLbl>
              <c:idx val="11"/>
              <c:layout>
                <c:manualLayout>
                  <c:x val="-2.9472443265546714E-2"/>
                  <c:y val="-5.20195948788844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91D-4536-B88B-72C57AB91827}"/>
                </c:ext>
              </c:extLst>
            </c:dLbl>
            <c:dLbl>
              <c:idx val="12"/>
              <c:delete val="1"/>
              <c:extLst>
                <c:ext xmlns:c15="http://schemas.microsoft.com/office/drawing/2012/chart" uri="{CE6537A1-D6FC-4f65-9D91-7224C49458BB}"/>
                <c:ext xmlns:c16="http://schemas.microsoft.com/office/drawing/2014/chart" uri="{C3380CC4-5D6E-409C-BE32-E72D297353CC}">
                  <c16:uniqueId val="{0000000C-B91D-4536-B88B-72C57AB91827}"/>
                </c:ext>
              </c:extLst>
            </c:dLbl>
            <c:dLbl>
              <c:idx val="13"/>
              <c:layout>
                <c:manualLayout>
                  <c:x val="-3.9744506520577351E-2"/>
                  <c:y val="2.2110371309800536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91D-4536-B88B-72C57AB91827}"/>
                </c:ext>
              </c:extLst>
            </c:dLbl>
            <c:dLbl>
              <c:idx val="14"/>
              <c:delete val="1"/>
              <c:extLst>
                <c:ext xmlns:c15="http://schemas.microsoft.com/office/drawing/2012/chart" uri="{CE6537A1-D6FC-4f65-9D91-7224C49458BB}"/>
                <c:ext xmlns:c16="http://schemas.microsoft.com/office/drawing/2014/chart" uri="{C3380CC4-5D6E-409C-BE32-E72D297353CC}">
                  <c16:uniqueId val="{0000000E-B91D-4536-B88B-72C57AB91827}"/>
                </c:ext>
              </c:extLst>
            </c:dLbl>
            <c:dLbl>
              <c:idx val="15"/>
              <c:layout>
                <c:manualLayout>
                  <c:x val="-1.8887013572029493E-3"/>
                  <c:y val="-5.98247840419508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91D-4536-B88B-72C57AB91827}"/>
                </c:ext>
              </c:extLst>
            </c:dLbl>
            <c:dLbl>
              <c:idx val="16"/>
              <c:delete val="1"/>
              <c:extLst>
                <c:ext xmlns:c15="http://schemas.microsoft.com/office/drawing/2012/chart" uri="{CE6537A1-D6FC-4f65-9D91-7224C49458BB}"/>
                <c:ext xmlns:c16="http://schemas.microsoft.com/office/drawing/2014/chart" uri="{C3380CC4-5D6E-409C-BE32-E72D297353CC}">
                  <c16:uniqueId val="{00000010-B91D-4536-B88B-72C57AB91827}"/>
                </c:ext>
              </c:extLst>
            </c:dLbl>
            <c:dLbl>
              <c:idx val="17"/>
              <c:layout>
                <c:manualLayout>
                  <c:x val="5.6661040716088481E-3"/>
                  <c:y val="2.3929913616780332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B91D-4536-B88B-72C57AB91827}"/>
                </c:ext>
              </c:extLst>
            </c:dLbl>
            <c:dLbl>
              <c:idx val="18"/>
              <c:delete val="1"/>
              <c:extLst>
                <c:ext xmlns:c15="http://schemas.microsoft.com/office/drawing/2012/chart" uri="{CE6537A1-D6FC-4f65-9D91-7224C49458BB}"/>
                <c:ext xmlns:c16="http://schemas.microsoft.com/office/drawing/2014/chart" uri="{C3380CC4-5D6E-409C-BE32-E72D297353CC}">
                  <c16:uniqueId val="{00000012-B91D-4536-B88B-72C57AB91827}"/>
                </c:ext>
              </c:extLst>
            </c:dLbl>
            <c:dLbl>
              <c:idx val="19"/>
              <c:layout>
                <c:manualLayout>
                  <c:x val="-2.9700796684234098E-2"/>
                  <c:y val="-4.7688285147562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B91D-4536-B88B-72C57AB91827}"/>
                </c:ext>
              </c:extLst>
            </c:dLbl>
            <c:dLbl>
              <c:idx val="20"/>
              <c:delete val="1"/>
              <c:extLst>
                <c:ext xmlns:c15="http://schemas.microsoft.com/office/drawing/2012/chart" uri="{CE6537A1-D6FC-4f65-9D91-7224C49458BB}"/>
                <c:ext xmlns:c16="http://schemas.microsoft.com/office/drawing/2014/chart" uri="{C3380CC4-5D6E-409C-BE32-E72D297353CC}">
                  <c16:uniqueId val="{00000014-B91D-4536-B88B-72C57AB91827}"/>
                </c:ext>
              </c:extLst>
            </c:dLbl>
            <c:dLbl>
              <c:idx val="21"/>
              <c:layout>
                <c:manualLayout>
                  <c:x val="-4.7123842645845695E-2"/>
                  <c:y val="2.8373864766139033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B91D-4536-B88B-72C57AB91827}"/>
                </c:ext>
              </c:extLst>
            </c:dLbl>
            <c:dLbl>
              <c:idx val="22"/>
              <c:delete val="1"/>
              <c:extLst>
                <c:ext xmlns:c15="http://schemas.microsoft.com/office/drawing/2012/chart" uri="{CE6537A1-D6FC-4f65-9D91-7224C49458BB}"/>
                <c:ext xmlns:c16="http://schemas.microsoft.com/office/drawing/2014/chart" uri="{C3380CC4-5D6E-409C-BE32-E72D297353CC}">
                  <c16:uniqueId val="{00000016-B91D-4536-B88B-72C57AB91827}"/>
                </c:ext>
              </c:extLst>
            </c:dLbl>
            <c:dLbl>
              <c:idx val="23"/>
              <c:layout>
                <c:manualLayout>
                  <c:x val="-4.1261420571765399E-2"/>
                  <c:y val="-3.43511450381679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DFF-449C-A464-6EF508CE070B}"/>
                </c:ext>
              </c:extLst>
            </c:dLbl>
            <c:dLbl>
              <c:idx val="24"/>
              <c:delete val="1"/>
              <c:extLst>
                <c:ext xmlns:c15="http://schemas.microsoft.com/office/drawing/2012/chart" uri="{CE6537A1-D6FC-4f65-9D91-7224C49458BB}"/>
                <c:ext xmlns:c16="http://schemas.microsoft.com/office/drawing/2014/chart" uri="{C3380CC4-5D6E-409C-BE32-E72D297353CC}">
                  <c16:uniqueId val="{00000017-B91D-4536-B88B-72C57AB91827}"/>
                </c:ext>
              </c:extLst>
            </c:dLbl>
            <c:dLbl>
              <c:idx val="25"/>
              <c:layout>
                <c:manualLayout>
                  <c:x val="-3.9296591020728952E-2"/>
                  <c:y val="3.4351145038167941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B91D-4536-B88B-72C57AB91827}"/>
                </c:ext>
              </c:extLst>
            </c:dLbl>
            <c:dLbl>
              <c:idx val="26"/>
              <c:delete val="1"/>
              <c:extLst>
                <c:ext xmlns:c15="http://schemas.microsoft.com/office/drawing/2012/chart" uri="{CE6537A1-D6FC-4f65-9D91-7224C49458BB}"/>
                <c:ext xmlns:c16="http://schemas.microsoft.com/office/drawing/2014/chart" uri="{C3380CC4-5D6E-409C-BE32-E72D297353CC}">
                  <c16:uniqueId val="{00000019-B91D-4536-B88B-72C57AB91827}"/>
                </c:ext>
              </c:extLst>
            </c:dLbl>
            <c:dLbl>
              <c:idx val="27"/>
              <c:layout>
                <c:manualLayout>
                  <c:x val="-3.8215934767659047E-2"/>
                  <c:y val="-3.72837651018813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B91D-4536-B88B-72C57AB91827}"/>
                </c:ext>
              </c:extLst>
            </c:dLbl>
            <c:dLbl>
              <c:idx val="28"/>
              <c:layout>
                <c:manualLayout>
                  <c:x val="-1.7035084524124989E-2"/>
                  <c:y val="-4.84687287160337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B91D-4536-B88B-72C57AB91827}"/>
                </c:ext>
              </c:extLst>
            </c:dLbl>
            <c:dLbl>
              <c:idx val="29"/>
              <c:layout>
                <c:manualLayout>
                  <c:x val="-5.4890753391889514E-2"/>
                  <c:y val="2.6098546231710467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rgbClr val="FF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layout>
                    <c:manualLayout>
                      <c:w val="7.4206795493437686E-2"/>
                      <c:h val="7.4511496277507694E-2"/>
                    </c:manualLayout>
                  </c15:layout>
                </c:ext>
                <c:ext xmlns:c16="http://schemas.microsoft.com/office/drawing/2014/chart" uri="{C3380CC4-5D6E-409C-BE32-E72D297353CC}">
                  <c16:uniqueId val="{0000001C-B91D-4536-B88B-72C57AB9182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'Diagrama stocuri UE 2018-2023'!$A$2:$A$31</c:f>
              <c:numCache>
                <c:formatCode>[$-418]mmmm/yy;@</c:formatCode>
                <c:ptCount val="30"/>
                <c:pt idx="0">
                  <c:v>43101</c:v>
                </c:pt>
                <c:pt idx="1">
                  <c:v>43191</c:v>
                </c:pt>
                <c:pt idx="2">
                  <c:v>43282</c:v>
                </c:pt>
                <c:pt idx="3">
                  <c:v>43374</c:v>
                </c:pt>
                <c:pt idx="4">
                  <c:v>43466</c:v>
                </c:pt>
                <c:pt idx="5">
                  <c:v>43556</c:v>
                </c:pt>
                <c:pt idx="6">
                  <c:v>43647</c:v>
                </c:pt>
                <c:pt idx="7">
                  <c:v>43739</c:v>
                </c:pt>
                <c:pt idx="8">
                  <c:v>43831</c:v>
                </c:pt>
                <c:pt idx="9">
                  <c:v>43922</c:v>
                </c:pt>
                <c:pt idx="10">
                  <c:v>44013</c:v>
                </c:pt>
                <c:pt idx="11">
                  <c:v>44105</c:v>
                </c:pt>
                <c:pt idx="12">
                  <c:v>44197</c:v>
                </c:pt>
                <c:pt idx="13">
                  <c:v>44287</c:v>
                </c:pt>
                <c:pt idx="14">
                  <c:v>44378</c:v>
                </c:pt>
                <c:pt idx="15">
                  <c:v>44470</c:v>
                </c:pt>
                <c:pt idx="16">
                  <c:v>44562</c:v>
                </c:pt>
                <c:pt idx="17">
                  <c:v>44652</c:v>
                </c:pt>
                <c:pt idx="18">
                  <c:v>44774</c:v>
                </c:pt>
                <c:pt idx="19">
                  <c:v>44835</c:v>
                </c:pt>
                <c:pt idx="20">
                  <c:v>44927</c:v>
                </c:pt>
                <c:pt idx="21">
                  <c:v>45017</c:v>
                </c:pt>
                <c:pt idx="22">
                  <c:v>45108</c:v>
                </c:pt>
                <c:pt idx="23">
                  <c:v>45200</c:v>
                </c:pt>
                <c:pt idx="24">
                  <c:v>45292</c:v>
                </c:pt>
                <c:pt idx="25">
                  <c:v>45383</c:v>
                </c:pt>
                <c:pt idx="26">
                  <c:v>45474</c:v>
                </c:pt>
                <c:pt idx="27">
                  <c:v>45566</c:v>
                </c:pt>
                <c:pt idx="28">
                  <c:v>45658</c:v>
                </c:pt>
                <c:pt idx="29">
                  <c:v>45748</c:v>
                </c:pt>
              </c:numCache>
            </c:numRef>
          </c:cat>
          <c:val>
            <c:numRef>
              <c:f>'Diagrama stocuri UE 2018-2023'!$B$2:$B$31</c:f>
              <c:numCache>
                <c:formatCode>0.00%</c:formatCode>
                <c:ptCount val="30"/>
                <c:pt idx="0">
                  <c:v>0.64019999999999999</c:v>
                </c:pt>
                <c:pt idx="1">
                  <c:v>0.18490000000000001</c:v>
                </c:pt>
                <c:pt idx="2">
                  <c:v>0.49230000000000002</c:v>
                </c:pt>
                <c:pt idx="3">
                  <c:v>0.82169999999999999</c:v>
                </c:pt>
                <c:pt idx="4">
                  <c:v>0.69820000000000004</c:v>
                </c:pt>
                <c:pt idx="5">
                  <c:v>0.43969999999999998</c:v>
                </c:pt>
                <c:pt idx="6">
                  <c:v>0.73360000000000003</c:v>
                </c:pt>
                <c:pt idx="7">
                  <c:v>0.96909999999999996</c:v>
                </c:pt>
                <c:pt idx="8">
                  <c:v>0.88029999999999997</c:v>
                </c:pt>
                <c:pt idx="9">
                  <c:v>0.54400000000000004</c:v>
                </c:pt>
                <c:pt idx="10">
                  <c:v>0.80730000000000002</c:v>
                </c:pt>
                <c:pt idx="11">
                  <c:v>0.94730000000000003</c:v>
                </c:pt>
                <c:pt idx="12">
                  <c:v>0.73740000000000006</c:v>
                </c:pt>
                <c:pt idx="13">
                  <c:v>0.30599999999999999</c:v>
                </c:pt>
                <c:pt idx="14">
                  <c:v>0.47789999999999999</c:v>
                </c:pt>
                <c:pt idx="15">
                  <c:v>0.74890000000000001</c:v>
                </c:pt>
                <c:pt idx="16">
                  <c:v>0.53810000000000002</c:v>
                </c:pt>
                <c:pt idx="17">
                  <c:v>0.26550000000000001</c:v>
                </c:pt>
                <c:pt idx="18">
                  <c:v>0.58540000000000003</c:v>
                </c:pt>
                <c:pt idx="19">
                  <c:v>0.8901</c:v>
                </c:pt>
                <c:pt idx="20">
                  <c:v>0.83499999999999996</c:v>
                </c:pt>
                <c:pt idx="21">
                  <c:v>0.55530000000000002</c:v>
                </c:pt>
                <c:pt idx="22">
                  <c:v>0.7742</c:v>
                </c:pt>
                <c:pt idx="23">
                  <c:v>0.96020000000000005</c:v>
                </c:pt>
                <c:pt idx="24">
                  <c:v>0.86250000000000004</c:v>
                </c:pt>
                <c:pt idx="25">
                  <c:v>0.59230000000000005</c:v>
                </c:pt>
                <c:pt idx="26">
                  <c:v>0.77659999999999996</c:v>
                </c:pt>
                <c:pt idx="27">
                  <c:v>0.94310000000000005</c:v>
                </c:pt>
                <c:pt idx="28">
                  <c:v>0.71809999999999996</c:v>
                </c:pt>
                <c:pt idx="29">
                  <c:v>0.34300000000000003</c:v>
                </c:pt>
              </c:numCache>
            </c:numRef>
          </c:val>
          <c:smooth val="0"/>
          <c:extLst>
            <c:ext xmlns:c16="http://schemas.microsoft.com/office/drawing/2014/chart" uri="{C3380CC4-5D6E-409C-BE32-E72D297353CC}">
              <c16:uniqueId val="{0000001D-B91D-4536-B88B-72C57AB91827}"/>
            </c:ext>
          </c:extLst>
        </c:ser>
        <c:dLbls>
          <c:showLegendKey val="0"/>
          <c:showVal val="0"/>
          <c:showCatName val="0"/>
          <c:showSerName val="0"/>
          <c:showPercent val="0"/>
          <c:showBubbleSize val="0"/>
        </c:dLbls>
        <c:marker val="1"/>
        <c:smooth val="0"/>
        <c:axId val="-133306896"/>
        <c:axId val="-133313424"/>
      </c:lineChart>
      <c:lineChart>
        <c:grouping val="standard"/>
        <c:varyColors val="0"/>
        <c:ser>
          <c:idx val="1"/>
          <c:order val="1"/>
          <c:tx>
            <c:strRef>
              <c:f>'Diagrama stocuri UE 2018-2023'!$C$1</c:f>
              <c:strCache>
                <c:ptCount val="1"/>
                <c:pt idx="0">
                  <c:v>Preț EUR (Dutch TTF Natural Gas Futures)</c:v>
                </c:pt>
              </c:strCache>
            </c:strRef>
          </c:tx>
          <c:spPr>
            <a:ln w="22225" cap="rnd">
              <a:solidFill>
                <a:schemeClr val="accent6">
                  <a:lumMod val="75000"/>
                </a:schemeClr>
              </a:solidFill>
              <a:round/>
            </a:ln>
            <a:effectLst/>
          </c:spPr>
          <c:marker>
            <c:symbol val="none"/>
          </c:marker>
          <c:cat>
            <c:numRef>
              <c:f>'Diagrama stocuri UE 2018-2023'!$A$2:$A$31</c:f>
              <c:numCache>
                <c:formatCode>[$-418]mmmm/yy;@</c:formatCode>
                <c:ptCount val="30"/>
                <c:pt idx="0">
                  <c:v>43101</c:v>
                </c:pt>
                <c:pt idx="1">
                  <c:v>43191</c:v>
                </c:pt>
                <c:pt idx="2">
                  <c:v>43282</c:v>
                </c:pt>
                <c:pt idx="3">
                  <c:v>43374</c:v>
                </c:pt>
                <c:pt idx="4">
                  <c:v>43466</c:v>
                </c:pt>
                <c:pt idx="5">
                  <c:v>43556</c:v>
                </c:pt>
                <c:pt idx="6">
                  <c:v>43647</c:v>
                </c:pt>
                <c:pt idx="7">
                  <c:v>43739</c:v>
                </c:pt>
                <c:pt idx="8">
                  <c:v>43831</c:v>
                </c:pt>
                <c:pt idx="9">
                  <c:v>43922</c:v>
                </c:pt>
                <c:pt idx="10">
                  <c:v>44013</c:v>
                </c:pt>
                <c:pt idx="11">
                  <c:v>44105</c:v>
                </c:pt>
                <c:pt idx="12">
                  <c:v>44197</c:v>
                </c:pt>
                <c:pt idx="13">
                  <c:v>44287</c:v>
                </c:pt>
                <c:pt idx="14">
                  <c:v>44378</c:v>
                </c:pt>
                <c:pt idx="15">
                  <c:v>44470</c:v>
                </c:pt>
                <c:pt idx="16">
                  <c:v>44562</c:v>
                </c:pt>
                <c:pt idx="17">
                  <c:v>44652</c:v>
                </c:pt>
                <c:pt idx="18">
                  <c:v>44774</c:v>
                </c:pt>
                <c:pt idx="19">
                  <c:v>44835</c:v>
                </c:pt>
                <c:pt idx="20">
                  <c:v>44927</c:v>
                </c:pt>
                <c:pt idx="21">
                  <c:v>45017</c:v>
                </c:pt>
                <c:pt idx="22">
                  <c:v>45108</c:v>
                </c:pt>
                <c:pt idx="23">
                  <c:v>45200</c:v>
                </c:pt>
                <c:pt idx="24">
                  <c:v>45292</c:v>
                </c:pt>
                <c:pt idx="25">
                  <c:v>45383</c:v>
                </c:pt>
                <c:pt idx="26">
                  <c:v>45474</c:v>
                </c:pt>
                <c:pt idx="27">
                  <c:v>45566</c:v>
                </c:pt>
                <c:pt idx="28">
                  <c:v>45658</c:v>
                </c:pt>
                <c:pt idx="29">
                  <c:v>45748</c:v>
                </c:pt>
              </c:numCache>
            </c:numRef>
          </c:cat>
          <c:val>
            <c:numRef>
              <c:f>'Diagrama stocuri UE 2018-2023'!$C$2:$C$31</c:f>
              <c:numCache>
                <c:formatCode>0.000</c:formatCode>
                <c:ptCount val="30"/>
                <c:pt idx="0">
                  <c:v>17.88</c:v>
                </c:pt>
                <c:pt idx="1">
                  <c:v>20.56</c:v>
                </c:pt>
                <c:pt idx="2">
                  <c:v>22.114999999999998</c:v>
                </c:pt>
                <c:pt idx="3">
                  <c:v>24.335000000000001</c:v>
                </c:pt>
                <c:pt idx="4">
                  <c:v>19.850000000000001</c:v>
                </c:pt>
                <c:pt idx="5">
                  <c:v>14.39</c:v>
                </c:pt>
                <c:pt idx="6">
                  <c:v>11</c:v>
                </c:pt>
                <c:pt idx="7">
                  <c:v>16.135000000000002</c:v>
                </c:pt>
                <c:pt idx="8">
                  <c:v>9.7550000000000008</c:v>
                </c:pt>
                <c:pt idx="9">
                  <c:v>6.22</c:v>
                </c:pt>
                <c:pt idx="10">
                  <c:v>6.0250000000000004</c:v>
                </c:pt>
                <c:pt idx="11">
                  <c:v>14.06</c:v>
                </c:pt>
                <c:pt idx="12">
                  <c:v>19.82</c:v>
                </c:pt>
                <c:pt idx="13">
                  <c:v>23.285</c:v>
                </c:pt>
                <c:pt idx="14">
                  <c:v>40.755000000000003</c:v>
                </c:pt>
                <c:pt idx="15">
                  <c:v>64.864999999999995</c:v>
                </c:pt>
                <c:pt idx="16">
                  <c:v>84.67</c:v>
                </c:pt>
                <c:pt idx="17">
                  <c:v>99.45</c:v>
                </c:pt>
                <c:pt idx="18">
                  <c:v>240</c:v>
                </c:pt>
                <c:pt idx="19">
                  <c:v>123.35</c:v>
                </c:pt>
                <c:pt idx="20">
                  <c:v>57.35</c:v>
                </c:pt>
                <c:pt idx="21">
                  <c:v>38.54</c:v>
                </c:pt>
                <c:pt idx="22">
                  <c:v>28.37</c:v>
                </c:pt>
                <c:pt idx="23">
                  <c:v>48.01</c:v>
                </c:pt>
                <c:pt idx="24">
                  <c:v>30.24</c:v>
                </c:pt>
                <c:pt idx="25">
                  <c:v>29.12</c:v>
                </c:pt>
                <c:pt idx="26">
                  <c:v>35.869999999999997</c:v>
                </c:pt>
                <c:pt idx="27">
                  <c:v>40.590000000000003</c:v>
                </c:pt>
                <c:pt idx="28">
                  <c:v>53.24</c:v>
                </c:pt>
                <c:pt idx="29">
                  <c:v>32.31</c:v>
                </c:pt>
              </c:numCache>
            </c:numRef>
          </c:val>
          <c:smooth val="0"/>
          <c:extLst>
            <c:ext xmlns:c16="http://schemas.microsoft.com/office/drawing/2014/chart" uri="{C3380CC4-5D6E-409C-BE32-E72D297353CC}">
              <c16:uniqueId val="{0000001E-B91D-4536-B88B-72C57AB91827}"/>
            </c:ext>
          </c:extLst>
        </c:ser>
        <c:dLbls>
          <c:showLegendKey val="0"/>
          <c:showVal val="0"/>
          <c:showCatName val="0"/>
          <c:showSerName val="0"/>
          <c:showPercent val="0"/>
          <c:showBubbleSize val="0"/>
        </c:dLbls>
        <c:marker val="1"/>
        <c:smooth val="0"/>
        <c:axId val="-133302000"/>
        <c:axId val="-133305264"/>
      </c:lineChart>
      <c:valAx>
        <c:axId val="-133313424"/>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crossAx val="-133306896"/>
        <c:crosses val="autoZero"/>
        <c:crossBetween val="midCat"/>
      </c:valAx>
      <c:catAx>
        <c:axId val="-133306896"/>
        <c:scaling>
          <c:orientation val="minMax"/>
        </c:scaling>
        <c:delete val="0"/>
        <c:axPos val="b"/>
        <c:majorGridlines>
          <c:spPr>
            <a:ln w="9525" cap="flat" cmpd="sng" algn="ctr">
              <a:solidFill>
                <a:schemeClr val="dk1">
                  <a:lumMod val="15000"/>
                  <a:lumOff val="85000"/>
                </a:schemeClr>
              </a:solidFill>
              <a:round/>
            </a:ln>
            <a:effectLst/>
          </c:spPr>
        </c:majorGridlines>
        <c:numFmt formatCode="[$-418]mmmm/yy;@"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33313424"/>
        <c:crosses val="autoZero"/>
        <c:auto val="0"/>
        <c:lblAlgn val="ctr"/>
        <c:lblOffset val="100"/>
        <c:tickLblSkip val="1"/>
        <c:tickMarkSkip val="1"/>
        <c:noMultiLvlLbl val="0"/>
      </c:catAx>
      <c:valAx>
        <c:axId val="-133305264"/>
        <c:scaling>
          <c:orientation val="minMax"/>
        </c:scaling>
        <c:delete val="0"/>
        <c:axPos val="l"/>
        <c:majorGridlines>
          <c:spPr>
            <a:ln w="9525" cap="flat" cmpd="sng" algn="ctr">
              <a:solidFill>
                <a:schemeClr val="dk1">
                  <a:lumMod val="15000"/>
                  <a:lumOff val="85000"/>
                </a:schemeClr>
              </a:solidFill>
              <a:round/>
            </a:ln>
            <a:effectLst/>
          </c:spPr>
        </c:majorGridlines>
        <c:minorGridlines>
          <c:spPr>
            <a:ln w="9525" cap="flat" cmpd="sng" algn="ctr">
              <a:solidFill>
                <a:schemeClr val="dk1">
                  <a:lumMod val="5000"/>
                  <a:lumOff val="95000"/>
                </a:schemeClr>
              </a:solidFill>
              <a:round/>
            </a:ln>
            <a:effectLst/>
          </c:spPr>
        </c:minorGridlines>
        <c:numFmt formatCode="0.00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crossAx val="-133302000"/>
        <c:crosses val="autoZero"/>
        <c:crossBetween val="between"/>
      </c:valAx>
      <c:catAx>
        <c:axId val="-133302000"/>
        <c:scaling>
          <c:orientation val="minMax"/>
        </c:scaling>
        <c:delete val="1"/>
        <c:axPos val="b"/>
        <c:numFmt formatCode="[$-418]mmmm/yy;@" sourceLinked="1"/>
        <c:majorTickMark val="out"/>
        <c:minorTickMark val="none"/>
        <c:tickLblPos val="nextTo"/>
        <c:crossAx val="-133305264"/>
        <c:crosses val="autoZero"/>
        <c:auto val="0"/>
        <c:lblAlgn val="ctr"/>
        <c:lblOffset val="100"/>
        <c:tickLblSkip val="1"/>
        <c:tickMarkSkip val="1"/>
        <c:noMultiLvlLbl val="0"/>
      </c:cat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o-MD" sz="1200"/>
              <a:t>Energie electrică consumată</a:t>
            </a:r>
            <a:r>
              <a:rPr lang="ro-RO" sz="1200"/>
              <a:t> </a:t>
            </a:r>
            <a:r>
              <a:rPr lang="ro-MD" sz="1200"/>
              <a:t>în perioada </a:t>
            </a:r>
            <a:endParaRPr lang="ru-RU" sz="1200"/>
          </a:p>
          <a:p>
            <a:pPr>
              <a:defRPr sz="1200"/>
            </a:pPr>
            <a:r>
              <a:rPr lang="ro-MD" sz="1200"/>
              <a:t>octombrie-aprilie din surse locale și alte surse, mil. kWh</a:t>
            </a:r>
            <a:endParaRPr lang="ru-RU" sz="1200"/>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9471547475186357"/>
          <c:y val="0.17834246245892071"/>
          <c:w val="0.77610244851619481"/>
          <c:h val="0.48131978061679237"/>
        </c:manualLayout>
      </c:layout>
      <c:bar3DChart>
        <c:barDir val="col"/>
        <c:grouping val="stacked"/>
        <c:varyColors val="0"/>
        <c:ser>
          <c:idx val="0"/>
          <c:order val="0"/>
          <c:tx>
            <c:strRef>
              <c:f>'Diagrame consum EE'!$C$7</c:f>
              <c:strCache>
                <c:ptCount val="1"/>
                <c:pt idx="0">
                  <c:v>Surse locale</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dLbl>
              <c:idx val="0"/>
              <c:layout>
                <c:manualLayout>
                  <c:x val="1.383411523316911E-2"/>
                  <c:y val="-8.4875562720133283E-17"/>
                </c:manualLayout>
              </c:layout>
              <c:tx>
                <c:rich>
                  <a:bodyPr/>
                  <a:lstStyle/>
                  <a:p>
                    <a:r>
                      <a:rPr lang="en-US"/>
                      <a:t>28 %</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FB5-4B7E-BB3F-8D98366153E2}"/>
                </c:ext>
              </c:extLst>
            </c:dLbl>
            <c:dLbl>
              <c:idx val="1"/>
              <c:layout>
                <c:manualLayout>
                  <c:x val="1.383411523316911E-2"/>
                  <c:y val="8.4875562720133283E-17"/>
                </c:manualLayout>
              </c:layout>
              <c:tx>
                <c:rich>
                  <a:bodyPr/>
                  <a:lstStyle/>
                  <a:p>
                    <a:r>
                      <a:rPr lang="en-US"/>
                      <a:t>26 %</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AFB5-4B7E-BB3F-8D98366153E2}"/>
                </c:ext>
              </c:extLst>
            </c:dLbl>
            <c:dLbl>
              <c:idx val="2"/>
              <c:layout>
                <c:manualLayout>
                  <c:x val="1.4461039281459557E-2"/>
                  <c:y val="0"/>
                </c:manualLayout>
              </c:layout>
              <c:tx>
                <c:rich>
                  <a:bodyPr/>
                  <a:lstStyle/>
                  <a:p>
                    <a:r>
                      <a:rPr lang="en-US"/>
                      <a:t>31 %</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AFB5-4B7E-BB3F-8D98366153E2}"/>
                </c:ext>
              </c:extLst>
            </c:dLbl>
            <c:dLbl>
              <c:idx val="3"/>
              <c:layout>
                <c:manualLayout>
                  <c:x val="1.0261627049648904E-2"/>
                  <c:y val="0"/>
                </c:manualLayout>
              </c:layout>
              <c:tx>
                <c:rich>
                  <a:bodyPr/>
                  <a:lstStyle/>
                  <a:p>
                    <a:r>
                      <a:rPr lang="en-US"/>
                      <a:t>36%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AFB5-4B7E-BB3F-8D98366153E2}"/>
                </c:ext>
              </c:extLst>
            </c:dLbl>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'Diagrame consum EE'!$B$8:$B$11</c:f>
              <c:strCache>
                <c:ptCount val="4"/>
                <c:pt idx="0">
                  <c:v>2021-2022</c:v>
                </c:pt>
                <c:pt idx="1">
                  <c:v>2022-2023</c:v>
                </c:pt>
                <c:pt idx="2">
                  <c:v>2023-2024</c:v>
                </c:pt>
                <c:pt idx="3">
                  <c:v>2024-2025</c:v>
                </c:pt>
              </c:strCache>
            </c:strRef>
          </c:cat>
          <c:val>
            <c:numRef>
              <c:f>'Diagrame consum EE'!$C$8:$C$11</c:f>
              <c:numCache>
                <c:formatCode>0.0</c:formatCode>
                <c:ptCount val="4"/>
                <c:pt idx="0">
                  <c:v>792.58747100000016</c:v>
                </c:pt>
                <c:pt idx="1">
                  <c:v>681.85546499999987</c:v>
                </c:pt>
                <c:pt idx="2">
                  <c:v>852.07477400000005</c:v>
                </c:pt>
                <c:pt idx="3">
                  <c:v>1024.4000000000001</c:v>
                </c:pt>
              </c:numCache>
            </c:numRef>
          </c:val>
          <c:extLst>
            <c:ext xmlns:c16="http://schemas.microsoft.com/office/drawing/2014/chart" uri="{C3380CC4-5D6E-409C-BE32-E72D297353CC}">
              <c16:uniqueId val="{00000004-AFB5-4B7E-BB3F-8D98366153E2}"/>
            </c:ext>
          </c:extLst>
        </c:ser>
        <c:ser>
          <c:idx val="1"/>
          <c:order val="1"/>
          <c:tx>
            <c:strRef>
              <c:f>'Diagrame consum EE'!$D$7</c:f>
              <c:strCache>
                <c:ptCount val="1"/>
                <c:pt idx="0">
                  <c:v>Alte surse</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dLbl>
              <c:idx val="0"/>
              <c:layout>
                <c:manualLayout>
                  <c:x val="1.383411523316906E-2"/>
                  <c:y val="0"/>
                </c:manualLayout>
              </c:layout>
              <c:tx>
                <c:rich>
                  <a:bodyPr/>
                  <a:lstStyle/>
                  <a:p>
                    <a:r>
                      <a:rPr lang="en-US"/>
                      <a:t>72 %</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AFB5-4B7E-BB3F-8D98366153E2}"/>
                </c:ext>
              </c:extLst>
            </c:dLbl>
            <c:dLbl>
              <c:idx val="1"/>
              <c:layout>
                <c:manualLayout>
                  <c:x val="8.3004691399014667E-3"/>
                  <c:y val="-8.4875562720133283E-17"/>
                </c:manualLayout>
              </c:layout>
              <c:tx>
                <c:rich>
                  <a:bodyPr/>
                  <a:lstStyle/>
                  <a:p>
                    <a:r>
                      <a:rPr lang="en-US"/>
                      <a:t>74 %</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AFB5-4B7E-BB3F-8D98366153E2}"/>
                </c:ext>
              </c:extLst>
            </c:dLbl>
            <c:dLbl>
              <c:idx val="2"/>
              <c:layout>
                <c:manualLayout>
                  <c:x val="1.7897864112629423E-2"/>
                  <c:y val="3.2321687944346319E-3"/>
                </c:manualLayout>
              </c:layout>
              <c:tx>
                <c:rich>
                  <a:bodyPr/>
                  <a:lstStyle/>
                  <a:p>
                    <a:r>
                      <a:rPr lang="en-US"/>
                      <a:t>69 %</a:t>
                    </a:r>
                  </a:p>
                </c:rich>
              </c:tx>
              <c:showLegendKey val="0"/>
              <c:showVal val="1"/>
              <c:showCatName val="0"/>
              <c:showSerName val="0"/>
              <c:showPercent val="0"/>
              <c:showBubbleSize val="0"/>
              <c:extLst>
                <c:ext xmlns:c15="http://schemas.microsoft.com/office/drawing/2012/chart" uri="{CE6537A1-D6FC-4f65-9D91-7224C49458BB}">
                  <c15:layout>
                    <c:manualLayout>
                      <c:w val="9.7854982535495363E-2"/>
                      <c:h val="0.17461165048543689"/>
                    </c:manualLayout>
                  </c15:layout>
                  <c15:showDataLabelsRange val="0"/>
                </c:ext>
                <c:ext xmlns:c16="http://schemas.microsoft.com/office/drawing/2014/chart" uri="{C3380CC4-5D6E-409C-BE32-E72D297353CC}">
                  <c16:uniqueId val="{00000007-AFB5-4B7E-BB3F-8D98366153E2}"/>
                </c:ext>
              </c:extLst>
            </c:dLbl>
            <c:dLbl>
              <c:idx val="3"/>
              <c:layout>
                <c:manualLayout>
                  <c:x val="1.2827033812061035E-2"/>
                  <c:y val="4.5115725388039226E-3"/>
                </c:manualLayout>
              </c:layout>
              <c:tx>
                <c:rich>
                  <a:bodyPr/>
                  <a:lstStyle/>
                  <a:p>
                    <a:r>
                      <a:rPr lang="en-US"/>
                      <a:t>64%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AFB5-4B7E-BB3F-8D98366153E2}"/>
                </c:ext>
              </c:extLst>
            </c:dLbl>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'Diagrame consum EE'!$B$8:$B$11</c:f>
              <c:strCache>
                <c:ptCount val="4"/>
                <c:pt idx="0">
                  <c:v>2021-2022</c:v>
                </c:pt>
                <c:pt idx="1">
                  <c:v>2022-2023</c:v>
                </c:pt>
                <c:pt idx="2">
                  <c:v>2023-2024</c:v>
                </c:pt>
                <c:pt idx="3">
                  <c:v>2024-2025</c:v>
                </c:pt>
              </c:strCache>
            </c:strRef>
          </c:cat>
          <c:val>
            <c:numRef>
              <c:f>'Diagrame consum EE'!$D$8:$D$11</c:f>
              <c:numCache>
                <c:formatCode>0.0</c:formatCode>
                <c:ptCount val="4"/>
                <c:pt idx="0">
                  <c:v>2039.6597280000003</c:v>
                </c:pt>
                <c:pt idx="1">
                  <c:v>1910.7169450000026</c:v>
                </c:pt>
                <c:pt idx="2">
                  <c:v>1861.1</c:v>
                </c:pt>
                <c:pt idx="3" formatCode="General">
                  <c:v>1782.9</c:v>
                </c:pt>
              </c:numCache>
            </c:numRef>
          </c:val>
          <c:extLst>
            <c:ext xmlns:c16="http://schemas.microsoft.com/office/drawing/2014/chart" uri="{C3380CC4-5D6E-409C-BE32-E72D297353CC}">
              <c16:uniqueId val="{00000009-AFB5-4B7E-BB3F-8D98366153E2}"/>
            </c:ext>
          </c:extLst>
        </c:ser>
        <c:dLbls>
          <c:showLegendKey val="0"/>
          <c:showVal val="0"/>
          <c:showCatName val="0"/>
          <c:showSerName val="0"/>
          <c:showPercent val="0"/>
          <c:showBubbleSize val="0"/>
        </c:dLbls>
        <c:gapWidth val="150"/>
        <c:shape val="cylinder"/>
        <c:axId val="-138284880"/>
        <c:axId val="-372188784"/>
        <c:axId val="0"/>
      </c:bar3DChart>
      <c:catAx>
        <c:axId val="-13828488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72188784"/>
        <c:crosses val="autoZero"/>
        <c:auto val="1"/>
        <c:lblAlgn val="ctr"/>
        <c:lblOffset val="100"/>
        <c:noMultiLvlLbl val="0"/>
      </c:catAx>
      <c:valAx>
        <c:axId val="-372188784"/>
        <c:scaling>
          <c:orientation val="minMax"/>
        </c:scaling>
        <c:delete val="0"/>
        <c:axPos val="l"/>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38284880"/>
        <c:crosses val="autoZero"/>
        <c:crossBetween val="between"/>
      </c:val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0" i="0" u="none" strike="noStrike" kern="1200" spc="0" baseline="0">
                <a:solidFill>
                  <a:sysClr val="windowText" lastClr="000000"/>
                </a:solidFill>
                <a:latin typeface="+mn-lt"/>
                <a:ea typeface="+mn-ea"/>
                <a:cs typeface="+mn-cs"/>
              </a:defRPr>
            </a:pPr>
            <a:r>
              <a:rPr lang="ro-RO" sz="1000" b="1">
                <a:solidFill>
                  <a:sysClr val="windowText" lastClr="000000"/>
                </a:solidFill>
                <a:latin typeface="Arial" panose="020B0604020202020204" pitchFamily="34" charset="0"/>
                <a:cs typeface="Arial" panose="020B0604020202020204" pitchFamily="34" charset="0"/>
              </a:rPr>
              <a:t>Evoluția capacităților</a:t>
            </a:r>
            <a:r>
              <a:rPr lang="ro-RO" sz="1000" b="1" baseline="0">
                <a:solidFill>
                  <a:sysClr val="windowText" lastClr="000000"/>
                </a:solidFill>
                <a:latin typeface="Arial" panose="020B0604020202020204" pitchFamily="34" charset="0"/>
                <a:cs typeface="Arial" panose="020B0604020202020204" pitchFamily="34" charset="0"/>
              </a:rPr>
              <a:t> E-SER instalate în perioada 2018 - </a:t>
            </a:r>
            <a:r>
              <a:rPr lang="en-US" sz="1000" b="1" baseline="0">
                <a:solidFill>
                  <a:sysClr val="windowText" lastClr="000000"/>
                </a:solidFill>
                <a:latin typeface="Arial" panose="020B0604020202020204" pitchFamily="34" charset="0"/>
                <a:cs typeface="Arial" panose="020B0604020202020204" pitchFamily="34" charset="0"/>
              </a:rPr>
              <a:t>aprilie</a:t>
            </a:r>
            <a:r>
              <a:rPr lang="ro-RO" sz="1000" b="1" baseline="0">
                <a:solidFill>
                  <a:sysClr val="windowText" lastClr="000000"/>
                </a:solidFill>
                <a:latin typeface="Arial" panose="020B0604020202020204" pitchFamily="34" charset="0"/>
                <a:cs typeface="Arial" panose="020B0604020202020204" pitchFamily="34" charset="0"/>
              </a:rPr>
              <a:t> 2025, MW</a:t>
            </a:r>
            <a:endParaRPr lang="ru-RU" sz="1000" b="1">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600" b="0" i="0" u="none" strike="noStrike" kern="1200" spc="0" baseline="0">
              <a:solidFill>
                <a:sysClr val="windowText" lastClr="000000"/>
              </a:solidFill>
              <a:latin typeface="+mn-lt"/>
              <a:ea typeface="+mn-ea"/>
              <a:cs typeface="+mn-cs"/>
            </a:defRPr>
          </a:pPr>
          <a:endParaRPr lang="ru-RU"/>
        </a:p>
      </c:txPr>
    </c:title>
    <c:autoTitleDeleted val="0"/>
    <c:plotArea>
      <c:layout>
        <c:manualLayout>
          <c:layoutTarget val="inner"/>
          <c:xMode val="edge"/>
          <c:yMode val="edge"/>
          <c:x val="5.1515346318528714E-2"/>
          <c:y val="0.24500799992499023"/>
          <c:w val="0.91793341404520867"/>
          <c:h val="0.60779882650572936"/>
        </c:manualLayout>
      </c:layout>
      <c:barChart>
        <c:barDir val="col"/>
        <c:grouping val="clustered"/>
        <c:varyColors val="0"/>
        <c:ser>
          <c:idx val="0"/>
          <c:order val="0"/>
          <c:tx>
            <c:strRef>
              <c:f>'Total anual-lunar intermediar'!$F$104</c:f>
              <c:strCache>
                <c:ptCount val="1"/>
                <c:pt idx="0">
                  <c:v>Instalații fotovoltaice</c:v>
                </c:pt>
              </c:strCache>
            </c:strRef>
          </c:tx>
          <c:spPr>
            <a:solidFill>
              <a:schemeClr val="accent2"/>
            </a:solidFill>
            <a:ln>
              <a:noFill/>
            </a:ln>
            <a:effectLst/>
          </c:spPr>
          <c:invertIfNegative val="0"/>
          <c:dLbls>
            <c:numFmt formatCode="#,##0" sourceLinked="0"/>
            <c:spPr>
              <a:noFill/>
              <a:ln>
                <a:noFill/>
              </a:ln>
              <a:effectLst/>
            </c:spPr>
            <c:txPr>
              <a:bodyPr rot="5400000" spcFirstLastPara="1" vertOverflow="ellipsis" wrap="square" lIns="38100" tIns="19050" rIns="38100" bIns="19050" anchor="ctr" anchorCtr="1">
                <a:spAutoFit/>
              </a:bodyPr>
              <a:lstStyle/>
              <a:p>
                <a:pPr>
                  <a:defRPr sz="6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2"/>
                </a:solidFill>
                <a:prstDash val="sysDot"/>
                <a:tailEnd type="stealth"/>
              </a:ln>
              <a:effectLst/>
            </c:spPr>
            <c:trendlineType val="exp"/>
            <c:dispRSqr val="0"/>
            <c:dispEq val="0"/>
          </c:trendline>
          <c:cat>
            <c:strRef>
              <c:f>'Total anual-lunar intermediar'!$O$103:$V$103</c:f>
              <c:strCache>
                <c:ptCount val="8"/>
                <c:pt idx="0">
                  <c:v>2018</c:v>
                </c:pt>
                <c:pt idx="1">
                  <c:v>2019</c:v>
                </c:pt>
                <c:pt idx="2">
                  <c:v>2020</c:v>
                </c:pt>
                <c:pt idx="3">
                  <c:v>2021</c:v>
                </c:pt>
                <c:pt idx="4">
                  <c:v>2022</c:v>
                </c:pt>
                <c:pt idx="5">
                  <c:v>2023</c:v>
                </c:pt>
                <c:pt idx="6">
                  <c:v>2024</c:v>
                </c:pt>
                <c:pt idx="7">
                  <c:v>2025 aprilie</c:v>
                </c:pt>
              </c:strCache>
            </c:strRef>
          </c:cat>
          <c:val>
            <c:numRef>
              <c:f>'Total anual-lunar intermediar'!$O$104:$V$104</c:f>
              <c:numCache>
                <c:formatCode>#,##0</c:formatCode>
                <c:ptCount val="8"/>
                <c:pt idx="0">
                  <c:v>4020</c:v>
                </c:pt>
                <c:pt idx="1">
                  <c:v>5524.95</c:v>
                </c:pt>
                <c:pt idx="2">
                  <c:v>10132.950000000001</c:v>
                </c:pt>
                <c:pt idx="3">
                  <c:v>24468.95</c:v>
                </c:pt>
                <c:pt idx="4">
                  <c:v>93616</c:v>
                </c:pt>
                <c:pt idx="5">
                  <c:v>185400</c:v>
                </c:pt>
                <c:pt idx="6">
                  <c:v>394803</c:v>
                </c:pt>
                <c:pt idx="7">
                  <c:v>449407.6</c:v>
                </c:pt>
              </c:numCache>
            </c:numRef>
          </c:val>
          <c:extLst>
            <c:ext xmlns:c16="http://schemas.microsoft.com/office/drawing/2014/chart" uri="{C3380CC4-5D6E-409C-BE32-E72D297353CC}">
              <c16:uniqueId val="{00000001-B912-47F0-BC66-8A27CE9D1287}"/>
            </c:ext>
          </c:extLst>
        </c:ser>
        <c:ser>
          <c:idx val="1"/>
          <c:order val="1"/>
          <c:tx>
            <c:strRef>
              <c:f>'Total anual-lunar intermediar'!$F$105</c:f>
              <c:strCache>
                <c:ptCount val="1"/>
                <c:pt idx="0">
                  <c:v>Instalații eoliene</c:v>
                </c:pt>
              </c:strCache>
            </c:strRef>
          </c:tx>
          <c:spPr>
            <a:solidFill>
              <a:schemeClr val="accent4"/>
            </a:solidFill>
            <a:ln>
              <a:noFill/>
            </a:ln>
            <a:effectLst/>
          </c:spPr>
          <c:invertIfNegative val="0"/>
          <c:dLbls>
            <c:dLbl>
              <c:idx val="0"/>
              <c:tx>
                <c:rich>
                  <a:bodyPr/>
                  <a:lstStyle/>
                  <a:p>
                    <a:r>
                      <a:rPr lang="en-US"/>
                      <a:t>35,620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B912-47F0-BC66-8A27CE9D1287}"/>
                </c:ext>
              </c:extLst>
            </c:dLbl>
            <c:dLbl>
              <c:idx val="1"/>
              <c:tx>
                <c:rich>
                  <a:bodyPr/>
                  <a:lstStyle/>
                  <a:p>
                    <a:r>
                      <a:rPr lang="en-US"/>
                      <a:t>35,620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B912-47F0-BC66-8A27CE9D1287}"/>
                </c:ext>
              </c:extLst>
            </c:dLbl>
            <c:numFmt formatCode="#,##0" sourceLinked="0"/>
            <c:spPr>
              <a:noFill/>
              <a:ln>
                <a:noFill/>
              </a:ln>
              <a:effectLst/>
            </c:spPr>
            <c:txPr>
              <a:bodyPr rot="5400000" spcFirstLastPara="1" vertOverflow="ellipsis" wrap="square" lIns="38100" tIns="19050" rIns="38100" bIns="19050" anchor="ctr" anchorCtr="1">
                <a:spAutoFit/>
              </a:bodyPr>
              <a:lstStyle/>
              <a:p>
                <a:pPr>
                  <a:defRPr sz="6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4"/>
                </a:solidFill>
                <a:prstDash val="sysDot"/>
                <a:tailEnd type="stealth"/>
              </a:ln>
              <a:effectLst/>
            </c:spPr>
            <c:trendlineType val="exp"/>
            <c:dispRSqr val="0"/>
            <c:dispEq val="0"/>
          </c:trendline>
          <c:cat>
            <c:strRef>
              <c:f>'Total anual-lunar intermediar'!$O$103:$V$103</c:f>
              <c:strCache>
                <c:ptCount val="8"/>
                <c:pt idx="0">
                  <c:v>2018</c:v>
                </c:pt>
                <c:pt idx="1">
                  <c:v>2019</c:v>
                </c:pt>
                <c:pt idx="2">
                  <c:v>2020</c:v>
                </c:pt>
                <c:pt idx="3">
                  <c:v>2021</c:v>
                </c:pt>
                <c:pt idx="4">
                  <c:v>2022</c:v>
                </c:pt>
                <c:pt idx="5">
                  <c:v>2023</c:v>
                </c:pt>
                <c:pt idx="6">
                  <c:v>2024</c:v>
                </c:pt>
                <c:pt idx="7">
                  <c:v>2025 aprilie</c:v>
                </c:pt>
              </c:strCache>
            </c:strRef>
          </c:cat>
          <c:val>
            <c:numRef>
              <c:f>'Total anual-lunar intermediar'!$O$105:$V$105</c:f>
              <c:numCache>
                <c:formatCode>#,##0</c:formatCode>
                <c:ptCount val="8"/>
                <c:pt idx="0">
                  <c:v>35620</c:v>
                </c:pt>
                <c:pt idx="1">
                  <c:v>35620</c:v>
                </c:pt>
                <c:pt idx="2">
                  <c:v>45087</c:v>
                </c:pt>
                <c:pt idx="3">
                  <c:v>73387</c:v>
                </c:pt>
                <c:pt idx="4">
                  <c:v>115100</c:v>
                </c:pt>
                <c:pt idx="5">
                  <c:v>126810</c:v>
                </c:pt>
                <c:pt idx="6">
                  <c:v>160830</c:v>
                </c:pt>
                <c:pt idx="7">
                  <c:v>192480</c:v>
                </c:pt>
              </c:numCache>
            </c:numRef>
          </c:val>
          <c:extLst>
            <c:ext xmlns:c16="http://schemas.microsoft.com/office/drawing/2014/chart" uri="{C3380CC4-5D6E-409C-BE32-E72D297353CC}">
              <c16:uniqueId val="{00000005-B912-47F0-BC66-8A27CE9D1287}"/>
            </c:ext>
          </c:extLst>
        </c:ser>
        <c:ser>
          <c:idx val="2"/>
          <c:order val="2"/>
          <c:tx>
            <c:strRef>
              <c:f>'Total anual-lunar intermediar'!$F$106</c:f>
              <c:strCache>
                <c:ptCount val="1"/>
                <c:pt idx="0">
                  <c:v>Instalații pe biogaz</c:v>
                </c:pt>
              </c:strCache>
            </c:strRef>
          </c:tx>
          <c:spPr>
            <a:solidFill>
              <a:schemeClr val="accent3">
                <a:lumMod val="60000"/>
                <a:lumOff val="40000"/>
              </a:schemeClr>
            </a:solidFill>
            <a:ln>
              <a:noFill/>
            </a:ln>
            <a:effectLst/>
          </c:spPr>
          <c:invertIfNegative val="0"/>
          <c:dLbls>
            <c:dLbl>
              <c:idx val="0"/>
              <c:tx>
                <c:rich>
                  <a:bodyPr/>
                  <a:lstStyle/>
                  <a:p>
                    <a:r>
                      <a:rPr lang="en-US"/>
                      <a:t>5,259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B912-47F0-BC66-8A27CE9D1287}"/>
                </c:ext>
              </c:extLst>
            </c:dLbl>
            <c:dLbl>
              <c:idx val="1"/>
              <c:tx>
                <c:rich>
                  <a:bodyPr/>
                  <a:lstStyle/>
                  <a:p>
                    <a:r>
                      <a:rPr lang="en-US"/>
                      <a:t>5,259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B912-47F0-BC66-8A27CE9D1287}"/>
                </c:ext>
              </c:extLst>
            </c:dLbl>
            <c:numFmt formatCode="#,##0" sourceLinked="0"/>
            <c:spPr>
              <a:noFill/>
              <a:ln>
                <a:noFill/>
              </a:ln>
              <a:effectLst/>
            </c:spPr>
            <c:txPr>
              <a:bodyPr rot="5400000" spcFirstLastPara="1" vertOverflow="ellipsis" wrap="square" lIns="38100" tIns="19050" rIns="38100" bIns="19050" anchor="ctr" anchorCtr="1">
                <a:spAutoFit/>
              </a:bodyPr>
              <a:lstStyle/>
              <a:p>
                <a:pPr>
                  <a:defRPr sz="6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'Total anual-lunar intermediar'!$O$103:$V$103</c:f>
              <c:strCache>
                <c:ptCount val="8"/>
                <c:pt idx="0">
                  <c:v>2018</c:v>
                </c:pt>
                <c:pt idx="1">
                  <c:v>2019</c:v>
                </c:pt>
                <c:pt idx="2">
                  <c:v>2020</c:v>
                </c:pt>
                <c:pt idx="3">
                  <c:v>2021</c:v>
                </c:pt>
                <c:pt idx="4">
                  <c:v>2022</c:v>
                </c:pt>
                <c:pt idx="5">
                  <c:v>2023</c:v>
                </c:pt>
                <c:pt idx="6">
                  <c:v>2024</c:v>
                </c:pt>
                <c:pt idx="7">
                  <c:v>2025 aprilie</c:v>
                </c:pt>
              </c:strCache>
            </c:strRef>
          </c:cat>
          <c:val>
            <c:numRef>
              <c:f>'Total anual-lunar intermediar'!$O$106:$V$106</c:f>
              <c:numCache>
                <c:formatCode>#,##0</c:formatCode>
                <c:ptCount val="8"/>
                <c:pt idx="0">
                  <c:v>5259</c:v>
                </c:pt>
                <c:pt idx="1">
                  <c:v>5259</c:v>
                </c:pt>
                <c:pt idx="2">
                  <c:v>5896</c:v>
                </c:pt>
                <c:pt idx="3">
                  <c:v>5896</c:v>
                </c:pt>
                <c:pt idx="4">
                  <c:v>7011</c:v>
                </c:pt>
                <c:pt idx="5">
                  <c:v>7011</c:v>
                </c:pt>
                <c:pt idx="6">
                  <c:v>7011</c:v>
                </c:pt>
                <c:pt idx="7">
                  <c:v>7161.0000000000009</c:v>
                </c:pt>
              </c:numCache>
            </c:numRef>
          </c:val>
          <c:extLst>
            <c:ext xmlns:c16="http://schemas.microsoft.com/office/drawing/2014/chart" uri="{C3380CC4-5D6E-409C-BE32-E72D297353CC}">
              <c16:uniqueId val="{00000008-B912-47F0-BC66-8A27CE9D1287}"/>
            </c:ext>
          </c:extLst>
        </c:ser>
        <c:ser>
          <c:idx val="3"/>
          <c:order val="3"/>
          <c:tx>
            <c:strRef>
              <c:f>'Total anual-lunar intermediar'!$F$107</c:f>
              <c:strCache>
                <c:ptCount val="1"/>
                <c:pt idx="0">
                  <c:v>Instalații hidro</c:v>
                </c:pt>
              </c:strCache>
            </c:strRef>
          </c:tx>
          <c:spPr>
            <a:solidFill>
              <a:schemeClr val="accent2">
                <a:lumMod val="60000"/>
              </a:schemeClr>
            </a:solidFill>
            <a:ln>
              <a:noFill/>
            </a:ln>
            <a:effectLst/>
          </c:spPr>
          <c:invertIfNegative val="0"/>
          <c:dLbls>
            <c:dLbl>
              <c:idx val="0"/>
              <c:tx>
                <c:rich>
                  <a:bodyPr/>
                  <a:lstStyle/>
                  <a:p>
                    <a:r>
                      <a:rPr lang="en-US" sz="600"/>
                      <a:t>16,254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B912-47F0-BC66-8A27CE9D1287}"/>
                </c:ext>
              </c:extLst>
            </c:dLbl>
            <c:dLbl>
              <c:idx val="1"/>
              <c:tx>
                <c:rich>
                  <a:bodyPr/>
                  <a:lstStyle/>
                  <a:p>
                    <a:r>
                      <a:rPr lang="en-US"/>
                      <a:t>16,254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B912-47F0-BC66-8A27CE9D1287}"/>
                </c:ext>
              </c:extLst>
            </c:dLbl>
            <c:dLbl>
              <c:idx val="2"/>
              <c:tx>
                <c:rich>
                  <a:bodyPr/>
                  <a:lstStyle/>
                  <a:p>
                    <a:r>
                      <a:rPr lang="en-US"/>
                      <a:t>16,254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B912-47F0-BC66-8A27CE9D1287}"/>
                </c:ext>
              </c:extLst>
            </c:dLbl>
            <c:dLbl>
              <c:idx val="3"/>
              <c:tx>
                <c:rich>
                  <a:bodyPr/>
                  <a:lstStyle/>
                  <a:p>
                    <a:r>
                      <a:rPr lang="en-US"/>
                      <a:t>16,254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B912-47F0-BC66-8A27CE9D1287}"/>
                </c:ext>
              </c:extLst>
            </c:dLbl>
            <c:numFmt formatCode="#,##0" sourceLinked="0"/>
            <c:spPr>
              <a:noFill/>
              <a:ln>
                <a:noFill/>
              </a:ln>
              <a:effectLst/>
            </c:spPr>
            <c:txPr>
              <a:bodyPr rot="5400000" spcFirstLastPara="1" vertOverflow="ellipsis" wrap="square" lIns="38100" tIns="19050" rIns="38100" bIns="19050" anchor="ctr" anchorCtr="1">
                <a:spAutoFit/>
              </a:bodyPr>
              <a:lstStyle/>
              <a:p>
                <a:pPr>
                  <a:defRPr sz="6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'Total anual-lunar intermediar'!$O$103:$V$103</c:f>
              <c:strCache>
                <c:ptCount val="8"/>
                <c:pt idx="0">
                  <c:v>2018</c:v>
                </c:pt>
                <c:pt idx="1">
                  <c:v>2019</c:v>
                </c:pt>
                <c:pt idx="2">
                  <c:v>2020</c:v>
                </c:pt>
                <c:pt idx="3">
                  <c:v>2021</c:v>
                </c:pt>
                <c:pt idx="4">
                  <c:v>2022</c:v>
                </c:pt>
                <c:pt idx="5">
                  <c:v>2023</c:v>
                </c:pt>
                <c:pt idx="6">
                  <c:v>2024</c:v>
                </c:pt>
                <c:pt idx="7">
                  <c:v>2025 aprilie</c:v>
                </c:pt>
              </c:strCache>
            </c:strRef>
          </c:cat>
          <c:val>
            <c:numRef>
              <c:f>'Total anual-lunar intermediar'!$O$107:$V$107</c:f>
              <c:numCache>
                <c:formatCode>#,##0</c:formatCode>
                <c:ptCount val="8"/>
                <c:pt idx="0">
                  <c:v>16254</c:v>
                </c:pt>
                <c:pt idx="1">
                  <c:v>16254</c:v>
                </c:pt>
                <c:pt idx="2">
                  <c:v>16254</c:v>
                </c:pt>
                <c:pt idx="3">
                  <c:v>16254</c:v>
                </c:pt>
                <c:pt idx="4">
                  <c:v>16254</c:v>
                </c:pt>
                <c:pt idx="5">
                  <c:v>16754</c:v>
                </c:pt>
                <c:pt idx="6">
                  <c:v>16750</c:v>
                </c:pt>
                <c:pt idx="7">
                  <c:v>16750</c:v>
                </c:pt>
              </c:numCache>
            </c:numRef>
          </c:val>
          <c:extLst>
            <c:ext xmlns:c16="http://schemas.microsoft.com/office/drawing/2014/chart" uri="{C3380CC4-5D6E-409C-BE32-E72D297353CC}">
              <c16:uniqueId val="{0000000D-B912-47F0-BC66-8A27CE9D1287}"/>
            </c:ext>
          </c:extLst>
        </c:ser>
        <c:dLbls>
          <c:dLblPos val="outEnd"/>
          <c:showLegendKey val="0"/>
          <c:showVal val="1"/>
          <c:showCatName val="0"/>
          <c:showSerName val="0"/>
          <c:showPercent val="0"/>
          <c:showBubbleSize val="0"/>
        </c:dLbls>
        <c:gapWidth val="219"/>
        <c:overlap val="-27"/>
        <c:axId val="2131257440"/>
        <c:axId val="2131258272"/>
      </c:barChart>
      <c:catAx>
        <c:axId val="2131257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ru-RU"/>
          </a:p>
        </c:txPr>
        <c:crossAx val="2131258272"/>
        <c:crosses val="autoZero"/>
        <c:auto val="1"/>
        <c:lblAlgn val="ctr"/>
        <c:lblOffset val="100"/>
        <c:noMultiLvlLbl val="0"/>
      </c:catAx>
      <c:valAx>
        <c:axId val="2131258272"/>
        <c:scaling>
          <c:orientation val="minMax"/>
        </c:scaling>
        <c:delete val="1"/>
        <c:axPos val="l"/>
        <c:numFmt formatCode="#,##0" sourceLinked="1"/>
        <c:majorTickMark val="none"/>
        <c:minorTickMark val="none"/>
        <c:tickLblPos val="nextTo"/>
        <c:crossAx val="2131257440"/>
        <c:crosses val="autoZero"/>
        <c:crossBetween val="between"/>
      </c:valAx>
      <c:spPr>
        <a:noFill/>
        <a:ln w="25400">
          <a:noFill/>
        </a:ln>
        <a:effectLst/>
      </c:spPr>
    </c:plotArea>
    <c:legend>
      <c:legendPos val="t"/>
      <c:legendEntry>
        <c:idx val="4"/>
        <c:delete val="1"/>
      </c:legendEntry>
      <c:legendEntry>
        <c:idx val="5"/>
        <c:delete val="1"/>
      </c:legendEntry>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575306501979857"/>
          <c:y val="8.4417501950117865E-2"/>
          <c:w val="0.43220327995065833"/>
          <c:h val="0.87834785378000313"/>
        </c:manualLayout>
      </c:layout>
      <c:pieChart>
        <c:varyColors val="1"/>
        <c:ser>
          <c:idx val="0"/>
          <c:order val="0"/>
          <c:tx>
            <c:v>Puterile</c:v>
          </c:tx>
          <c:dPt>
            <c:idx val="0"/>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79E4-4483-8FC0-B8BE7743670E}"/>
              </c:ext>
            </c:extLst>
          </c:dPt>
          <c:dPt>
            <c:idx val="1"/>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79E4-4483-8FC0-B8BE7743670E}"/>
              </c:ext>
            </c:extLst>
          </c:dPt>
          <c:dPt>
            <c:idx val="2"/>
            <c:bubble3D val="0"/>
            <c:spPr>
              <a:solidFill>
                <a:srgbClr val="7DC7A9"/>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79E4-4483-8FC0-B8BE7743670E}"/>
              </c:ext>
            </c:extLst>
          </c:dPt>
          <c:dPt>
            <c:idx val="3"/>
            <c:bubble3D val="0"/>
            <c:spPr>
              <a:solidFill>
                <a:srgbClr val="8AD47C"/>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79E4-4483-8FC0-B8BE7743670E}"/>
              </c:ext>
            </c:extLst>
          </c:dPt>
          <c:dPt>
            <c:idx val="4"/>
            <c:bubble3D val="0"/>
            <c:spPr>
              <a:solidFill>
                <a:srgbClr val="6DD47C"/>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79E4-4483-8FC0-B8BE7743670E}"/>
              </c:ext>
            </c:extLst>
          </c:dPt>
          <c:dLbls>
            <c:dLbl>
              <c:idx val="0"/>
              <c:tx>
                <c:rich>
                  <a:bodyPr rot="0" spcFirstLastPara="1" vertOverflow="ellipsis" vert="horz" wrap="square" lIns="38100" tIns="19050" rIns="38100" bIns="19050" anchor="ctr" anchorCtr="1">
                    <a:spAutoFit/>
                  </a:bodyPr>
                  <a:lstStyle/>
                  <a:p>
                    <a:pPr>
                      <a:defRPr sz="900" b="1" i="0" u="none" strike="noStrike" kern="1200" spc="0" baseline="0">
                        <a:solidFill>
                          <a:schemeClr val="bg1"/>
                        </a:solidFill>
                        <a:latin typeface="Arial" panose="020B0604020202020204" pitchFamily="34" charset="0"/>
                        <a:ea typeface="+mn-ea"/>
                        <a:cs typeface="Arial" panose="020B0604020202020204" pitchFamily="34" charset="0"/>
                      </a:defRPr>
                    </a:pPr>
                    <a:fld id="{ED5886DA-9B5D-4DA6-A773-7B9F4D8E8AF6}" type="CELLRANGE">
                      <a:rPr lang="en-US" sz="900" baseline="0"/>
                      <a:pPr>
                        <a:defRPr sz="900">
                          <a:solidFill>
                            <a:schemeClr val="bg1"/>
                          </a:solidFill>
                          <a:latin typeface="Arial" panose="020B0604020202020204" pitchFamily="34" charset="0"/>
                          <a:cs typeface="Arial" panose="020B0604020202020204" pitchFamily="34" charset="0"/>
                        </a:defRPr>
                      </a:pPr>
                      <a:t>[CELLRANGE]</a:t>
                    </a:fld>
                    <a:r>
                      <a:rPr lang="en-US" sz="900" baseline="0"/>
                      <a:t>, </a:t>
                    </a:r>
                    <a:fld id="{B62F8615-D3FE-4E3D-AC2B-1B92EAB7A473}" type="PERCENTAGE">
                      <a:rPr lang="en-US" sz="900" baseline="0"/>
                      <a:pPr>
                        <a:defRPr sz="900">
                          <a:solidFill>
                            <a:schemeClr val="bg1"/>
                          </a:solidFill>
                          <a:latin typeface="Arial" panose="020B0604020202020204" pitchFamily="34" charset="0"/>
                          <a:cs typeface="Arial" panose="020B0604020202020204" pitchFamily="34" charset="0"/>
                        </a:defRPr>
                      </a:pPr>
                      <a:t>[PERCENTAGE]</a:t>
                    </a:fld>
                    <a:endParaRPr lang="en-US" sz="900" baseline="0"/>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bg1"/>
                      </a:solidFill>
                      <a:latin typeface="Arial" panose="020B0604020202020204" pitchFamily="34" charset="0"/>
                      <a:ea typeface="+mn-ea"/>
                      <a:cs typeface="Arial" panose="020B0604020202020204" pitchFamily="34" charset="0"/>
                    </a:defRPr>
                  </a:pPr>
                  <a:endParaRPr lang="ru-RU"/>
                </a:p>
              </c:txPr>
              <c:dLblPos val="bestFit"/>
              <c:showLegendKey val="0"/>
              <c:showVal val="0"/>
              <c:showCatName val="0"/>
              <c:showSerName val="0"/>
              <c:showPercent val="1"/>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79E4-4483-8FC0-B8BE7743670E}"/>
                </c:ext>
              </c:extLst>
            </c:dLbl>
            <c:dLbl>
              <c:idx val="1"/>
              <c:tx>
                <c:rich>
                  <a:bodyPr rot="0" spcFirstLastPara="1" vertOverflow="ellipsis" vert="horz" wrap="square" lIns="38100" tIns="19050" rIns="38100" bIns="19050" anchor="ctr" anchorCtr="1">
                    <a:spAutoFit/>
                  </a:bodyPr>
                  <a:lstStyle/>
                  <a:p>
                    <a:pPr>
                      <a:defRPr sz="900" b="1" i="0" u="none" strike="noStrike" kern="1200" spc="0" baseline="0">
                        <a:solidFill>
                          <a:schemeClr val="bg1"/>
                        </a:solidFill>
                        <a:latin typeface="Arial" panose="020B0604020202020204" pitchFamily="34" charset="0"/>
                        <a:ea typeface="+mn-ea"/>
                        <a:cs typeface="Arial" panose="020B0604020202020204" pitchFamily="34" charset="0"/>
                      </a:defRPr>
                    </a:pPr>
                    <a:fld id="{729ADA48-E46C-471F-BE4C-9B3FB4AB8EA3}" type="CELLRANGE">
                      <a:rPr lang="ru-RU"/>
                      <a:pPr>
                        <a:defRPr sz="900">
                          <a:solidFill>
                            <a:schemeClr val="bg1"/>
                          </a:solidFill>
                          <a:latin typeface="Arial" panose="020B0604020202020204" pitchFamily="34" charset="0"/>
                          <a:cs typeface="Arial" panose="020B0604020202020204" pitchFamily="34" charset="0"/>
                        </a:defRPr>
                      </a:pPr>
                      <a:t>[CELLRANGE]</a:t>
                    </a:fld>
                    <a:r>
                      <a:rPr lang="ru-RU" baseline="0"/>
                      <a:t>, </a:t>
                    </a:r>
                    <a:fld id="{2E35681B-1044-40AE-A329-8EA593837A16}" type="PERCENTAGE">
                      <a:rPr lang="ru-RU" baseline="0"/>
                      <a:pPr>
                        <a:defRPr sz="900">
                          <a:solidFill>
                            <a:schemeClr val="bg1"/>
                          </a:solidFill>
                          <a:latin typeface="Arial" panose="020B0604020202020204" pitchFamily="34" charset="0"/>
                          <a:cs typeface="Arial" panose="020B0604020202020204" pitchFamily="34" charset="0"/>
                        </a:defRPr>
                      </a:pPr>
                      <a:t>[PERCENTAGE]</a:t>
                    </a:fld>
                    <a:endParaRPr lang="ru-RU" baseline="0"/>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bg1"/>
                      </a:solidFill>
                      <a:latin typeface="Arial" panose="020B0604020202020204" pitchFamily="34" charset="0"/>
                      <a:ea typeface="+mn-ea"/>
                      <a:cs typeface="Arial" panose="020B0604020202020204" pitchFamily="34" charset="0"/>
                    </a:defRPr>
                  </a:pPr>
                  <a:endParaRPr lang="ru-RU"/>
                </a:p>
              </c:txPr>
              <c:dLblPos val="bestFit"/>
              <c:showLegendKey val="0"/>
              <c:showVal val="0"/>
              <c:showCatName val="0"/>
              <c:showSerName val="0"/>
              <c:showPercent val="1"/>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79E4-4483-8FC0-B8BE7743670E}"/>
                </c:ext>
              </c:extLst>
            </c:dLbl>
            <c:dLbl>
              <c:idx val="2"/>
              <c:tx>
                <c:rich>
                  <a:bodyPr rot="0" spcFirstLastPara="1" vertOverflow="ellipsis" vert="horz" wrap="square" lIns="38100" tIns="19050" rIns="38100" bIns="19050" anchor="ctr" anchorCtr="1">
                    <a:spAutoFit/>
                  </a:bodyPr>
                  <a:lstStyle/>
                  <a:p>
                    <a:pPr>
                      <a:defRPr sz="900" b="1" i="0" u="none" strike="noStrike" kern="1200" spc="0" baseline="0">
                        <a:solidFill>
                          <a:schemeClr val="tx1"/>
                        </a:solidFill>
                        <a:latin typeface="Arial" panose="020B0604020202020204" pitchFamily="34" charset="0"/>
                        <a:ea typeface="+mn-ea"/>
                        <a:cs typeface="Arial" panose="020B0604020202020204" pitchFamily="34" charset="0"/>
                      </a:defRPr>
                    </a:pPr>
                    <a:fld id="{FAAF01ED-CD9B-4E94-AD40-158EF49EA540}" type="CELLRANGE">
                      <a:rPr lang="ru-RU"/>
                      <a:pPr>
                        <a:defRPr sz="900">
                          <a:solidFill>
                            <a:schemeClr val="tx1"/>
                          </a:solidFill>
                          <a:latin typeface="Arial" panose="020B0604020202020204" pitchFamily="34" charset="0"/>
                          <a:cs typeface="Arial" panose="020B0604020202020204" pitchFamily="34" charset="0"/>
                        </a:defRPr>
                      </a:pPr>
                      <a:t>[CELLRANGE]</a:t>
                    </a:fld>
                    <a:r>
                      <a:rPr lang="ru-RU" baseline="0"/>
                      <a:t>, </a:t>
                    </a:r>
                    <a:fld id="{6F5B4429-5961-4CF0-B301-901F98C25153}" type="PERCENTAGE">
                      <a:rPr lang="ru-RU" baseline="0"/>
                      <a:pPr>
                        <a:defRPr sz="900">
                          <a:solidFill>
                            <a:schemeClr val="tx1"/>
                          </a:solidFill>
                          <a:latin typeface="Arial" panose="020B0604020202020204" pitchFamily="34" charset="0"/>
                          <a:cs typeface="Arial" panose="020B0604020202020204" pitchFamily="34" charset="0"/>
                        </a:defRPr>
                      </a:pPr>
                      <a:t>[PERCENTAGE]</a:t>
                    </a:fld>
                    <a:endParaRPr lang="ru-RU" baseline="0"/>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tx1"/>
                      </a:solidFill>
                      <a:latin typeface="Arial" panose="020B0604020202020204" pitchFamily="34" charset="0"/>
                      <a:ea typeface="+mn-ea"/>
                      <a:cs typeface="Arial" panose="020B0604020202020204" pitchFamily="34" charset="0"/>
                    </a:defRPr>
                  </a:pPr>
                  <a:endParaRPr lang="ru-RU"/>
                </a:p>
              </c:txPr>
              <c:dLblPos val="bestFit"/>
              <c:showLegendKey val="0"/>
              <c:showVal val="0"/>
              <c:showCatName val="0"/>
              <c:showSerName val="0"/>
              <c:showPercent val="1"/>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79E4-4483-8FC0-B8BE7743670E}"/>
                </c:ext>
              </c:extLst>
            </c:dLbl>
            <c:dLbl>
              <c:idx val="3"/>
              <c:tx>
                <c:rich>
                  <a:bodyPr rot="0" spcFirstLastPara="1" vertOverflow="ellipsis" vert="horz" wrap="square" lIns="38100" tIns="19050" rIns="38100" bIns="19050" anchor="ctr" anchorCtr="1">
                    <a:spAutoFit/>
                  </a:bodyPr>
                  <a:lstStyle/>
                  <a:p>
                    <a:pPr>
                      <a:defRPr sz="900" b="1" i="0" u="none" strike="noStrike" kern="1200" spc="0" baseline="0">
                        <a:solidFill>
                          <a:schemeClr val="tx1"/>
                        </a:solidFill>
                        <a:latin typeface="Arial" panose="020B0604020202020204" pitchFamily="34" charset="0"/>
                        <a:ea typeface="+mn-ea"/>
                        <a:cs typeface="Arial" panose="020B0604020202020204" pitchFamily="34" charset="0"/>
                      </a:defRPr>
                    </a:pPr>
                    <a:fld id="{940B90A9-D279-4163-BC30-8FAC86DF5246}" type="CELLRANGE">
                      <a:rPr lang="ru-RU"/>
                      <a:pPr>
                        <a:defRPr sz="900">
                          <a:solidFill>
                            <a:schemeClr val="tx1"/>
                          </a:solidFill>
                          <a:latin typeface="Arial" panose="020B0604020202020204" pitchFamily="34" charset="0"/>
                          <a:cs typeface="Arial" panose="020B0604020202020204" pitchFamily="34" charset="0"/>
                        </a:defRPr>
                      </a:pPr>
                      <a:t>[CELLRANGE]</a:t>
                    </a:fld>
                    <a:r>
                      <a:rPr lang="ru-RU" baseline="0"/>
                      <a:t>, </a:t>
                    </a:r>
                    <a:fld id="{08571CC4-542E-4B35-AA61-14A3A52EDEEC}" type="PERCENTAGE">
                      <a:rPr lang="ru-RU" baseline="0"/>
                      <a:pPr>
                        <a:defRPr sz="900">
                          <a:solidFill>
                            <a:schemeClr val="tx1"/>
                          </a:solidFill>
                          <a:latin typeface="Arial" panose="020B0604020202020204" pitchFamily="34" charset="0"/>
                          <a:cs typeface="Arial" panose="020B0604020202020204" pitchFamily="34" charset="0"/>
                        </a:defRPr>
                      </a:pPr>
                      <a:t>[PERCENTAGE]</a:t>
                    </a:fld>
                    <a:endParaRPr lang="ru-RU" baseline="0"/>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tx1"/>
                      </a:solidFill>
                      <a:latin typeface="Arial" panose="020B0604020202020204" pitchFamily="34" charset="0"/>
                      <a:ea typeface="+mn-ea"/>
                      <a:cs typeface="Arial" panose="020B0604020202020204" pitchFamily="34" charset="0"/>
                    </a:defRPr>
                  </a:pPr>
                  <a:endParaRPr lang="ru-RU"/>
                </a:p>
              </c:txPr>
              <c:dLblPos val="bestFit"/>
              <c:showLegendKey val="0"/>
              <c:showVal val="0"/>
              <c:showCatName val="0"/>
              <c:showSerName val="0"/>
              <c:showPercent val="1"/>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79E4-4483-8FC0-B8BE7743670E}"/>
                </c:ext>
              </c:extLst>
            </c:dLbl>
            <c:dLbl>
              <c:idx val="4"/>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bg1"/>
                      </a:solidFill>
                      <a:latin typeface="Arial" panose="020B0604020202020204" pitchFamily="34" charset="0"/>
                      <a:ea typeface="+mn-ea"/>
                      <a:cs typeface="Arial" panose="020B0604020202020204" pitchFamily="34" charset="0"/>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79E4-4483-8FC0-B8BE7743670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bg1"/>
                    </a:solidFill>
                    <a:latin typeface="Arial" panose="020B0604020202020204" pitchFamily="34" charset="0"/>
                    <a:ea typeface="+mn-ea"/>
                    <a:cs typeface="Arial" panose="020B0604020202020204" pitchFamily="34" charset="0"/>
                  </a:defRPr>
                </a:pPr>
                <a:endParaRPr lang="ru-RU"/>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howDataLabelsRange val="1"/>
              </c:ext>
            </c:extLst>
          </c:dLbls>
          <c:cat>
            <c:strRef>
              <c:f>'Total anual-lunar intermediar'!$F$104:$F$107</c:f>
              <c:strCache>
                <c:ptCount val="4"/>
                <c:pt idx="0">
                  <c:v>Instalații fotovoltaice</c:v>
                </c:pt>
                <c:pt idx="1">
                  <c:v>Instalații eoliene</c:v>
                </c:pt>
                <c:pt idx="2">
                  <c:v>Instalații pe biogaz</c:v>
                </c:pt>
                <c:pt idx="3">
                  <c:v>Instalații hidro</c:v>
                </c:pt>
              </c:strCache>
            </c:strRef>
          </c:cat>
          <c:val>
            <c:numRef>
              <c:f>'Total anual-lunar intermediar'!$V$104:$V$107</c:f>
              <c:numCache>
                <c:formatCode>#,##0</c:formatCode>
                <c:ptCount val="4"/>
                <c:pt idx="0">
                  <c:v>449407.6</c:v>
                </c:pt>
                <c:pt idx="1">
                  <c:v>192480</c:v>
                </c:pt>
                <c:pt idx="2">
                  <c:v>7161.0000000000009</c:v>
                </c:pt>
                <c:pt idx="3">
                  <c:v>16750</c:v>
                </c:pt>
              </c:numCache>
            </c:numRef>
          </c:val>
          <c:extLst>
            <c:ext xmlns:c15="http://schemas.microsoft.com/office/drawing/2012/chart" uri="{02D57815-91ED-43cb-92C2-25804820EDAC}">
              <c15:datalabelsRange>
                <c15:f>'Total anual-lunar intermediar'!$W$104:$W$107</c15:f>
                <c15:dlblRangeCache>
                  <c:ptCount val="4"/>
                  <c:pt idx="0">
                    <c:v>449.41 MW</c:v>
                  </c:pt>
                  <c:pt idx="1">
                    <c:v>192.48 MW</c:v>
                  </c:pt>
                  <c:pt idx="2">
                    <c:v>7.16 MW</c:v>
                  </c:pt>
                  <c:pt idx="3">
                    <c:v>16.75 MW</c:v>
                  </c:pt>
                </c15:dlblRangeCache>
              </c15:datalabelsRange>
            </c:ext>
            <c:ext xmlns:c16="http://schemas.microsoft.com/office/drawing/2014/chart" uri="{C3380CC4-5D6E-409C-BE32-E72D297353CC}">
              <c16:uniqueId val="{0000000A-79E4-4483-8FC0-B8BE7743670E}"/>
            </c:ext>
          </c:extLst>
        </c:ser>
        <c:dLbls>
          <c:dLblPos val="outEnd"/>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lang="en-US"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7.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6AB82-9D16-4617-A4DA-38741730D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18431</TotalTime>
  <Pages>32</Pages>
  <Words>13756</Words>
  <Characters>78411</Characters>
  <Application>Microsoft Office Word</Application>
  <DocSecurity>0</DocSecurity>
  <Lines>653</Lines>
  <Paragraphs>183</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HP</Company>
  <LinksUpToDate>false</LinksUpToDate>
  <CharactersWithSpaces>91984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Ministerul Energiei</cp:lastModifiedBy>
  <cp:revision>10</cp:revision>
  <cp:lastPrinted>2021-09-28T04:46:00Z</cp:lastPrinted>
  <dcterms:created xsi:type="dcterms:W3CDTF">2023-07-21T08:38:00Z</dcterms:created>
  <dcterms:modified xsi:type="dcterms:W3CDTF">2025-07-14T13:02:00Z</dcterms:modified>
</cp:coreProperties>
</file>