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A9D5" w14:textId="77777777" w:rsidR="008A1726" w:rsidRPr="00CA0CED" w:rsidRDefault="008A1726" w:rsidP="00CA0CED">
      <w:pPr>
        <w:jc w:val="right"/>
        <w:rPr>
          <w:rFonts w:ascii="Times New Roman" w:hAnsi="Times New Roman" w:cs="Times New Roman"/>
          <w:sz w:val="24"/>
          <w:szCs w:val="24"/>
        </w:rPr>
      </w:pPr>
      <w:r w:rsidRPr="00CA0CED">
        <w:rPr>
          <w:rFonts w:ascii="Times New Roman" w:hAnsi="Times New Roman" w:cs="Times New Roman"/>
          <w:sz w:val="24"/>
          <w:szCs w:val="24"/>
        </w:rPr>
        <w:t xml:space="preserve">Anexa nr. 1 </w:t>
      </w:r>
    </w:p>
    <w:p w14:paraId="762126B1" w14:textId="77777777" w:rsidR="008A1726" w:rsidRPr="00CA0CED" w:rsidRDefault="008A1726" w:rsidP="008A1726">
      <w:pPr>
        <w:rPr>
          <w:rFonts w:ascii="Times New Roman" w:hAnsi="Times New Roman" w:cs="Times New Roman"/>
          <w:sz w:val="24"/>
          <w:szCs w:val="24"/>
        </w:rPr>
      </w:pPr>
    </w:p>
    <w:p w14:paraId="70D65E17" w14:textId="77777777" w:rsidR="008A1726" w:rsidRPr="00CA0CED" w:rsidRDefault="008A1726" w:rsidP="00CA0CED">
      <w:pPr>
        <w:spacing w:after="0"/>
        <w:jc w:val="center"/>
        <w:rPr>
          <w:rFonts w:ascii="Times New Roman" w:hAnsi="Times New Roman" w:cs="Times New Roman"/>
          <w:sz w:val="24"/>
          <w:szCs w:val="24"/>
        </w:rPr>
      </w:pPr>
      <w:r w:rsidRPr="00CA0CED">
        <w:rPr>
          <w:rFonts w:ascii="Times New Roman" w:hAnsi="Times New Roman" w:cs="Times New Roman"/>
          <w:b/>
          <w:sz w:val="24"/>
          <w:szCs w:val="24"/>
        </w:rPr>
        <w:t>NOTA DE FUNDAMENTARE</w:t>
      </w:r>
    </w:p>
    <w:p w14:paraId="6AE49A0E" w14:textId="77777777" w:rsidR="008A1726" w:rsidRPr="00CA0CED" w:rsidRDefault="008A1726" w:rsidP="00CA0CED">
      <w:pPr>
        <w:spacing w:after="0"/>
        <w:jc w:val="center"/>
        <w:rPr>
          <w:rFonts w:ascii="Times New Roman" w:hAnsi="Times New Roman" w:cs="Times New Roman"/>
          <w:b/>
          <w:bCs/>
          <w:sz w:val="24"/>
          <w:szCs w:val="24"/>
        </w:rPr>
      </w:pPr>
      <w:r w:rsidRPr="00CA0CED">
        <w:rPr>
          <w:rFonts w:ascii="Times New Roman" w:hAnsi="Times New Roman" w:cs="Times New Roman"/>
          <w:b/>
          <w:sz w:val="24"/>
          <w:szCs w:val="24"/>
        </w:rPr>
        <w:t xml:space="preserve">la proiectul </w:t>
      </w:r>
      <w:r w:rsidRPr="00CA0CED">
        <w:rPr>
          <w:rFonts w:ascii="Times New Roman" w:hAnsi="Times New Roman" w:cs="Times New Roman"/>
          <w:b/>
          <w:bCs/>
          <w:sz w:val="24"/>
          <w:szCs w:val="24"/>
        </w:rPr>
        <w:t>de Hotărâre a Guvernului</w:t>
      </w:r>
    </w:p>
    <w:p w14:paraId="5EF6F51C" w14:textId="77777777" w:rsidR="008A1726" w:rsidRPr="00CA0CED" w:rsidRDefault="008A1726" w:rsidP="00CA0CED">
      <w:pPr>
        <w:spacing w:after="0"/>
        <w:jc w:val="center"/>
        <w:rPr>
          <w:rFonts w:ascii="Times New Roman" w:hAnsi="Times New Roman" w:cs="Times New Roman"/>
          <w:b/>
          <w:bCs/>
          <w:sz w:val="24"/>
          <w:szCs w:val="24"/>
        </w:rPr>
      </w:pPr>
      <w:r w:rsidRPr="00CA0CED">
        <w:rPr>
          <w:rFonts w:ascii="Times New Roman" w:hAnsi="Times New Roman" w:cs="Times New Roman"/>
          <w:b/>
          <w:bCs/>
          <w:sz w:val="24"/>
          <w:szCs w:val="24"/>
        </w:rPr>
        <w:t>pentru modificarea unor acte normative ale Guvernului</w:t>
      </w:r>
    </w:p>
    <w:p w14:paraId="43260DE9" w14:textId="77777777" w:rsidR="008A1726" w:rsidRPr="00CA0CED" w:rsidRDefault="008A1726" w:rsidP="00CA0CED">
      <w:pPr>
        <w:spacing w:after="0"/>
        <w:jc w:val="center"/>
        <w:rPr>
          <w:rFonts w:ascii="Times New Roman" w:hAnsi="Times New Roman" w:cs="Times New Roman"/>
          <w:b/>
          <w:bCs/>
          <w:sz w:val="24"/>
          <w:szCs w:val="24"/>
        </w:rPr>
      </w:pPr>
      <w:r w:rsidRPr="00CA0CED">
        <w:rPr>
          <w:rFonts w:ascii="Times New Roman" w:hAnsi="Times New Roman" w:cs="Times New Roman"/>
          <w:b/>
          <w:bCs/>
          <w:sz w:val="24"/>
          <w:szCs w:val="24"/>
        </w:rPr>
        <w:t>(în scopul aducerii în concordanță cu Legea nr. 209/2016 privind deșeurile)</w:t>
      </w:r>
    </w:p>
    <w:p w14:paraId="25F07C36" w14:textId="77777777" w:rsidR="008A1726" w:rsidRPr="00CA0CED" w:rsidRDefault="008A1726" w:rsidP="008A1726">
      <w:pPr>
        <w:rPr>
          <w:rFonts w:ascii="Times New Roman" w:hAnsi="Times New Roman" w:cs="Times New Roman"/>
          <w:sz w:val="24"/>
          <w:szCs w:val="24"/>
        </w:rPr>
      </w:pPr>
    </w:p>
    <w:tbl>
      <w:tblPr>
        <w:tblStyle w:val="Tabelgril"/>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6"/>
      </w:tblGrid>
      <w:tr w:rsidR="008A1726" w:rsidRPr="00CA0CED" w14:paraId="65229717" w14:textId="77777777" w:rsidTr="008A1726">
        <w:tc>
          <w:tcPr>
            <w:tcW w:w="9109" w:type="dxa"/>
            <w:tcBorders>
              <w:top w:val="single" w:sz="8" w:space="0" w:color="000000"/>
              <w:left w:val="single" w:sz="8" w:space="0" w:color="000000"/>
              <w:bottom w:val="single" w:sz="8" w:space="0" w:color="000000"/>
              <w:right w:val="single" w:sz="8" w:space="0" w:color="000000"/>
            </w:tcBorders>
            <w:shd w:val="clear" w:color="auto" w:fill="BFBFBF"/>
            <w:hideMark/>
          </w:tcPr>
          <w:p w14:paraId="15D9F1EC" w14:textId="5D01EFEA" w:rsidR="008A1726" w:rsidRPr="00CA0CED" w:rsidRDefault="00F9222F" w:rsidP="008A172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A1726" w:rsidRPr="00CA0CED">
              <w:rPr>
                <w:rFonts w:ascii="Times New Roman" w:hAnsi="Times New Roman" w:cs="Times New Roman"/>
                <w:b/>
                <w:bCs/>
                <w:sz w:val="24"/>
                <w:szCs w:val="24"/>
              </w:rPr>
              <w:t>1. Denumirea sau numele autorului și, după caz, a/al participanților la elaborarea proiectului actului normativ</w:t>
            </w:r>
          </w:p>
        </w:tc>
      </w:tr>
      <w:tr w:rsidR="008A1726" w:rsidRPr="00CA0CED" w14:paraId="78F957A8" w14:textId="77777777" w:rsidTr="008A1726">
        <w:tc>
          <w:tcPr>
            <w:tcW w:w="9109" w:type="dxa"/>
            <w:tcBorders>
              <w:top w:val="nil"/>
              <w:left w:val="single" w:sz="8" w:space="0" w:color="000000"/>
              <w:bottom w:val="single" w:sz="8" w:space="0" w:color="000000"/>
              <w:right w:val="single" w:sz="8" w:space="0" w:color="000000"/>
            </w:tcBorders>
            <w:hideMark/>
          </w:tcPr>
          <w:p w14:paraId="7B0B3B92" w14:textId="564AF25F" w:rsidR="008A1726" w:rsidRPr="00CA0CED" w:rsidRDefault="00CA0CED" w:rsidP="008A172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Proiectul Hotărârii Guvernului a fost elaborat de către Ministerul Mediului.</w:t>
            </w:r>
            <w:r w:rsidR="008A1726" w:rsidRPr="00CA0CED">
              <w:rPr>
                <w:rFonts w:ascii="Times New Roman" w:hAnsi="Times New Roman" w:cs="Times New Roman"/>
                <w:bCs/>
                <w:sz w:val="24"/>
                <w:szCs w:val="24"/>
              </w:rPr>
              <w:t xml:space="preserve"> </w:t>
            </w:r>
          </w:p>
        </w:tc>
      </w:tr>
      <w:tr w:rsidR="008A1726" w:rsidRPr="00CA0CED" w14:paraId="1B55068C"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10A4BF8C" w14:textId="04349B64" w:rsidR="008A1726" w:rsidRPr="00CA0CED" w:rsidRDefault="00F9222F" w:rsidP="008A172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A1726" w:rsidRPr="00CA0CED">
              <w:rPr>
                <w:rFonts w:ascii="Times New Roman" w:hAnsi="Times New Roman" w:cs="Times New Roman"/>
                <w:b/>
                <w:bCs/>
                <w:sz w:val="24"/>
                <w:szCs w:val="24"/>
              </w:rPr>
              <w:t>2. Condițiile ce au impus elaborarea proiectului actului normativ</w:t>
            </w:r>
          </w:p>
        </w:tc>
      </w:tr>
      <w:tr w:rsidR="008A1726" w:rsidRPr="00CA0CED" w14:paraId="2EFA1725"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27E8F48A" w14:textId="3319EA0C" w:rsidR="008A1726" w:rsidRPr="00CA0CED" w:rsidRDefault="00F9222F" w:rsidP="008A172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2.1. Temeiul legal sau, după caz, sursa proiectului actului normativ</w:t>
            </w:r>
          </w:p>
        </w:tc>
      </w:tr>
      <w:tr w:rsidR="008A1726" w:rsidRPr="00CA0CED" w14:paraId="43398367" w14:textId="77777777" w:rsidTr="008A1726">
        <w:tc>
          <w:tcPr>
            <w:tcW w:w="9109" w:type="dxa"/>
            <w:tcBorders>
              <w:top w:val="nil"/>
              <w:left w:val="single" w:sz="8" w:space="0" w:color="000000"/>
              <w:bottom w:val="single" w:sz="8" w:space="0" w:color="000000"/>
              <w:right w:val="single" w:sz="8" w:space="0" w:color="000000"/>
            </w:tcBorders>
          </w:tcPr>
          <w:p w14:paraId="4B56A515" w14:textId="747D0779" w:rsidR="008A1726" w:rsidRPr="00CA0CED" w:rsidRDefault="00CA0CED" w:rsidP="00CA0CED">
            <w:pPr>
              <w:spacing w:after="160" w:line="259" w:lineRule="auto"/>
              <w:jc w:val="both"/>
              <w:rPr>
                <w:rFonts w:ascii="Times New Roman" w:hAnsi="Times New Roman" w:cs="Times New Roman"/>
                <w:bCs/>
                <w:sz w:val="24"/>
                <w:szCs w:val="24"/>
              </w:rPr>
            </w:pPr>
            <w:bookmarkStart w:id="0" w:name="_Hlk131506445"/>
            <w:r>
              <w:rPr>
                <w:rFonts w:ascii="Times New Roman" w:hAnsi="Times New Roman" w:cs="Times New Roman"/>
                <w:bCs/>
                <w:sz w:val="24"/>
                <w:szCs w:val="24"/>
              </w:rPr>
              <w:t xml:space="preserve">          </w:t>
            </w:r>
            <w:r w:rsidR="008A1726" w:rsidRPr="00CA0CED">
              <w:rPr>
                <w:rFonts w:ascii="Times New Roman" w:hAnsi="Times New Roman" w:cs="Times New Roman"/>
                <w:bCs/>
                <w:sz w:val="24"/>
                <w:szCs w:val="24"/>
              </w:rPr>
              <w:t xml:space="preserve">Proiectul de Hotărâre a Guvernului  pentru modificarea unor hotărâri ale Guvernului rezultă din necesitatea de aducere în concordanță actele legislative în domeniul implementării responsabilității extinse a producătorului cu modificările efectuate la 25 aprilie 2024, de către Parlamentul Republicii Moldova, prin Legea nr. 97 la Legea nr.209/2016 privind deșeurile. </w:t>
            </w:r>
          </w:p>
          <w:p w14:paraId="5607EAC6" w14:textId="3B8DA504" w:rsidR="008A1726" w:rsidRPr="00CA0CED" w:rsidRDefault="00CA0CED" w:rsidP="00CA0CED">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 xml:space="preserve">Legea nr.209/2016 privind deșeurile transpune prevederile Directivei-cadru a Uniunii Europene privind deșeurile 2008/98/CE, care este menționată în Acordul de Asociere dintre Republica Moldova și Uniunea Europeană. Republica Moldova se angajează să îmbunătățească procesul de management al deșeurilor prin implementarea unui sistem integrat, inclusiv prin implementarea. </w:t>
            </w:r>
            <w:bookmarkEnd w:id="0"/>
          </w:p>
          <w:p w14:paraId="08C68719" w14:textId="77777777" w:rsidR="008A1726" w:rsidRPr="00CA0CED" w:rsidRDefault="008A1726" w:rsidP="008A1726">
            <w:pPr>
              <w:spacing w:after="160" w:line="259" w:lineRule="auto"/>
              <w:rPr>
                <w:rFonts w:ascii="Times New Roman" w:hAnsi="Times New Roman" w:cs="Times New Roman"/>
                <w:sz w:val="24"/>
                <w:szCs w:val="24"/>
              </w:rPr>
            </w:pPr>
          </w:p>
        </w:tc>
      </w:tr>
      <w:tr w:rsidR="008A1726" w:rsidRPr="00CA0CED" w14:paraId="21CFF8A0"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1072DE89" w14:textId="4BFF96A0" w:rsidR="008A1726" w:rsidRPr="00CA0CED" w:rsidRDefault="00F9222F" w:rsidP="008A172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2.2. Descrierea situației actuale și a problemelor care impun intervenția, inclusiv a cadrului normativ aplicabil și a deficiențelor/lacunelor normative</w:t>
            </w:r>
          </w:p>
        </w:tc>
      </w:tr>
      <w:tr w:rsidR="008A1726" w:rsidRPr="00CA0CED" w14:paraId="796325D4" w14:textId="77777777" w:rsidTr="008A1726">
        <w:tc>
          <w:tcPr>
            <w:tcW w:w="9109" w:type="dxa"/>
            <w:tcBorders>
              <w:top w:val="nil"/>
              <w:left w:val="single" w:sz="8" w:space="0" w:color="000000"/>
              <w:bottom w:val="single" w:sz="8" w:space="0" w:color="000000"/>
              <w:right w:val="single" w:sz="8" w:space="0" w:color="000000"/>
            </w:tcBorders>
          </w:tcPr>
          <w:p w14:paraId="4281D736" w14:textId="6CEF9A62" w:rsidR="008A1726" w:rsidRPr="00CA0CED" w:rsidRDefault="00F9222F" w:rsidP="00F922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 xml:space="preserve">Directiva 2008/98/CE introduce principiul „poluatorul plătește” și promovează ierarhia deșeurilor (prevenire, reutilizare, reciclare, valorificare și eliminare). Articolul 8 al Directivei stabilește conceptul de  responsabilitate extinsă a producătorului, oferind statelor membre libertatea de a implementa propriile scheme în funcție de condițiile naționale. </w:t>
            </w:r>
          </w:p>
          <w:p w14:paraId="0A29F83B" w14:textId="19726252" w:rsidR="008A1726" w:rsidRPr="00CA0CED" w:rsidRDefault="00F9222F" w:rsidP="00F922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Responsabilitatea Extinsă a Producătorului (REP) este un instrument-cheie al politicii de gestionare a deșeurilor și al economiei circulare. Conceptul REP atribuie producătorilor responsabilitatea financiară și/sau organizațională pentru gestionarea produselor lor după ce acestea devin deșeuri.</w:t>
            </w:r>
          </w:p>
          <w:p w14:paraId="07249919" w14:textId="5671C3E4" w:rsidR="008A1726" w:rsidRPr="00CA0CED" w:rsidRDefault="00F9222F" w:rsidP="00F922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 xml:space="preserve">În perioada iulie – august 2024, apoi în luna ianuarie, 2025,  Ministerul Mediului a inițiat o serie de consultări publice cu producătorii și importatorii privind actualizarea reglementărilor privind implementarea Responsabilității Extinse a Producătorului (REP), în contextul recentelor modificări aduse Legii </w:t>
            </w:r>
            <w:r w:rsidR="008A1726" w:rsidRPr="00CA0CED">
              <w:rPr>
                <w:rFonts w:ascii="Times New Roman" w:hAnsi="Times New Roman" w:cs="Times New Roman"/>
                <w:bCs/>
                <w:sz w:val="24"/>
                <w:szCs w:val="24"/>
              </w:rPr>
              <w:t>nr. 209/2016 privind deșeurile</w:t>
            </w:r>
            <w:r w:rsidR="008A1726" w:rsidRPr="00CA0CED">
              <w:rPr>
                <w:rFonts w:ascii="Times New Roman" w:hAnsi="Times New Roman" w:cs="Times New Roman"/>
                <w:sz w:val="24"/>
                <w:szCs w:val="24"/>
              </w:rPr>
              <w:t xml:space="preserve">. </w:t>
            </w:r>
          </w:p>
          <w:p w14:paraId="22120743" w14:textId="52F3A43D" w:rsidR="008A1726" w:rsidRPr="00CA0CED" w:rsidRDefault="00F9222F" w:rsidP="00F922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1726" w:rsidRPr="00CA0CED">
              <w:rPr>
                <w:rFonts w:ascii="Times New Roman" w:hAnsi="Times New Roman" w:cs="Times New Roman"/>
                <w:sz w:val="24"/>
                <w:szCs w:val="24"/>
              </w:rPr>
              <w:t>Ultimul termen limită pentru respectarea mecanismului de responsabilitate extinsă a producătorului (REP) a fost 6 mai 2025. Această măsură a permis operatorilor economici să se conformeze cu legislație relevantă, să aleagă cele mai potrivite opțiuni de sistem colectiv sau să își înființeze propriul sistem colectiv sau individual.</w:t>
            </w:r>
          </w:p>
          <w:p w14:paraId="28AD4B24"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Elaborarea proiectului de Hotărâre a Guvernului  pentru modificarea unor hotărâri ale Guvernului </w:t>
            </w:r>
            <w:r w:rsidRPr="00CA0CED">
              <w:rPr>
                <w:rFonts w:ascii="Times New Roman" w:hAnsi="Times New Roman" w:cs="Times New Roman"/>
                <w:sz w:val="24"/>
                <w:szCs w:val="24"/>
              </w:rPr>
              <w:t>au fost condiționate de următoarele:</w:t>
            </w:r>
          </w:p>
          <w:p w14:paraId="1B286797"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Introducerea unor noi definiții în acquis-lui  </w:t>
            </w:r>
            <w:r w:rsidRPr="00CA0CED">
              <w:rPr>
                <w:rFonts w:ascii="Times New Roman" w:hAnsi="Times New Roman" w:cs="Times New Roman"/>
                <w:bCs/>
                <w:sz w:val="24"/>
                <w:szCs w:val="24"/>
              </w:rPr>
              <w:t>comunitar</w:t>
            </w:r>
            <w:r w:rsidRPr="00CA0CED">
              <w:rPr>
                <w:rFonts w:ascii="Times New Roman" w:hAnsi="Times New Roman" w:cs="Times New Roman"/>
                <w:sz w:val="24"/>
                <w:szCs w:val="24"/>
              </w:rPr>
              <w:t xml:space="preserve">, inclusiv în </w:t>
            </w:r>
            <w:r w:rsidRPr="00CA0CED">
              <w:rPr>
                <w:rFonts w:ascii="Times New Roman" w:hAnsi="Times New Roman" w:cs="Times New Roman"/>
                <w:bCs/>
                <w:sz w:val="24"/>
                <w:szCs w:val="24"/>
              </w:rPr>
              <w:t>Legea nr. 209/2016 privind deșeurile</w:t>
            </w:r>
            <w:r w:rsidRPr="00CA0CED">
              <w:rPr>
                <w:rFonts w:ascii="Times New Roman" w:hAnsi="Times New Roman" w:cs="Times New Roman"/>
                <w:sz w:val="24"/>
                <w:szCs w:val="24"/>
              </w:rPr>
              <w:t xml:space="preserve"> cu cele din Directiva 2008/98/CE privind deșeurile introduse prin Directiva (UE) 2018/851; </w:t>
            </w:r>
          </w:p>
          <w:p w14:paraId="781AD894"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modificări și abordări noi în Directivele UE, adoptate în perioada 2017-2018, care țin de detalierea reglementărilor în gestionarea deșeurilor, în contextul promovării colectării separate, pentru a asigura utilizarea prudentă, eficientă și rațională a resurselor naturale, pentru a promova principiile economiei circulare, pentru a spori utilizarea energiei din surse regenerabile, pentru a crește eficiența energetică.</w:t>
            </w:r>
          </w:p>
          <w:p w14:paraId="38F3A5F8"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mai multe articole din Legea </w:t>
            </w:r>
            <w:r w:rsidRPr="00CA0CED">
              <w:rPr>
                <w:rFonts w:ascii="Times New Roman" w:hAnsi="Times New Roman" w:cs="Times New Roman"/>
                <w:bCs/>
                <w:sz w:val="24"/>
                <w:szCs w:val="24"/>
              </w:rPr>
              <w:t>nr. 209/2016 privind deșeurile</w:t>
            </w:r>
            <w:r w:rsidRPr="00CA0CED">
              <w:rPr>
                <w:rFonts w:ascii="Times New Roman" w:hAnsi="Times New Roman" w:cs="Times New Roman"/>
                <w:sz w:val="24"/>
                <w:szCs w:val="24"/>
              </w:rPr>
              <w:t xml:space="preserve"> au fost precizate în contextul  responsabilităților actorilor implicați în gestionarea deșeurilor precum atribuțiile autorităților administrației publice locale, obligații generale de gestionare a deșeurilor, obligațiile producătorului de deșeuri, obligațiile operatorului instalației de gestionare a deșeurilor, organizarea și asigurarea funcționării sistemului integrat de management al deșeurilor municipal,  etc.</w:t>
            </w:r>
          </w:p>
          <w:p w14:paraId="7632ECD6"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deficiențe în implementarea responsabilității extinse a producătorului, în special pentru ambalaje și produsele ambalate, reglementate prin art. 54, lipsa reglementărilor de aplicare a sistemului de depozit pentru ambalaje - mecanism de </w:t>
            </w:r>
            <w:r w:rsidRPr="00CA0CED">
              <w:rPr>
                <w:rFonts w:ascii="Times New Roman" w:hAnsi="Times New Roman" w:cs="Times New Roman"/>
                <w:iCs/>
                <w:sz w:val="24"/>
                <w:szCs w:val="24"/>
              </w:rPr>
              <w:t>încurajare a consumătorilor de ambalaje să returneze ambalajele reutilizabile sau deșeurile de ambalaje de unică folosință.</w:t>
            </w:r>
          </w:p>
          <w:p w14:paraId="1AB4D477"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iCs/>
                <w:sz w:val="24"/>
                <w:szCs w:val="24"/>
              </w:rPr>
              <w:t>Necesitate de ajustare a țintelor de colectare și tratarea deșeurilor de produse supuse regimului REP.</w:t>
            </w:r>
          </w:p>
          <w:p w14:paraId="2647A37C" w14:textId="77777777" w:rsidR="008A1726" w:rsidRPr="00CA0CED" w:rsidRDefault="008A1726" w:rsidP="00F9222F">
            <w:pPr>
              <w:spacing w:after="160" w:line="259" w:lineRule="auto"/>
              <w:jc w:val="both"/>
              <w:rPr>
                <w:rFonts w:ascii="Times New Roman" w:hAnsi="Times New Roman" w:cs="Times New Roman"/>
                <w:sz w:val="24"/>
                <w:szCs w:val="24"/>
              </w:rPr>
            </w:pPr>
          </w:p>
          <w:p w14:paraId="2557A61D"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 xml:space="preserve">Aceste modificări țin să abordeze următoarele aspecte ale gestionării deșeurilor: </w:t>
            </w:r>
          </w:p>
          <w:p w14:paraId="2E8C66C0" w14:textId="77777777" w:rsidR="008A1726" w:rsidRPr="00CA0CED" w:rsidRDefault="008A1726" w:rsidP="00F9222F">
            <w:pPr>
              <w:spacing w:after="160" w:line="259" w:lineRule="auto"/>
              <w:jc w:val="both"/>
              <w:rPr>
                <w:rFonts w:ascii="Times New Roman" w:hAnsi="Times New Roman" w:cs="Times New Roman"/>
                <w:bCs/>
                <w:sz w:val="24"/>
                <w:szCs w:val="24"/>
              </w:rPr>
            </w:pPr>
          </w:p>
          <w:p w14:paraId="5B4EA0C6"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Republica Moldova este în proces de </w:t>
            </w:r>
            <w:r w:rsidRPr="00CA0CED">
              <w:rPr>
                <w:rFonts w:ascii="Times New Roman" w:hAnsi="Times New Roman" w:cs="Times New Roman"/>
                <w:i/>
                <w:sz w:val="24"/>
                <w:szCs w:val="24"/>
              </w:rPr>
              <w:t>dezvoltare a infrastructurii necesare de gestionare a deșeurilor.</w:t>
            </w:r>
            <w:r w:rsidRPr="00CA0CED">
              <w:rPr>
                <w:rFonts w:ascii="Times New Roman" w:hAnsi="Times New Roman" w:cs="Times New Roman"/>
                <w:sz w:val="24"/>
                <w:szCs w:val="24"/>
              </w:rPr>
              <w:t xml:space="preserve"> Prin urmare, prin modificările propuse se vor stabili relații de cooperare în organizarea gestionării deșeurilor de produse supuse reglementărilor de responsabilitate extinsă a producătorului între autoritățile administrației publice locale, sistemul colectiv și operatorul serviciului de gestionare a deșeurilor municipale. Este important să se asigure  colectarea separată, transportul, pregătirea pentru valorificare a deșeurilor de produse și/sau de ambalaje generate în fluxul de deșeuri municipale pe termen lung pentru a orienta măsurile și investițiile, în special prin prevenirea creării de capacități excedentare structurale în ceea ce privește tratarea deșeurilor și blocarea materialelor reciclabile la nivelurile inferioare ale ierarhiei deșeurilor. Doar un sistem eficient de gestionare a deșeurilor municipale ar </w:t>
            </w:r>
            <w:r w:rsidRPr="00CA0CED">
              <w:rPr>
                <w:rFonts w:ascii="Times New Roman" w:hAnsi="Times New Roman" w:cs="Times New Roman"/>
                <w:sz w:val="24"/>
                <w:szCs w:val="24"/>
              </w:rPr>
              <w:lastRenderedPageBreak/>
              <w:t>permite  realizarea obiectivelor de reciclare, deoarece actualmente acestea sunt modeste (sub 10%).</w:t>
            </w:r>
          </w:p>
          <w:p w14:paraId="727AC1A4"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i/>
                <w:sz w:val="24"/>
                <w:szCs w:val="24"/>
              </w:rPr>
              <w:t xml:space="preserve">Alt element important al modificărilor constă în sincronizarea noțiunilor în domeniului gestionării deșeurilor, </w:t>
            </w:r>
            <w:r w:rsidRPr="00CA0CED">
              <w:rPr>
                <w:rFonts w:ascii="Times New Roman" w:hAnsi="Times New Roman" w:cs="Times New Roman"/>
                <w:sz w:val="24"/>
                <w:szCs w:val="24"/>
              </w:rPr>
              <w:t>inclusiv  în contextul reglementărilor de responsabilitate extinsă a producătorului, precum ,,</w:t>
            </w:r>
            <w:r w:rsidRPr="00CA0CED">
              <w:rPr>
                <w:rFonts w:ascii="Times New Roman" w:hAnsi="Times New Roman" w:cs="Times New Roman"/>
                <w:i/>
                <w:sz w:val="24"/>
                <w:szCs w:val="24"/>
              </w:rPr>
              <w:t>utilizator final</w:t>
            </w:r>
            <w:r w:rsidRPr="00CA0CED">
              <w:rPr>
                <w:rFonts w:ascii="Times New Roman" w:hAnsi="Times New Roman" w:cs="Times New Roman"/>
                <w:sz w:val="24"/>
                <w:szCs w:val="24"/>
              </w:rPr>
              <w:t>”,  ,,</w:t>
            </w:r>
            <w:r w:rsidRPr="00CA0CED">
              <w:rPr>
                <w:rFonts w:ascii="Times New Roman" w:hAnsi="Times New Roman" w:cs="Times New Roman"/>
                <w:i/>
                <w:sz w:val="24"/>
                <w:szCs w:val="24"/>
              </w:rPr>
              <w:t>consumator</w:t>
            </w:r>
            <w:r w:rsidRPr="00CA0CED">
              <w:rPr>
                <w:rFonts w:ascii="Times New Roman" w:hAnsi="Times New Roman" w:cs="Times New Roman"/>
                <w:sz w:val="24"/>
                <w:szCs w:val="24"/>
              </w:rPr>
              <w:t>”, ,,</w:t>
            </w:r>
            <w:r w:rsidRPr="00CA0CED">
              <w:rPr>
                <w:rFonts w:ascii="Times New Roman" w:hAnsi="Times New Roman" w:cs="Times New Roman"/>
                <w:i/>
                <w:sz w:val="24"/>
                <w:szCs w:val="24"/>
              </w:rPr>
              <w:t>distribuitor”</w:t>
            </w:r>
            <w:r w:rsidRPr="00CA0CED">
              <w:rPr>
                <w:rFonts w:ascii="Times New Roman" w:hAnsi="Times New Roman" w:cs="Times New Roman"/>
                <w:sz w:val="24"/>
                <w:szCs w:val="24"/>
              </w:rPr>
              <w:t>, etc. inclusiv introducerii sistemului de depozit pentru definit in art. 54</w:t>
            </w:r>
            <w:r w:rsidRPr="00CA0CED">
              <w:rPr>
                <w:rFonts w:ascii="Times New Roman" w:hAnsi="Times New Roman" w:cs="Times New Roman"/>
                <w:sz w:val="24"/>
                <w:szCs w:val="24"/>
                <w:vertAlign w:val="superscript"/>
              </w:rPr>
              <w:t>1</w:t>
            </w:r>
            <w:r w:rsidRPr="00CA0CED">
              <w:rPr>
                <w:rFonts w:ascii="Times New Roman" w:hAnsi="Times New Roman" w:cs="Times New Roman"/>
                <w:sz w:val="24"/>
                <w:szCs w:val="24"/>
              </w:rPr>
              <w:t xml:space="preserve"> alin.(1) din Legea nr. 209/2016, prin care operatorii economici prevăzuți la art. 54</w:t>
            </w:r>
            <w:r w:rsidRPr="00CA0CED">
              <w:rPr>
                <w:rFonts w:ascii="Times New Roman" w:hAnsi="Times New Roman" w:cs="Times New Roman"/>
                <w:sz w:val="24"/>
                <w:szCs w:val="24"/>
                <w:vertAlign w:val="superscript"/>
              </w:rPr>
              <w:t>1</w:t>
            </w:r>
            <w:r w:rsidRPr="00CA0CED">
              <w:rPr>
                <w:rFonts w:ascii="Times New Roman" w:hAnsi="Times New Roman" w:cs="Times New Roman"/>
                <w:sz w:val="24"/>
                <w:szCs w:val="24"/>
              </w:rPr>
              <w:t xml:space="preserve"> al Legii nr. 209/2016 privind deșeurile, îndeplinesc responsabilitatea extinsă a producătorului pentru preluarea, transportarea, reutilizarea și reciclarea ambalajelor supuse sistemului de depozit.</w:t>
            </w:r>
          </w:p>
          <w:p w14:paraId="6A639820"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Prin modificările efectuate la 25 aprilie 2024, de către Parlamentul Republicii Moldova, prin Legea nr. 97 la Legea nr.209/2016 privind deșeurile a fost modificată</w:t>
            </w:r>
            <w:r w:rsidRPr="00CA0CED">
              <w:rPr>
                <w:rFonts w:ascii="Times New Roman" w:hAnsi="Times New Roman" w:cs="Times New Roman"/>
                <w:bCs/>
                <w:i/>
                <w:sz w:val="24"/>
                <w:szCs w:val="24"/>
              </w:rPr>
              <w:t xml:space="preserve"> procedura de autorizare a operațiunilor de gestionare a deșeurilor</w:t>
            </w:r>
            <w:r w:rsidRPr="00CA0CED">
              <w:rPr>
                <w:rFonts w:ascii="Times New Roman" w:hAnsi="Times New Roman" w:cs="Times New Roman"/>
                <w:bCs/>
                <w:sz w:val="24"/>
                <w:szCs w:val="24"/>
              </w:rPr>
              <w:t xml:space="preserve">, fiind necesară corelarea cu operațiunile de tratare a deșeurilor, stabilite în anexa nr. 1 și nr. 2 la Legea nr.209/2016 privind deșeurile, în special operațiunile de colectare și tratare.  </w:t>
            </w:r>
            <w:r w:rsidRPr="00CA0CED">
              <w:rPr>
                <w:rFonts w:ascii="Times New Roman" w:hAnsi="Times New Roman" w:cs="Times New Roman"/>
                <w:sz w:val="24"/>
                <w:szCs w:val="24"/>
              </w:rPr>
              <w:t xml:space="preserve">Astfel, </w:t>
            </w:r>
            <w:r w:rsidRPr="00CA0CED">
              <w:rPr>
                <w:rFonts w:ascii="Times New Roman" w:hAnsi="Times New Roman" w:cs="Times New Roman"/>
                <w:bCs/>
                <w:sz w:val="24"/>
                <w:szCs w:val="24"/>
              </w:rPr>
              <w:t xml:space="preserve"> a fost reglementată  colectarea deșeurilor de produse supuse reglementărilor de responsabilitate extinsă a producătorului exclusiv de către  operatorii autorizați pentru tratarea acestor deșeuri, </w:t>
            </w:r>
            <w:r w:rsidRPr="00CA0CED">
              <w:rPr>
                <w:rFonts w:ascii="Times New Roman" w:hAnsi="Times New Roman" w:cs="Times New Roman"/>
                <w:bCs/>
                <w:i/>
                <w:sz w:val="24"/>
                <w:szCs w:val="24"/>
              </w:rPr>
              <w:t xml:space="preserve">contractați de către sistemele individuale sau colective </w:t>
            </w:r>
            <w:r w:rsidRPr="00CA0CED">
              <w:rPr>
                <w:rFonts w:ascii="Times New Roman" w:hAnsi="Times New Roman" w:cs="Times New Roman"/>
                <w:bCs/>
                <w:sz w:val="24"/>
                <w:szCs w:val="24"/>
              </w:rPr>
              <w:t xml:space="preserve"> în scopul asigurării atingerii țintelor de colectare a deșeurilor. </w:t>
            </w:r>
          </w:p>
          <w:p w14:paraId="09D00508"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Ține de menționat că, au fost revăzute obiectivele de colectare a deșeurilor de produse supuse reglementărilor de responsabilitate extinsă a producătorului. În cazul obiectivelor de colectare a deșeurilor de ambalaje, acestea au fost corelate cu noile obiective stabilite prin art. 54</w:t>
            </w:r>
            <w:r w:rsidRPr="00CA0CED">
              <w:rPr>
                <w:rFonts w:ascii="Times New Roman" w:hAnsi="Times New Roman" w:cs="Times New Roman"/>
                <w:bCs/>
                <w:sz w:val="24"/>
                <w:szCs w:val="24"/>
                <w:vertAlign w:val="superscript"/>
              </w:rPr>
              <w:t>4</w:t>
            </w:r>
            <w:r w:rsidRPr="00CA0CED">
              <w:rPr>
                <w:rFonts w:ascii="Times New Roman" w:hAnsi="Times New Roman" w:cs="Times New Roman"/>
                <w:bCs/>
                <w:sz w:val="24"/>
                <w:szCs w:val="24"/>
              </w:rPr>
              <w:t>, alin. (3) Legea nr.209/2016 privind deșeurilor.</w:t>
            </w:r>
          </w:p>
          <w:p w14:paraId="0C5DAB9F"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Au fost propuse modificări pentru corelarea termenilor ,,</w:t>
            </w:r>
            <w:r w:rsidRPr="00CA0CED">
              <w:rPr>
                <w:rFonts w:ascii="Times New Roman" w:hAnsi="Times New Roman" w:cs="Times New Roman"/>
                <w:i/>
                <w:sz w:val="24"/>
                <w:szCs w:val="24"/>
              </w:rPr>
              <w:t>costuri nete”</w:t>
            </w:r>
            <w:r w:rsidRPr="00CA0CED">
              <w:rPr>
                <w:rFonts w:ascii="Times New Roman" w:hAnsi="Times New Roman" w:cs="Times New Roman"/>
                <w:sz w:val="24"/>
                <w:szCs w:val="24"/>
              </w:rPr>
              <w:t>, ,,</w:t>
            </w:r>
            <w:r w:rsidRPr="00CA0CED">
              <w:rPr>
                <w:rFonts w:ascii="Times New Roman" w:hAnsi="Times New Roman" w:cs="Times New Roman"/>
                <w:i/>
                <w:sz w:val="24"/>
                <w:szCs w:val="24"/>
              </w:rPr>
              <w:t>valori unitare</w:t>
            </w:r>
            <w:r w:rsidRPr="00CA0CED">
              <w:rPr>
                <w:rFonts w:ascii="Times New Roman" w:hAnsi="Times New Roman" w:cs="Times New Roman"/>
                <w:sz w:val="24"/>
                <w:szCs w:val="24"/>
              </w:rPr>
              <w:t>”, și ,,</w:t>
            </w:r>
            <w:r w:rsidRPr="00CA0CED">
              <w:rPr>
                <w:rFonts w:ascii="Times New Roman" w:hAnsi="Times New Roman" w:cs="Times New Roman"/>
                <w:i/>
                <w:iCs/>
                <w:sz w:val="24"/>
                <w:szCs w:val="24"/>
              </w:rPr>
              <w:t>costuri operaționale de gestionare</w:t>
            </w:r>
            <w:r w:rsidRPr="00CA0CED">
              <w:rPr>
                <w:rFonts w:ascii="Times New Roman" w:hAnsi="Times New Roman" w:cs="Times New Roman"/>
                <w:sz w:val="24"/>
                <w:szCs w:val="24"/>
              </w:rPr>
              <w:t>” menționate la art.29, alin.(4</w:t>
            </w:r>
            <w:r w:rsidRPr="00CA0CED">
              <w:rPr>
                <w:rFonts w:ascii="Times New Roman" w:hAnsi="Times New Roman" w:cs="Times New Roman"/>
                <w:sz w:val="24"/>
                <w:szCs w:val="24"/>
                <w:vertAlign w:val="superscript"/>
              </w:rPr>
              <w:t>1</w:t>
            </w:r>
            <w:r w:rsidRPr="00CA0CED">
              <w:rPr>
                <w:rFonts w:ascii="Times New Roman" w:hAnsi="Times New Roman" w:cs="Times New Roman"/>
                <w:sz w:val="24"/>
                <w:szCs w:val="24"/>
              </w:rPr>
              <w:t>) al Legii nr.209/2016 privind deșeurile</w:t>
            </w:r>
          </w:p>
          <w:p w14:paraId="008DB095"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Se propune diferențierea obligațiilor în contextul produselor importate pentru consum propriu și cele pentru comercializare </w:t>
            </w:r>
          </w:p>
          <w:p w14:paraId="56BBF1FC" w14:textId="77777777" w:rsidR="008A1726" w:rsidRPr="00CA0CED" w:rsidRDefault="008A1726" w:rsidP="00F9222F">
            <w:pPr>
              <w:spacing w:after="160" w:line="259" w:lineRule="auto"/>
              <w:jc w:val="both"/>
              <w:rPr>
                <w:rFonts w:ascii="Times New Roman" w:hAnsi="Times New Roman" w:cs="Times New Roman"/>
                <w:bCs/>
                <w:sz w:val="24"/>
                <w:szCs w:val="24"/>
              </w:rPr>
            </w:pPr>
          </w:p>
          <w:p w14:paraId="033F30AF"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Aprobarea acestor hotărâri ale Guvernului </w:t>
            </w:r>
            <w:r w:rsidRPr="00CA0CED">
              <w:rPr>
                <w:rFonts w:ascii="Times New Roman" w:hAnsi="Times New Roman" w:cs="Times New Roman"/>
                <w:sz w:val="24"/>
                <w:szCs w:val="24"/>
              </w:rPr>
              <w:t>va contribui  la evitarea interpretărilor în contextul operațiunilor de gestionare a deșeurilor, aplicarea unor noțiuni și a abordărilor de gestionare a deșeurilor și exclude ambiguitățile actuale menționate mai sus.</w:t>
            </w:r>
          </w:p>
          <w:p w14:paraId="2A3B6A3D"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 </w:t>
            </w:r>
          </w:p>
          <w:p w14:paraId="446776A3"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Astăzi sunt funcționale sisteme REP pentru mai multe produse precum DEEE-le, B&amp;A, VSU, anvelope și ambalajele, iar pentru  uleiuri  sunt în proces de creare. Actualmente, numărul de agenți economici înregistrați în Lista producătorului sunt 7172.</w:t>
            </w:r>
          </w:p>
          <w:p w14:paraId="503F18D7" w14:textId="77777777" w:rsidR="008A1726" w:rsidRDefault="008A1726" w:rsidP="00F9222F">
            <w:pPr>
              <w:spacing w:after="160" w:line="259" w:lineRule="auto"/>
              <w:jc w:val="both"/>
              <w:rPr>
                <w:rFonts w:ascii="Times New Roman" w:hAnsi="Times New Roman" w:cs="Times New Roman"/>
                <w:sz w:val="24"/>
                <w:szCs w:val="24"/>
              </w:rPr>
            </w:pPr>
          </w:p>
          <w:p w14:paraId="7F3AEC92" w14:textId="77777777" w:rsidR="00F9222F" w:rsidRDefault="00F9222F" w:rsidP="00F9222F">
            <w:pPr>
              <w:spacing w:after="160" w:line="259" w:lineRule="auto"/>
              <w:jc w:val="both"/>
              <w:rPr>
                <w:rFonts w:ascii="Times New Roman" w:hAnsi="Times New Roman" w:cs="Times New Roman"/>
                <w:sz w:val="24"/>
                <w:szCs w:val="24"/>
              </w:rPr>
            </w:pPr>
          </w:p>
          <w:p w14:paraId="1DF7A1A7" w14:textId="77777777" w:rsidR="00F9222F" w:rsidRPr="00CA0CED" w:rsidRDefault="00F9222F" w:rsidP="00F9222F">
            <w:pPr>
              <w:spacing w:after="160" w:line="259" w:lineRule="auto"/>
              <w:jc w:val="both"/>
              <w:rPr>
                <w:rFonts w:ascii="Times New Roman" w:hAnsi="Times New Roman" w:cs="Times New Roman"/>
                <w:sz w:val="24"/>
                <w:szCs w:val="24"/>
              </w:rPr>
            </w:pPr>
          </w:p>
          <w:p w14:paraId="1FA8D0D7"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lastRenderedPageBreak/>
              <w:t xml:space="preserve">Statistica privind implementarea REP </w:t>
            </w:r>
          </w:p>
          <w:tbl>
            <w:tblPr>
              <w:tblStyle w:val="Tabelgril"/>
              <w:tblW w:w="7156" w:type="dxa"/>
              <w:tblLook w:val="04A0" w:firstRow="1" w:lastRow="0" w:firstColumn="1" w:lastColumn="0" w:noHBand="0" w:noVBand="1"/>
            </w:tblPr>
            <w:tblGrid>
              <w:gridCol w:w="2980"/>
              <w:gridCol w:w="696"/>
              <w:gridCol w:w="696"/>
              <w:gridCol w:w="696"/>
              <w:gridCol w:w="696"/>
              <w:gridCol w:w="696"/>
              <w:gridCol w:w="696"/>
            </w:tblGrid>
            <w:tr w:rsidR="008A1726" w:rsidRPr="00CA0CED" w14:paraId="061A8B06" w14:textId="77777777">
              <w:trPr>
                <w:trHeight w:val="241"/>
              </w:trPr>
              <w:tc>
                <w:tcPr>
                  <w:tcW w:w="3418" w:type="dxa"/>
                  <w:tcBorders>
                    <w:top w:val="single" w:sz="4" w:space="0" w:color="000000"/>
                    <w:left w:val="single" w:sz="4" w:space="0" w:color="000000"/>
                    <w:bottom w:val="single" w:sz="4" w:space="0" w:color="000000"/>
                    <w:right w:val="single" w:sz="4" w:space="0" w:color="000000"/>
                  </w:tcBorders>
                </w:tcPr>
                <w:p w14:paraId="2A608EB1"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54ED3D2"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hideMark/>
                </w:tcPr>
                <w:p w14:paraId="4C210FFB"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2021</w:t>
                  </w:r>
                </w:p>
              </w:tc>
              <w:tc>
                <w:tcPr>
                  <w:tcW w:w="0" w:type="auto"/>
                  <w:tcBorders>
                    <w:top w:val="single" w:sz="4" w:space="0" w:color="000000"/>
                    <w:left w:val="single" w:sz="4" w:space="0" w:color="000000"/>
                    <w:bottom w:val="single" w:sz="4" w:space="0" w:color="000000"/>
                    <w:right w:val="single" w:sz="4" w:space="0" w:color="000000"/>
                  </w:tcBorders>
                  <w:hideMark/>
                </w:tcPr>
                <w:p w14:paraId="2B6EF138"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2022</w:t>
                  </w:r>
                </w:p>
              </w:tc>
              <w:tc>
                <w:tcPr>
                  <w:tcW w:w="0" w:type="auto"/>
                  <w:tcBorders>
                    <w:top w:val="single" w:sz="4" w:space="0" w:color="000000"/>
                    <w:left w:val="single" w:sz="4" w:space="0" w:color="000000"/>
                    <w:bottom w:val="single" w:sz="4" w:space="0" w:color="000000"/>
                    <w:right w:val="single" w:sz="4" w:space="0" w:color="000000"/>
                  </w:tcBorders>
                  <w:hideMark/>
                </w:tcPr>
                <w:p w14:paraId="5A28AD6F"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2023</w:t>
                  </w:r>
                </w:p>
              </w:tc>
              <w:tc>
                <w:tcPr>
                  <w:tcW w:w="0" w:type="auto"/>
                  <w:tcBorders>
                    <w:top w:val="single" w:sz="4" w:space="0" w:color="000000"/>
                    <w:left w:val="single" w:sz="4" w:space="0" w:color="000000"/>
                    <w:bottom w:val="single" w:sz="4" w:space="0" w:color="000000"/>
                    <w:right w:val="single" w:sz="4" w:space="0" w:color="000000"/>
                  </w:tcBorders>
                  <w:hideMark/>
                </w:tcPr>
                <w:p w14:paraId="65926F16"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2024</w:t>
                  </w:r>
                </w:p>
              </w:tc>
              <w:tc>
                <w:tcPr>
                  <w:tcW w:w="0" w:type="auto"/>
                  <w:tcBorders>
                    <w:top w:val="single" w:sz="4" w:space="0" w:color="000000"/>
                    <w:left w:val="single" w:sz="4" w:space="0" w:color="000000"/>
                    <w:bottom w:val="single" w:sz="4" w:space="0" w:color="000000"/>
                    <w:right w:val="single" w:sz="4" w:space="0" w:color="000000"/>
                  </w:tcBorders>
                  <w:hideMark/>
                </w:tcPr>
                <w:p w14:paraId="3DBC912F"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2025</w:t>
                  </w:r>
                </w:p>
              </w:tc>
            </w:tr>
            <w:tr w:rsidR="008A1726" w:rsidRPr="00CA0CED" w14:paraId="7ED5632F"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43541B94"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Înregistrarea producătorilor în REP</w:t>
                  </w:r>
                </w:p>
              </w:tc>
              <w:tc>
                <w:tcPr>
                  <w:tcW w:w="0" w:type="auto"/>
                  <w:tcBorders>
                    <w:top w:val="single" w:sz="4" w:space="0" w:color="000000"/>
                    <w:left w:val="single" w:sz="4" w:space="0" w:color="000000"/>
                    <w:bottom w:val="single" w:sz="4" w:space="0" w:color="000000"/>
                    <w:right w:val="single" w:sz="4" w:space="0" w:color="000000"/>
                  </w:tcBorders>
                </w:tcPr>
                <w:p w14:paraId="0CB2D1AA"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3221284"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31</w:t>
                  </w:r>
                </w:p>
              </w:tc>
              <w:tc>
                <w:tcPr>
                  <w:tcW w:w="0" w:type="auto"/>
                  <w:tcBorders>
                    <w:top w:val="single" w:sz="4" w:space="0" w:color="000000"/>
                    <w:left w:val="single" w:sz="4" w:space="0" w:color="000000"/>
                    <w:bottom w:val="single" w:sz="4" w:space="0" w:color="000000"/>
                    <w:right w:val="single" w:sz="4" w:space="0" w:color="000000"/>
                  </w:tcBorders>
                  <w:hideMark/>
                </w:tcPr>
                <w:p w14:paraId="0D2D2ECB"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130</w:t>
                  </w:r>
                </w:p>
              </w:tc>
              <w:tc>
                <w:tcPr>
                  <w:tcW w:w="0" w:type="auto"/>
                  <w:tcBorders>
                    <w:top w:val="single" w:sz="4" w:space="0" w:color="000000"/>
                    <w:left w:val="single" w:sz="4" w:space="0" w:color="000000"/>
                    <w:bottom w:val="single" w:sz="4" w:space="0" w:color="000000"/>
                    <w:right w:val="single" w:sz="4" w:space="0" w:color="000000"/>
                  </w:tcBorders>
                  <w:hideMark/>
                </w:tcPr>
                <w:p w14:paraId="1968D73F"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328</w:t>
                  </w:r>
                </w:p>
              </w:tc>
              <w:tc>
                <w:tcPr>
                  <w:tcW w:w="0" w:type="auto"/>
                  <w:tcBorders>
                    <w:top w:val="single" w:sz="4" w:space="0" w:color="000000"/>
                    <w:left w:val="single" w:sz="4" w:space="0" w:color="000000"/>
                    <w:bottom w:val="single" w:sz="4" w:space="0" w:color="000000"/>
                    <w:right w:val="single" w:sz="4" w:space="0" w:color="000000"/>
                  </w:tcBorders>
                  <w:hideMark/>
                </w:tcPr>
                <w:p w14:paraId="661659E3"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5289</w:t>
                  </w:r>
                </w:p>
              </w:tc>
              <w:tc>
                <w:tcPr>
                  <w:tcW w:w="0" w:type="auto"/>
                  <w:tcBorders>
                    <w:top w:val="single" w:sz="4" w:space="0" w:color="000000"/>
                    <w:left w:val="single" w:sz="4" w:space="0" w:color="000000"/>
                    <w:bottom w:val="single" w:sz="4" w:space="0" w:color="000000"/>
                    <w:right w:val="single" w:sz="4" w:space="0" w:color="000000"/>
                  </w:tcBorders>
                  <w:hideMark/>
                </w:tcPr>
                <w:p w14:paraId="028336AE"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1883</w:t>
                  </w:r>
                </w:p>
              </w:tc>
            </w:tr>
            <w:tr w:rsidR="008A1726" w:rsidRPr="00CA0CED" w14:paraId="3E1BB299" w14:textId="77777777">
              <w:trPr>
                <w:trHeight w:val="241"/>
              </w:trPr>
              <w:tc>
                <w:tcPr>
                  <w:tcW w:w="3418" w:type="dxa"/>
                  <w:tcBorders>
                    <w:top w:val="single" w:sz="4" w:space="0" w:color="000000"/>
                    <w:left w:val="single" w:sz="4" w:space="0" w:color="000000"/>
                    <w:bottom w:val="single" w:sz="4" w:space="0" w:color="000000"/>
                    <w:right w:val="single" w:sz="4" w:space="0" w:color="000000"/>
                  </w:tcBorders>
                  <w:hideMark/>
                </w:tcPr>
                <w:p w14:paraId="5B4B0832"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i/>
                      <w:sz w:val="24"/>
                      <w:szCs w:val="24"/>
                    </w:rPr>
                  </w:pPr>
                  <w:r w:rsidRPr="00CA0CED">
                    <w:rPr>
                      <w:rFonts w:ascii="Times New Roman" w:hAnsi="Times New Roman" w:cs="Times New Roman"/>
                      <w:i/>
                      <w:sz w:val="24"/>
                      <w:szCs w:val="24"/>
                    </w:rPr>
                    <w:t xml:space="preserve">dintre care </w:t>
                  </w:r>
                </w:p>
              </w:tc>
              <w:tc>
                <w:tcPr>
                  <w:tcW w:w="0" w:type="auto"/>
                  <w:tcBorders>
                    <w:top w:val="single" w:sz="4" w:space="0" w:color="000000"/>
                    <w:left w:val="single" w:sz="4" w:space="0" w:color="000000"/>
                    <w:bottom w:val="single" w:sz="4" w:space="0" w:color="000000"/>
                    <w:right w:val="single" w:sz="4" w:space="0" w:color="000000"/>
                  </w:tcBorders>
                </w:tcPr>
                <w:p w14:paraId="68865C53"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590C727"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E34E555"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E4EB043"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BCCF7FE"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152BCA3"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r>
            <w:tr w:rsidR="008A1726" w:rsidRPr="00CA0CED" w14:paraId="2419F91E"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479F7B50"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a) baterii și acumulatori </w:t>
                  </w:r>
                </w:p>
              </w:tc>
              <w:tc>
                <w:tcPr>
                  <w:tcW w:w="0" w:type="auto"/>
                  <w:tcBorders>
                    <w:top w:val="single" w:sz="4" w:space="0" w:color="000000"/>
                    <w:left w:val="single" w:sz="4" w:space="0" w:color="000000"/>
                    <w:bottom w:val="single" w:sz="4" w:space="0" w:color="000000"/>
                    <w:right w:val="single" w:sz="4" w:space="0" w:color="000000"/>
                  </w:tcBorders>
                </w:tcPr>
                <w:p w14:paraId="4C4A7CD6"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0A3F03D"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31</w:t>
                  </w:r>
                </w:p>
              </w:tc>
              <w:tc>
                <w:tcPr>
                  <w:tcW w:w="0" w:type="auto"/>
                  <w:tcBorders>
                    <w:top w:val="single" w:sz="4" w:space="0" w:color="000000"/>
                    <w:left w:val="single" w:sz="4" w:space="0" w:color="000000"/>
                    <w:bottom w:val="single" w:sz="4" w:space="0" w:color="000000"/>
                    <w:right w:val="single" w:sz="4" w:space="0" w:color="000000"/>
                  </w:tcBorders>
                  <w:hideMark/>
                </w:tcPr>
                <w:p w14:paraId="0C442D7A"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59</w:t>
                  </w:r>
                </w:p>
              </w:tc>
              <w:tc>
                <w:tcPr>
                  <w:tcW w:w="0" w:type="auto"/>
                  <w:tcBorders>
                    <w:top w:val="single" w:sz="4" w:space="0" w:color="000000"/>
                    <w:left w:val="single" w:sz="4" w:space="0" w:color="000000"/>
                    <w:bottom w:val="single" w:sz="4" w:space="0" w:color="000000"/>
                    <w:right w:val="single" w:sz="4" w:space="0" w:color="000000"/>
                  </w:tcBorders>
                  <w:hideMark/>
                </w:tcPr>
                <w:p w14:paraId="2E916894"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14:paraId="1B65C5A4"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196</w:t>
                  </w:r>
                </w:p>
              </w:tc>
              <w:tc>
                <w:tcPr>
                  <w:tcW w:w="0" w:type="auto"/>
                  <w:tcBorders>
                    <w:top w:val="single" w:sz="4" w:space="0" w:color="000000"/>
                    <w:left w:val="single" w:sz="4" w:space="0" w:color="000000"/>
                    <w:bottom w:val="single" w:sz="4" w:space="0" w:color="000000"/>
                    <w:right w:val="single" w:sz="4" w:space="0" w:color="000000"/>
                  </w:tcBorders>
                  <w:hideMark/>
                </w:tcPr>
                <w:p w14:paraId="2A5BF02F"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63</w:t>
                  </w:r>
                </w:p>
              </w:tc>
            </w:tr>
            <w:tr w:rsidR="008A1726" w:rsidRPr="00CA0CED" w14:paraId="5F16BE7C" w14:textId="77777777">
              <w:trPr>
                <w:trHeight w:val="241"/>
              </w:trPr>
              <w:tc>
                <w:tcPr>
                  <w:tcW w:w="3418" w:type="dxa"/>
                  <w:tcBorders>
                    <w:top w:val="single" w:sz="4" w:space="0" w:color="000000"/>
                    <w:left w:val="single" w:sz="4" w:space="0" w:color="000000"/>
                    <w:bottom w:val="single" w:sz="4" w:space="0" w:color="000000"/>
                    <w:right w:val="single" w:sz="4" w:space="0" w:color="000000"/>
                  </w:tcBorders>
                  <w:hideMark/>
                </w:tcPr>
                <w:p w14:paraId="1376B6AA"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b) echipamente electrice și electronice </w:t>
                  </w:r>
                </w:p>
              </w:tc>
              <w:tc>
                <w:tcPr>
                  <w:tcW w:w="0" w:type="auto"/>
                  <w:tcBorders>
                    <w:top w:val="single" w:sz="4" w:space="0" w:color="000000"/>
                    <w:left w:val="single" w:sz="4" w:space="0" w:color="000000"/>
                    <w:bottom w:val="single" w:sz="4" w:space="0" w:color="000000"/>
                    <w:right w:val="single" w:sz="4" w:space="0" w:color="000000"/>
                  </w:tcBorders>
                </w:tcPr>
                <w:p w14:paraId="4C4A452A"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84C38F1"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F3169D6"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71</w:t>
                  </w:r>
                </w:p>
              </w:tc>
              <w:tc>
                <w:tcPr>
                  <w:tcW w:w="0" w:type="auto"/>
                  <w:tcBorders>
                    <w:top w:val="single" w:sz="4" w:space="0" w:color="000000"/>
                    <w:left w:val="single" w:sz="4" w:space="0" w:color="000000"/>
                    <w:bottom w:val="single" w:sz="4" w:space="0" w:color="000000"/>
                    <w:right w:val="single" w:sz="4" w:space="0" w:color="000000"/>
                  </w:tcBorders>
                  <w:hideMark/>
                </w:tcPr>
                <w:p w14:paraId="25B6335A"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71</w:t>
                  </w:r>
                </w:p>
              </w:tc>
              <w:tc>
                <w:tcPr>
                  <w:tcW w:w="0" w:type="auto"/>
                  <w:tcBorders>
                    <w:top w:val="single" w:sz="4" w:space="0" w:color="000000"/>
                    <w:left w:val="single" w:sz="4" w:space="0" w:color="000000"/>
                    <w:bottom w:val="single" w:sz="4" w:space="0" w:color="000000"/>
                    <w:right w:val="single" w:sz="4" w:space="0" w:color="000000"/>
                  </w:tcBorders>
                  <w:hideMark/>
                </w:tcPr>
                <w:p w14:paraId="59DCB9DE"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707</w:t>
                  </w:r>
                </w:p>
              </w:tc>
              <w:tc>
                <w:tcPr>
                  <w:tcW w:w="0" w:type="auto"/>
                  <w:tcBorders>
                    <w:top w:val="single" w:sz="4" w:space="0" w:color="000000"/>
                    <w:left w:val="single" w:sz="4" w:space="0" w:color="000000"/>
                    <w:bottom w:val="single" w:sz="4" w:space="0" w:color="000000"/>
                    <w:right w:val="single" w:sz="4" w:space="0" w:color="000000"/>
                  </w:tcBorders>
                  <w:hideMark/>
                </w:tcPr>
                <w:p w14:paraId="03D36001"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478</w:t>
                  </w:r>
                </w:p>
              </w:tc>
            </w:tr>
            <w:tr w:rsidR="008A1726" w:rsidRPr="00CA0CED" w14:paraId="76AE044E"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069676C3"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c) vehicule </w:t>
                  </w:r>
                </w:p>
              </w:tc>
              <w:tc>
                <w:tcPr>
                  <w:tcW w:w="0" w:type="auto"/>
                  <w:tcBorders>
                    <w:top w:val="single" w:sz="4" w:space="0" w:color="000000"/>
                    <w:left w:val="single" w:sz="4" w:space="0" w:color="000000"/>
                    <w:bottom w:val="single" w:sz="4" w:space="0" w:color="000000"/>
                    <w:right w:val="single" w:sz="4" w:space="0" w:color="000000"/>
                  </w:tcBorders>
                  <w:hideMark/>
                </w:tcPr>
                <w:p w14:paraId="5556D6E7"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F7F415E"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FFBB11A"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5C61953"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BC647B1"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0B9102B"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20</w:t>
                  </w:r>
                </w:p>
              </w:tc>
            </w:tr>
            <w:tr w:rsidR="008A1726" w:rsidRPr="00CA0CED" w14:paraId="61AEFA42"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0CE81781"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d) uleiuri </w:t>
                  </w:r>
                </w:p>
              </w:tc>
              <w:tc>
                <w:tcPr>
                  <w:tcW w:w="0" w:type="auto"/>
                  <w:tcBorders>
                    <w:top w:val="single" w:sz="4" w:space="0" w:color="000000"/>
                    <w:left w:val="single" w:sz="4" w:space="0" w:color="000000"/>
                    <w:bottom w:val="single" w:sz="4" w:space="0" w:color="000000"/>
                    <w:right w:val="single" w:sz="4" w:space="0" w:color="000000"/>
                  </w:tcBorders>
                  <w:hideMark/>
                </w:tcPr>
                <w:p w14:paraId="3EDA6A62"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C30061F"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967A8E8"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8C7975C"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C067E68"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02C61C1"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w:t>
                  </w:r>
                </w:p>
              </w:tc>
            </w:tr>
            <w:tr w:rsidR="008A1726" w:rsidRPr="00CA0CED" w14:paraId="13C7D7A1"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10C3AB51"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e) ambalaje </w:t>
                  </w:r>
                </w:p>
              </w:tc>
              <w:tc>
                <w:tcPr>
                  <w:tcW w:w="0" w:type="auto"/>
                  <w:tcBorders>
                    <w:top w:val="single" w:sz="4" w:space="0" w:color="000000"/>
                    <w:left w:val="single" w:sz="4" w:space="0" w:color="000000"/>
                    <w:bottom w:val="single" w:sz="4" w:space="0" w:color="000000"/>
                    <w:right w:val="single" w:sz="4" w:space="0" w:color="000000"/>
                  </w:tcBorders>
                </w:tcPr>
                <w:p w14:paraId="3D900723"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96E92D8"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2044D1A"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A0E8FBF"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241</w:t>
                  </w:r>
                </w:p>
              </w:tc>
              <w:tc>
                <w:tcPr>
                  <w:tcW w:w="0" w:type="auto"/>
                  <w:tcBorders>
                    <w:top w:val="single" w:sz="4" w:space="0" w:color="000000"/>
                    <w:left w:val="single" w:sz="4" w:space="0" w:color="000000"/>
                    <w:bottom w:val="single" w:sz="4" w:space="0" w:color="000000"/>
                    <w:right w:val="single" w:sz="4" w:space="0" w:color="000000"/>
                  </w:tcBorders>
                  <w:hideMark/>
                </w:tcPr>
                <w:p w14:paraId="1BAD8029"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4297</w:t>
                  </w:r>
                </w:p>
              </w:tc>
              <w:tc>
                <w:tcPr>
                  <w:tcW w:w="0" w:type="auto"/>
                  <w:tcBorders>
                    <w:top w:val="single" w:sz="4" w:space="0" w:color="000000"/>
                    <w:left w:val="single" w:sz="4" w:space="0" w:color="000000"/>
                    <w:bottom w:val="single" w:sz="4" w:space="0" w:color="000000"/>
                    <w:right w:val="single" w:sz="4" w:space="0" w:color="000000"/>
                  </w:tcBorders>
                  <w:hideMark/>
                </w:tcPr>
                <w:p w14:paraId="6A1A7358"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1301</w:t>
                  </w:r>
                </w:p>
              </w:tc>
            </w:tr>
            <w:tr w:rsidR="008A1726" w:rsidRPr="00CA0CED" w14:paraId="2C0E195D"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74A7FB19"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f) anvelope </w:t>
                  </w:r>
                </w:p>
              </w:tc>
              <w:tc>
                <w:tcPr>
                  <w:tcW w:w="0" w:type="auto"/>
                  <w:tcBorders>
                    <w:top w:val="single" w:sz="4" w:space="0" w:color="000000"/>
                    <w:left w:val="single" w:sz="4" w:space="0" w:color="000000"/>
                    <w:bottom w:val="single" w:sz="4" w:space="0" w:color="000000"/>
                    <w:right w:val="single" w:sz="4" w:space="0" w:color="000000"/>
                  </w:tcBorders>
                </w:tcPr>
                <w:p w14:paraId="6B58F673"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EF38A18"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0059F58"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2BEF100"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14:paraId="1230548F"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89</w:t>
                  </w:r>
                </w:p>
              </w:tc>
              <w:tc>
                <w:tcPr>
                  <w:tcW w:w="0" w:type="auto"/>
                  <w:tcBorders>
                    <w:top w:val="single" w:sz="4" w:space="0" w:color="000000"/>
                    <w:left w:val="single" w:sz="4" w:space="0" w:color="000000"/>
                    <w:bottom w:val="single" w:sz="4" w:space="0" w:color="000000"/>
                    <w:right w:val="single" w:sz="4" w:space="0" w:color="000000"/>
                  </w:tcBorders>
                  <w:hideMark/>
                </w:tcPr>
                <w:p w14:paraId="6328B755" w14:textId="77777777" w:rsidR="008A1726" w:rsidRPr="00CA0CED" w:rsidRDefault="008A1726" w:rsidP="00882D6B">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37</w:t>
                  </w:r>
                </w:p>
              </w:tc>
            </w:tr>
          </w:tbl>
          <w:p w14:paraId="33EFC453" w14:textId="77777777" w:rsidR="008A1726" w:rsidRPr="00CA0CED" w:rsidRDefault="008A1726" w:rsidP="008A1726">
            <w:pPr>
              <w:spacing w:after="160" w:line="259" w:lineRule="auto"/>
              <w:rPr>
                <w:rFonts w:ascii="Times New Roman" w:hAnsi="Times New Roman" w:cs="Times New Roman"/>
                <w:sz w:val="24"/>
                <w:szCs w:val="24"/>
              </w:rPr>
            </w:pPr>
          </w:p>
          <w:p w14:paraId="104B7F32" w14:textId="77777777" w:rsidR="008A1726" w:rsidRPr="00CA0CED"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Echipamente electrice și electronice</w:t>
            </w:r>
          </w:p>
          <w:p w14:paraId="3B5B48E0" w14:textId="5D423098"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Producătorii care s-au conformat și sunt membri la următoarele sistemele de implementare REP Asociația Patronală „MOLDCONTROL”, Asociația Patronală din Domeniul Colectării și Prelucrării Deșeurilor „COLECTEZ.EU”,</w:t>
            </w:r>
            <w:r w:rsidR="00C241DF" w:rsidRPr="00C241DF">
              <w:rPr>
                <w:rFonts w:ascii="Times New Roman" w:hAnsi="Times New Roman" w:cs="Times New Roman"/>
                <w:color w:val="000000"/>
                <w:sz w:val="24"/>
                <w:szCs w:val="24"/>
              </w:rPr>
              <w:t xml:space="preserve"> AO„PRO REP UP”</w:t>
            </w:r>
            <w:r w:rsidR="00C241DF">
              <w:rPr>
                <w:rFonts w:ascii="Times New Roman" w:hAnsi="Times New Roman" w:cs="Times New Roman"/>
                <w:sz w:val="24"/>
                <w:szCs w:val="24"/>
              </w:rPr>
              <w:t xml:space="preserve">, </w:t>
            </w:r>
            <w:r w:rsidRPr="00CA0CED">
              <w:rPr>
                <w:rFonts w:ascii="Times New Roman" w:hAnsi="Times New Roman" w:cs="Times New Roman"/>
                <w:sz w:val="24"/>
                <w:szCs w:val="24"/>
              </w:rPr>
              <w:t xml:space="preserve"> Fundația „ECO SAVE”, Asociația Obștească „UNIVERS ECOLOGIC”,</w:t>
            </w:r>
            <w:r w:rsidR="00C241DF">
              <w:t xml:space="preserve"> </w:t>
            </w:r>
            <w:r w:rsidR="00C241DF" w:rsidRPr="00C241DF">
              <w:rPr>
                <w:rFonts w:ascii="Times New Roman" w:hAnsi="Times New Roman" w:cs="Times New Roman"/>
                <w:sz w:val="24"/>
                <w:szCs w:val="24"/>
              </w:rPr>
              <w:t>Fundația „</w:t>
            </w:r>
            <w:proofErr w:type="spellStart"/>
            <w:r w:rsidR="00C241DF" w:rsidRPr="00C241DF">
              <w:rPr>
                <w:rFonts w:ascii="Times New Roman" w:hAnsi="Times New Roman" w:cs="Times New Roman"/>
                <w:sz w:val="24"/>
                <w:szCs w:val="24"/>
              </w:rPr>
              <w:t>Damp</w:t>
            </w:r>
            <w:proofErr w:type="spellEnd"/>
            <w:r w:rsidR="00C241DF" w:rsidRPr="00C241DF">
              <w:rPr>
                <w:rFonts w:ascii="Times New Roman" w:hAnsi="Times New Roman" w:cs="Times New Roman"/>
                <w:sz w:val="24"/>
                <w:szCs w:val="24"/>
              </w:rPr>
              <w:t xml:space="preserve"> Eco”,</w:t>
            </w:r>
            <w:r w:rsidRPr="00CA0CED">
              <w:rPr>
                <w:rFonts w:ascii="Times New Roman" w:hAnsi="Times New Roman" w:cs="Times New Roman"/>
                <w:sz w:val="24"/>
                <w:szCs w:val="24"/>
              </w:rPr>
              <w:t xml:space="preserve"> Asociația Obștească „SMART GREEN GROUP”, AO ,,REGREIN MOLDOVA” </w:t>
            </w:r>
            <w:proofErr w:type="spellStart"/>
            <w:r w:rsidRPr="00CA0CED">
              <w:rPr>
                <w:rFonts w:ascii="Times New Roman" w:hAnsi="Times New Roman" w:cs="Times New Roman"/>
                <w:sz w:val="24"/>
                <w:szCs w:val="24"/>
              </w:rPr>
              <w:t>Termostal</w:t>
            </w:r>
            <w:proofErr w:type="spellEnd"/>
            <w:r w:rsidRPr="00CA0CED">
              <w:rPr>
                <w:rFonts w:ascii="Times New Roman" w:hAnsi="Times New Roman" w:cs="Times New Roman"/>
                <w:sz w:val="24"/>
                <w:szCs w:val="24"/>
              </w:rPr>
              <w:t xml:space="preserve"> Impex SRL (individual). Numărul de agenți economici înregistrați în Lista producătorului până la 10.04.2025 – 1185. </w:t>
            </w:r>
          </w:p>
          <w:p w14:paraId="38079D8E" w14:textId="77777777" w:rsidR="008A1726" w:rsidRPr="00CA0CED" w:rsidRDefault="008A1726" w:rsidP="008A1726">
            <w:pPr>
              <w:spacing w:after="160" w:line="259" w:lineRule="auto"/>
              <w:rPr>
                <w:rFonts w:ascii="Times New Roman" w:hAnsi="Times New Roman" w:cs="Times New Roman"/>
                <w:sz w:val="24"/>
                <w:szCs w:val="24"/>
              </w:rPr>
            </w:pPr>
          </w:p>
          <w:p w14:paraId="173424CF" w14:textId="77777777" w:rsidR="008A1726" w:rsidRPr="00CA0CED"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Baterii și acumulatorii</w:t>
            </w:r>
          </w:p>
          <w:p w14:paraId="4674D2F8" w14:textId="19386D7E"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Producătorii care s-au conformat și sunt membri la următoarele sistemele de implementare REP:  Asociația Patronală „MOLDCONTROL”, Asociația Patronală de Reciclare a Bateriilor „RECBAT”, </w:t>
            </w:r>
            <w:r w:rsidR="00937751">
              <w:rPr>
                <w:rFonts w:ascii="Times New Roman" w:hAnsi="Times New Roman" w:cs="Times New Roman"/>
                <w:sz w:val="24"/>
                <w:szCs w:val="24"/>
              </w:rPr>
              <w:t xml:space="preserve">A.O. ,,ECO WATT”, </w:t>
            </w:r>
            <w:r w:rsidRPr="00CA0CED">
              <w:rPr>
                <w:rFonts w:ascii="Times New Roman" w:hAnsi="Times New Roman" w:cs="Times New Roman"/>
                <w:sz w:val="24"/>
                <w:szCs w:val="24"/>
              </w:rPr>
              <w:t xml:space="preserve">Fundația „ECO SAVE”, </w:t>
            </w:r>
            <w:r w:rsidR="008C2FD7">
              <w:t xml:space="preserve"> </w:t>
            </w:r>
            <w:r w:rsidR="008C2FD7" w:rsidRPr="008C2FD7">
              <w:rPr>
                <w:rFonts w:ascii="Times New Roman" w:hAnsi="Times New Roman" w:cs="Times New Roman"/>
                <w:sz w:val="24"/>
                <w:szCs w:val="24"/>
              </w:rPr>
              <w:t>Asociația Obștească „REGREEN MOLDOVA”,</w:t>
            </w:r>
            <w:r w:rsidR="00C241DF" w:rsidRPr="00C241DF">
              <w:rPr>
                <w:rFonts w:ascii="Times New Roman" w:hAnsi="Times New Roman" w:cs="Times New Roman"/>
                <w:color w:val="000000"/>
                <w:sz w:val="24"/>
                <w:szCs w:val="24"/>
              </w:rPr>
              <w:t xml:space="preserve"> AO„PRO REP UP”</w:t>
            </w:r>
            <w:r w:rsidR="00C241DF">
              <w:rPr>
                <w:rFonts w:ascii="Times New Roman" w:hAnsi="Times New Roman" w:cs="Times New Roman"/>
                <w:sz w:val="24"/>
                <w:szCs w:val="24"/>
              </w:rPr>
              <w:t xml:space="preserve">, </w:t>
            </w:r>
            <w:r w:rsidRPr="00CA0CED">
              <w:rPr>
                <w:rFonts w:ascii="Times New Roman" w:hAnsi="Times New Roman" w:cs="Times New Roman"/>
                <w:sz w:val="24"/>
                <w:szCs w:val="24"/>
              </w:rPr>
              <w:t>„AUTO TYRES” SRL (individual), „AGROPIESE TGR” SRL (individual), „ARIDAN CENTER” SRL (individual), „GBS” SRL (individual), „APROTEHPRO” SRL (individual), ,,PROCAR ADAC”(individual)  Numărul de agenți economici înregistrați în Lista producătorului până la 10.04.2025 – 259.</w:t>
            </w:r>
          </w:p>
          <w:p w14:paraId="0ACE4FA9" w14:textId="77777777" w:rsidR="008A1726" w:rsidRPr="00CA0CED" w:rsidRDefault="008A1726" w:rsidP="008A1726">
            <w:pPr>
              <w:spacing w:after="160" w:line="259" w:lineRule="auto"/>
              <w:rPr>
                <w:rFonts w:ascii="Times New Roman" w:hAnsi="Times New Roman" w:cs="Times New Roman"/>
                <w:sz w:val="24"/>
                <w:szCs w:val="24"/>
              </w:rPr>
            </w:pPr>
          </w:p>
          <w:p w14:paraId="27D2B886"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b/>
                <w:i/>
                <w:sz w:val="24"/>
                <w:szCs w:val="24"/>
              </w:rPr>
              <w:t>Ambalaje</w:t>
            </w:r>
            <w:r w:rsidRPr="00CA0CED">
              <w:rPr>
                <w:rFonts w:ascii="Times New Roman" w:hAnsi="Times New Roman" w:cs="Times New Roman"/>
                <w:sz w:val="24"/>
                <w:szCs w:val="24"/>
              </w:rPr>
              <w:t xml:space="preserve"> </w:t>
            </w:r>
          </w:p>
          <w:p w14:paraId="59FDB403" w14:textId="000D1A3F"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Producătorii care s-au conformat și sunt membri au următoarelor sistemele de implementare REP: Asociația Patronală „MOLDCONTROL”, </w:t>
            </w:r>
            <w:r w:rsidR="00C241DF">
              <w:rPr>
                <w:b/>
                <w:bCs/>
                <w:color w:val="000000"/>
                <w:sz w:val="16"/>
                <w:szCs w:val="16"/>
              </w:rPr>
              <w:t xml:space="preserve"> </w:t>
            </w:r>
            <w:r w:rsidR="00C241DF" w:rsidRPr="00C241DF">
              <w:rPr>
                <w:rFonts w:ascii="Times New Roman" w:hAnsi="Times New Roman" w:cs="Times New Roman"/>
                <w:color w:val="000000"/>
                <w:sz w:val="24"/>
                <w:szCs w:val="24"/>
              </w:rPr>
              <w:t>AO„PRO REP UP”</w:t>
            </w:r>
            <w:r w:rsidR="00C241DF">
              <w:rPr>
                <w:rFonts w:ascii="Times New Roman" w:hAnsi="Times New Roman" w:cs="Times New Roman"/>
                <w:sz w:val="24"/>
                <w:szCs w:val="24"/>
              </w:rPr>
              <w:t xml:space="preserve">, </w:t>
            </w:r>
            <w:r w:rsidR="008C2FD7">
              <w:t xml:space="preserve"> </w:t>
            </w:r>
            <w:r w:rsidR="008C2FD7" w:rsidRPr="008C2FD7">
              <w:rPr>
                <w:rFonts w:ascii="Times New Roman" w:hAnsi="Times New Roman" w:cs="Times New Roman"/>
                <w:sz w:val="24"/>
                <w:szCs w:val="24"/>
              </w:rPr>
              <w:t>Asociația Obștească „REGREEN MOLDOVA”,</w:t>
            </w:r>
            <w:r w:rsidR="008C2FD7">
              <w:rPr>
                <w:rFonts w:ascii="Times New Roman" w:hAnsi="Times New Roman" w:cs="Times New Roman"/>
                <w:sz w:val="24"/>
                <w:szCs w:val="24"/>
              </w:rPr>
              <w:t xml:space="preserve"> </w:t>
            </w:r>
            <w:r w:rsidRPr="00CA0CED">
              <w:rPr>
                <w:rFonts w:ascii="Times New Roman" w:hAnsi="Times New Roman" w:cs="Times New Roman"/>
                <w:sz w:val="24"/>
                <w:szCs w:val="24"/>
              </w:rPr>
              <w:t xml:space="preserve">Asociația Obștească „ASOCIAȚIA PRODUCĂTORILOR ȘI IMPORTATORILOR DE AMBALAJE” (APIAM), Fundația „ECO SAVE”, Asociația </w:t>
            </w:r>
            <w:r w:rsidRPr="00CA0CED">
              <w:rPr>
                <w:rFonts w:ascii="Times New Roman" w:hAnsi="Times New Roman" w:cs="Times New Roman"/>
                <w:sz w:val="24"/>
                <w:szCs w:val="24"/>
              </w:rPr>
              <w:lastRenderedPageBreak/>
              <w:t>Obștească „RECICLARE”,</w:t>
            </w:r>
            <w:r w:rsidR="008C2FD7">
              <w:t xml:space="preserve"> </w:t>
            </w:r>
            <w:r w:rsidR="008C2FD7" w:rsidRPr="008C2FD7">
              <w:rPr>
                <w:rFonts w:ascii="Times New Roman" w:hAnsi="Times New Roman" w:cs="Times New Roman"/>
                <w:sz w:val="24"/>
                <w:szCs w:val="24"/>
              </w:rPr>
              <w:t>Asociația Obștească „SMART GREEN GROUP”,</w:t>
            </w:r>
            <w:r w:rsidRPr="00CA0CED">
              <w:rPr>
                <w:rFonts w:ascii="Times New Roman" w:hAnsi="Times New Roman" w:cs="Times New Roman"/>
                <w:sz w:val="24"/>
                <w:szCs w:val="24"/>
              </w:rPr>
              <w:t xml:space="preserve"> „ </w:t>
            </w:r>
            <w:proofErr w:type="spellStart"/>
            <w:r w:rsidRPr="00CA0CED">
              <w:rPr>
                <w:rFonts w:ascii="Times New Roman" w:hAnsi="Times New Roman" w:cs="Times New Roman"/>
                <w:sz w:val="24"/>
                <w:szCs w:val="24"/>
              </w:rPr>
              <w:t>Unicart</w:t>
            </w:r>
            <w:proofErr w:type="spellEnd"/>
            <w:r w:rsidRPr="00CA0CED">
              <w:rPr>
                <w:rFonts w:ascii="Times New Roman" w:hAnsi="Times New Roman" w:cs="Times New Roman"/>
                <w:sz w:val="24"/>
                <w:szCs w:val="24"/>
              </w:rPr>
              <w:t xml:space="preserve"> Service” SRL (individual), Asociația Obștească „Eco-</w:t>
            </w:r>
            <w:proofErr w:type="spellStart"/>
            <w:r w:rsidRPr="00CA0CED">
              <w:rPr>
                <w:rFonts w:ascii="Times New Roman" w:hAnsi="Times New Roman" w:cs="Times New Roman"/>
                <w:sz w:val="24"/>
                <w:szCs w:val="24"/>
              </w:rPr>
              <w:t>Rep</w:t>
            </w:r>
            <w:proofErr w:type="spellEnd"/>
            <w:r w:rsidRPr="00CA0CED">
              <w:rPr>
                <w:rFonts w:ascii="Times New Roman" w:hAnsi="Times New Roman" w:cs="Times New Roman"/>
                <w:sz w:val="24"/>
                <w:szCs w:val="24"/>
              </w:rPr>
              <w:t xml:space="preserve">”, ,,NOCVELTY”(individual), ,,VIVERCON” SRL (individual) </w:t>
            </w:r>
            <w:proofErr w:type="spellStart"/>
            <w:r w:rsidRPr="00CA0CED">
              <w:rPr>
                <w:rFonts w:ascii="Times New Roman" w:hAnsi="Times New Roman" w:cs="Times New Roman"/>
                <w:sz w:val="24"/>
                <w:szCs w:val="24"/>
              </w:rPr>
              <w:t>ș.a</w:t>
            </w:r>
            <w:proofErr w:type="spellEnd"/>
            <w:r w:rsidRPr="00CA0CED">
              <w:rPr>
                <w:rFonts w:ascii="Times New Roman" w:hAnsi="Times New Roman" w:cs="Times New Roman"/>
                <w:sz w:val="24"/>
                <w:szCs w:val="24"/>
              </w:rPr>
              <w:t xml:space="preserve">  Numărul de agenți economici înregistrați în Lista producătorului până-5645.</w:t>
            </w:r>
          </w:p>
          <w:p w14:paraId="74EFADEE" w14:textId="77777777" w:rsidR="008A1726" w:rsidRPr="00CA0CED"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 xml:space="preserve">Anvelope </w:t>
            </w:r>
          </w:p>
          <w:p w14:paraId="29F0714F" w14:textId="3ABEC9AF"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Asociația Patronală „MOLDCONTROL”</w:t>
            </w:r>
            <w:r w:rsidR="00C241DF">
              <w:rPr>
                <w:rFonts w:ascii="Times New Roman" w:hAnsi="Times New Roman" w:cs="Times New Roman"/>
                <w:sz w:val="24"/>
                <w:szCs w:val="24"/>
              </w:rPr>
              <w:t xml:space="preserve">, </w:t>
            </w:r>
            <w:r w:rsidR="00C241DF" w:rsidRPr="00C241DF">
              <w:rPr>
                <w:b/>
                <w:bCs/>
                <w:color w:val="000000"/>
              </w:rPr>
              <w:t xml:space="preserve"> </w:t>
            </w:r>
            <w:r w:rsidR="00C241DF" w:rsidRPr="00C241DF">
              <w:rPr>
                <w:rFonts w:ascii="Times New Roman" w:hAnsi="Times New Roman" w:cs="Times New Roman"/>
                <w:sz w:val="24"/>
                <w:szCs w:val="24"/>
              </w:rPr>
              <w:t>Asociația Obștească „REGREEN MOLDOVA”</w:t>
            </w:r>
            <w:r w:rsidRPr="00C241DF">
              <w:rPr>
                <w:rFonts w:ascii="Times New Roman" w:hAnsi="Times New Roman" w:cs="Times New Roman"/>
                <w:sz w:val="24"/>
                <w:szCs w:val="24"/>
              </w:rPr>
              <w:t xml:space="preserve"> </w:t>
            </w:r>
            <w:r w:rsidRPr="00CA0CED">
              <w:rPr>
                <w:rFonts w:ascii="Times New Roman" w:hAnsi="Times New Roman" w:cs="Times New Roman"/>
                <w:sz w:val="24"/>
                <w:szCs w:val="24"/>
              </w:rPr>
              <w:t>,</w:t>
            </w:r>
            <w:r w:rsidR="00937751">
              <w:t xml:space="preserve"> </w:t>
            </w:r>
            <w:r w:rsidR="00937751" w:rsidRPr="00937751">
              <w:rPr>
                <w:rFonts w:ascii="Times New Roman" w:hAnsi="Times New Roman" w:cs="Times New Roman"/>
                <w:sz w:val="24"/>
                <w:szCs w:val="24"/>
              </w:rPr>
              <w:t>Fundația „REP Anvelope”</w:t>
            </w:r>
            <w:r w:rsidR="00937751">
              <w:rPr>
                <w:rFonts w:ascii="Times New Roman" w:hAnsi="Times New Roman" w:cs="Times New Roman"/>
                <w:sz w:val="24"/>
                <w:szCs w:val="24"/>
              </w:rPr>
              <w:t>,</w:t>
            </w:r>
            <w:r w:rsidRPr="00CA0CED">
              <w:rPr>
                <w:rFonts w:ascii="Times New Roman" w:hAnsi="Times New Roman" w:cs="Times New Roman"/>
                <w:sz w:val="24"/>
                <w:szCs w:val="24"/>
              </w:rPr>
              <w:t xml:space="preserve"> ,,ARIDAN CENTER” (individual), ,,EXIMDOR” (individual) ș.a.  Numărul de agenți economici înregistrați în Lista producătorului până la 10.04.2025 – 130.</w:t>
            </w:r>
          </w:p>
          <w:p w14:paraId="0837A245" w14:textId="77777777" w:rsidR="008A1726" w:rsidRPr="00CA0CED" w:rsidRDefault="008A1726" w:rsidP="008A1726">
            <w:pPr>
              <w:spacing w:after="160" w:line="259" w:lineRule="auto"/>
              <w:rPr>
                <w:rFonts w:ascii="Times New Roman" w:hAnsi="Times New Roman" w:cs="Times New Roman"/>
                <w:sz w:val="24"/>
                <w:szCs w:val="24"/>
              </w:rPr>
            </w:pPr>
          </w:p>
          <w:p w14:paraId="5958D7E1" w14:textId="77777777" w:rsidR="008A1726" w:rsidRPr="00CA0CED" w:rsidRDefault="008A1726" w:rsidP="008A1726">
            <w:pPr>
              <w:spacing w:after="160" w:line="259" w:lineRule="auto"/>
              <w:rPr>
                <w:rFonts w:ascii="Times New Roman" w:hAnsi="Times New Roman" w:cs="Times New Roman"/>
                <w:sz w:val="24"/>
                <w:szCs w:val="24"/>
              </w:rPr>
            </w:pPr>
          </w:p>
          <w:p w14:paraId="405EB006" w14:textId="77777777" w:rsidR="008A1726" w:rsidRPr="00CA0CED"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 xml:space="preserve">Vehicule </w:t>
            </w:r>
          </w:p>
          <w:p w14:paraId="0B93B57E" w14:textId="0A9E2A95"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bCs/>
                <w:iCs/>
                <w:sz w:val="24"/>
                <w:szCs w:val="24"/>
              </w:rPr>
              <w:t>Asociația Obștească Sistemul Colectiv ,,Rabla CAR”</w:t>
            </w:r>
            <w:r w:rsidRPr="00CA0CED">
              <w:rPr>
                <w:rFonts w:ascii="Times New Roman" w:hAnsi="Times New Roman" w:cs="Times New Roman"/>
                <w:sz w:val="24"/>
                <w:szCs w:val="24"/>
              </w:rPr>
              <w:t xml:space="preserve"> </w:t>
            </w:r>
            <w:r w:rsidR="00937751">
              <w:rPr>
                <w:rFonts w:ascii="Times New Roman" w:hAnsi="Times New Roman" w:cs="Times New Roman"/>
                <w:sz w:val="24"/>
                <w:szCs w:val="24"/>
              </w:rPr>
              <w:t>, Asociația Obștească ,,</w:t>
            </w:r>
            <w:proofErr w:type="spellStart"/>
            <w:r w:rsidR="00937751">
              <w:rPr>
                <w:rFonts w:ascii="Times New Roman" w:hAnsi="Times New Roman" w:cs="Times New Roman"/>
                <w:sz w:val="24"/>
                <w:szCs w:val="24"/>
              </w:rPr>
              <w:t>AutoReciclat</w:t>
            </w:r>
            <w:proofErr w:type="spellEnd"/>
            <w:r w:rsidR="00937751">
              <w:rPr>
                <w:rFonts w:ascii="Times New Roman" w:hAnsi="Times New Roman" w:cs="Times New Roman"/>
                <w:sz w:val="24"/>
                <w:szCs w:val="24"/>
              </w:rPr>
              <w:t xml:space="preserve">”, Asociația Obștească ,, </w:t>
            </w:r>
            <w:proofErr w:type="spellStart"/>
            <w:r w:rsidR="00937751">
              <w:rPr>
                <w:rFonts w:ascii="Times New Roman" w:hAnsi="Times New Roman" w:cs="Times New Roman"/>
                <w:sz w:val="24"/>
                <w:szCs w:val="24"/>
              </w:rPr>
              <w:t>RecycleBin</w:t>
            </w:r>
            <w:proofErr w:type="spellEnd"/>
            <w:r w:rsidR="00937751">
              <w:rPr>
                <w:rFonts w:ascii="Times New Roman" w:hAnsi="Times New Roman" w:cs="Times New Roman"/>
                <w:sz w:val="24"/>
                <w:szCs w:val="24"/>
              </w:rPr>
              <w:t>”</w:t>
            </w:r>
            <w:r w:rsidR="00C241DF">
              <w:rPr>
                <w:rFonts w:ascii="Times New Roman" w:hAnsi="Times New Roman" w:cs="Times New Roman"/>
                <w:sz w:val="24"/>
                <w:szCs w:val="24"/>
              </w:rPr>
              <w:t>,</w:t>
            </w:r>
            <w:r w:rsidR="00937751">
              <w:rPr>
                <w:rFonts w:ascii="Times New Roman" w:hAnsi="Times New Roman" w:cs="Times New Roman"/>
                <w:sz w:val="24"/>
                <w:szCs w:val="24"/>
              </w:rPr>
              <w:t xml:space="preserve"> </w:t>
            </w:r>
            <w:r w:rsidR="008C2FD7">
              <w:t xml:space="preserve"> </w:t>
            </w:r>
            <w:r w:rsidR="008C2FD7" w:rsidRPr="008C2FD7">
              <w:rPr>
                <w:rFonts w:ascii="Times New Roman" w:hAnsi="Times New Roman" w:cs="Times New Roman"/>
                <w:sz w:val="24"/>
                <w:szCs w:val="24"/>
              </w:rPr>
              <w:t>Asociația Obștească „AUTO REC”,</w:t>
            </w:r>
            <w:r w:rsidR="00C241DF" w:rsidRPr="00CA0CED">
              <w:rPr>
                <w:rFonts w:ascii="Times New Roman" w:hAnsi="Times New Roman" w:cs="Times New Roman"/>
                <w:sz w:val="24"/>
                <w:szCs w:val="24"/>
              </w:rPr>
              <w:t xml:space="preserve"> </w:t>
            </w:r>
            <w:r w:rsidR="008C2FD7">
              <w:t xml:space="preserve"> </w:t>
            </w:r>
            <w:r w:rsidR="008C2FD7" w:rsidRPr="008C2FD7">
              <w:rPr>
                <w:rFonts w:ascii="Times New Roman" w:hAnsi="Times New Roman" w:cs="Times New Roman"/>
                <w:sz w:val="24"/>
                <w:szCs w:val="24"/>
              </w:rPr>
              <w:t>Asociația Obștească „REGREEN MOLDOVA”</w:t>
            </w:r>
            <w:r w:rsidR="008C2FD7">
              <w:rPr>
                <w:rFonts w:ascii="Times New Roman" w:hAnsi="Times New Roman" w:cs="Times New Roman"/>
                <w:sz w:val="24"/>
                <w:szCs w:val="24"/>
              </w:rPr>
              <w:t xml:space="preserve">, </w:t>
            </w:r>
            <w:r w:rsidR="00C241DF" w:rsidRPr="00CA0CED">
              <w:rPr>
                <w:rFonts w:ascii="Times New Roman" w:hAnsi="Times New Roman" w:cs="Times New Roman"/>
                <w:sz w:val="24"/>
                <w:szCs w:val="24"/>
              </w:rPr>
              <w:t>Asociația Patronală „MOLDCONTROL”</w:t>
            </w:r>
            <w:r w:rsidR="00C241DF">
              <w:rPr>
                <w:rFonts w:ascii="Times New Roman" w:hAnsi="Times New Roman" w:cs="Times New Roman"/>
                <w:sz w:val="24"/>
                <w:szCs w:val="24"/>
              </w:rPr>
              <w:t xml:space="preserve">, </w:t>
            </w:r>
            <w:r w:rsidR="00C241DF" w:rsidRPr="00C241DF">
              <w:rPr>
                <w:b/>
                <w:bCs/>
                <w:color w:val="000000"/>
              </w:rPr>
              <w:t xml:space="preserve"> </w:t>
            </w:r>
            <w:r w:rsidRPr="00CA0CED">
              <w:rPr>
                <w:rFonts w:ascii="Times New Roman" w:hAnsi="Times New Roman" w:cs="Times New Roman"/>
                <w:sz w:val="24"/>
                <w:szCs w:val="24"/>
              </w:rPr>
              <w:t xml:space="preserve">Numărul de agenți economici înregistrați în </w:t>
            </w:r>
            <w:r w:rsidRPr="00882D6B">
              <w:rPr>
                <w:rFonts w:ascii="Times New Roman" w:hAnsi="Times New Roman" w:cs="Times New Roman"/>
                <w:sz w:val="24"/>
                <w:szCs w:val="24"/>
              </w:rPr>
              <w:t xml:space="preserve">Lista producătorului până la </w:t>
            </w:r>
            <w:r w:rsidR="00882D6B" w:rsidRPr="00882D6B">
              <w:rPr>
                <w:rFonts w:ascii="Times New Roman" w:hAnsi="Times New Roman" w:cs="Times New Roman"/>
                <w:sz w:val="24"/>
                <w:szCs w:val="24"/>
              </w:rPr>
              <w:t>3</w:t>
            </w:r>
            <w:r w:rsidRPr="00882D6B">
              <w:rPr>
                <w:rFonts w:ascii="Times New Roman" w:hAnsi="Times New Roman" w:cs="Times New Roman"/>
                <w:sz w:val="24"/>
                <w:szCs w:val="24"/>
              </w:rPr>
              <w:t>0.0</w:t>
            </w:r>
            <w:r w:rsidR="00882D6B" w:rsidRPr="00882D6B">
              <w:rPr>
                <w:rFonts w:ascii="Times New Roman" w:hAnsi="Times New Roman" w:cs="Times New Roman"/>
                <w:sz w:val="24"/>
                <w:szCs w:val="24"/>
              </w:rPr>
              <w:t>5</w:t>
            </w:r>
            <w:r w:rsidRPr="00882D6B">
              <w:rPr>
                <w:rFonts w:ascii="Times New Roman" w:hAnsi="Times New Roman" w:cs="Times New Roman"/>
                <w:sz w:val="24"/>
                <w:szCs w:val="24"/>
              </w:rPr>
              <w:t>.2025 – 2</w:t>
            </w:r>
            <w:r w:rsidR="00882D6B" w:rsidRPr="00882D6B">
              <w:rPr>
                <w:rFonts w:ascii="Times New Roman" w:hAnsi="Times New Roman" w:cs="Times New Roman"/>
                <w:sz w:val="24"/>
                <w:szCs w:val="24"/>
              </w:rPr>
              <w:t>94</w:t>
            </w:r>
            <w:r w:rsidRPr="00882D6B">
              <w:rPr>
                <w:rFonts w:ascii="Times New Roman" w:hAnsi="Times New Roman" w:cs="Times New Roman"/>
                <w:sz w:val="24"/>
                <w:szCs w:val="24"/>
              </w:rPr>
              <w:t>.</w:t>
            </w:r>
          </w:p>
          <w:p w14:paraId="3CA6580C" w14:textId="77777777" w:rsidR="008A1726" w:rsidRPr="00CA0CED" w:rsidRDefault="008A1726" w:rsidP="008A1726">
            <w:pPr>
              <w:spacing w:after="160" w:line="259" w:lineRule="auto"/>
              <w:rPr>
                <w:rFonts w:ascii="Times New Roman" w:hAnsi="Times New Roman" w:cs="Times New Roman"/>
                <w:b/>
                <w:i/>
                <w:sz w:val="24"/>
                <w:szCs w:val="24"/>
                <w:u w:val="single"/>
              </w:rPr>
            </w:pPr>
          </w:p>
          <w:p w14:paraId="548CA3D1" w14:textId="54C14904" w:rsidR="008A1726"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 xml:space="preserve"> Uleiuri </w:t>
            </w:r>
            <w:r w:rsidR="008C2FD7">
              <w:t xml:space="preserve"> </w:t>
            </w:r>
          </w:p>
          <w:p w14:paraId="4367F9D7" w14:textId="1F7CDB62" w:rsidR="008C2FD7" w:rsidRPr="008C2FD7" w:rsidRDefault="00937751" w:rsidP="008C2FD7">
            <w:pPr>
              <w:spacing w:after="160" w:line="259" w:lineRule="auto"/>
              <w:rPr>
                <w:rFonts w:ascii="Times New Roman" w:hAnsi="Times New Roman" w:cs="Times New Roman"/>
                <w:bCs/>
                <w:iCs/>
                <w:sz w:val="24"/>
                <w:szCs w:val="24"/>
              </w:rPr>
            </w:pPr>
            <w:r w:rsidRPr="00CA0CED">
              <w:rPr>
                <w:rFonts w:ascii="Times New Roman" w:hAnsi="Times New Roman" w:cs="Times New Roman"/>
                <w:sz w:val="24"/>
                <w:szCs w:val="24"/>
              </w:rPr>
              <w:t>Asociația Patronală „MOLDCONTROL”</w:t>
            </w:r>
            <w:r w:rsidR="00C241DF">
              <w:rPr>
                <w:rFonts w:ascii="Times New Roman" w:hAnsi="Times New Roman" w:cs="Times New Roman"/>
                <w:sz w:val="24"/>
                <w:szCs w:val="24"/>
              </w:rPr>
              <w:t xml:space="preserve">, </w:t>
            </w:r>
            <w:r w:rsidR="00C241DF" w:rsidRPr="00CA0CED">
              <w:rPr>
                <w:rFonts w:ascii="Times New Roman" w:hAnsi="Times New Roman" w:cs="Times New Roman"/>
                <w:sz w:val="24"/>
                <w:szCs w:val="24"/>
              </w:rPr>
              <w:t xml:space="preserve"> AO ,,REGREIN MOLDOVA”</w:t>
            </w:r>
            <w:r w:rsidR="008C2FD7">
              <w:rPr>
                <w:rFonts w:ascii="Times New Roman" w:hAnsi="Times New Roman" w:cs="Times New Roman"/>
                <w:sz w:val="24"/>
                <w:szCs w:val="24"/>
              </w:rPr>
              <w:t xml:space="preserve">, </w:t>
            </w:r>
            <w:r w:rsidR="008C2FD7" w:rsidRPr="008C2FD7">
              <w:rPr>
                <w:rFonts w:ascii="Times New Roman" w:hAnsi="Times New Roman" w:cs="Times New Roman"/>
                <w:b/>
                <w:i/>
                <w:sz w:val="24"/>
                <w:szCs w:val="24"/>
              </w:rPr>
              <w:t xml:space="preserve"> </w:t>
            </w:r>
            <w:r w:rsidR="008C2FD7" w:rsidRPr="008C2FD7">
              <w:rPr>
                <w:rFonts w:ascii="Times New Roman" w:hAnsi="Times New Roman" w:cs="Times New Roman"/>
                <w:bCs/>
                <w:iCs/>
                <w:sz w:val="24"/>
                <w:szCs w:val="24"/>
              </w:rPr>
              <w:t>Asociația Patronală de Reciclare a Uleiurilor Uzate „RECOIL”,</w:t>
            </w:r>
          </w:p>
          <w:p w14:paraId="5B77C77D" w14:textId="06E87929" w:rsidR="00937751" w:rsidRPr="00CA0CED" w:rsidRDefault="00937751" w:rsidP="008A1726">
            <w:pPr>
              <w:spacing w:after="160" w:line="259" w:lineRule="auto"/>
              <w:rPr>
                <w:rFonts w:ascii="Times New Roman" w:hAnsi="Times New Roman" w:cs="Times New Roman"/>
                <w:b/>
                <w:sz w:val="24"/>
                <w:szCs w:val="24"/>
              </w:rPr>
            </w:pPr>
          </w:p>
          <w:p w14:paraId="32757280" w14:textId="77777777" w:rsidR="008A1726" w:rsidRPr="00CA0CED" w:rsidRDefault="008A1726" w:rsidP="008A1726">
            <w:pPr>
              <w:spacing w:after="160" w:line="259" w:lineRule="auto"/>
              <w:rPr>
                <w:rFonts w:ascii="Times New Roman" w:hAnsi="Times New Roman" w:cs="Times New Roman"/>
                <w:sz w:val="24"/>
                <w:szCs w:val="24"/>
              </w:rPr>
            </w:pPr>
          </w:p>
          <w:p w14:paraId="5EB66FB7"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Ține de menționat că odată cu implementarea activitățile REP se dezvoltă în paralel industria de tratare a deșeurilor. Astfel, de </w:t>
            </w:r>
            <w:proofErr w:type="spellStart"/>
            <w:r w:rsidRPr="00CA0CED">
              <w:rPr>
                <w:rFonts w:ascii="Times New Roman" w:hAnsi="Times New Roman" w:cs="Times New Roman"/>
                <w:sz w:val="24"/>
                <w:szCs w:val="24"/>
              </w:rPr>
              <w:t>rînd</w:t>
            </w:r>
            <w:proofErr w:type="spellEnd"/>
            <w:r w:rsidRPr="00CA0CED">
              <w:rPr>
                <w:rFonts w:ascii="Times New Roman" w:hAnsi="Times New Roman" w:cs="Times New Roman"/>
                <w:sz w:val="24"/>
                <w:szCs w:val="24"/>
              </w:rPr>
              <w:t xml:space="preserve"> cu întreprinderile existente în procesare deșeurilor precum</w:t>
            </w:r>
            <w:r w:rsidRPr="00CA0CED">
              <w:rPr>
                <w:rFonts w:ascii="Times New Roman" w:hAnsi="Times New Roman" w:cs="Times New Roman"/>
                <w:bCs/>
                <w:sz w:val="24"/>
                <w:szCs w:val="24"/>
              </w:rPr>
              <w:t>: ,,</w:t>
            </w:r>
            <w:proofErr w:type="spellStart"/>
            <w:r w:rsidRPr="00CA0CED">
              <w:rPr>
                <w:rFonts w:ascii="Times New Roman" w:hAnsi="Times New Roman" w:cs="Times New Roman"/>
                <w:bCs/>
                <w:sz w:val="24"/>
                <w:szCs w:val="24"/>
              </w:rPr>
              <w:t>Vetropack</w:t>
            </w:r>
            <w:proofErr w:type="spellEnd"/>
            <w:r w:rsidRPr="00CA0CED">
              <w:rPr>
                <w:rFonts w:ascii="Times New Roman" w:hAnsi="Times New Roman" w:cs="Times New Roman"/>
                <w:bCs/>
                <w:sz w:val="24"/>
                <w:szCs w:val="24"/>
              </w:rPr>
              <w:t xml:space="preserve"> Chișinău” S.A,</w:t>
            </w:r>
            <w:r w:rsidRPr="00CA0CED">
              <w:rPr>
                <w:rFonts w:ascii="Times New Roman" w:hAnsi="Times New Roman" w:cs="Times New Roman"/>
                <w:sz w:val="24"/>
                <w:szCs w:val="24"/>
              </w:rPr>
              <w:t xml:space="preserve"> </w:t>
            </w:r>
            <w:r w:rsidRPr="00CA0CED">
              <w:rPr>
                <w:rFonts w:ascii="Times New Roman" w:hAnsi="Times New Roman" w:cs="Times New Roman"/>
                <w:bCs/>
                <w:sz w:val="24"/>
                <w:szCs w:val="24"/>
              </w:rPr>
              <w:t>SA „Combinatul de Articole din Carton”, Fabrica de sticlă, și  alte companii pentru reciclarea maselor plastice, sunt autorizate companii noi în tratarea deșeurilor, precum:</w:t>
            </w:r>
          </w:p>
          <w:p w14:paraId="17E8A9CE"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SRL „ECOELASTIC LUX”-  Genul de activitate autorizat: Colectarea, transportarea și tratarea deșeurilor 16 01 03 anvelope scoase din uz.</w:t>
            </w:r>
          </w:p>
          <w:p w14:paraId="53C71402"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 xml:space="preserve">SRL „RAFMOL”,  Genul de activitate autorizat: Tratarea deșeurilor de ulei uzat. Lista deșeurilor și categoriilor de deșeuri gestionate:- 05 01 03* - 05 01 05* - 05 01 11* - 05 01 17 - 13 01 09* - 13 01 10* - 13 01 11* - 13 01 12* - 13 01 13* - 13 02 04* - 13 02 05* - 13 02 06* - 13 02 07* - 13 02 08* nămoluri provenite din rezervor scurgeri de petrol deșeuri de la spălarea combustibililor cu baze bitum uleiuri hidraulice minerale clorurate uleiuri hidraulice minerale </w:t>
            </w:r>
            <w:proofErr w:type="spellStart"/>
            <w:r w:rsidRPr="00CA0CED">
              <w:rPr>
                <w:rFonts w:ascii="Times New Roman" w:hAnsi="Times New Roman" w:cs="Times New Roman"/>
                <w:bCs/>
                <w:sz w:val="24"/>
                <w:szCs w:val="24"/>
              </w:rPr>
              <w:t>neclorurate</w:t>
            </w:r>
            <w:proofErr w:type="spellEnd"/>
            <w:r w:rsidRPr="00CA0CED">
              <w:rPr>
                <w:rFonts w:ascii="Times New Roman" w:hAnsi="Times New Roman" w:cs="Times New Roman"/>
                <w:bCs/>
                <w:sz w:val="24"/>
                <w:szCs w:val="24"/>
              </w:rPr>
              <w:t xml:space="preserve"> uleiuri hidraulice sintetice uleiuri hidraulice ușor biodegradabile alte uleiuri hidraulice uleiuri minerale clorurate de motor, de transmisie și de ungere uleiuri minerale </w:t>
            </w:r>
            <w:proofErr w:type="spellStart"/>
            <w:r w:rsidRPr="00CA0CED">
              <w:rPr>
                <w:rFonts w:ascii="Times New Roman" w:hAnsi="Times New Roman" w:cs="Times New Roman"/>
                <w:bCs/>
                <w:sz w:val="24"/>
                <w:szCs w:val="24"/>
              </w:rPr>
              <w:t>neclorurate</w:t>
            </w:r>
            <w:proofErr w:type="spellEnd"/>
            <w:r w:rsidRPr="00CA0CED">
              <w:rPr>
                <w:rFonts w:ascii="Times New Roman" w:hAnsi="Times New Roman" w:cs="Times New Roman"/>
                <w:bCs/>
                <w:sz w:val="24"/>
                <w:szCs w:val="24"/>
              </w:rPr>
              <w:t xml:space="preserve"> de motor, de transmisie și de ungere uleiuri sintetice de motor, de transmisie și de ungere uleiuri de motor, de transmisie și de ungere ușor biodegradabile alte uleiuri de motor, de transmisie și de ungere 2 - 13 03 01* - 13 03 06* - </w:t>
            </w:r>
            <w:r w:rsidRPr="00CA0CED">
              <w:rPr>
                <w:rFonts w:ascii="Times New Roman" w:hAnsi="Times New Roman" w:cs="Times New Roman"/>
                <w:bCs/>
                <w:sz w:val="24"/>
                <w:szCs w:val="24"/>
              </w:rPr>
              <w:lastRenderedPageBreak/>
              <w:t xml:space="preserve">13 03 07* - 13 03 08* - 13 03 09* - 13 03 10* - 13 07 01* - 13 07 02* - 13 07 03* uleiuri izolante și de transmitere a căldurii cu conținut de BPC uleiuri minerale clorurate izolante și de transmitere a căldurii, altele decât cele specificate la 13 03 01 uleiuri minerale </w:t>
            </w:r>
            <w:proofErr w:type="spellStart"/>
            <w:r w:rsidRPr="00CA0CED">
              <w:rPr>
                <w:rFonts w:ascii="Times New Roman" w:hAnsi="Times New Roman" w:cs="Times New Roman"/>
                <w:bCs/>
                <w:sz w:val="24"/>
                <w:szCs w:val="24"/>
              </w:rPr>
              <w:t>neclorurate</w:t>
            </w:r>
            <w:proofErr w:type="spellEnd"/>
            <w:r w:rsidRPr="00CA0CED">
              <w:rPr>
                <w:rFonts w:ascii="Times New Roman" w:hAnsi="Times New Roman" w:cs="Times New Roman"/>
                <w:bCs/>
                <w:sz w:val="24"/>
                <w:szCs w:val="24"/>
              </w:rPr>
              <w:t xml:space="preserve"> izolante și de transmitere a căldurii uleiuri sintetice izolante și de transmitere a căldurii uleiuri izolante și de transmitere a căldurii ușor biodegradabile alte uleiuri izolante și de transmitere a căldurii păcură și combustibil diesel benzină alți combustibili (inclusiv amestecuri).</w:t>
            </w:r>
          </w:p>
          <w:p w14:paraId="17577835"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„LAFARGE CIMENT (MOLDOVA)” SA</w:t>
            </w:r>
            <w:r w:rsidRPr="00CA0CED">
              <w:rPr>
                <w:rFonts w:ascii="Times New Roman" w:hAnsi="Times New Roman" w:cs="Times New Roman"/>
                <w:sz w:val="24"/>
                <w:szCs w:val="24"/>
              </w:rPr>
              <w:t xml:space="preserve"> Genul de activitate autorizat: Tratarea și </w:t>
            </w:r>
            <w:proofErr w:type="spellStart"/>
            <w:r w:rsidRPr="00CA0CED">
              <w:rPr>
                <w:rFonts w:ascii="Times New Roman" w:hAnsi="Times New Roman" w:cs="Times New Roman"/>
                <w:sz w:val="24"/>
                <w:szCs w:val="24"/>
              </w:rPr>
              <w:t>coincinerarea</w:t>
            </w:r>
            <w:proofErr w:type="spellEnd"/>
            <w:r w:rsidRPr="00CA0CED">
              <w:rPr>
                <w:rFonts w:ascii="Times New Roman" w:hAnsi="Times New Roman" w:cs="Times New Roman"/>
                <w:sz w:val="24"/>
                <w:szCs w:val="24"/>
              </w:rPr>
              <w:t xml:space="preserve"> deșeurilor operațiune de valorificare R1. Conform Anexei nr.31 tabelul  1, a Legii nr.209/2016 privind deșeurile, activitatea este „</w:t>
            </w:r>
            <w:proofErr w:type="spellStart"/>
            <w:r w:rsidRPr="00CA0CED">
              <w:rPr>
                <w:rFonts w:ascii="Times New Roman" w:hAnsi="Times New Roman" w:cs="Times New Roman"/>
                <w:sz w:val="24"/>
                <w:szCs w:val="24"/>
              </w:rPr>
              <w:t>Coincinerarea</w:t>
            </w:r>
            <w:proofErr w:type="spellEnd"/>
            <w:r w:rsidRPr="00CA0CED">
              <w:rPr>
                <w:rFonts w:ascii="Times New Roman" w:hAnsi="Times New Roman" w:cs="Times New Roman"/>
                <w:sz w:val="24"/>
                <w:szCs w:val="24"/>
              </w:rPr>
              <w:t xml:space="preserve"> deșeurilor într-o fabrică de ciment”. </w:t>
            </w:r>
            <w:r w:rsidRPr="00CA0CED">
              <w:rPr>
                <w:rFonts w:ascii="Times New Roman" w:hAnsi="Times New Roman" w:cs="Times New Roman"/>
                <w:bCs/>
                <w:sz w:val="24"/>
                <w:szCs w:val="24"/>
              </w:rPr>
              <w:t xml:space="preserve">Lista deșeurilor și categoriilor de deșeuri gestionate: circa 40 de tipuri, inclusiv </w:t>
            </w:r>
            <w:r w:rsidRPr="00CA0CED">
              <w:rPr>
                <w:rFonts w:ascii="Times New Roman" w:hAnsi="Times New Roman" w:cs="Times New Roman"/>
                <w:sz w:val="24"/>
                <w:szCs w:val="24"/>
              </w:rPr>
              <w:t xml:space="preserve"> </w:t>
            </w:r>
            <w:r w:rsidRPr="00CA0CED">
              <w:rPr>
                <w:rFonts w:ascii="Times New Roman" w:hAnsi="Times New Roman" w:cs="Times New Roman"/>
                <w:bCs/>
                <w:sz w:val="24"/>
                <w:szCs w:val="24"/>
              </w:rPr>
              <w:t>15 01 01 ambalaje de hârtie și carton R1; 15 01 02 ambalaje de materiale plastice R1 15 01 03; ambalaje de lemn R1 15 01 05; ambalaje de materiale compozite R1 15 01 06; ambalaje amestecate R1 15 01 09; ambalaje din materiale textile R1 16 01 03; anvelope scoase din uz R1 16 01 19; materiale plastice R1 17 02 01; lemn R1, 20 01 01; hârtie și carton R1 20 01 10; îmbrăcăminte R1 20 01 11; materiale textile R1 20 01 38 lemn, altul decât cel specificat la 20 01 37 R1; 20 01 39 materiale plastice R1.</w:t>
            </w:r>
          </w:p>
          <w:p w14:paraId="11AB36D0" w14:textId="77777777" w:rsidR="008A1726" w:rsidRPr="00CA0CED" w:rsidRDefault="008A1726" w:rsidP="008A1726">
            <w:pPr>
              <w:spacing w:after="160" w:line="259" w:lineRule="auto"/>
              <w:rPr>
                <w:rFonts w:ascii="Times New Roman" w:hAnsi="Times New Roman" w:cs="Times New Roman"/>
                <w:sz w:val="24"/>
                <w:szCs w:val="24"/>
              </w:rPr>
            </w:pPr>
          </w:p>
          <w:p w14:paraId="70628DD2"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Actele normative care vizează REP  sunt:</w:t>
            </w:r>
          </w:p>
          <w:p w14:paraId="0FE79D57"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Legea privind deșeurile nr. 209/2016 </w:t>
            </w:r>
            <w:r w:rsidRPr="00CA0CED">
              <w:rPr>
                <w:rFonts w:ascii="Times New Roman" w:hAnsi="Times New Roman" w:cs="Times New Roman"/>
                <w:sz w:val="24"/>
                <w:szCs w:val="24"/>
              </w:rPr>
              <w:tab/>
            </w:r>
          </w:p>
          <w:p w14:paraId="438BC362"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Regulamentul privind ambalajele și deșeurile de ambalaje, aprobat prin  Hotărârea Guvernului nr. 561/2020 </w:t>
            </w:r>
          </w:p>
          <w:p w14:paraId="63D369F4"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Regulamentul privind gestionarea vehiculelor scoase din uz, HG aprobat prin  Hotărârea Guvernului nr. 93/2023.</w:t>
            </w:r>
          </w:p>
          <w:p w14:paraId="4094B04C"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Regulamentul privind deșeurile de echipamente electrice și electronice (DEEE), aprobat prin  Hotărârea Guvernului  nr. 212/2018.  </w:t>
            </w:r>
          </w:p>
          <w:p w14:paraId="233C3AB6"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Regulamentul privind gestionarea bateriilor și acumulatorilor, deșeurilor de baterii și acumulatori, aprobat prin  Hotărârea Guvernului nr. 586/2020 </w:t>
            </w:r>
          </w:p>
          <w:p w14:paraId="58A52F8F"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Regulamentul privind gestionarea uleiurilor uzate, aprobat prin  Hotărârea Guvernului nr. 731/2022.</w:t>
            </w:r>
          </w:p>
          <w:p w14:paraId="541E59D0"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Regulamentul privind gestionarea anvelopelor uzate, aprobat prin  Hotărârea Guvernului nr. 610/2022.</w:t>
            </w:r>
          </w:p>
          <w:p w14:paraId="2B686ABD" w14:textId="77777777" w:rsidR="008A1726" w:rsidRPr="00CA0CED" w:rsidRDefault="008A1726" w:rsidP="008A1726">
            <w:pPr>
              <w:spacing w:after="160" w:line="259" w:lineRule="auto"/>
              <w:rPr>
                <w:rFonts w:ascii="Times New Roman" w:hAnsi="Times New Roman" w:cs="Times New Roman"/>
                <w:sz w:val="24"/>
                <w:szCs w:val="24"/>
              </w:rPr>
            </w:pPr>
          </w:p>
          <w:p w14:paraId="5FD396E5"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Problemele care impun intervenția:</w:t>
            </w:r>
          </w:p>
          <w:p w14:paraId="5350BEE9"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Legislația actuală privind REP nu definește clar responsabilitățile producătorilor, domeniul de aplicare, excepțiile și obligațiile legate de planurile de operare și raportare.</w:t>
            </w:r>
          </w:p>
          <w:p w14:paraId="5BB8C3D0"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lastRenderedPageBreak/>
              <w:t>Nu este clar în ce condiții agenții economici care plasează  pe piață produse REP sunt considerați producători sau situațiile în care nu sunt producători, dar respectă cerințele de colectare separată și predare operatorului autorizat.</w:t>
            </w:r>
          </w:p>
          <w:p w14:paraId="5A3CF43A"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Cooperare slabă între sistemele colective și autoritățile publice locale în vederea stabilirii sistemului complementar de colectare a deșeurilor de produse supuse REP</w:t>
            </w:r>
          </w:p>
          <w:p w14:paraId="6F7243F6"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Sisteme slabe pentru colectarea, sortarea și reciclarea deșeurilor de ambalaje, EEE și alte deșeuri prioritare.</w:t>
            </w:r>
          </w:p>
          <w:p w14:paraId="0DA62DFB"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Mecanismele actuale de urmărire a conformării producătorilor și importatorilor sunt slab dezvoltate și ineficiente</w:t>
            </w:r>
          </w:p>
          <w:p w14:paraId="3B3EA22B"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Nu există mecanisme eficiente de verificare a activității sistemelor individuale și colective, ceea ce creează riscuri de raportări false și utilizare ineficientă a fondurilor colectate.</w:t>
            </w:r>
          </w:p>
          <w:p w14:paraId="6CE016FF"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Producătorii care se conformează suportă costuri de aderare la sistem REP sau de crearea a acestuia, în timp ce cei care nu se conformează evită contribuțiile, </w:t>
            </w:r>
            <w:proofErr w:type="spellStart"/>
            <w:r w:rsidRPr="00CA0CED">
              <w:rPr>
                <w:rFonts w:ascii="Times New Roman" w:hAnsi="Times New Roman" w:cs="Times New Roman"/>
                <w:sz w:val="24"/>
                <w:szCs w:val="24"/>
              </w:rPr>
              <w:t>creînd</w:t>
            </w:r>
            <w:proofErr w:type="spellEnd"/>
            <w:r w:rsidRPr="00CA0CED">
              <w:rPr>
                <w:rFonts w:ascii="Times New Roman" w:hAnsi="Times New Roman" w:cs="Times New Roman"/>
                <w:sz w:val="24"/>
                <w:szCs w:val="24"/>
              </w:rPr>
              <w:t xml:space="preserve"> concurență neloială</w:t>
            </w:r>
          </w:p>
          <w:p w14:paraId="6BDF2A7F"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Fondurile colectate în cadrul REP nu sunt direcționate transparent și eficient spre investiții în infrastructură sau </w:t>
            </w:r>
            <w:proofErr w:type="spellStart"/>
            <w:r w:rsidRPr="00CA0CED">
              <w:rPr>
                <w:rFonts w:ascii="Times New Roman" w:hAnsi="Times New Roman" w:cs="Times New Roman"/>
                <w:sz w:val="24"/>
                <w:szCs w:val="24"/>
              </w:rPr>
              <w:t>acţiuni</w:t>
            </w:r>
            <w:proofErr w:type="spellEnd"/>
            <w:r w:rsidRPr="00CA0CED">
              <w:rPr>
                <w:rFonts w:ascii="Times New Roman" w:hAnsi="Times New Roman" w:cs="Times New Roman"/>
                <w:sz w:val="24"/>
                <w:szCs w:val="24"/>
              </w:rPr>
              <w:t xml:space="preserve"> de sporire a conștientizării</w:t>
            </w:r>
          </w:p>
          <w:p w14:paraId="6B6E3FB2"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Lipsa punctelor de colectare, instalațiilor de sortare și capacităților de reciclare împiedică implementarea eficientă a REP.</w:t>
            </w:r>
          </w:p>
          <w:p w14:paraId="7F8E8FB7"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Consumatorii nu sunt suficient informați cu privire la modalitățile corecte de gestionare a deșeurilor asociate produselor supuse REP.</w:t>
            </w:r>
          </w:p>
          <w:p w14:paraId="1B2C49A8"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Pentru a avansa implementarea REP în Republica Moldova, este necesar: Pentru a avansa implementarea REP în Republica Moldova, este necesar:</w:t>
            </w:r>
          </w:p>
          <w:p w14:paraId="0D127459"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Revizuirea și completarea cadrului normativ pentru a înlătura inconsistențele legislative.</w:t>
            </w:r>
          </w:p>
          <w:p w14:paraId="1806244B"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Crearea unor mecanisme clare de monitorizare, raportare și sancționare.</w:t>
            </w:r>
          </w:p>
          <w:p w14:paraId="3EAB204C"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Dezvoltarea infrastructurii de gestionare a deșeurilor și promovarea investițiilor în tehnologii de reciclare.</w:t>
            </w:r>
          </w:p>
          <w:p w14:paraId="4602CF49"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Stimularea participării producătorilor prin măsuri economice și educarea consumatorilor pentru adoptarea practicilor de reciclare.</w:t>
            </w:r>
          </w:p>
          <w:p w14:paraId="74D70EE4"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Consolidarea cooperării interinstituționale pentru a coordona implementarea REP la nivel național.</w:t>
            </w:r>
          </w:p>
        </w:tc>
      </w:tr>
      <w:tr w:rsidR="008A1726" w:rsidRPr="00CA0CED" w14:paraId="3AE55DEC"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6BAF3085"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lastRenderedPageBreak/>
              <w:t>3. Obiectivele urmărite și soluțiile propuse</w:t>
            </w:r>
          </w:p>
        </w:tc>
      </w:tr>
      <w:tr w:rsidR="008A1726" w:rsidRPr="00CA0CED" w14:paraId="16BE850C" w14:textId="77777777" w:rsidTr="008A1726">
        <w:tc>
          <w:tcPr>
            <w:tcW w:w="9109" w:type="dxa"/>
            <w:tcBorders>
              <w:top w:val="nil"/>
              <w:left w:val="single" w:sz="8" w:space="0" w:color="000000"/>
              <w:bottom w:val="single" w:sz="8" w:space="0" w:color="000000"/>
              <w:right w:val="single" w:sz="8" w:space="0" w:color="000000"/>
            </w:tcBorders>
            <w:shd w:val="clear" w:color="auto" w:fill="F2F2F2" w:themeFill="background1" w:themeFillShade="F2"/>
            <w:hideMark/>
          </w:tcPr>
          <w:p w14:paraId="0C50E71A"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3.1. Principalele prevederi ale proiectului și evidențierea elementelor noi</w:t>
            </w:r>
          </w:p>
        </w:tc>
      </w:tr>
      <w:tr w:rsidR="008A1726" w:rsidRPr="00CA0CED" w14:paraId="32C956DE" w14:textId="77777777" w:rsidTr="008A1726">
        <w:tc>
          <w:tcPr>
            <w:tcW w:w="9109" w:type="dxa"/>
            <w:tcBorders>
              <w:top w:val="nil"/>
              <w:left w:val="single" w:sz="8" w:space="0" w:color="000000"/>
              <w:bottom w:val="single" w:sz="8" w:space="0" w:color="000000"/>
              <w:right w:val="single" w:sz="8" w:space="0" w:color="000000"/>
            </w:tcBorders>
          </w:tcPr>
          <w:p w14:paraId="2602E478"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Obiectivele propuse:</w:t>
            </w:r>
          </w:p>
          <w:p w14:paraId="58039188"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lastRenderedPageBreak/>
              <w:t>Consolidarea cadrului legal privind REP, pentru a asigura aplicarea coerentă și eficientă a principiului „poluatorul plătește”.</w:t>
            </w:r>
          </w:p>
          <w:p w14:paraId="1BF2E241"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Crearea unui sistem național funcțional, transparent și eficient de responsabilitate extinsă a producătorului, aplicabil pentru toate fluxurile de deșeuri.</w:t>
            </w:r>
          </w:p>
          <w:p w14:paraId="4FDE94E7"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Creșterea gradului de conformare a producătorilor și importatorilor cu cerințele REP prin mecanisme eficiente de monitorizare, raportare și control.</w:t>
            </w:r>
          </w:p>
          <w:p w14:paraId="29035216"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Asigurarea infrastructurii necesare pentru colectare, sortare și reciclare, corelată cu cerințele REP și cu obiectivele de economie circulară.</w:t>
            </w:r>
          </w:p>
          <w:p w14:paraId="7F70EC9B"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Implicarea activă a tuturor actorilor (sisteme individuale sau colective, producători/importatori, distribuitori, APL, consumatori) în implementarea și respectarea REP.</w:t>
            </w:r>
          </w:p>
          <w:p w14:paraId="2A31F59D"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Creșterea gradului de informare a populației privind importanța gestionării corecte a deșeurilor și rolul REP.</w:t>
            </w:r>
          </w:p>
          <w:p w14:paraId="59A852E3" w14:textId="77777777" w:rsidR="008A1726" w:rsidRPr="00CA0CED" w:rsidRDefault="008A1726" w:rsidP="00F9222F">
            <w:pPr>
              <w:spacing w:after="160" w:line="259" w:lineRule="auto"/>
              <w:jc w:val="both"/>
              <w:rPr>
                <w:rFonts w:ascii="Times New Roman" w:hAnsi="Times New Roman" w:cs="Times New Roman"/>
                <w:bCs/>
                <w:sz w:val="24"/>
                <w:szCs w:val="24"/>
              </w:rPr>
            </w:pPr>
          </w:p>
          <w:p w14:paraId="2980B9EA"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Proiectul de Hotărâre a Guvernului  pentru modificarea unor hotărâri ale Guvernului </w:t>
            </w:r>
            <w:r w:rsidRPr="00CA0CED">
              <w:rPr>
                <w:rFonts w:ascii="Times New Roman" w:hAnsi="Times New Roman" w:cs="Times New Roman"/>
                <w:sz w:val="24"/>
                <w:szCs w:val="24"/>
              </w:rPr>
              <w:t>conține completări într-un șir de articole în vederea ajustării acestora la prevederile Legii nr. 209/2016 privind deșeurile, după cum urmează:</w:t>
            </w:r>
          </w:p>
          <w:p w14:paraId="4A690B9E"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Introduce modificări în materie de responsabilitate extinsă a producătorilor pentru a clarifica responsabilitatea financiară sau financiară și organizatorică pentru gestionarea deșeurilor de produse suspuse REP, inclusiv colectarea separată și operațiunile de sortare și tratare. </w:t>
            </w:r>
          </w:p>
          <w:p w14:paraId="3AEF7C6C"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Precizează că producătorii de produse, conform art.12  </w:t>
            </w:r>
            <w:r w:rsidRPr="00CA0CED">
              <w:rPr>
                <w:rFonts w:ascii="Times New Roman" w:hAnsi="Times New Roman" w:cs="Times New Roman"/>
                <w:i/>
                <w:sz w:val="24"/>
                <w:szCs w:val="24"/>
              </w:rPr>
              <w:t>acoperă costurile necesare pentru îndeplinirea obiectivelor privind gestionarea deșeurilor și a altor ținte și obiective</w:t>
            </w:r>
            <w:r w:rsidRPr="00CA0CED">
              <w:rPr>
                <w:rFonts w:ascii="Times New Roman" w:hAnsi="Times New Roman" w:cs="Times New Roman"/>
                <w:sz w:val="24"/>
                <w:szCs w:val="24"/>
              </w:rPr>
              <w:t xml:space="preserve">, inclusiv privind prevenirea deșeurilor, stabilite pentru schemele relevante de răspundere extinsă a producătorilor. </w:t>
            </w:r>
          </w:p>
          <w:p w14:paraId="108514C7"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Precizează obligațiile în funcție de scopul importului produsului: pentru consum propriu sau comercializare </w:t>
            </w:r>
          </w:p>
          <w:p w14:paraId="5C7ACC17"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Stabilesc cerințe obligatorii de semnare a contractului cu autoritățile publice locale pentru stabilirea sistemului complementar de gestionare a deșeurilor municipale pentru baterii, echipamente electrice și electronice și ambalaje.</w:t>
            </w:r>
          </w:p>
          <w:p w14:paraId="6DF4783A"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Uniformizarea prevederilor ce țin de stabilirea punctelor de colectare și rolul autorităților publice locale și operatorului de salubrizare în crearea sistemului complementar de gestionare a deșeurilor municipale  </w:t>
            </w:r>
          </w:p>
          <w:p w14:paraId="56B53C29"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Uniformizarea noțiunilor între regulamente și Legea privind deșeurile nr. 209/2016</w:t>
            </w:r>
          </w:p>
          <w:p w14:paraId="01D1CABD"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cerințelor de țin de stabilirea și aprobarea costurilor operaționale de gestionare a produselor REP și a tarifului de preluare a responsabilității  </w:t>
            </w:r>
          </w:p>
          <w:p w14:paraId="685B5FF7"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Completarea conținutului planului operațional cu precizări </w:t>
            </w:r>
          </w:p>
          <w:p w14:paraId="147D867D" w14:textId="77777777" w:rsidR="008A1726" w:rsidRPr="00CA0CED" w:rsidRDefault="008A1726" w:rsidP="00F9222F">
            <w:pPr>
              <w:spacing w:after="160" w:line="259" w:lineRule="auto"/>
              <w:jc w:val="both"/>
              <w:rPr>
                <w:rFonts w:ascii="Times New Roman" w:hAnsi="Times New Roman" w:cs="Times New Roman"/>
                <w:sz w:val="24"/>
                <w:szCs w:val="24"/>
              </w:rPr>
            </w:pPr>
          </w:p>
          <w:p w14:paraId="2E9D2847"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Astfel, în </w:t>
            </w:r>
            <w:r w:rsidRPr="00CA0CED">
              <w:rPr>
                <w:rFonts w:ascii="Times New Roman" w:hAnsi="Times New Roman" w:cs="Times New Roman"/>
                <w:bCs/>
                <w:sz w:val="24"/>
                <w:szCs w:val="24"/>
              </w:rPr>
              <w:t xml:space="preserve">Hotărâre a Guvernului  nr. </w:t>
            </w:r>
            <w:r w:rsidRPr="00CA0CED">
              <w:rPr>
                <w:rFonts w:ascii="Times New Roman" w:hAnsi="Times New Roman" w:cs="Times New Roman"/>
                <w:sz w:val="24"/>
                <w:szCs w:val="24"/>
              </w:rPr>
              <w:t xml:space="preserve">561 /2020 </w:t>
            </w:r>
            <w:r w:rsidRPr="00CA0CED">
              <w:rPr>
                <w:rFonts w:ascii="Times New Roman" w:hAnsi="Times New Roman" w:cs="Times New Roman"/>
                <w:bCs/>
                <w:sz w:val="24"/>
                <w:szCs w:val="24"/>
              </w:rPr>
              <w:t>pentru aprobarea Regulamentului</w:t>
            </w:r>
            <w:r w:rsidRPr="00CA0CED">
              <w:rPr>
                <w:rFonts w:ascii="Times New Roman" w:hAnsi="Times New Roman" w:cs="Times New Roman"/>
                <w:bCs/>
                <w:sz w:val="24"/>
                <w:szCs w:val="24"/>
              </w:rPr>
              <w:br/>
              <w:t xml:space="preserve">privind ambalajele și deșeurile de ambalaje se vor include următoarele modificări </w:t>
            </w:r>
          </w:p>
          <w:p w14:paraId="5E1EEE7A"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noțiunii de producător, introducerea unui șir de noțiuni noi precum:   ambalaj de vânzare, </w:t>
            </w:r>
            <w:r w:rsidRPr="00CA0CED">
              <w:rPr>
                <w:rFonts w:ascii="Times New Roman" w:hAnsi="Times New Roman" w:cs="Times New Roman"/>
                <w:iCs/>
                <w:sz w:val="24"/>
                <w:szCs w:val="24"/>
              </w:rPr>
              <w:t xml:space="preserve"> ambalaj pentru comerț electronic</w:t>
            </w:r>
            <w:r w:rsidRPr="00CA0CED">
              <w:rPr>
                <w:rFonts w:ascii="Times New Roman" w:hAnsi="Times New Roman" w:cs="Times New Roman"/>
                <w:sz w:val="24"/>
                <w:szCs w:val="24"/>
              </w:rPr>
              <w:t xml:space="preserve">, </w:t>
            </w:r>
            <w:r w:rsidRPr="00CA0CED">
              <w:rPr>
                <w:rFonts w:ascii="Times New Roman" w:hAnsi="Times New Roman" w:cs="Times New Roman"/>
                <w:iCs/>
                <w:sz w:val="24"/>
                <w:szCs w:val="24"/>
              </w:rPr>
              <w:t xml:space="preserve"> ambalaj pentru servire la pachet</w:t>
            </w:r>
            <w:r w:rsidRPr="00CA0CED">
              <w:rPr>
                <w:rFonts w:ascii="Times New Roman" w:hAnsi="Times New Roman" w:cs="Times New Roman"/>
                <w:sz w:val="24"/>
                <w:szCs w:val="24"/>
              </w:rPr>
              <w:t xml:space="preserve">,  ambalaj reutilizabil,   ambalaj reutilizabil SD,  ambalaj de unică folosință,  ambalaj de unica folosința SD,  ambalaj compozit,  consumator,  consum propriu, distribuitor, distribuitor final, fabricant </w:t>
            </w:r>
          </w:p>
          <w:p w14:paraId="63AFB17C"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furnizor, reutilizare, reumplere, rotație, importator, </w:t>
            </w:r>
            <w:r w:rsidRPr="00CA0CED">
              <w:rPr>
                <w:rFonts w:ascii="Times New Roman" w:hAnsi="Times New Roman" w:cs="Times New Roman"/>
                <w:iCs/>
                <w:sz w:val="24"/>
                <w:szCs w:val="24"/>
              </w:rPr>
              <w:t xml:space="preserve"> utilizator final</w:t>
            </w:r>
            <w:r w:rsidRPr="00CA0CED">
              <w:rPr>
                <w:rFonts w:ascii="Times New Roman" w:hAnsi="Times New Roman" w:cs="Times New Roman"/>
                <w:sz w:val="24"/>
                <w:szCs w:val="24"/>
              </w:rPr>
              <w:t xml:space="preserve">.  Au fost precizate tipurile de sisteme de colectare și returnare, obligația de încheiere a contractelor cu APL, finanțarea sistemului de colectare, precizarea cerințelor față de sistemul depozit și sistemul de colectare al ambalajelor suspuse SD și a celor rămase, modul de prezentare și verificare planului de operare. La fel, se propune modificarea țintelor de valorificare. </w:t>
            </w:r>
          </w:p>
          <w:p w14:paraId="6638C2DA" w14:textId="77777777" w:rsidR="008A1726" w:rsidRPr="00CA0CED" w:rsidRDefault="008A1726" w:rsidP="00F9222F">
            <w:pPr>
              <w:spacing w:after="160" w:line="259" w:lineRule="auto"/>
              <w:jc w:val="both"/>
              <w:rPr>
                <w:rFonts w:ascii="Times New Roman" w:hAnsi="Times New Roman" w:cs="Times New Roman"/>
                <w:sz w:val="24"/>
                <w:szCs w:val="24"/>
              </w:rPr>
            </w:pPr>
          </w:p>
          <w:p w14:paraId="2A98191C"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În Hotărârea Guvernului nr. </w:t>
            </w:r>
            <w:r w:rsidRPr="00CA0CED">
              <w:rPr>
                <w:rFonts w:ascii="Times New Roman" w:hAnsi="Times New Roman" w:cs="Times New Roman"/>
                <w:sz w:val="24"/>
                <w:szCs w:val="24"/>
              </w:rPr>
              <w:t xml:space="preserve">212/2018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Regulamentul privind deșeurile de echipamente electrice și electronice (DEEE), au fost propuse următoarele modificări:</w:t>
            </w:r>
          </w:p>
          <w:p w14:paraId="280820F0" w14:textId="77777777" w:rsidR="008A1726" w:rsidRPr="00CA0CED" w:rsidRDefault="008A1726" w:rsidP="00F9222F">
            <w:pPr>
              <w:spacing w:after="160" w:line="259" w:lineRule="auto"/>
              <w:jc w:val="both"/>
              <w:rPr>
                <w:rFonts w:ascii="Times New Roman" w:hAnsi="Times New Roman" w:cs="Times New Roman"/>
                <w:sz w:val="24"/>
                <w:szCs w:val="24"/>
              </w:rPr>
            </w:pPr>
          </w:p>
          <w:p w14:paraId="5AE461E4"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noțiunii de producător, plasare pe piață, consum propriu, trecerea la 6 categorii de EEE, completarea excepțiilor de la prevederilor Regulamentului, stabilirea punctelor de colectare în colaborare cu APL, precizarea obligațiilor persoanelor fizice au juridice care importă produse pentru uz propriu, nerealizând activitatea cu titlu profesional, precizarea cerințelor de țin de stabilirea și aprobarea costurilor operaționale de gestionare și tarifului de preluare a REP, includerea standardelor din domeniul tratării, inclusiv valorificării, reciclării și pregătirii pentru reutilizare a deșeurilor de echipamente electrice și electronice, includerea metodologiei comune pentru calculul greutății EEE plasate pe piață și metodologia comună pentru calculul cantității de DEEE generate, obligația de încheiere a contractelor cu APL, finanțarea sistemului de colectare, modul de prezentare și verificare planului de operare, revizuirea țintelor de valorificare pe cele 6 categorii. </w:t>
            </w:r>
          </w:p>
          <w:p w14:paraId="068C4558" w14:textId="77777777" w:rsidR="008A1726" w:rsidRPr="00CA0CED" w:rsidRDefault="008A1726" w:rsidP="00F9222F">
            <w:pPr>
              <w:spacing w:after="160" w:line="259" w:lineRule="auto"/>
              <w:jc w:val="both"/>
              <w:rPr>
                <w:rFonts w:ascii="Times New Roman" w:hAnsi="Times New Roman" w:cs="Times New Roman"/>
                <w:sz w:val="24"/>
                <w:szCs w:val="24"/>
              </w:rPr>
            </w:pPr>
          </w:p>
          <w:p w14:paraId="4E4CE875"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În Hotărârea Guvernului nr. </w:t>
            </w:r>
            <w:r w:rsidRPr="00CA0CED">
              <w:rPr>
                <w:rFonts w:ascii="Times New Roman" w:hAnsi="Times New Roman" w:cs="Times New Roman"/>
                <w:sz w:val="24"/>
                <w:szCs w:val="24"/>
              </w:rPr>
              <w:t xml:space="preserve">586/2020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 xml:space="preserve">Regulamentul privind gestionarea bateriilor și acumulatorilor și deșeurilor de baterii și acumulatori, au fost precizate următoarele aspecte: </w:t>
            </w:r>
          </w:p>
          <w:p w14:paraId="777E9FC6" w14:textId="77777777" w:rsidR="008A1726" w:rsidRPr="00CA0CED" w:rsidRDefault="008A1726" w:rsidP="00F9222F">
            <w:pPr>
              <w:spacing w:after="160" w:line="259" w:lineRule="auto"/>
              <w:jc w:val="both"/>
              <w:rPr>
                <w:rFonts w:ascii="Times New Roman" w:hAnsi="Times New Roman" w:cs="Times New Roman"/>
                <w:sz w:val="24"/>
                <w:szCs w:val="24"/>
              </w:rPr>
            </w:pPr>
          </w:p>
          <w:p w14:paraId="4FC475E0"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noțiunii de producător, plasare pe piață, consum propriu, completarea excepțiilor de la prevederilor Regulamentului, stabilirea punctelor de colectare în colaborare cu APL, precizarea diferențelor dintre DBA portabili și acumulatori, precizarea obligațiilor persoanelor fizice au juridice care importă produse pentru uz propriu, precizarea cerințelor de țin de stabilirea și aprobarea costurilor operaționale de gestionare și a tarifului de preluare, includerea standardelor din domeniul tratării, inclusiv valorificării, reciclării și pregătirii </w:t>
            </w:r>
            <w:r w:rsidRPr="00CA0CED">
              <w:rPr>
                <w:rFonts w:ascii="Times New Roman" w:hAnsi="Times New Roman" w:cs="Times New Roman"/>
                <w:sz w:val="24"/>
                <w:szCs w:val="24"/>
              </w:rPr>
              <w:lastRenderedPageBreak/>
              <w:t xml:space="preserve">pentru reutilizare a deșeurilor de baterii, obligația de încheiere a contractelor cu APL, finanțarea sistemului de colectare, modul de prezentare și verificare planului de operare, revizuirea țintelor de colectare. </w:t>
            </w:r>
          </w:p>
          <w:p w14:paraId="3EEAF176" w14:textId="77777777" w:rsidR="008A1726" w:rsidRPr="00CA0CED" w:rsidRDefault="008A1726" w:rsidP="00F9222F">
            <w:pPr>
              <w:spacing w:after="160" w:line="259" w:lineRule="auto"/>
              <w:jc w:val="both"/>
              <w:rPr>
                <w:rFonts w:ascii="Times New Roman" w:hAnsi="Times New Roman" w:cs="Times New Roman"/>
                <w:sz w:val="24"/>
                <w:szCs w:val="24"/>
              </w:rPr>
            </w:pPr>
          </w:p>
          <w:p w14:paraId="563E0299"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Ce țin de prevederile Hotărârii Guvernului nr. </w:t>
            </w:r>
            <w:r w:rsidRPr="00CA0CED">
              <w:rPr>
                <w:rFonts w:ascii="Times New Roman" w:hAnsi="Times New Roman" w:cs="Times New Roman"/>
                <w:sz w:val="24"/>
                <w:szCs w:val="24"/>
              </w:rPr>
              <w:t xml:space="preserve">610/2022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 xml:space="preserve">Regulamentul privind gestionarea anvelopelor uzate au fost propuse: </w:t>
            </w:r>
          </w:p>
          <w:p w14:paraId="23F69368" w14:textId="77777777" w:rsidR="008A1726" w:rsidRPr="00CA0CED" w:rsidRDefault="008A1726" w:rsidP="00F9222F">
            <w:pPr>
              <w:spacing w:after="160" w:line="259" w:lineRule="auto"/>
              <w:jc w:val="both"/>
              <w:rPr>
                <w:rFonts w:ascii="Times New Roman" w:hAnsi="Times New Roman" w:cs="Times New Roman"/>
                <w:sz w:val="24"/>
                <w:szCs w:val="24"/>
              </w:rPr>
            </w:pPr>
          </w:p>
          <w:p w14:paraId="4581BEDE"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Precizarea noțiunii de producător, plasare pe piață, consum propriu, stabilirea punctelor de colectare, precizarea obligațiilor persoanelor fizice au juridice care importă produse pentru uz propriu, precizarea cerințelor față de sistemele individuale și colective, precizarea cerințelor de țin de stabilirea și aprobarea costurilor operaționale de gestionare și a tarifului de preluare a responsabilității, finanțarea sistemului de colectare, modul de prezentare și verificare planului de operare.</w:t>
            </w:r>
          </w:p>
          <w:p w14:paraId="1D842C6F"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 </w:t>
            </w:r>
          </w:p>
          <w:p w14:paraId="72A9535F"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În Hotărârea Guvernului nr. </w:t>
            </w:r>
            <w:r w:rsidRPr="00CA0CED">
              <w:rPr>
                <w:rFonts w:ascii="Times New Roman" w:hAnsi="Times New Roman" w:cs="Times New Roman"/>
                <w:sz w:val="24"/>
                <w:szCs w:val="24"/>
              </w:rPr>
              <w:t xml:space="preserve">731/2022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Regulamentul privind gestionarea uleiurilor uzate, au fost precizate unele aspecte:</w:t>
            </w:r>
          </w:p>
          <w:p w14:paraId="64F0546D" w14:textId="77777777" w:rsidR="008A1726" w:rsidRPr="00CA0CED" w:rsidRDefault="008A1726" w:rsidP="00F9222F">
            <w:pPr>
              <w:spacing w:after="160" w:line="259" w:lineRule="auto"/>
              <w:jc w:val="both"/>
              <w:rPr>
                <w:rFonts w:ascii="Times New Roman" w:hAnsi="Times New Roman" w:cs="Times New Roman"/>
                <w:sz w:val="24"/>
                <w:szCs w:val="24"/>
              </w:rPr>
            </w:pPr>
          </w:p>
          <w:p w14:paraId="72E3CF9B"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Precizarea noțiunii de producător, plasare pe piață,  consum propriu, includerea categoriilor de ulei exceptate de la prevederile HG, modificarea Anexei cu tipurile de ulei din domeniul de aplicare al Regulamentului, stabilirea punctelor de colectare, precizarea obligațiilor persoanelor fizice au juridice care importă produse pentru uz propriu, precizarea cerințelor de țin de stabilirea și aprobarea costurilor operaționale de gestionare și a tarifului de preluare a responsabilității, finanțarea sistemului de colectare, modul de prezentare și verificare planului de operare.</w:t>
            </w:r>
          </w:p>
          <w:p w14:paraId="28A070BC" w14:textId="77777777" w:rsidR="008A1726" w:rsidRPr="00CA0CED" w:rsidRDefault="008A1726" w:rsidP="00F9222F">
            <w:pPr>
              <w:spacing w:after="160" w:line="259" w:lineRule="auto"/>
              <w:jc w:val="both"/>
              <w:rPr>
                <w:rFonts w:ascii="Times New Roman" w:hAnsi="Times New Roman" w:cs="Times New Roman"/>
                <w:sz w:val="24"/>
                <w:szCs w:val="24"/>
              </w:rPr>
            </w:pPr>
          </w:p>
          <w:p w14:paraId="2E11A6DA"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Hotărârea Guvernului nr. </w:t>
            </w:r>
            <w:r w:rsidRPr="00CA0CED">
              <w:rPr>
                <w:rFonts w:ascii="Times New Roman" w:hAnsi="Times New Roman" w:cs="Times New Roman"/>
                <w:sz w:val="24"/>
                <w:szCs w:val="24"/>
              </w:rPr>
              <w:t xml:space="preserve">93/2023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 xml:space="preserve">Regulamentul privind gestionarea  vehiculelor scoase din uz,  au fost precizate unele aspecte: </w:t>
            </w:r>
          </w:p>
          <w:p w14:paraId="763AC8C4" w14:textId="77777777" w:rsidR="008A1726" w:rsidRPr="00CA0CED" w:rsidRDefault="008A1726" w:rsidP="00F9222F">
            <w:pPr>
              <w:spacing w:after="160" w:line="259" w:lineRule="auto"/>
              <w:jc w:val="both"/>
              <w:rPr>
                <w:rFonts w:ascii="Times New Roman" w:hAnsi="Times New Roman" w:cs="Times New Roman"/>
                <w:sz w:val="24"/>
                <w:szCs w:val="24"/>
              </w:rPr>
            </w:pPr>
          </w:p>
          <w:p w14:paraId="483503A9"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noțiunii de producător, plasare pe piață, consum propriu, stabilirea punctelor de colectare, precizarea obligațiilor persoanelor fizice au juridice care importă produse pentru uz propriu, precizarea cerințelor de țin de stabilirea și aprobarea costurilor operaționale de gestionare, includerea standardelor din domeniul tratării, inclusiv valorificării, reciclării și pregătirii pentru reutilizare a deșeurilor, stabilirea cerințelor față de întreprinderile înregistrate care desfășoară activitatea de dezmembrare a vehiculelor rutiere scoase din uz.  </w:t>
            </w:r>
          </w:p>
          <w:p w14:paraId="34DA38FF" w14:textId="77777777" w:rsidR="008A1726" w:rsidRPr="00CA0CED" w:rsidRDefault="008A1726" w:rsidP="00F9222F">
            <w:pPr>
              <w:spacing w:after="160" w:line="259" w:lineRule="auto"/>
              <w:jc w:val="both"/>
              <w:rPr>
                <w:rFonts w:ascii="Times New Roman" w:hAnsi="Times New Roman" w:cs="Times New Roman"/>
                <w:sz w:val="24"/>
                <w:szCs w:val="24"/>
              </w:rPr>
            </w:pPr>
          </w:p>
        </w:tc>
      </w:tr>
      <w:tr w:rsidR="008A1726" w:rsidRPr="00CA0CED" w14:paraId="027C725C" w14:textId="77777777" w:rsidTr="008A1726">
        <w:tc>
          <w:tcPr>
            <w:tcW w:w="9109" w:type="dxa"/>
            <w:tcBorders>
              <w:top w:val="nil"/>
              <w:left w:val="single" w:sz="8" w:space="0" w:color="000000"/>
              <w:bottom w:val="single" w:sz="8" w:space="0" w:color="000000"/>
              <w:right w:val="single" w:sz="8" w:space="0" w:color="000000"/>
            </w:tcBorders>
            <w:shd w:val="clear" w:color="auto" w:fill="F2F2F2" w:themeFill="background1" w:themeFillShade="F2"/>
            <w:hideMark/>
          </w:tcPr>
          <w:p w14:paraId="71166062"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lastRenderedPageBreak/>
              <w:t>3.2. Opțiunile alternative analizate și motivele pentru care acestea nu au fost luate în considerare</w:t>
            </w:r>
          </w:p>
        </w:tc>
      </w:tr>
      <w:tr w:rsidR="008A1726" w:rsidRPr="00CA0CED" w14:paraId="466BBC54" w14:textId="77777777" w:rsidTr="008A1726">
        <w:tc>
          <w:tcPr>
            <w:tcW w:w="9109" w:type="dxa"/>
            <w:tcBorders>
              <w:top w:val="nil"/>
              <w:left w:val="single" w:sz="8" w:space="0" w:color="000000"/>
              <w:bottom w:val="single" w:sz="8" w:space="0" w:color="000000"/>
              <w:right w:val="single" w:sz="8" w:space="0" w:color="000000"/>
            </w:tcBorders>
            <w:hideMark/>
          </w:tcPr>
          <w:p w14:paraId="7B3BF67B"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lastRenderedPageBreak/>
              <w:t xml:space="preserve"> În procesul de elaborare a proiectului de hotărâre nu au putut fi aplicate alte opțiuni alternative</w:t>
            </w:r>
          </w:p>
        </w:tc>
      </w:tr>
      <w:tr w:rsidR="008A1726" w:rsidRPr="00CA0CED" w14:paraId="53C4F06F" w14:textId="77777777" w:rsidTr="008A1726">
        <w:trPr>
          <w:trHeight w:val="381"/>
        </w:trPr>
        <w:tc>
          <w:tcPr>
            <w:tcW w:w="9109" w:type="dxa"/>
            <w:tcBorders>
              <w:top w:val="nil"/>
              <w:left w:val="single" w:sz="8" w:space="0" w:color="000000"/>
              <w:bottom w:val="single" w:sz="8" w:space="0" w:color="000000"/>
              <w:right w:val="single" w:sz="8" w:space="0" w:color="000000"/>
            </w:tcBorders>
            <w:shd w:val="clear" w:color="auto" w:fill="BFBFBF"/>
            <w:hideMark/>
          </w:tcPr>
          <w:p w14:paraId="2E24C5CC"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 xml:space="preserve">4. Analiza impactului de reglementare </w:t>
            </w:r>
          </w:p>
        </w:tc>
      </w:tr>
      <w:tr w:rsidR="008A1726" w:rsidRPr="00CA0CED" w14:paraId="129C7AEE"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4548BD8C"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4.1. Impactul asupra sectorului public</w:t>
            </w:r>
          </w:p>
        </w:tc>
      </w:tr>
      <w:tr w:rsidR="008A1726" w:rsidRPr="00CA0CED" w14:paraId="79F0F097" w14:textId="77777777" w:rsidTr="008A1726">
        <w:tc>
          <w:tcPr>
            <w:tcW w:w="9109" w:type="dxa"/>
            <w:tcBorders>
              <w:top w:val="nil"/>
              <w:left w:val="single" w:sz="8" w:space="0" w:color="000000"/>
              <w:bottom w:val="single" w:sz="8" w:space="0" w:color="000000"/>
              <w:right w:val="single" w:sz="8" w:space="0" w:color="000000"/>
            </w:tcBorders>
            <w:hideMark/>
          </w:tcPr>
          <w:p w14:paraId="1824B27D"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Implementarea responsabilității extinse a producătorului (REP) va transfera costurile și responsabilitatea colectării și tratării deșeurilor REP de la autoritățile publice către producători. Acest lucru determină economii la bugetele publice și permite alocarea resurselor pentru alte priorități. </w:t>
            </w:r>
          </w:p>
          <w:p w14:paraId="52E01776"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Finanțarea gestionării deșeurilor de către producători reduce cheltuielile publice legate de colectarea și eliminarea acestora.</w:t>
            </w:r>
          </w:p>
        </w:tc>
      </w:tr>
      <w:tr w:rsidR="008A1726" w:rsidRPr="00CA0CED" w14:paraId="706E1C54"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2B4AD22F"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4.2. Impactul financiar și argumentarea costurilor estimative</w:t>
            </w:r>
          </w:p>
        </w:tc>
      </w:tr>
      <w:tr w:rsidR="008A1726" w:rsidRPr="00CA0CED" w14:paraId="00B45BFE" w14:textId="77777777" w:rsidTr="008A1726">
        <w:tc>
          <w:tcPr>
            <w:tcW w:w="9109" w:type="dxa"/>
            <w:tcBorders>
              <w:top w:val="nil"/>
              <w:left w:val="single" w:sz="8" w:space="0" w:color="000000"/>
              <w:bottom w:val="single" w:sz="8" w:space="0" w:color="000000"/>
              <w:right w:val="single" w:sz="8" w:space="0" w:color="000000"/>
            </w:tcBorders>
          </w:tcPr>
          <w:p w14:paraId="4B41B8C1"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Proiectul de Hotărâre a Guvernului  pentru modificarea unor hotărâri ale Guvernului /modificarea unor acte normative </w:t>
            </w:r>
            <w:r w:rsidRPr="00CA0CED">
              <w:rPr>
                <w:rFonts w:ascii="Times New Roman" w:hAnsi="Times New Roman" w:cs="Times New Roman"/>
                <w:i/>
                <w:sz w:val="24"/>
                <w:szCs w:val="24"/>
                <w:u w:val="single"/>
              </w:rPr>
              <w:t>nu va avea impact financiar suplimentar  asupra producătorilor, decât cele menționate la etapa de elaborare a acestor reglementări</w:t>
            </w:r>
            <w:r w:rsidRPr="00CA0CED">
              <w:rPr>
                <w:rFonts w:ascii="Times New Roman" w:hAnsi="Times New Roman" w:cs="Times New Roman"/>
                <w:sz w:val="24"/>
                <w:szCs w:val="24"/>
              </w:rPr>
              <w:t xml:space="preserve">.  </w:t>
            </w:r>
          </w:p>
          <w:p w14:paraId="33598FDE"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Costuri pentru producători: Introducerea REP va genera cheltuieli pentru producători, legate de contribuțiile financiare către sistemele de implementare a REP și conformarea cu cerințele legale. Aceste costuri depind de tipul și volumul produselor plasate pe piață, raportat la costurile operaționale de gestionare a deșeurilor, care reprezintă valoarea medie a costurilor de gestionare estimate și transmise Agenției de Mediu de către sistemele REP pentru fiecare categorie de produs.  Costurile operaționale de gestionare sunt estimate de sistemele  de implementare a REP și variază anual, de regulă fiind în scădere odată cu crearea infrastructurii de colectare și transport. </w:t>
            </w:r>
          </w:p>
          <w:p w14:paraId="0DF103A1"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rPr>
              <w:t>Totodată, aceste costuri sunt recuperate prin eficientizarea sistemului și valorificarea materialelor reciclate.</w:t>
            </w:r>
            <w:r w:rsidRPr="00CA0CED">
              <w:rPr>
                <w:rFonts w:ascii="Times New Roman" w:hAnsi="Times New Roman" w:cs="Times New Roman"/>
                <w:sz w:val="24"/>
                <w:szCs w:val="24"/>
                <w:lang w:val="ro-MD"/>
              </w:rPr>
              <w:t xml:space="preserve"> </w:t>
            </w:r>
          </w:p>
          <w:p w14:paraId="7224F201"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Costurile de dezvoltare a infrastructurii pentru colectarea deșeurilor de ambalaje, generate în fluxul de deșeuri municipale, conform prevederilor art.12 și art.12</w:t>
            </w:r>
            <w:r w:rsidRPr="00CA0CED">
              <w:rPr>
                <w:rFonts w:ascii="Times New Roman" w:hAnsi="Times New Roman" w:cs="Times New Roman"/>
                <w:sz w:val="24"/>
                <w:szCs w:val="24"/>
                <w:vertAlign w:val="superscript"/>
                <w:lang w:val="ro-MD"/>
              </w:rPr>
              <w:t>1</w:t>
            </w:r>
            <w:r w:rsidRPr="00CA0CED">
              <w:rPr>
                <w:rFonts w:ascii="Times New Roman" w:hAnsi="Times New Roman" w:cs="Times New Roman"/>
                <w:sz w:val="24"/>
                <w:szCs w:val="24"/>
                <w:lang w:val="ro-MD"/>
              </w:rPr>
              <w:t>, alin. (5) din  Legea nr. 209/2016 privind deșeurile se stabilesc de comun acord cu operatorii de salubrizare și autoritățile administrației publice locale prin semnarea contractului menționat în Art. 12</w:t>
            </w:r>
            <w:r w:rsidRPr="00CA0CED">
              <w:rPr>
                <w:rFonts w:ascii="Times New Roman" w:hAnsi="Times New Roman" w:cs="Times New Roman"/>
                <w:sz w:val="24"/>
                <w:szCs w:val="24"/>
                <w:vertAlign w:val="superscript"/>
                <w:lang w:val="ro-MD"/>
              </w:rPr>
              <w:t>1</w:t>
            </w:r>
            <w:r w:rsidRPr="00CA0CED">
              <w:rPr>
                <w:rFonts w:ascii="Times New Roman" w:hAnsi="Times New Roman" w:cs="Times New Roman"/>
                <w:sz w:val="24"/>
                <w:szCs w:val="24"/>
                <w:lang w:val="ro-MD"/>
              </w:rPr>
              <w:t xml:space="preserve">. </w:t>
            </w:r>
          </w:p>
          <w:p w14:paraId="0E650B40"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Există următoarele categorii de costuri:</w:t>
            </w:r>
          </w:p>
          <w:p w14:paraId="556D4587"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Costuri de infrastructură: achiziționarea și amplasarea containerelor speciale pentru deșeuri de ambalaje/DEEE/BA, întreținere și înlocuire a containerelor, construcția platformelor betonate și altor amenajări ale punctelor de colectare.</w:t>
            </w:r>
          </w:p>
          <w:p w14:paraId="5C113D7C"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Costuri logistice și operaționale: colectarea și transportul separat al deșeurilor.</w:t>
            </w:r>
          </w:p>
          <w:p w14:paraId="1C70980A"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Costuri de sortare și pregătire pentru reciclare (în cazul în care sunt prevăzute în contractul cu APL)</w:t>
            </w:r>
          </w:p>
          <w:p w14:paraId="268570E1"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Costuri de pentru campanii de informare și conștientizare, inclusiv plante, </w:t>
            </w:r>
            <w:proofErr w:type="spellStart"/>
            <w:r w:rsidRPr="00CA0CED">
              <w:rPr>
                <w:rFonts w:ascii="Times New Roman" w:hAnsi="Times New Roman" w:cs="Times New Roman"/>
                <w:sz w:val="24"/>
                <w:szCs w:val="24"/>
                <w:lang w:val="ro-MD"/>
              </w:rPr>
              <w:t>buclete</w:t>
            </w:r>
            <w:proofErr w:type="spellEnd"/>
            <w:r w:rsidRPr="00CA0CED">
              <w:rPr>
                <w:rFonts w:ascii="Times New Roman" w:hAnsi="Times New Roman" w:cs="Times New Roman"/>
                <w:sz w:val="24"/>
                <w:szCs w:val="24"/>
                <w:lang w:val="ro-MD"/>
              </w:rPr>
              <w:t xml:space="preserve">, etc. </w:t>
            </w:r>
          </w:p>
          <w:p w14:paraId="684838E2"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lastRenderedPageBreak/>
              <w:t>Costuri administrative și de raportare.</w:t>
            </w:r>
          </w:p>
          <w:p w14:paraId="35BB2B71" w14:textId="77777777" w:rsidR="008A1726" w:rsidRPr="00CA0CED" w:rsidRDefault="008A1726" w:rsidP="008A1726">
            <w:pPr>
              <w:spacing w:after="160" w:line="259" w:lineRule="auto"/>
              <w:rPr>
                <w:rFonts w:ascii="Times New Roman" w:hAnsi="Times New Roman" w:cs="Times New Roman"/>
                <w:sz w:val="24"/>
                <w:szCs w:val="24"/>
                <w:lang w:val="ro-MD"/>
              </w:rPr>
            </w:pPr>
          </w:p>
          <w:p w14:paraId="687E52C2"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Aceste costuri depind de mai mulți parametri, cum ar fi numărul populației, rata de generare a deșeurilor pe cap de locuitor, nivelul de dezvoltare al infrastructurii (în municipii este mai dezvoltat, comparativ cu alte localități)</w:t>
            </w:r>
          </w:p>
          <w:p w14:paraId="5139CBF8"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În ceea ce privește costurile de  sortare a deșeurilor colectate, inclusiv costurile de valorificare/ eliminare în instalații de gestionare a deșeurilor, acestea la fel sunt costuri stabilite prin contracte de colaborare cu agenții economici autorizați și diferă în funcție de tipul de deșeuri, piața locală, gradul de puritate sau contaminare, tehnologia utilizată, cantitatea acestora, etc.  </w:t>
            </w:r>
          </w:p>
          <w:p w14:paraId="3152CDB9"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O estimare generală a costurilor pentru Republica Moldova sau regiuni similare din Europa Centrală și de Est se prezintă mai jos:</w:t>
            </w:r>
          </w:p>
          <w:tbl>
            <w:tblPr>
              <w:tblStyle w:val="Tabelgril"/>
              <w:tblW w:w="9603" w:type="dxa"/>
              <w:tblLook w:val="04A0" w:firstRow="1" w:lastRow="0" w:firstColumn="1" w:lastColumn="0" w:noHBand="0" w:noVBand="1"/>
            </w:tblPr>
            <w:tblGrid>
              <w:gridCol w:w="3236"/>
              <w:gridCol w:w="1717"/>
              <w:gridCol w:w="4650"/>
            </w:tblGrid>
            <w:tr w:rsidR="008A1726" w:rsidRPr="00CA0CED" w14:paraId="292CC1F5"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50AB09DF"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bCs/>
                      <w:sz w:val="24"/>
                      <w:szCs w:val="24"/>
                      <w:u w:val="single"/>
                      <w:lang w:val="ro-MD"/>
                    </w:rPr>
                  </w:pPr>
                  <w:r w:rsidRPr="00CA0CED">
                    <w:rPr>
                      <w:rFonts w:ascii="Times New Roman" w:hAnsi="Times New Roman" w:cs="Times New Roman"/>
                      <w:bCs/>
                      <w:sz w:val="24"/>
                      <w:szCs w:val="24"/>
                      <w:u w:val="single"/>
                      <w:lang w:val="ro-MD"/>
                    </w:rPr>
                    <w:t xml:space="preserve">Tip de deșeu </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4CA69DC8"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bCs/>
                      <w:sz w:val="24"/>
                      <w:szCs w:val="24"/>
                      <w:lang w:val="ro-MD"/>
                    </w:rPr>
                  </w:pPr>
                  <w:r w:rsidRPr="00CA0CED">
                    <w:rPr>
                      <w:rFonts w:ascii="Times New Roman" w:hAnsi="Times New Roman" w:cs="Times New Roman"/>
                      <w:bCs/>
                      <w:sz w:val="24"/>
                      <w:szCs w:val="24"/>
                      <w:lang w:val="ro-MD"/>
                    </w:rPr>
                    <w:t>Cost estimativ valorificare (lei/tonă)</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2EFFDF78"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b/>
                      <w:bCs/>
                      <w:sz w:val="24"/>
                      <w:szCs w:val="24"/>
                      <w:lang w:val="ro-MD"/>
                    </w:rPr>
                  </w:pPr>
                  <w:r w:rsidRPr="00CA0CED">
                    <w:rPr>
                      <w:rFonts w:ascii="Times New Roman" w:hAnsi="Times New Roman" w:cs="Times New Roman"/>
                      <w:b/>
                      <w:bCs/>
                      <w:sz w:val="24"/>
                      <w:szCs w:val="24"/>
                      <w:lang w:val="ro-MD"/>
                    </w:rPr>
                    <w:t xml:space="preserve">Note </w:t>
                  </w:r>
                </w:p>
              </w:tc>
            </w:tr>
            <w:tr w:rsidR="008A1726" w:rsidRPr="00CA0CED" w14:paraId="31E9479F"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351992CB"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Hârtie/carton</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12157D4"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750-1000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673330F0"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Poate avea valoare negativă în caz de contaminare</w:t>
                  </w:r>
                </w:p>
              </w:tc>
            </w:tr>
            <w:tr w:rsidR="008A1726" w:rsidRPr="00CA0CED" w14:paraId="4C963EE2"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5D6D6FD5"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Plastic</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4A682CBF"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4000-4500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19898A95"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Variază în funcție de tip (PET, PE, PP); reciclarea este scumpă</w:t>
                  </w:r>
                </w:p>
              </w:tc>
            </w:tr>
            <w:tr w:rsidR="008A1726" w:rsidRPr="00CA0CED" w14:paraId="74F89008"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3AF74C41"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Sticlă</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C351F86"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500-2000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5D071D36"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Greutate mare, prin urmare costuri logistice sunt la fel mari</w:t>
                  </w:r>
                </w:p>
              </w:tc>
            </w:tr>
            <w:tr w:rsidR="008A1726" w:rsidRPr="00CA0CED" w14:paraId="6B175923"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7EBA86ED"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Metal (aluminiu, oțel)</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54D73466"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-100 - 1400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5F020219"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Valoare de piață; uneori companiile plătesc pentru a prelua aluminiul</w:t>
                  </w:r>
                </w:p>
              </w:tc>
            </w:tr>
            <w:tr w:rsidR="008A1726" w:rsidRPr="00CA0CED" w14:paraId="78AB12C1"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79C38EAB"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Lemn (ambalaje)</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5E45392B"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1000-1400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20AF1AFD"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Costuri variabile în funcție de calitate</w:t>
                  </w:r>
                </w:p>
              </w:tc>
            </w:tr>
            <w:tr w:rsidR="008A1726" w:rsidRPr="00CA0CED" w14:paraId="7598F904"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55FB74D1"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 xml:space="preserve">Ambalaje compozite (ex. Tetra </w:t>
                  </w:r>
                  <w:proofErr w:type="spellStart"/>
                  <w:r w:rsidRPr="00CA0CED">
                    <w:rPr>
                      <w:rFonts w:ascii="Times New Roman" w:hAnsi="Times New Roman" w:cs="Times New Roman"/>
                      <w:bCs/>
                      <w:sz w:val="24"/>
                      <w:szCs w:val="24"/>
                      <w:u w:val="single"/>
                      <w:lang w:val="ro-MD"/>
                    </w:rPr>
                    <w:t>Pak</w:t>
                  </w:r>
                  <w:proofErr w:type="spellEnd"/>
                  <w:r w:rsidRPr="00CA0CED">
                    <w:rPr>
                      <w:rFonts w:ascii="Times New Roman" w:hAnsi="Times New Roman" w:cs="Times New Roman"/>
                      <w:bCs/>
                      <w:sz w:val="24"/>
                      <w:szCs w:val="24"/>
                      <w:u w:val="single"/>
                      <w:lang w:val="ro-MD"/>
                    </w:rPr>
                    <w:t>)</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2ABD55C3"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3C8FD988"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Dificil de reciclat, prin urmare costurile sunt ridicate</w:t>
                  </w:r>
                </w:p>
              </w:tc>
            </w:tr>
            <w:tr w:rsidR="008A1726" w:rsidRPr="00CA0CED" w14:paraId="406F1EE5"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0895FAA7"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sz w:val="24"/>
                      <w:szCs w:val="24"/>
                      <w:u w:val="single"/>
                      <w:lang w:val="ro-MD"/>
                    </w:rPr>
                    <w:t>Echipamente mari (frigidere, TV, etc.)</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7CBD973B"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1000-1500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105FA5FA"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Necesită tratare specială, deoarece pot conține substanțe periculoase (gaze, freon, etc.)</w:t>
                  </w:r>
                </w:p>
              </w:tc>
            </w:tr>
            <w:tr w:rsidR="008A1726" w:rsidRPr="00CA0CED" w14:paraId="5CADA488"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0200FE14"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Echipamente mici</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7B1FF24B"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1000-1500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139F2DD3"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Costuri mai mari la colectare și sortare</w:t>
                  </w:r>
                </w:p>
              </w:tc>
            </w:tr>
            <w:tr w:rsidR="008A1726" w:rsidRPr="00CA0CED" w14:paraId="6F4D432A"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0C8DEE0B"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IT &amp; telecom</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BF1E068"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5000-10000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493AC967"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Poate conține materiale valoroase (metale prețioase)</w:t>
                  </w:r>
                </w:p>
              </w:tc>
            </w:tr>
            <w:tr w:rsidR="008A1726" w:rsidRPr="00CA0CED" w14:paraId="39BE28C1"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02169ECB"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Baterii portabile (AA, AAA etc.)</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8D68107"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10000-13000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1820B4A0"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Subvenționate în general de OTR-uri (Organizații de Transfer Responsabil)</w:t>
                  </w:r>
                </w:p>
              </w:tc>
            </w:tr>
            <w:tr w:rsidR="008A1726" w:rsidRPr="00CA0CED" w14:paraId="2DF99872"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4F2E4AA8"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Acumulatori auto (plumb-acid)</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DF2E101"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1000-1400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29AEB244"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Pot avea valoare pozitivă (se recuperează plumbul)</w:t>
                  </w:r>
                </w:p>
              </w:tc>
            </w:tr>
            <w:tr w:rsidR="008A1726" w:rsidRPr="00CA0CED" w14:paraId="4A1925CE"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5B5A1AAA"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lastRenderedPageBreak/>
                    <w:t>Acumulatori Li-Ion</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2ABDD003"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 – 2000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4EE1DE47"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Necesită tratament special, costuri ridicate</w:t>
                  </w:r>
                </w:p>
              </w:tc>
            </w:tr>
            <w:tr w:rsidR="008A1726" w:rsidRPr="00CA0CED" w14:paraId="71A8F9A7" w14:textId="77777777">
              <w:tc>
                <w:tcPr>
                  <w:tcW w:w="3236" w:type="dxa"/>
                  <w:tcBorders>
                    <w:top w:val="single" w:sz="4" w:space="0" w:color="000000"/>
                    <w:left w:val="single" w:sz="4" w:space="0" w:color="000000"/>
                    <w:bottom w:val="single" w:sz="4" w:space="0" w:color="000000"/>
                    <w:right w:val="single" w:sz="4" w:space="0" w:color="000000"/>
                  </w:tcBorders>
                  <w:hideMark/>
                </w:tcPr>
                <w:p w14:paraId="41CC2BC6"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Uleiuri uzate </w:t>
                  </w:r>
                </w:p>
              </w:tc>
              <w:tc>
                <w:tcPr>
                  <w:tcW w:w="1717" w:type="dxa"/>
                  <w:tcBorders>
                    <w:top w:val="single" w:sz="4" w:space="0" w:color="000000"/>
                    <w:left w:val="single" w:sz="4" w:space="0" w:color="000000"/>
                    <w:bottom w:val="single" w:sz="4" w:space="0" w:color="000000"/>
                    <w:right w:val="single" w:sz="4" w:space="0" w:color="000000"/>
                  </w:tcBorders>
                  <w:hideMark/>
                </w:tcPr>
                <w:p w14:paraId="50B81FE6"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2000 – 5000</w:t>
                  </w:r>
                </w:p>
              </w:tc>
              <w:tc>
                <w:tcPr>
                  <w:tcW w:w="4650" w:type="dxa"/>
                  <w:tcBorders>
                    <w:top w:val="single" w:sz="4" w:space="0" w:color="000000"/>
                    <w:left w:val="single" w:sz="4" w:space="0" w:color="000000"/>
                    <w:bottom w:val="single" w:sz="4" w:space="0" w:color="000000"/>
                    <w:right w:val="single" w:sz="4" w:space="0" w:color="000000"/>
                  </w:tcBorders>
                  <w:hideMark/>
                </w:tcPr>
                <w:p w14:paraId="42AC93A5"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Colectarea, transportul și regenerarea/arderea controlată</w:t>
                  </w:r>
                </w:p>
              </w:tc>
            </w:tr>
            <w:tr w:rsidR="008A1726" w:rsidRPr="00CA0CED" w14:paraId="700C2F34" w14:textId="77777777">
              <w:tc>
                <w:tcPr>
                  <w:tcW w:w="3236" w:type="dxa"/>
                  <w:tcBorders>
                    <w:top w:val="single" w:sz="4" w:space="0" w:color="000000"/>
                    <w:left w:val="single" w:sz="4" w:space="0" w:color="000000"/>
                    <w:bottom w:val="single" w:sz="4" w:space="0" w:color="000000"/>
                    <w:right w:val="single" w:sz="4" w:space="0" w:color="000000"/>
                  </w:tcBorders>
                  <w:hideMark/>
                </w:tcPr>
                <w:p w14:paraId="7A7E7E44"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VSU</w:t>
                  </w:r>
                </w:p>
              </w:tc>
              <w:tc>
                <w:tcPr>
                  <w:tcW w:w="1717" w:type="dxa"/>
                  <w:tcBorders>
                    <w:top w:val="single" w:sz="4" w:space="0" w:color="000000"/>
                    <w:left w:val="single" w:sz="4" w:space="0" w:color="000000"/>
                    <w:bottom w:val="single" w:sz="4" w:space="0" w:color="000000"/>
                    <w:right w:val="single" w:sz="4" w:space="0" w:color="000000"/>
                  </w:tcBorders>
                  <w:hideMark/>
                </w:tcPr>
                <w:p w14:paraId="61BEE79E"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6000-8000</w:t>
                  </w:r>
                </w:p>
              </w:tc>
              <w:tc>
                <w:tcPr>
                  <w:tcW w:w="4650" w:type="dxa"/>
                  <w:tcBorders>
                    <w:top w:val="single" w:sz="4" w:space="0" w:color="000000"/>
                    <w:left w:val="single" w:sz="4" w:space="0" w:color="000000"/>
                    <w:bottom w:val="single" w:sz="4" w:space="0" w:color="000000"/>
                    <w:right w:val="single" w:sz="4" w:space="0" w:color="000000"/>
                  </w:tcBorders>
                  <w:hideMark/>
                </w:tcPr>
                <w:p w14:paraId="73C88E68"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Include dezmembrarea, recuperarea pieselor, reciclarea metalelor</w:t>
                  </w:r>
                </w:p>
              </w:tc>
            </w:tr>
            <w:tr w:rsidR="008A1726" w:rsidRPr="00CA0CED" w14:paraId="2F59D299"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1E7BCECF"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Anvelope </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0EB9AADA"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1500-3000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03DC23E6" w14:textId="77777777" w:rsidR="008A1726" w:rsidRPr="00CA0CED" w:rsidRDefault="008A1726" w:rsidP="00882D6B">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Tocare, </w:t>
                  </w:r>
                  <w:proofErr w:type="spellStart"/>
                  <w:r w:rsidRPr="00CA0CED">
                    <w:rPr>
                      <w:rFonts w:ascii="Times New Roman" w:hAnsi="Times New Roman" w:cs="Times New Roman"/>
                      <w:sz w:val="24"/>
                      <w:szCs w:val="24"/>
                      <w:lang w:val="ro-MD"/>
                    </w:rPr>
                    <w:t>co</w:t>
                  </w:r>
                  <w:proofErr w:type="spellEnd"/>
                  <w:r w:rsidRPr="00CA0CED">
                    <w:rPr>
                      <w:rFonts w:ascii="Times New Roman" w:hAnsi="Times New Roman" w:cs="Times New Roman"/>
                      <w:sz w:val="24"/>
                      <w:szCs w:val="24"/>
                      <w:lang w:val="ro-MD"/>
                    </w:rPr>
                    <w:t>-procesare, reutilizare</w:t>
                  </w:r>
                </w:p>
              </w:tc>
            </w:tr>
          </w:tbl>
          <w:p w14:paraId="23F0F939" w14:textId="77777777" w:rsidR="008A1726" w:rsidRPr="00CA0CED" w:rsidRDefault="008A1726" w:rsidP="008A1726">
            <w:pPr>
              <w:spacing w:after="160" w:line="259" w:lineRule="auto"/>
              <w:rPr>
                <w:rFonts w:ascii="Times New Roman" w:hAnsi="Times New Roman" w:cs="Times New Roman"/>
                <w:sz w:val="24"/>
                <w:szCs w:val="24"/>
              </w:rPr>
            </w:pPr>
          </w:p>
          <w:p w14:paraId="6E95B7AD" w14:textId="77777777" w:rsidR="008A1726" w:rsidRPr="00CA0CED" w:rsidRDefault="008A1726" w:rsidP="008A1726">
            <w:pPr>
              <w:spacing w:after="160" w:line="259" w:lineRule="auto"/>
              <w:rPr>
                <w:rFonts w:ascii="Times New Roman" w:hAnsi="Times New Roman" w:cs="Times New Roman"/>
                <w:sz w:val="24"/>
                <w:szCs w:val="24"/>
              </w:rPr>
            </w:pPr>
          </w:p>
        </w:tc>
      </w:tr>
      <w:tr w:rsidR="008A1726" w:rsidRPr="00CA0CED" w14:paraId="1CBBFF6E"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2239C15E"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4.3. Impactul asupra sectorului privat</w:t>
            </w:r>
          </w:p>
        </w:tc>
      </w:tr>
      <w:tr w:rsidR="008A1726" w:rsidRPr="00CA0CED" w14:paraId="61BC4324" w14:textId="77777777" w:rsidTr="008A1726">
        <w:tc>
          <w:tcPr>
            <w:tcW w:w="9109" w:type="dxa"/>
            <w:tcBorders>
              <w:top w:val="nil"/>
              <w:left w:val="single" w:sz="8" w:space="0" w:color="000000"/>
              <w:bottom w:val="single" w:sz="8" w:space="0" w:color="000000"/>
              <w:right w:val="single" w:sz="8" w:space="0" w:color="000000"/>
            </w:tcBorders>
            <w:hideMark/>
          </w:tcPr>
          <w:p w14:paraId="7342DA7D"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Impactul asupra sectorului privat se rezumă la următoarele:</w:t>
            </w:r>
          </w:p>
          <w:p w14:paraId="66C4E674"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Producătorii și importatorii vor trebui să investească în proiectare ecologică, reducerea ambalajelor și utilizarea materialelor reciclabile pentru a respecta cerințele REP.</w:t>
            </w:r>
          </w:p>
          <w:p w14:paraId="2AC9EE19"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va stimula apariția și extinderea industriilor de reciclare, recondiționare și reutilizare.</w:t>
            </w:r>
          </w:p>
          <w:p w14:paraId="1FBFF586"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Companiile care adoptă practicile de economie circulară vor avea acces mai ușor la piețe internaționale unde cerințele de mediu sunt stricte</w:t>
            </w:r>
          </w:p>
          <w:p w14:paraId="223AD140"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stimulează producătorii să reducă utilizarea materialelor nereciclabile și să proiecteze produse mai durabile, ceea ce poate reduce costurile pe termen lung pentru consumatori</w:t>
            </w:r>
          </w:p>
          <w:p w14:paraId="457A473C"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Noi oportunități pentru întreprinderi mici și mijlocii (IMM-uri) implicate în colectare, tratare sau proiectarea ecologică.</w:t>
            </w:r>
          </w:p>
          <w:p w14:paraId="7F0BB178"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Gestionarea obligațiilor REP implică raportare, conformare și colaborare cu sistemele de responsabilitate a producătorilor</w:t>
            </w:r>
          </w:p>
          <w:p w14:paraId="7EA43F47"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încurajează industria să dezvolte produse mai durabile, reciclabile și ușor de demontat, de exemplu, utilizarea materialelor reciclabile, simplificarea designului pentru a facilita reciclarea</w:t>
            </w:r>
          </w:p>
          <w:p w14:paraId="7E1C7C34"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Producătorii sustenabili pot obține cote de piață pe piețele internaționale care cer conformarea cu standarde de mediu  stricte</w:t>
            </w:r>
          </w:p>
          <w:p w14:paraId="25D5C902"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Respectarea cerințelor REP și implicarea activă în inițiative ecologice pot îmbunătăți imaginea publică a companiilor</w:t>
            </w:r>
          </w:p>
          <w:p w14:paraId="158D1DC8"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contribuie la tranziția către o economie circulară, reducând dependența de resursele primare și promovând reutilizarea materialelor</w:t>
            </w:r>
          </w:p>
        </w:tc>
      </w:tr>
      <w:tr w:rsidR="008A1726" w:rsidRPr="00CA0CED" w14:paraId="6119AF75"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0E68B2D8"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4.4. Impactul social</w:t>
            </w:r>
          </w:p>
          <w:p w14:paraId="61A1B81F"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4.4.1. Impactul asupra datelor cu caracter personal</w:t>
            </w:r>
          </w:p>
          <w:p w14:paraId="14216B2F"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4.4.2. Impactul asupra echității și egalității de gen</w:t>
            </w:r>
          </w:p>
        </w:tc>
      </w:tr>
      <w:tr w:rsidR="008A1726" w:rsidRPr="00CA0CED" w14:paraId="12923782" w14:textId="77777777" w:rsidTr="008A1726">
        <w:tc>
          <w:tcPr>
            <w:tcW w:w="9109" w:type="dxa"/>
            <w:tcBorders>
              <w:top w:val="nil"/>
              <w:left w:val="single" w:sz="8" w:space="0" w:color="000000"/>
              <w:bottom w:val="single" w:sz="8" w:space="0" w:color="000000"/>
              <w:right w:val="single" w:sz="8" w:space="0" w:color="000000"/>
            </w:tcBorders>
            <w:hideMark/>
          </w:tcPr>
          <w:p w14:paraId="316CFCFD"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Având în vedere experiență implementării REP pe parcursul anilor 2020-2024 se constată un impact social semnificativ, având potențialul de a îmbunătăți sănătatea, a crea locuri de muncă și de a reduce inegalitățile sociale, după cum urmează:</w:t>
            </w:r>
          </w:p>
          <w:p w14:paraId="3D323573"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Implementarea REP stimulează dezvoltarea industriilor de colectare, sortare, reciclare și valorificare a materialelor. Acest lucru duce la crearea de locuri de muncă în toate etapele lanțului de gestionare a deșeurilor. Astăzi sunt funcționale sisteme REP pentru mai multe produse precum DEEE-le, B&amp;A, VSU, anvelope și ambalajele, iar pentru uleiuri uzate sunt în proces de creare.  </w:t>
            </w:r>
          </w:p>
          <w:p w14:paraId="4A3957D1"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Gestionarea corectă a deșeurilor periculoase (baterii, DEEE, ambalaje din plastic) reduce contaminarea solului, apei și aerului, prevenind astfel apariția problemelor de sănătate legate de poluare.</w:t>
            </w:r>
          </w:p>
          <w:p w14:paraId="14EABB01"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Standardele impuse de REP reduc riscurile pentru persoanele implicate în colectarea și tratarea deșeurilor, prin implementarea măsurilor de siguranță și protecție a muncii.</w:t>
            </w:r>
          </w:p>
          <w:p w14:paraId="0C14D32F"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încurajează educarea publicului cu privire la gestionarea deșeurilor și la importanța reciclării, ceea ce contribuie la schimbarea comportamentului de consum.</w:t>
            </w:r>
          </w:p>
          <w:p w14:paraId="15F65FEF"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Creșterea conștientizării în rândul consumatorilor stimulează cererea pentru produse durabile, reciclabile și cu un design ecologic.</w:t>
            </w:r>
          </w:p>
          <w:p w14:paraId="27CB0D99"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Sistemele REP oferă oportunități de angajare atât pentru bărbați, cât și pentru femei, în sectoare precum reciclarea, proiectarea de produse și logistica.</w:t>
            </w:r>
          </w:p>
          <w:p w14:paraId="33D55BC8"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Transferarea responsabilității pentru gestionarea deșeurilor către producători poate reduce costurile suportate de gospodării pentru eliminarea deșeurilor.</w:t>
            </w:r>
          </w:p>
          <w:p w14:paraId="1B2EE026"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Implementarea REP generează cerere pentru competențe specifice legate de reciclare, tratarea deșeurilor și design ecologic. Acest lucru stimulează formarea profesională și extinderea </w:t>
            </w:r>
            <w:proofErr w:type="spellStart"/>
            <w:r w:rsidRPr="00CA0CED">
              <w:rPr>
                <w:rFonts w:ascii="Times New Roman" w:hAnsi="Times New Roman" w:cs="Times New Roman"/>
                <w:sz w:val="24"/>
                <w:szCs w:val="24"/>
              </w:rPr>
              <w:t>curiculei</w:t>
            </w:r>
            <w:proofErr w:type="spellEnd"/>
            <w:r w:rsidRPr="00CA0CED">
              <w:rPr>
                <w:rFonts w:ascii="Times New Roman" w:hAnsi="Times New Roman" w:cs="Times New Roman"/>
                <w:sz w:val="24"/>
                <w:szCs w:val="24"/>
              </w:rPr>
              <w:t xml:space="preserve"> educaționale în domeniul mediului.</w:t>
            </w:r>
          </w:p>
          <w:p w14:paraId="7059D922"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Prin promovarea reciclării și economiei circulare, REP contribuie la conservarea resurselor naturale și la reducerea amprentei de carbon, asigurând un mediu mai sănătos pentru generațiile viitoare.</w:t>
            </w:r>
          </w:p>
          <w:p w14:paraId="41EBEA8F"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Schimbarea atitudinii față de consum: REP influențează comportamentele de consum, încurajând practicile mai sustenabile și reducerea risipei</w:t>
            </w:r>
          </w:p>
        </w:tc>
      </w:tr>
      <w:tr w:rsidR="008A1726" w:rsidRPr="00CA0CED" w14:paraId="4FC3B127"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0E683B9D"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4.5. Impactul asupra mediului</w:t>
            </w:r>
          </w:p>
        </w:tc>
      </w:tr>
      <w:tr w:rsidR="008A1726" w:rsidRPr="00CA0CED" w14:paraId="6EFF75A9" w14:textId="77777777" w:rsidTr="008A1726">
        <w:tc>
          <w:tcPr>
            <w:tcW w:w="9109" w:type="dxa"/>
            <w:tcBorders>
              <w:top w:val="nil"/>
              <w:left w:val="single" w:sz="8" w:space="0" w:color="000000"/>
              <w:bottom w:val="single" w:sz="8" w:space="0" w:color="000000"/>
              <w:right w:val="single" w:sz="8" w:space="0" w:color="000000"/>
            </w:tcBorders>
            <w:hideMark/>
          </w:tcPr>
          <w:p w14:paraId="21700B13"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Implementarea REP va contribui la scăderea cantității de deșeuri eliminate la depozitele de deșeuri  prin colectarea separată și tratarea acestora.</w:t>
            </w:r>
          </w:p>
          <w:p w14:paraId="62658C93"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Sistemele REP vor stimula utilizarea resurselor reciclabile și reducerea dependenței de materii prime virgine.</w:t>
            </w:r>
          </w:p>
          <w:p w14:paraId="6CCED7D7"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Gestionarea eficientă a deșeurilor de ambalaje, DEEE, baterii și alte produse va reduce presiunea asupra mediului și poluarea solului, apei și aerului.</w:t>
            </w:r>
          </w:p>
          <w:p w14:paraId="563B3749"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Valorificarea materialelor reciclate reduce emisiile de gaze cu efect de seră asociate proceselor de producție.</w:t>
            </w:r>
          </w:p>
          <w:p w14:paraId="38C4BFD1"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REP încurajează producătorii să adopte modele de afaceri sustenabile, bazate pe reducerea deșeurilor și reutilizarea materialelor.</w:t>
            </w:r>
          </w:p>
        </w:tc>
      </w:tr>
      <w:tr w:rsidR="008A1726" w:rsidRPr="00CA0CED" w14:paraId="32F9C778"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5951D233"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4.6. Alte impacturi și informații relevante</w:t>
            </w:r>
          </w:p>
        </w:tc>
      </w:tr>
      <w:tr w:rsidR="008A1726" w:rsidRPr="00CA0CED" w14:paraId="6DB54DFD"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33661160"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 xml:space="preserve">5. Compatibilitatea proiectului actului normativ cu legislația UE </w:t>
            </w:r>
          </w:p>
        </w:tc>
      </w:tr>
      <w:tr w:rsidR="008A1726" w:rsidRPr="00CA0CED" w14:paraId="79149D02"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5F7DD300"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5.1. Măsuri normative necesare pentru transpunerea actelor juridice ale UE în legislația națională</w:t>
            </w:r>
          </w:p>
        </w:tc>
      </w:tr>
      <w:tr w:rsidR="008A1726" w:rsidRPr="00CA0CED" w14:paraId="54E0F7B8" w14:textId="77777777" w:rsidTr="008A1726">
        <w:tc>
          <w:tcPr>
            <w:tcW w:w="9109" w:type="dxa"/>
            <w:tcBorders>
              <w:top w:val="nil"/>
              <w:left w:val="single" w:sz="8" w:space="0" w:color="000000"/>
              <w:bottom w:val="single" w:sz="8" w:space="0" w:color="000000"/>
              <w:right w:val="single" w:sz="8" w:space="0" w:color="000000"/>
            </w:tcBorders>
            <w:hideMark/>
          </w:tcPr>
          <w:p w14:paraId="26D85927"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Nu sunt aplicabile. </w:t>
            </w:r>
          </w:p>
        </w:tc>
      </w:tr>
      <w:tr w:rsidR="008A1726" w:rsidRPr="00CA0CED" w14:paraId="011125C1"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558C43C8"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5.2. Măsuri normative care urmăresc crearea cadrului juridic intern necesar pentru implementarea legislației UE</w:t>
            </w:r>
          </w:p>
        </w:tc>
      </w:tr>
      <w:tr w:rsidR="008A1726" w:rsidRPr="00CA0CED" w14:paraId="3EF1360F" w14:textId="77777777" w:rsidTr="008A1726">
        <w:tc>
          <w:tcPr>
            <w:tcW w:w="9109" w:type="dxa"/>
            <w:tcBorders>
              <w:top w:val="nil"/>
              <w:left w:val="single" w:sz="8" w:space="0" w:color="000000"/>
              <w:bottom w:val="single" w:sz="8" w:space="0" w:color="000000"/>
              <w:right w:val="single" w:sz="8" w:space="0" w:color="000000"/>
            </w:tcBorders>
            <w:hideMark/>
          </w:tcPr>
          <w:p w14:paraId="09E20547"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Nu sunt aplicabile. </w:t>
            </w:r>
          </w:p>
        </w:tc>
      </w:tr>
      <w:tr w:rsidR="008A1726" w:rsidRPr="00CA0CED" w14:paraId="74B8740A"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46B3A472"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6. Avizarea și consultarea publică a proiectului actului normativ</w:t>
            </w:r>
          </w:p>
        </w:tc>
      </w:tr>
      <w:tr w:rsidR="008A1726" w:rsidRPr="00CA0CED" w14:paraId="18A63205" w14:textId="77777777" w:rsidTr="008A1726">
        <w:tc>
          <w:tcPr>
            <w:tcW w:w="9109" w:type="dxa"/>
            <w:tcBorders>
              <w:top w:val="nil"/>
              <w:left w:val="single" w:sz="8" w:space="0" w:color="000000"/>
              <w:bottom w:val="single" w:sz="8" w:space="0" w:color="000000"/>
              <w:right w:val="single" w:sz="8" w:space="0" w:color="000000"/>
            </w:tcBorders>
            <w:hideMark/>
          </w:tcPr>
          <w:p w14:paraId="6348A089"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În scopul respectării prevederilor Legii nr. 100/2017 cu privire la actele normative și Legii nr.239/2008 privind transparența în procesul decizional, proiectul și nota de fundamentare sunt plasate pe portalul </w:t>
            </w:r>
            <w:hyperlink r:id="rId5" w:history="1">
              <w:r w:rsidRPr="00CA0CED">
                <w:rPr>
                  <w:rStyle w:val="Hyperlink"/>
                  <w:rFonts w:ascii="Times New Roman" w:hAnsi="Times New Roman" w:cs="Times New Roman"/>
                  <w:sz w:val="24"/>
                  <w:szCs w:val="24"/>
                </w:rPr>
                <w:t>https://particip.gov.md/ro/document/stages/anunt-privind-avizarea-proiectului-de-regulament-pentru-modificarea-unor-hotarari-ale-guvernului-in-scopul-aducerii-in-concordanta-cu-prevederile-legii-nr-2092016-privind-deseurile/14426</w:t>
              </w:r>
            </w:hyperlink>
            <w:r w:rsidRPr="00CA0CED">
              <w:rPr>
                <w:rFonts w:ascii="Times New Roman" w:hAnsi="Times New Roman" w:cs="Times New Roman"/>
                <w:sz w:val="24"/>
                <w:szCs w:val="24"/>
              </w:rPr>
              <w:t xml:space="preserve"> și pe pagina web a ministerului (www.mm.gov.md), secțiune/a – Transparența decizională. </w:t>
            </w:r>
          </w:p>
          <w:p w14:paraId="7443A02D"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Proiectul a fost supus consultărilor publice pe toate tipurile de produse, cu toate părțile interesate și va urma avizarea oficială în condițiile cadrului normativ. </w:t>
            </w:r>
          </w:p>
          <w:p w14:paraId="6164DA94"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Pe data de 28 ianuarie, 2025 au avut loc primele audieri publice cu mediu de afaceri pe seama </w:t>
            </w:r>
            <w:r w:rsidRPr="00CA0CED">
              <w:rPr>
                <w:rFonts w:ascii="Times New Roman" w:hAnsi="Times New Roman" w:cs="Times New Roman"/>
                <w:bCs/>
                <w:iCs/>
                <w:sz w:val="24"/>
                <w:szCs w:val="24"/>
              </w:rPr>
              <w:t xml:space="preserve">Regulamentului privind gestionarea anvelopelor uzate aprobat prin Hotărârea Guvernului nr. 610/2022, Regulamentului privind gestionarea uleiurilor uzate aprobat prin Hotărârea Guvernului nr. 731/2022 și Regulamentului privind gestionarea vehiculelor scoase din uz aprobat prin Hotărârea Guvernului nr. 93/2023 </w:t>
            </w:r>
            <w:r w:rsidRPr="00CA0CED">
              <w:rPr>
                <w:rFonts w:ascii="Times New Roman" w:hAnsi="Times New Roman" w:cs="Times New Roman"/>
                <w:sz w:val="24"/>
                <w:szCs w:val="24"/>
              </w:rPr>
              <w:t xml:space="preserve"> </w:t>
            </w:r>
            <w:hyperlink r:id="rId6" w:history="1">
              <w:r w:rsidRPr="00CA0CED">
                <w:rPr>
                  <w:rStyle w:val="Hyperlink"/>
                  <w:rFonts w:ascii="Times New Roman" w:hAnsi="Times New Roman" w:cs="Times New Roman"/>
                  <w:bCs/>
                  <w:iCs/>
                  <w:sz w:val="24"/>
                  <w:szCs w:val="24"/>
                </w:rPr>
                <w:t>https://mediu.gov.md/ro/content/5262</w:t>
              </w:r>
            </w:hyperlink>
            <w:r w:rsidRPr="00CA0CED">
              <w:rPr>
                <w:rFonts w:ascii="Times New Roman" w:hAnsi="Times New Roman" w:cs="Times New Roman"/>
                <w:sz w:val="24"/>
                <w:szCs w:val="24"/>
              </w:rPr>
              <w:t>.</w:t>
            </w:r>
          </w:p>
          <w:p w14:paraId="75223FE5"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Pe data de 29 ianuarie, 2025 au avut loc audieri publice cu mediul de afaceri  pe seama Regulamentului privind deșeurile de echipamente electrice și electronice aprobat prin Hotărârea Guvernului nr. 212/2018 și Regulamentului privind gestionarea bateriilor și acumulatorilor și deșeurilor de baterii și acumulatori aprobat prin Hotărârea Guvernului nr. 586/2020  </w:t>
            </w:r>
            <w:hyperlink r:id="rId7" w:history="1">
              <w:r w:rsidRPr="00CA0CED">
                <w:rPr>
                  <w:rStyle w:val="Hyperlink"/>
                  <w:rFonts w:ascii="Times New Roman" w:hAnsi="Times New Roman" w:cs="Times New Roman"/>
                  <w:sz w:val="24"/>
                  <w:szCs w:val="24"/>
                </w:rPr>
                <w:t>https://mediu.gov.md/ro/content/5266</w:t>
              </w:r>
            </w:hyperlink>
            <w:r w:rsidRPr="00CA0CED">
              <w:rPr>
                <w:rFonts w:ascii="Times New Roman" w:hAnsi="Times New Roman" w:cs="Times New Roman"/>
                <w:sz w:val="24"/>
                <w:szCs w:val="24"/>
              </w:rPr>
              <w:t xml:space="preserve"> </w:t>
            </w:r>
          </w:p>
          <w:p w14:paraId="3DFA361E"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Pe data de 30 ianuarie, 2025  au avut loc audieri publice cu mediul de afaceri</w:t>
            </w:r>
            <w:r w:rsidRPr="00CA0CED">
              <w:rPr>
                <w:rFonts w:ascii="Times New Roman" w:hAnsi="Times New Roman" w:cs="Times New Roman"/>
                <w:i/>
                <w:sz w:val="24"/>
                <w:szCs w:val="24"/>
              </w:rPr>
              <w:t xml:space="preserve"> </w:t>
            </w:r>
            <w:r w:rsidRPr="00CA0CED">
              <w:rPr>
                <w:rFonts w:ascii="Times New Roman" w:hAnsi="Times New Roman" w:cs="Times New Roman"/>
                <w:sz w:val="24"/>
                <w:szCs w:val="24"/>
              </w:rPr>
              <w:t xml:space="preserve">pe seama </w:t>
            </w:r>
            <w:r w:rsidRPr="00CA0CED">
              <w:rPr>
                <w:rFonts w:ascii="Times New Roman" w:hAnsi="Times New Roman" w:cs="Times New Roman"/>
                <w:bCs/>
                <w:iCs/>
                <w:sz w:val="24"/>
                <w:szCs w:val="24"/>
              </w:rPr>
              <w:t>Regulamentului privind ambalajele și deșeurile de ambalaje aprobat prin Hotărârea Guvernului nr. 561/2020</w:t>
            </w:r>
            <w:r w:rsidRPr="00CA0CED">
              <w:rPr>
                <w:rFonts w:ascii="Times New Roman" w:hAnsi="Times New Roman" w:cs="Times New Roman"/>
                <w:sz w:val="24"/>
                <w:szCs w:val="24"/>
              </w:rPr>
              <w:t xml:space="preserve"> </w:t>
            </w:r>
            <w:hyperlink r:id="rId8" w:history="1">
              <w:r w:rsidRPr="00CA0CED">
                <w:rPr>
                  <w:rStyle w:val="Hyperlink"/>
                  <w:rFonts w:ascii="Times New Roman" w:hAnsi="Times New Roman" w:cs="Times New Roman"/>
                  <w:sz w:val="24"/>
                  <w:szCs w:val="24"/>
                </w:rPr>
                <w:t>https://mediu.gov.md/ro/content/5268</w:t>
              </w:r>
            </w:hyperlink>
            <w:r w:rsidRPr="00CA0CED">
              <w:rPr>
                <w:rFonts w:ascii="Times New Roman" w:hAnsi="Times New Roman" w:cs="Times New Roman"/>
                <w:sz w:val="24"/>
                <w:szCs w:val="24"/>
              </w:rPr>
              <w:t xml:space="preserve"> </w:t>
            </w:r>
          </w:p>
          <w:p w14:paraId="42FAF58A"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Scopul audierilor a fost de a colecta sugestii și opinii de la toți actorii implicați pentru îmbunătățirea reglementărilor și asigurarea unei gestionări mai eficiente a deșeurilor generate de aceste produse. Propunerile finale au fost transmise până la data de 7 februarie 2025. </w:t>
            </w:r>
          </w:p>
          <w:p w14:paraId="30AA8467"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 xml:space="preserve">Propunerile parvenite de la mediul de afaceri s-au referit la precizarea unor noțiuni, în special a celei de producător, sistem colectiv, operator autorizat, precizarea situațiilor </w:t>
            </w:r>
            <w:proofErr w:type="spellStart"/>
            <w:r w:rsidRPr="00CA0CED">
              <w:rPr>
                <w:rFonts w:ascii="Times New Roman" w:hAnsi="Times New Roman" w:cs="Times New Roman"/>
                <w:sz w:val="24"/>
                <w:szCs w:val="24"/>
              </w:rPr>
              <w:t>cînd</w:t>
            </w:r>
            <w:proofErr w:type="spellEnd"/>
            <w:r w:rsidRPr="00CA0CED">
              <w:rPr>
                <w:rFonts w:ascii="Times New Roman" w:hAnsi="Times New Roman" w:cs="Times New Roman"/>
                <w:sz w:val="24"/>
                <w:szCs w:val="24"/>
              </w:rPr>
              <w:t xml:space="preserve"> importatorul nu este producător,  excepții de la domeniul de aplicare (în special pentru uleiuri uzate), precizări referitor la costul operațional, colaborarea cu APL, propuneri de penalizări, propuneri de precizare sau redactare a unor prevederi neclare, propuneri privind țintele de colectare și valorificare, precizări referitoare la colectarea acumulatorilor auto și rambursarea depozitului.</w:t>
            </w:r>
          </w:p>
        </w:tc>
      </w:tr>
      <w:tr w:rsidR="008A1726" w:rsidRPr="00CA0CED" w14:paraId="4C905418"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3AD9B20C"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lastRenderedPageBreak/>
              <w:t>7. Concluziile expertizelor</w:t>
            </w:r>
          </w:p>
        </w:tc>
      </w:tr>
      <w:tr w:rsidR="008A1726" w:rsidRPr="00CA0CED" w14:paraId="3D2FEF24" w14:textId="77777777" w:rsidTr="008A1726">
        <w:tc>
          <w:tcPr>
            <w:tcW w:w="9109" w:type="dxa"/>
            <w:tcBorders>
              <w:top w:val="nil"/>
              <w:left w:val="single" w:sz="8" w:space="0" w:color="000000"/>
              <w:bottom w:val="single" w:sz="8" w:space="0" w:color="000000"/>
              <w:right w:val="single" w:sz="8" w:space="0" w:color="000000"/>
            </w:tcBorders>
            <w:shd w:val="clear" w:color="auto" w:fill="FFFFFF"/>
            <w:hideMark/>
          </w:tcPr>
          <w:p w14:paraId="57F6FF79"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Proiectul de hotărâre va fi remis Centrului Național Anticorupție pentru expertiză anticorupție, în conformitate cu art. 36 din Legea nr. 100/2017 cu privire la actele normative, și Ministerului Justiției pentru expertiză juridică în conformitate cu art. 37 din Legea nr. 100/2017 cu privire la actele normative. Informația privind rezultatele expertizelor va fi inclusă după recepționarea raportului de expertiză anticorupție și juridică. </w:t>
            </w:r>
          </w:p>
          <w:p w14:paraId="39B3AE3B"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 xml:space="preserve"> </w:t>
            </w:r>
          </w:p>
        </w:tc>
      </w:tr>
      <w:tr w:rsidR="008A1726" w:rsidRPr="00CA0CED" w14:paraId="644B3F5A"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72F60C85"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8. Modul de încorporare a actului în cadrul normativ existent</w:t>
            </w:r>
          </w:p>
        </w:tc>
      </w:tr>
      <w:tr w:rsidR="008A1726" w:rsidRPr="00CA0CED" w14:paraId="369EBDC5" w14:textId="77777777" w:rsidTr="008A1726">
        <w:tc>
          <w:tcPr>
            <w:tcW w:w="9109" w:type="dxa"/>
            <w:tcBorders>
              <w:top w:val="nil"/>
              <w:left w:val="single" w:sz="8" w:space="0" w:color="000000"/>
              <w:bottom w:val="single" w:sz="8" w:space="0" w:color="000000"/>
              <w:right w:val="single" w:sz="8" w:space="0" w:color="000000"/>
            </w:tcBorders>
          </w:tcPr>
          <w:p w14:paraId="35CA5569"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  Prezentul proiect se încadrează în cadrul normativ în vigoare.</w:t>
            </w:r>
          </w:p>
          <w:p w14:paraId="2E3B5E55" w14:textId="77777777" w:rsidR="008A1726" w:rsidRPr="00CA0CED" w:rsidRDefault="008A1726" w:rsidP="008A1726">
            <w:pPr>
              <w:spacing w:after="160" w:line="259" w:lineRule="auto"/>
              <w:rPr>
                <w:rFonts w:ascii="Times New Roman" w:hAnsi="Times New Roman" w:cs="Times New Roman"/>
                <w:sz w:val="24"/>
                <w:szCs w:val="24"/>
              </w:rPr>
            </w:pPr>
          </w:p>
        </w:tc>
      </w:tr>
      <w:tr w:rsidR="008A1726" w:rsidRPr="00CA0CED" w14:paraId="56EC5BD0"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02E2EEB6"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9. Măsurile necesare pentru implementarea prevederilor proiectului actului normativ</w:t>
            </w:r>
          </w:p>
        </w:tc>
      </w:tr>
      <w:tr w:rsidR="008A1726" w:rsidRPr="00CA0CED" w14:paraId="25A64716" w14:textId="77777777" w:rsidTr="008A1726">
        <w:tc>
          <w:tcPr>
            <w:tcW w:w="9109" w:type="dxa"/>
            <w:tcBorders>
              <w:top w:val="nil"/>
              <w:left w:val="single" w:sz="8" w:space="0" w:color="000000"/>
              <w:bottom w:val="single" w:sz="8" w:space="0" w:color="000000"/>
              <w:right w:val="single" w:sz="8" w:space="0" w:color="000000"/>
            </w:tcBorders>
            <w:hideMark/>
          </w:tcPr>
          <w:p w14:paraId="448B0E09"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Implementarea proiectului va fi asigurată de către Agenția de Mediu, conform Legii nr. 209/2016 privind deșeurile și cadrul secundar privind responsabilitatea extinsă a producătorului menționat mai sus (HG 212/2018, HG 561/2020, HG 568/2020, HG 93/2023, HG 731/2022, HG 610/2022).</w:t>
            </w:r>
          </w:p>
        </w:tc>
      </w:tr>
    </w:tbl>
    <w:p w14:paraId="7701EC55" w14:textId="77777777" w:rsidR="008A1726" w:rsidRPr="00CA0CED" w:rsidRDefault="008A1726" w:rsidP="008A1726">
      <w:pPr>
        <w:rPr>
          <w:rFonts w:ascii="Times New Roman" w:hAnsi="Times New Roman" w:cs="Times New Roman"/>
          <w:sz w:val="24"/>
          <w:szCs w:val="24"/>
        </w:rPr>
      </w:pPr>
      <w:r w:rsidRPr="00CA0CED">
        <w:rPr>
          <w:rFonts w:ascii="Times New Roman" w:hAnsi="Times New Roman" w:cs="Times New Roman"/>
          <w:b/>
          <w:sz w:val="24"/>
          <w:szCs w:val="24"/>
        </w:rPr>
        <w:br/>
      </w:r>
    </w:p>
    <w:p w14:paraId="1FD474D0" w14:textId="77777777" w:rsidR="008A1726" w:rsidRPr="00CA0CED" w:rsidRDefault="008A1726" w:rsidP="008A1726">
      <w:pPr>
        <w:rPr>
          <w:rFonts w:ascii="Times New Roman" w:hAnsi="Times New Roman" w:cs="Times New Roman"/>
          <w:sz w:val="24"/>
          <w:szCs w:val="24"/>
        </w:rPr>
      </w:pPr>
    </w:p>
    <w:p w14:paraId="2D36129C" w14:textId="77777777" w:rsidR="00BE69B1" w:rsidRPr="00CA0CED" w:rsidRDefault="00BE69B1">
      <w:pPr>
        <w:rPr>
          <w:rFonts w:ascii="Times New Roman" w:hAnsi="Times New Roman" w:cs="Times New Roman"/>
          <w:sz w:val="24"/>
          <w:szCs w:val="24"/>
        </w:rPr>
      </w:pPr>
    </w:p>
    <w:sectPr w:rsidR="00BE69B1" w:rsidRPr="00CA0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628"/>
    <w:multiLevelType w:val="hybridMultilevel"/>
    <w:tmpl w:val="6990325E"/>
    <w:lvl w:ilvl="0" w:tplc="9B10658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E23526"/>
    <w:multiLevelType w:val="multilevel"/>
    <w:tmpl w:val="8102B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087D12"/>
    <w:multiLevelType w:val="hybridMultilevel"/>
    <w:tmpl w:val="CA7A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1D1B54"/>
    <w:multiLevelType w:val="hybridMultilevel"/>
    <w:tmpl w:val="35C661C2"/>
    <w:lvl w:ilvl="0" w:tplc="307C4D2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5804D6D"/>
    <w:multiLevelType w:val="multilevel"/>
    <w:tmpl w:val="43BAB57E"/>
    <w:lvl w:ilvl="0">
      <w:start w:val="2"/>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2976E7"/>
    <w:multiLevelType w:val="hybridMultilevel"/>
    <w:tmpl w:val="AE0A4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C30C03"/>
    <w:multiLevelType w:val="hybridMultilevel"/>
    <w:tmpl w:val="4788B19A"/>
    <w:lvl w:ilvl="0" w:tplc="DE2CF3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B4323C"/>
    <w:multiLevelType w:val="hybridMultilevel"/>
    <w:tmpl w:val="EA46480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8" w15:restartNumberingAfterBreak="0">
    <w:nsid w:val="4AE445AE"/>
    <w:multiLevelType w:val="hybridMultilevel"/>
    <w:tmpl w:val="42C2975A"/>
    <w:lvl w:ilvl="0" w:tplc="DC48481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0D32C1"/>
    <w:multiLevelType w:val="hybridMultilevel"/>
    <w:tmpl w:val="82241D94"/>
    <w:lvl w:ilvl="0" w:tplc="307C4D2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7EB24F4"/>
    <w:multiLevelType w:val="hybridMultilevel"/>
    <w:tmpl w:val="D5AEFAA2"/>
    <w:lvl w:ilvl="0" w:tplc="D4A204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3758360">
    <w:abstractNumId w:val="2"/>
  </w:num>
  <w:num w:numId="2" w16cid:durableId="1592355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660665">
    <w:abstractNumId w:val="10"/>
  </w:num>
  <w:num w:numId="4" w16cid:durableId="621304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499916">
    <w:abstractNumId w:val="9"/>
  </w:num>
  <w:num w:numId="6" w16cid:durableId="945843555">
    <w:abstractNumId w:val="7"/>
  </w:num>
  <w:num w:numId="7" w16cid:durableId="201287940">
    <w:abstractNumId w:val="5"/>
  </w:num>
  <w:num w:numId="8" w16cid:durableId="1566911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3514219">
    <w:abstractNumId w:val="0"/>
  </w:num>
  <w:num w:numId="10" w16cid:durableId="915750830">
    <w:abstractNumId w:val="3"/>
  </w:num>
  <w:num w:numId="11" w16cid:durableId="174804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B5"/>
    <w:rsid w:val="00426073"/>
    <w:rsid w:val="00675213"/>
    <w:rsid w:val="006D3816"/>
    <w:rsid w:val="00742DB5"/>
    <w:rsid w:val="00882D6B"/>
    <w:rsid w:val="008A1726"/>
    <w:rsid w:val="008C2FD7"/>
    <w:rsid w:val="00937751"/>
    <w:rsid w:val="009E18B3"/>
    <w:rsid w:val="00BB76CA"/>
    <w:rsid w:val="00BE69B1"/>
    <w:rsid w:val="00C241DF"/>
    <w:rsid w:val="00CA0CED"/>
    <w:rsid w:val="00F922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FD28"/>
  <w15:chartTrackingRefBased/>
  <w15:docId w15:val="{414B1C79-B92E-435D-B281-4F214D5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42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742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742DB5"/>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742DB5"/>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742DB5"/>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742DB5"/>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42DB5"/>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42DB5"/>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42DB5"/>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42DB5"/>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742DB5"/>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42DB5"/>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42DB5"/>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42DB5"/>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42DB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42DB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42DB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42DB5"/>
    <w:rPr>
      <w:rFonts w:eastAsiaTheme="majorEastAsia" w:cstheme="majorBidi"/>
      <w:color w:val="272727" w:themeColor="text1" w:themeTint="D8"/>
    </w:rPr>
  </w:style>
  <w:style w:type="paragraph" w:styleId="Titlu">
    <w:name w:val="Title"/>
    <w:basedOn w:val="Normal"/>
    <w:next w:val="Normal"/>
    <w:link w:val="TitluCaracter"/>
    <w:uiPriority w:val="10"/>
    <w:qFormat/>
    <w:rsid w:val="0074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42DB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42DB5"/>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42DB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42DB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42DB5"/>
    <w:rPr>
      <w:i/>
      <w:iCs/>
      <w:color w:val="404040" w:themeColor="text1" w:themeTint="BF"/>
    </w:rPr>
  </w:style>
  <w:style w:type="paragraph" w:styleId="Listparagraf">
    <w:name w:val="List Paragraph"/>
    <w:basedOn w:val="Normal"/>
    <w:uiPriority w:val="34"/>
    <w:qFormat/>
    <w:rsid w:val="00742DB5"/>
    <w:pPr>
      <w:ind w:left="720"/>
      <w:contextualSpacing/>
    </w:pPr>
  </w:style>
  <w:style w:type="character" w:styleId="Accentuareintens">
    <w:name w:val="Intense Emphasis"/>
    <w:basedOn w:val="Fontdeparagrafimplicit"/>
    <w:uiPriority w:val="21"/>
    <w:qFormat/>
    <w:rsid w:val="00742DB5"/>
    <w:rPr>
      <w:i/>
      <w:iCs/>
      <w:color w:val="0F4761" w:themeColor="accent1" w:themeShade="BF"/>
    </w:rPr>
  </w:style>
  <w:style w:type="paragraph" w:styleId="Citatintens">
    <w:name w:val="Intense Quote"/>
    <w:basedOn w:val="Normal"/>
    <w:next w:val="Normal"/>
    <w:link w:val="CitatintensCaracter"/>
    <w:uiPriority w:val="30"/>
    <w:qFormat/>
    <w:rsid w:val="00742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742DB5"/>
    <w:rPr>
      <w:i/>
      <w:iCs/>
      <w:color w:val="0F4761" w:themeColor="accent1" w:themeShade="BF"/>
    </w:rPr>
  </w:style>
  <w:style w:type="character" w:styleId="Referireintens">
    <w:name w:val="Intense Reference"/>
    <w:basedOn w:val="Fontdeparagrafimplicit"/>
    <w:uiPriority w:val="32"/>
    <w:qFormat/>
    <w:rsid w:val="00742DB5"/>
    <w:rPr>
      <w:b/>
      <w:bCs/>
      <w:smallCaps/>
      <w:color w:val="0F4761" w:themeColor="accent1" w:themeShade="BF"/>
      <w:spacing w:val="5"/>
    </w:rPr>
  </w:style>
  <w:style w:type="table" w:styleId="Tabelgril">
    <w:name w:val="Table Grid"/>
    <w:basedOn w:val="TabelNormal"/>
    <w:uiPriority w:val="39"/>
    <w:rsid w:val="008A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8A1726"/>
    <w:rPr>
      <w:color w:val="467886" w:themeColor="hyperlink"/>
      <w:u w:val="single"/>
    </w:rPr>
  </w:style>
  <w:style w:type="character" w:styleId="MeniuneNerezolvat">
    <w:name w:val="Unresolved Mention"/>
    <w:basedOn w:val="Fontdeparagrafimplicit"/>
    <w:uiPriority w:val="99"/>
    <w:semiHidden/>
    <w:unhideWhenUsed/>
    <w:rsid w:val="008A1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91675">
      <w:bodyDiv w:val="1"/>
      <w:marLeft w:val="0"/>
      <w:marRight w:val="0"/>
      <w:marTop w:val="0"/>
      <w:marBottom w:val="0"/>
      <w:divBdr>
        <w:top w:val="none" w:sz="0" w:space="0" w:color="auto"/>
        <w:left w:val="none" w:sz="0" w:space="0" w:color="auto"/>
        <w:bottom w:val="none" w:sz="0" w:space="0" w:color="auto"/>
        <w:right w:val="none" w:sz="0" w:space="0" w:color="auto"/>
      </w:divBdr>
    </w:div>
    <w:div w:id="12060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gov.md/ro/content/5268" TargetMode="External"/><Relationship Id="rId3" Type="http://schemas.openxmlformats.org/officeDocument/2006/relationships/settings" Target="settings.xml"/><Relationship Id="rId7" Type="http://schemas.openxmlformats.org/officeDocument/2006/relationships/hyperlink" Target="https://mediu.gov.md/ro/content/5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u.gov.md/ro/content/5262" TargetMode="External"/><Relationship Id="rId5" Type="http://schemas.openxmlformats.org/officeDocument/2006/relationships/hyperlink" Target="https://particip.gov.md/ro/document/stages/anunt-privind-avizarea-proiectului-de-regulament-pentru-modificarea-unor-hotarari-ale-guvernului-in-scopul-aducerii-in-concordanta-cu-prevederile-legii-nr-2092016-privind-deseurile/144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5689</Words>
  <Characters>33000</Characters>
  <Application>Microsoft Office Word</Application>
  <DocSecurity>0</DocSecurity>
  <Lines>275</Lines>
  <Paragraphs>77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de gestionare a deșeurilor și a siturilor</dc:creator>
  <cp:keywords/>
  <dc:description/>
  <cp:lastModifiedBy>Direcția politici de gestionare a deșeurilor și a siturilor</cp:lastModifiedBy>
  <cp:revision>6</cp:revision>
  <dcterms:created xsi:type="dcterms:W3CDTF">2025-06-23T10:38:00Z</dcterms:created>
  <dcterms:modified xsi:type="dcterms:W3CDTF">2025-06-23T12:10:00Z</dcterms:modified>
</cp:coreProperties>
</file>