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D6DF" w14:textId="0A44B129" w:rsidR="00FF7EE5" w:rsidRPr="00916171" w:rsidRDefault="00FF7EE5" w:rsidP="00FF7EE5">
      <w:pPr>
        <w:shd w:val="clear" w:color="auto" w:fill="FFFFFF"/>
        <w:spacing w:before="120" w:after="180" w:line="240" w:lineRule="auto"/>
        <w:jc w:val="center"/>
        <w:outlineLvl w:val="1"/>
        <w:rPr>
          <w:rFonts w:ascii="Times New Roman" w:eastAsia="Times New Roman" w:hAnsi="Times New Roman" w:cs="Times New Roman"/>
          <w:b/>
          <w:bCs/>
          <w:i/>
          <w:iCs/>
          <w:color w:val="1E2022"/>
          <w:sz w:val="24"/>
          <w:szCs w:val="24"/>
          <w:lang w:val="ro-RO"/>
        </w:rPr>
      </w:pPr>
      <w:bookmarkStart w:id="0" w:name="_top"/>
      <w:bookmarkEnd w:id="0"/>
      <w:r w:rsidRPr="00916171">
        <w:rPr>
          <w:rFonts w:ascii="Times New Roman" w:eastAsia="Times New Roman" w:hAnsi="Times New Roman" w:cs="Times New Roman"/>
          <w:b/>
          <w:bCs/>
          <w:i/>
          <w:iCs/>
          <w:color w:val="1E2022"/>
          <w:sz w:val="24"/>
          <w:szCs w:val="24"/>
          <w:lang w:val="ro-RO"/>
        </w:rPr>
        <w:t>Notă informativă</w:t>
      </w:r>
    </w:p>
    <w:p w14:paraId="4CCEC52B" w14:textId="2540D7BD" w:rsidR="00DE2E3F" w:rsidRPr="00916171" w:rsidRDefault="00FF7EE5" w:rsidP="00FF7EE5">
      <w:pPr>
        <w:shd w:val="clear" w:color="auto" w:fill="FFFFFF"/>
        <w:spacing w:after="0" w:line="240" w:lineRule="auto"/>
        <w:jc w:val="center"/>
        <w:outlineLvl w:val="1"/>
        <w:rPr>
          <w:rFonts w:ascii="Times New Roman" w:eastAsia="Times New Roman" w:hAnsi="Times New Roman" w:cs="Times New Roman"/>
          <w:b/>
          <w:bCs/>
          <w:color w:val="1E2022"/>
          <w:sz w:val="24"/>
          <w:szCs w:val="24"/>
          <w:lang w:val="ro-RO"/>
        </w:rPr>
      </w:pPr>
      <w:bookmarkStart w:id="1" w:name="_Hlk196213396"/>
      <w:r w:rsidRPr="00916171">
        <w:rPr>
          <w:rFonts w:ascii="Times New Roman" w:eastAsia="Times New Roman" w:hAnsi="Times New Roman" w:cs="Times New Roman"/>
          <w:b/>
          <w:bCs/>
          <w:color w:val="1E2022"/>
          <w:sz w:val="24"/>
          <w:szCs w:val="24"/>
          <w:lang w:val="ro-RO"/>
        </w:rPr>
        <w:t>C</w:t>
      </w:r>
      <w:r w:rsidR="00DE2E3F" w:rsidRPr="00916171">
        <w:rPr>
          <w:rFonts w:ascii="Times New Roman" w:eastAsia="Times New Roman" w:hAnsi="Times New Roman" w:cs="Times New Roman"/>
          <w:b/>
          <w:bCs/>
          <w:color w:val="1E2022"/>
          <w:sz w:val="24"/>
          <w:szCs w:val="24"/>
          <w:lang w:val="ro-RO"/>
        </w:rPr>
        <w:t xml:space="preserve">onsultări publice cu privire la </w:t>
      </w:r>
      <w:r w:rsidR="005D00D2" w:rsidRPr="00916171">
        <w:rPr>
          <w:rFonts w:ascii="Times New Roman" w:eastAsia="Times New Roman" w:hAnsi="Times New Roman" w:cs="Times New Roman"/>
          <w:b/>
          <w:bCs/>
          <w:sz w:val="24"/>
          <w:szCs w:val="24"/>
          <w:lang w:val="ro-RO" w:eastAsia="en-GB"/>
        </w:rPr>
        <w:t xml:space="preserve">Planul de tabulare a rezultatelor </w:t>
      </w:r>
      <w:r w:rsidR="00210838">
        <w:rPr>
          <w:rFonts w:ascii="Times New Roman" w:eastAsia="Times New Roman" w:hAnsi="Times New Roman" w:cs="Times New Roman"/>
          <w:b/>
          <w:bCs/>
          <w:sz w:val="24"/>
          <w:szCs w:val="24"/>
          <w:lang w:val="ro-RO" w:eastAsia="en-GB"/>
        </w:rPr>
        <w:t>finale</w:t>
      </w:r>
      <w:r w:rsidR="00210838" w:rsidRPr="00916171">
        <w:rPr>
          <w:rFonts w:ascii="Times New Roman" w:eastAsia="Times New Roman" w:hAnsi="Times New Roman" w:cs="Times New Roman"/>
          <w:b/>
          <w:bCs/>
          <w:sz w:val="24"/>
          <w:szCs w:val="24"/>
          <w:lang w:val="ro-RO" w:eastAsia="en-GB"/>
        </w:rPr>
        <w:t xml:space="preserve"> </w:t>
      </w:r>
      <w:r w:rsidR="005D00D2" w:rsidRPr="00916171">
        <w:rPr>
          <w:rFonts w:ascii="Times New Roman" w:eastAsia="Times New Roman" w:hAnsi="Times New Roman" w:cs="Times New Roman"/>
          <w:b/>
          <w:bCs/>
          <w:sz w:val="24"/>
          <w:szCs w:val="24"/>
          <w:lang w:val="ro-RO" w:eastAsia="en-GB"/>
        </w:rPr>
        <w:t xml:space="preserve">ale </w:t>
      </w:r>
      <w:r w:rsidR="00DE2E3F" w:rsidRPr="00916171">
        <w:rPr>
          <w:rFonts w:ascii="Times New Roman" w:eastAsia="Times New Roman" w:hAnsi="Times New Roman" w:cs="Times New Roman"/>
          <w:b/>
          <w:bCs/>
          <w:color w:val="1E2022"/>
          <w:sz w:val="24"/>
          <w:szCs w:val="24"/>
          <w:lang w:val="ro-RO"/>
        </w:rPr>
        <w:t>Recensământul</w:t>
      </w:r>
      <w:r w:rsidR="0059111E">
        <w:rPr>
          <w:rFonts w:ascii="Times New Roman" w:eastAsia="Times New Roman" w:hAnsi="Times New Roman" w:cs="Times New Roman"/>
          <w:b/>
          <w:bCs/>
          <w:color w:val="1E2022"/>
          <w:sz w:val="24"/>
          <w:szCs w:val="24"/>
          <w:lang w:val="ro-RO"/>
        </w:rPr>
        <w:t>ui</w:t>
      </w:r>
      <w:r w:rsidR="00DE2E3F" w:rsidRPr="00916171">
        <w:rPr>
          <w:rFonts w:ascii="Times New Roman" w:eastAsia="Times New Roman" w:hAnsi="Times New Roman" w:cs="Times New Roman"/>
          <w:b/>
          <w:bCs/>
          <w:color w:val="1E2022"/>
          <w:sz w:val="24"/>
          <w:szCs w:val="24"/>
          <w:lang w:val="ro-RO"/>
        </w:rPr>
        <w:t xml:space="preserve"> Populației și Locuințelor din anul 2024</w:t>
      </w:r>
      <w:bookmarkEnd w:id="1"/>
    </w:p>
    <w:p w14:paraId="3D1E02C9" w14:textId="01038EAE" w:rsidR="00DE2E3F" w:rsidRPr="00916171" w:rsidRDefault="00DE2E3F" w:rsidP="00FF7EE5">
      <w:pPr>
        <w:shd w:val="clear" w:color="auto" w:fill="FFFFFF"/>
        <w:spacing w:beforeAutospacing="1" w:after="0" w:afterAutospacing="1" w:line="240" w:lineRule="auto"/>
        <w:ind w:firstLine="720"/>
        <w:jc w:val="both"/>
        <w:rPr>
          <w:rFonts w:ascii="Times New Roman" w:eastAsia="Times New Roman" w:hAnsi="Times New Roman" w:cs="Times New Roman"/>
          <w:color w:val="1C1C1C"/>
          <w:sz w:val="24"/>
          <w:szCs w:val="24"/>
          <w:lang w:val="ro-RO"/>
        </w:rPr>
      </w:pPr>
      <w:r w:rsidRPr="00916171">
        <w:rPr>
          <w:rFonts w:ascii="Times New Roman" w:eastAsia="Times New Roman" w:hAnsi="Times New Roman" w:cs="Times New Roman"/>
          <w:b/>
          <w:bCs/>
          <w:color w:val="1C1C1C"/>
          <w:sz w:val="24"/>
          <w:szCs w:val="24"/>
          <w:lang w:val="ro-RO"/>
        </w:rPr>
        <w:t>Recensământul Populației și Locuințelor </w:t>
      </w:r>
      <w:r w:rsidRPr="00397E78">
        <w:rPr>
          <w:rFonts w:ascii="Times New Roman" w:eastAsia="Times New Roman" w:hAnsi="Times New Roman" w:cs="Times New Roman"/>
          <w:iCs/>
          <w:color w:val="1C1C1C"/>
          <w:sz w:val="24"/>
          <w:szCs w:val="24"/>
          <w:lang w:val="ro-RO"/>
        </w:rPr>
        <w:t>(RPL)</w:t>
      </w:r>
      <w:r w:rsidRPr="00916171">
        <w:rPr>
          <w:rFonts w:ascii="Times New Roman" w:eastAsia="Times New Roman" w:hAnsi="Times New Roman" w:cs="Times New Roman"/>
          <w:b/>
          <w:bCs/>
          <w:color w:val="1C1C1C"/>
          <w:sz w:val="24"/>
          <w:szCs w:val="24"/>
          <w:lang w:val="ro-RO"/>
        </w:rPr>
        <w:t> are drept scop</w:t>
      </w:r>
      <w:r w:rsidRPr="00916171">
        <w:rPr>
          <w:rFonts w:ascii="Times New Roman" w:eastAsia="Times New Roman" w:hAnsi="Times New Roman" w:cs="Times New Roman"/>
          <w:color w:val="1C1C1C"/>
          <w:sz w:val="24"/>
          <w:szCs w:val="24"/>
          <w:lang w:val="ro-RO"/>
        </w:rPr>
        <w:t xml:space="preserve"> oferirea informației de interes public despre populația </w:t>
      </w:r>
      <w:r w:rsidR="00210838">
        <w:rPr>
          <w:rFonts w:ascii="Times New Roman" w:eastAsia="Times New Roman" w:hAnsi="Times New Roman" w:cs="Times New Roman"/>
          <w:color w:val="1C1C1C"/>
          <w:sz w:val="24"/>
          <w:szCs w:val="24"/>
          <w:lang w:val="ro-RO"/>
        </w:rPr>
        <w:t>cu reședință obișnuită</w:t>
      </w:r>
      <w:r w:rsidR="00210838" w:rsidRPr="00916171">
        <w:rPr>
          <w:rFonts w:ascii="Times New Roman" w:eastAsia="Times New Roman" w:hAnsi="Times New Roman" w:cs="Times New Roman"/>
          <w:color w:val="1C1C1C"/>
          <w:sz w:val="24"/>
          <w:szCs w:val="24"/>
          <w:lang w:val="ro-RO"/>
        </w:rPr>
        <w:t xml:space="preserve"> </w:t>
      </w:r>
      <w:r w:rsidRPr="00916171">
        <w:rPr>
          <w:rFonts w:ascii="Times New Roman" w:eastAsia="Times New Roman" w:hAnsi="Times New Roman" w:cs="Times New Roman"/>
          <w:color w:val="1C1C1C"/>
          <w:sz w:val="24"/>
          <w:szCs w:val="24"/>
          <w:lang w:val="ro-RO"/>
        </w:rPr>
        <w:t>pe teritoriul țării și locuințele acesteia pentru elaborarea, monitorizarea și evaluarea politicilor statului, pentru argumentarea deciziilor de dezvoltare umană, pentru cercetarea științifică.</w:t>
      </w:r>
    </w:p>
    <w:p w14:paraId="435D9E54" w14:textId="50A73E5D" w:rsidR="00DE2E3F" w:rsidRPr="00916171" w:rsidRDefault="00DE2E3F" w:rsidP="00FF7EE5">
      <w:pPr>
        <w:shd w:val="clear" w:color="auto" w:fill="FFFFFF"/>
        <w:spacing w:beforeAutospacing="1" w:after="0" w:afterAutospacing="1" w:line="240" w:lineRule="auto"/>
        <w:ind w:firstLine="720"/>
        <w:jc w:val="both"/>
        <w:rPr>
          <w:rFonts w:ascii="Times New Roman" w:eastAsia="Times New Roman" w:hAnsi="Times New Roman" w:cs="Times New Roman"/>
          <w:color w:val="1C1C1C"/>
          <w:sz w:val="24"/>
          <w:szCs w:val="24"/>
          <w:lang w:val="ro-RO"/>
        </w:rPr>
      </w:pPr>
      <w:r w:rsidRPr="00916171">
        <w:rPr>
          <w:rFonts w:ascii="Times New Roman" w:eastAsia="Times New Roman" w:hAnsi="Times New Roman" w:cs="Times New Roman"/>
          <w:b/>
          <w:bCs/>
          <w:color w:val="1C1C1C"/>
          <w:sz w:val="24"/>
          <w:szCs w:val="24"/>
          <w:lang w:val="ro-RO"/>
        </w:rPr>
        <w:t>Recensământul are ca obiectiv</w:t>
      </w:r>
      <w:r w:rsidRPr="00916171">
        <w:rPr>
          <w:rFonts w:ascii="Times New Roman" w:eastAsia="Times New Roman" w:hAnsi="Times New Roman" w:cs="Times New Roman"/>
          <w:color w:val="1C1C1C"/>
          <w:sz w:val="24"/>
          <w:szCs w:val="24"/>
          <w:lang w:val="ro-RO"/>
        </w:rPr>
        <w:t xml:space="preserve"> producerea, în condiții de comparabilitate internațională, a statisticilor oficiale naționale privind: numărul și distribuția teritorială a populației, la cel mai mic nivel teritorial; structura demografică și caracteristici socioeconomice; compoziția gospodăriilor casnice, condițiile de trai, locuințele populației și clădirile în care acestea se situează. </w:t>
      </w:r>
    </w:p>
    <w:p w14:paraId="798FD707" w14:textId="77777777" w:rsidR="00DE2E3F" w:rsidRDefault="00DE2E3F" w:rsidP="00F20E83">
      <w:pPr>
        <w:shd w:val="clear" w:color="auto" w:fill="FFFFFF"/>
        <w:spacing w:beforeAutospacing="1" w:after="0" w:afterAutospacing="1" w:line="240" w:lineRule="auto"/>
        <w:ind w:firstLine="720"/>
        <w:jc w:val="both"/>
        <w:rPr>
          <w:rFonts w:ascii="Times New Roman" w:eastAsia="Times New Roman" w:hAnsi="Times New Roman" w:cs="Times New Roman"/>
          <w:color w:val="1C1C1C"/>
          <w:sz w:val="24"/>
          <w:szCs w:val="24"/>
          <w:lang w:val="ro-RO"/>
        </w:rPr>
      </w:pPr>
      <w:r w:rsidRPr="00916171">
        <w:rPr>
          <w:rFonts w:ascii="Times New Roman" w:eastAsia="Times New Roman" w:hAnsi="Times New Roman" w:cs="Times New Roman"/>
          <w:b/>
          <w:bCs/>
          <w:color w:val="1C1C1C"/>
          <w:sz w:val="24"/>
          <w:szCs w:val="24"/>
          <w:lang w:val="ro-RO"/>
        </w:rPr>
        <w:t>Recensământul servește drept bază</w:t>
      </w:r>
      <w:r w:rsidRPr="00916171">
        <w:rPr>
          <w:rFonts w:ascii="Times New Roman" w:eastAsia="Times New Roman" w:hAnsi="Times New Roman" w:cs="Times New Roman"/>
          <w:color w:val="1C1C1C"/>
          <w:sz w:val="24"/>
          <w:szCs w:val="24"/>
          <w:lang w:val="ro-RO"/>
        </w:rPr>
        <w:t> pentru estimările anuale ale numărului populației țării și bază de sondaj pentru cercetările statistice selective în gospodării.</w:t>
      </w:r>
    </w:p>
    <w:p w14:paraId="50380482" w14:textId="71D802B9" w:rsidR="0059111E" w:rsidRPr="0059111E" w:rsidRDefault="0059111E" w:rsidP="00F20E83">
      <w:pPr>
        <w:shd w:val="clear" w:color="auto" w:fill="FFFFFF"/>
        <w:spacing w:beforeAutospacing="1" w:after="0" w:afterAutospacing="1" w:line="240" w:lineRule="auto"/>
        <w:ind w:firstLine="720"/>
        <w:jc w:val="both"/>
        <w:rPr>
          <w:rFonts w:ascii="Times New Roman" w:hAnsi="Times New Roman" w:cs="Times New Roman"/>
          <w:sz w:val="24"/>
          <w:szCs w:val="24"/>
          <w:lang w:val="ro-RO"/>
        </w:rPr>
      </w:pPr>
      <w:r w:rsidRPr="0059111E">
        <w:rPr>
          <w:rFonts w:ascii="Times New Roman" w:hAnsi="Times New Roman" w:cs="Times New Roman"/>
          <w:sz w:val="24"/>
          <w:szCs w:val="24"/>
          <w:lang w:val="ro-RO"/>
        </w:rPr>
        <w:t xml:space="preserve">În perioada </w:t>
      </w:r>
      <w:r w:rsidRPr="0059111E">
        <w:rPr>
          <w:rFonts w:ascii="Times New Roman" w:hAnsi="Times New Roman" w:cs="Times New Roman"/>
          <w:b/>
          <w:bCs/>
          <w:sz w:val="24"/>
          <w:szCs w:val="24"/>
          <w:lang w:val="ro-RO"/>
        </w:rPr>
        <w:t>8 aprilie</w:t>
      </w:r>
      <w:r w:rsidR="00397E78">
        <w:rPr>
          <w:rFonts w:ascii="Times New Roman" w:hAnsi="Times New Roman" w:cs="Times New Roman"/>
          <w:b/>
          <w:bCs/>
          <w:sz w:val="24"/>
          <w:szCs w:val="24"/>
          <w:lang w:val="ro-RO"/>
        </w:rPr>
        <w:t xml:space="preserve"> </w:t>
      </w:r>
      <w:r w:rsidRPr="0059111E">
        <w:rPr>
          <w:rFonts w:ascii="Times New Roman" w:hAnsi="Times New Roman" w:cs="Times New Roman"/>
          <w:b/>
          <w:bCs/>
          <w:sz w:val="24"/>
          <w:szCs w:val="24"/>
          <w:lang w:val="ro-RO"/>
        </w:rPr>
        <w:t>-</w:t>
      </w:r>
      <w:r w:rsidR="00397E78">
        <w:rPr>
          <w:rFonts w:ascii="Times New Roman" w:hAnsi="Times New Roman" w:cs="Times New Roman"/>
          <w:b/>
          <w:bCs/>
          <w:sz w:val="24"/>
          <w:szCs w:val="24"/>
          <w:lang w:val="ro-RO"/>
        </w:rPr>
        <w:t xml:space="preserve"> </w:t>
      </w:r>
      <w:r w:rsidRPr="0059111E">
        <w:rPr>
          <w:rFonts w:ascii="Times New Roman" w:hAnsi="Times New Roman" w:cs="Times New Roman"/>
          <w:b/>
          <w:bCs/>
          <w:sz w:val="24"/>
          <w:szCs w:val="24"/>
          <w:lang w:val="ro-RO"/>
        </w:rPr>
        <w:t>7 iulie 2024</w:t>
      </w:r>
      <w:r w:rsidRPr="0059111E">
        <w:rPr>
          <w:rFonts w:ascii="Times New Roman" w:hAnsi="Times New Roman" w:cs="Times New Roman"/>
          <w:sz w:val="24"/>
          <w:szCs w:val="24"/>
          <w:lang w:val="ro-RO"/>
        </w:rPr>
        <w:t xml:space="preserve"> a fost desfășurată recenzarea populației și locuințelor, urmată de realizarea Anchetei </w:t>
      </w:r>
      <w:proofErr w:type="spellStart"/>
      <w:r w:rsidRPr="0059111E">
        <w:rPr>
          <w:rFonts w:ascii="Times New Roman" w:hAnsi="Times New Roman" w:cs="Times New Roman"/>
          <w:sz w:val="24"/>
          <w:szCs w:val="24"/>
          <w:lang w:val="ro-RO"/>
        </w:rPr>
        <w:t>postrecenzare</w:t>
      </w:r>
      <w:proofErr w:type="spellEnd"/>
      <w:r w:rsidRPr="0059111E">
        <w:rPr>
          <w:rFonts w:ascii="Times New Roman" w:hAnsi="Times New Roman" w:cs="Times New Roman"/>
          <w:sz w:val="24"/>
          <w:szCs w:val="24"/>
          <w:lang w:val="ro-RO"/>
        </w:rPr>
        <w:t xml:space="preserve"> în perioada 15 iulie-11 august 2024.</w:t>
      </w:r>
    </w:p>
    <w:bookmarkStart w:id="2" w:name="_Hlk188427027"/>
    <w:p w14:paraId="1CB86D42" w14:textId="5ED3107E" w:rsidR="0059111E" w:rsidRPr="0059111E" w:rsidRDefault="0059111E" w:rsidP="0059111E">
      <w:pPr>
        <w:ind w:firstLine="709"/>
        <w:jc w:val="both"/>
        <w:rPr>
          <w:rFonts w:ascii="Times New Roman" w:eastAsia="Times New Roman" w:hAnsi="Times New Roman" w:cs="Times New Roman"/>
          <w:color w:val="1C1C1C"/>
          <w:sz w:val="24"/>
          <w:szCs w:val="24"/>
          <w:lang w:val="ro-RO"/>
        </w:rPr>
      </w:pPr>
      <w:r w:rsidRPr="0059111E">
        <w:rPr>
          <w:rFonts w:ascii="Times New Roman" w:hAnsi="Times New Roman" w:cs="Times New Roman"/>
          <w:sz w:val="24"/>
          <w:szCs w:val="24"/>
          <w:lang w:val="ro-RO"/>
        </w:rPr>
        <w:fldChar w:fldCharType="begin"/>
      </w:r>
      <w:r w:rsidRPr="0059111E">
        <w:rPr>
          <w:rFonts w:ascii="Times New Roman" w:hAnsi="Times New Roman" w:cs="Times New Roman"/>
          <w:sz w:val="24"/>
          <w:szCs w:val="24"/>
          <w:lang w:val="ro-RO"/>
        </w:rPr>
        <w:instrText>HYPERLINK "https://statistica.gov.md/ro/statistic_indicator_details/56"</w:instrText>
      </w:r>
      <w:r w:rsidRPr="0059111E">
        <w:rPr>
          <w:rFonts w:ascii="Times New Roman" w:hAnsi="Times New Roman" w:cs="Times New Roman"/>
          <w:sz w:val="24"/>
          <w:szCs w:val="24"/>
          <w:lang w:val="ro-RO"/>
        </w:rPr>
        <w:fldChar w:fldCharType="separate"/>
      </w:r>
      <w:r w:rsidRPr="0059111E">
        <w:rPr>
          <w:rStyle w:val="Hyperlink"/>
          <w:rFonts w:ascii="Times New Roman" w:hAnsi="Times New Roman" w:cs="Times New Roman"/>
          <w:sz w:val="24"/>
          <w:szCs w:val="24"/>
          <w:lang w:val="ro-RO"/>
        </w:rPr>
        <w:t>Rezultatele preliminare ale RPL 2024</w:t>
      </w:r>
      <w:r w:rsidRPr="0059111E">
        <w:rPr>
          <w:rFonts w:ascii="Times New Roman" w:hAnsi="Times New Roman" w:cs="Times New Roman"/>
          <w:sz w:val="24"/>
          <w:szCs w:val="24"/>
          <w:lang w:val="ro-RO"/>
        </w:rPr>
        <w:fldChar w:fldCharType="end"/>
      </w:r>
      <w:r w:rsidRPr="0059111E">
        <w:rPr>
          <w:rFonts w:ascii="Times New Roman" w:hAnsi="Times New Roman" w:cs="Times New Roman"/>
          <w:sz w:val="24"/>
          <w:szCs w:val="24"/>
          <w:lang w:val="ro-RO"/>
        </w:rPr>
        <w:t xml:space="preserve">, care includ date privind mărimea și structura populației pe sexe, grupe majore de vârstă, medii de reședință și țara de naștere, precum și distribuția populației pe regiuni de dezvoltare și în funcție de caracteristici etno-culturale (etnia, religia, limba maternă, limba vorbită de obicei, dificultăți în desfășurarea activităților zilnice), au fost diseminate la 30 </w:t>
      </w:r>
      <w:r w:rsidR="00397E78">
        <w:rPr>
          <w:rFonts w:ascii="Times New Roman" w:hAnsi="Times New Roman" w:cs="Times New Roman"/>
          <w:sz w:val="24"/>
          <w:szCs w:val="24"/>
          <w:lang w:val="ro-RO"/>
        </w:rPr>
        <w:t>i</w:t>
      </w:r>
      <w:r w:rsidRPr="0059111E">
        <w:rPr>
          <w:rFonts w:ascii="Times New Roman" w:hAnsi="Times New Roman" w:cs="Times New Roman"/>
          <w:sz w:val="24"/>
          <w:szCs w:val="24"/>
          <w:lang w:val="ro-RO"/>
        </w:rPr>
        <w:t>anuarie 2025.</w:t>
      </w:r>
      <w:bookmarkEnd w:id="2"/>
    </w:p>
    <w:p w14:paraId="3A9DBF10" w14:textId="6E551778" w:rsidR="00543C45" w:rsidRPr="00916171" w:rsidRDefault="00543C45" w:rsidP="00543C45">
      <w:pPr>
        <w:pStyle w:val="NormalWeb"/>
        <w:shd w:val="clear" w:color="auto" w:fill="FFFFFF"/>
        <w:spacing w:before="0" w:beforeAutospacing="0" w:after="0" w:afterAutospacing="0"/>
        <w:ind w:firstLine="709"/>
        <w:jc w:val="both"/>
        <w:rPr>
          <w:lang w:val="ro-RO" w:eastAsia="ru-RU"/>
        </w:rPr>
      </w:pPr>
      <w:r w:rsidRPr="009669C5">
        <w:rPr>
          <w:lang w:val="ro-RO" w:eastAsia="ru-RU"/>
        </w:rPr>
        <w:t xml:space="preserve">Conform Hotărârii Guvernului </w:t>
      </w:r>
      <w:r w:rsidR="001E2FFE">
        <w:rPr>
          <w:lang w:val="ro-RO" w:eastAsia="ru-RU"/>
        </w:rPr>
        <w:t xml:space="preserve">nr. </w:t>
      </w:r>
      <w:r w:rsidRPr="009669C5">
        <w:rPr>
          <w:lang w:val="ro-RO" w:eastAsia="ru-RU"/>
        </w:rPr>
        <w:t>951/2022</w:t>
      </w:r>
      <w:r w:rsidRPr="009669C5">
        <w:rPr>
          <w:i/>
          <w:iCs/>
          <w:lang w:val="ro-RO" w:eastAsia="ru-RU"/>
        </w:rPr>
        <w:t>”Cu privire la organizarea și efectuarea recensământului populației și locuințelor din Republica Moldova în anul 2024” </w:t>
      </w:r>
      <w:r w:rsidRPr="009669C5">
        <w:rPr>
          <w:b/>
          <w:bCs/>
          <w:lang w:val="ro-RO" w:eastAsia="ru-RU"/>
        </w:rPr>
        <w:t xml:space="preserve">diseminarea rezultatelor </w:t>
      </w:r>
      <w:r w:rsidR="00210838">
        <w:rPr>
          <w:b/>
          <w:bCs/>
          <w:lang w:val="ro-RO" w:eastAsia="ru-RU"/>
        </w:rPr>
        <w:t>f</w:t>
      </w:r>
      <w:r w:rsidR="00210838" w:rsidRPr="009669C5">
        <w:rPr>
          <w:b/>
          <w:bCs/>
          <w:lang w:val="ro-RO" w:eastAsia="ru-RU"/>
        </w:rPr>
        <w:t xml:space="preserve">inale </w:t>
      </w:r>
      <w:r w:rsidRPr="009669C5">
        <w:rPr>
          <w:b/>
          <w:bCs/>
          <w:lang w:val="ro-RO" w:eastAsia="ru-RU"/>
        </w:rPr>
        <w:t>a</w:t>
      </w:r>
      <w:r w:rsidR="001E2FFE">
        <w:rPr>
          <w:b/>
          <w:bCs/>
          <w:lang w:val="ro-RO" w:eastAsia="ru-RU"/>
        </w:rPr>
        <w:t>le</w:t>
      </w:r>
      <w:r w:rsidRPr="009669C5">
        <w:rPr>
          <w:b/>
          <w:bCs/>
          <w:lang w:val="ro-RO" w:eastAsia="ru-RU"/>
        </w:rPr>
        <w:t xml:space="preserve"> recensământului</w:t>
      </w:r>
      <w:r w:rsidRPr="009669C5">
        <w:rPr>
          <w:lang w:val="ro-RO" w:eastAsia="ru-RU"/>
        </w:rPr>
        <w:t> este planificată în</w:t>
      </w:r>
      <w:r w:rsidRPr="009669C5">
        <w:rPr>
          <w:b/>
          <w:bCs/>
          <w:lang w:val="ro-RO" w:eastAsia="ru-RU"/>
        </w:rPr>
        <w:t> </w:t>
      </w:r>
      <w:r w:rsidRPr="001E2FFE">
        <w:rPr>
          <w:bCs/>
          <w:lang w:val="ro-RO" w:eastAsia="ru-RU"/>
        </w:rPr>
        <w:t>II </w:t>
      </w:r>
      <w:r w:rsidR="00B83A0C">
        <w:rPr>
          <w:lang w:val="ro-RO" w:eastAsia="ru-RU"/>
        </w:rPr>
        <w:t>etape</w:t>
      </w:r>
      <w:bookmarkStart w:id="3" w:name="_GoBack"/>
      <w:bookmarkEnd w:id="3"/>
      <w:r w:rsidRPr="009669C5">
        <w:rPr>
          <w:lang w:val="ro-RO" w:eastAsia="ru-RU"/>
        </w:rPr>
        <w:t>: </w:t>
      </w:r>
      <w:r w:rsidRPr="009669C5">
        <w:rPr>
          <w:b/>
          <w:bCs/>
          <w:lang w:val="ro-RO" w:eastAsia="ru-RU"/>
        </w:rPr>
        <w:t>timp de 12 luni</w:t>
      </w:r>
      <w:r w:rsidRPr="009669C5">
        <w:rPr>
          <w:lang w:val="ro-RO" w:eastAsia="ru-RU"/>
        </w:rPr>
        <w:t> si </w:t>
      </w:r>
      <w:r w:rsidRPr="009669C5">
        <w:rPr>
          <w:b/>
          <w:bCs/>
          <w:lang w:val="ro-RO" w:eastAsia="ru-RU"/>
        </w:rPr>
        <w:t>timp de 18 luni</w:t>
      </w:r>
      <w:r w:rsidRPr="009669C5">
        <w:rPr>
          <w:lang w:val="ro-RO" w:eastAsia="ru-RU"/>
        </w:rPr>
        <w:t> de la finalizarea recenzării.</w:t>
      </w:r>
    </w:p>
    <w:p w14:paraId="6B7337B6" w14:textId="77777777" w:rsidR="00543C45" w:rsidRPr="009669C5" w:rsidRDefault="00543C45" w:rsidP="00543C45">
      <w:pPr>
        <w:pStyle w:val="NormalWeb"/>
        <w:shd w:val="clear" w:color="auto" w:fill="FFFFFF"/>
        <w:spacing w:before="0" w:beforeAutospacing="0" w:after="0" w:afterAutospacing="0"/>
        <w:ind w:firstLine="709"/>
        <w:jc w:val="both"/>
        <w:rPr>
          <w:lang w:val="ro-RO" w:eastAsia="ru-RU"/>
        </w:rPr>
      </w:pPr>
    </w:p>
    <w:p w14:paraId="50B7AE44" w14:textId="77777777"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lang w:val="ro-RO" w:eastAsia="ru-RU"/>
        </w:rPr>
        <w:t>Lista subiectelor pentru diseminare </w:t>
      </w:r>
      <w:r w:rsidRPr="009669C5">
        <w:rPr>
          <w:b/>
          <w:bCs/>
          <w:lang w:val="ro-RO" w:eastAsia="ru-RU"/>
        </w:rPr>
        <w:t>timp de 12 luni</w:t>
      </w:r>
      <w:r w:rsidRPr="009669C5">
        <w:rPr>
          <w:lang w:val="ro-RO" w:eastAsia="ru-RU"/>
        </w:rPr>
        <w:t>:</w:t>
      </w:r>
    </w:p>
    <w:p w14:paraId="31A549C2" w14:textId="77777777"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I</w:t>
      </w:r>
      <w:r w:rsidRPr="009669C5">
        <w:rPr>
          <w:lang w:val="ro-RO" w:eastAsia="ru-RU"/>
        </w:rPr>
        <w:t>. Populația după distribuția (repartizarea) geografică </w:t>
      </w:r>
    </w:p>
    <w:p w14:paraId="2D0B7643" w14:textId="77777777"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II.</w:t>
      </w:r>
      <w:r w:rsidRPr="009669C5">
        <w:rPr>
          <w:lang w:val="ro-RO" w:eastAsia="ru-RU"/>
        </w:rPr>
        <w:t> Caracteristici demografice ale populației I: sexe, vârste, medii de reședință, locul nașterii, cetățenie </w:t>
      </w:r>
    </w:p>
    <w:p w14:paraId="2BC4B990" w14:textId="77777777"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III.</w:t>
      </w:r>
      <w:r w:rsidRPr="009669C5">
        <w:rPr>
          <w:lang w:val="ro-RO" w:eastAsia="ru-RU"/>
        </w:rPr>
        <w:t> Caracteristici demografice ale populației II: starea civilă și fertilitatea</w:t>
      </w:r>
    </w:p>
    <w:p w14:paraId="350F9F42" w14:textId="77777777"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IV</w:t>
      </w:r>
      <w:r w:rsidRPr="009669C5">
        <w:rPr>
          <w:lang w:val="ro-RO" w:eastAsia="ru-RU"/>
        </w:rPr>
        <w:t>. Caracteristicile etno-culturale ale populației</w:t>
      </w:r>
    </w:p>
    <w:p w14:paraId="335D6791" w14:textId="77777777"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V</w:t>
      </w:r>
      <w:r w:rsidRPr="009669C5">
        <w:rPr>
          <w:lang w:val="ro-RO" w:eastAsia="ru-RU"/>
        </w:rPr>
        <w:t>. Caracteristicile educaționale ale populației</w:t>
      </w:r>
    </w:p>
    <w:p w14:paraId="215AEF2F" w14:textId="17869A82"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VI</w:t>
      </w:r>
      <w:r w:rsidRPr="009669C5">
        <w:rPr>
          <w:lang w:val="ro-RO" w:eastAsia="ru-RU"/>
        </w:rPr>
        <w:t xml:space="preserve">. Caracteristicile </w:t>
      </w:r>
      <w:proofErr w:type="spellStart"/>
      <w:r w:rsidR="00210838">
        <w:rPr>
          <w:lang w:val="ro-RO" w:eastAsia="ru-RU"/>
        </w:rPr>
        <w:t>migraționale</w:t>
      </w:r>
      <w:proofErr w:type="spellEnd"/>
      <w:r w:rsidR="00210838" w:rsidRPr="009669C5">
        <w:rPr>
          <w:lang w:val="ro-RO" w:eastAsia="ru-RU"/>
        </w:rPr>
        <w:t xml:space="preserve"> </w:t>
      </w:r>
      <w:r w:rsidRPr="009669C5">
        <w:rPr>
          <w:lang w:val="ro-RO" w:eastAsia="ru-RU"/>
        </w:rPr>
        <w:t>ale populației</w:t>
      </w:r>
    </w:p>
    <w:p w14:paraId="389698D2" w14:textId="77777777"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VII</w:t>
      </w:r>
      <w:r w:rsidRPr="009669C5">
        <w:rPr>
          <w:lang w:val="ro-RO" w:eastAsia="ru-RU"/>
        </w:rPr>
        <w:t>. Populația după dificultăți de vedere, auz, mobilitate, memorare din viața de zi cu zi</w:t>
      </w:r>
    </w:p>
    <w:p w14:paraId="0471735B" w14:textId="3F4112F2"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VIII</w:t>
      </w:r>
      <w:r w:rsidRPr="009669C5">
        <w:rPr>
          <w:lang w:val="ro-RO" w:eastAsia="ru-RU"/>
        </w:rPr>
        <w:t>. Activitatea agricolă a gospodăriilor casnice</w:t>
      </w:r>
      <w:r w:rsidR="001E2FFE">
        <w:rPr>
          <w:lang w:val="ro-RO" w:eastAsia="ru-RU"/>
        </w:rPr>
        <w:t>.</w:t>
      </w:r>
    </w:p>
    <w:p w14:paraId="0F630CFA" w14:textId="77777777" w:rsidR="00543C45" w:rsidRPr="009669C5" w:rsidRDefault="00543C45" w:rsidP="00543C45">
      <w:pPr>
        <w:pStyle w:val="NormalWeb"/>
        <w:shd w:val="clear" w:color="auto" w:fill="FFFFFF"/>
        <w:spacing w:before="0" w:beforeAutospacing="0" w:after="0" w:afterAutospacing="0"/>
        <w:ind w:firstLine="709"/>
        <w:jc w:val="both"/>
        <w:rPr>
          <w:lang w:val="ro-RO" w:eastAsia="ru-RU"/>
        </w:rPr>
      </w:pPr>
    </w:p>
    <w:p w14:paraId="65F59F05" w14:textId="77777777"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lang w:val="ro-RO" w:eastAsia="ru-RU"/>
        </w:rPr>
        <w:t>Lista subiectelor pentru diseminare </w:t>
      </w:r>
      <w:r w:rsidRPr="009669C5">
        <w:rPr>
          <w:b/>
          <w:bCs/>
          <w:lang w:val="ro-RO" w:eastAsia="ru-RU"/>
        </w:rPr>
        <w:t>timp de 18 luni</w:t>
      </w:r>
      <w:r w:rsidRPr="009669C5">
        <w:rPr>
          <w:lang w:val="ro-RO" w:eastAsia="ru-RU"/>
        </w:rPr>
        <w:t>:</w:t>
      </w:r>
    </w:p>
    <w:p w14:paraId="23227FD1" w14:textId="008DA275" w:rsidR="00210838" w:rsidRDefault="00543C45"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IX</w:t>
      </w:r>
      <w:r w:rsidRPr="009669C5">
        <w:rPr>
          <w:lang w:val="ro-RO" w:eastAsia="ru-RU"/>
        </w:rPr>
        <w:t xml:space="preserve">. </w:t>
      </w:r>
      <w:r w:rsidR="00210838" w:rsidRPr="009669C5">
        <w:rPr>
          <w:lang w:val="ro-RO" w:eastAsia="ru-RU"/>
        </w:rPr>
        <w:t>Caracteristicile economice ale populației</w:t>
      </w:r>
    </w:p>
    <w:p w14:paraId="1AE2789B" w14:textId="5350F11B" w:rsidR="00543C45" w:rsidRPr="009669C5" w:rsidRDefault="00210838"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X</w:t>
      </w:r>
      <w:r w:rsidRPr="009669C5">
        <w:rPr>
          <w:lang w:val="ro-RO" w:eastAsia="ru-RU"/>
        </w:rPr>
        <w:t xml:space="preserve">. </w:t>
      </w:r>
      <w:r w:rsidR="00543C45" w:rsidRPr="009669C5">
        <w:rPr>
          <w:lang w:val="ro-RO" w:eastAsia="ru-RU"/>
        </w:rPr>
        <w:t>Condiții de trai</w:t>
      </w:r>
    </w:p>
    <w:p w14:paraId="7D399A76" w14:textId="0B65E8DE"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X</w:t>
      </w:r>
      <w:r w:rsidR="00210838">
        <w:rPr>
          <w:b/>
          <w:bCs/>
          <w:lang w:val="ro-RO" w:eastAsia="ru-RU"/>
        </w:rPr>
        <w:t>I</w:t>
      </w:r>
      <w:r w:rsidRPr="009669C5">
        <w:rPr>
          <w:lang w:val="ro-RO" w:eastAsia="ru-RU"/>
        </w:rPr>
        <w:t>. Locuințe</w:t>
      </w:r>
    </w:p>
    <w:p w14:paraId="25E79E00" w14:textId="3E80B1A5" w:rsidR="00543C45" w:rsidRPr="009669C5" w:rsidRDefault="00543C45" w:rsidP="00543C45">
      <w:pPr>
        <w:pStyle w:val="NormalWeb"/>
        <w:shd w:val="clear" w:color="auto" w:fill="FFFFFF"/>
        <w:spacing w:before="0" w:beforeAutospacing="0" w:after="0" w:afterAutospacing="0"/>
        <w:ind w:firstLine="709"/>
        <w:jc w:val="both"/>
        <w:rPr>
          <w:lang w:val="ro-RO" w:eastAsia="ru-RU"/>
        </w:rPr>
      </w:pPr>
      <w:r w:rsidRPr="009669C5">
        <w:rPr>
          <w:b/>
          <w:bCs/>
          <w:lang w:val="ro-RO" w:eastAsia="ru-RU"/>
        </w:rPr>
        <w:t>XI</w:t>
      </w:r>
      <w:r w:rsidR="00210838">
        <w:rPr>
          <w:b/>
          <w:bCs/>
          <w:lang w:val="ro-RO" w:eastAsia="ru-RU"/>
        </w:rPr>
        <w:t>I</w:t>
      </w:r>
      <w:r w:rsidRPr="009669C5">
        <w:rPr>
          <w:lang w:val="ro-RO" w:eastAsia="ru-RU"/>
        </w:rPr>
        <w:t>. Familii și gospodării casnice</w:t>
      </w:r>
      <w:r w:rsidR="001E2FFE">
        <w:rPr>
          <w:lang w:val="ro-RO" w:eastAsia="ru-RU"/>
        </w:rPr>
        <w:t>.</w:t>
      </w:r>
    </w:p>
    <w:p w14:paraId="07AC45F7" w14:textId="6A2BD7B6" w:rsidR="00DE2E3F" w:rsidRPr="00916171" w:rsidRDefault="00DE2E3F" w:rsidP="004F4CDC">
      <w:pPr>
        <w:shd w:val="clear" w:color="auto" w:fill="FFFFFF"/>
        <w:spacing w:beforeAutospacing="1" w:after="0" w:afterAutospacing="1" w:line="240" w:lineRule="auto"/>
        <w:ind w:firstLine="567"/>
        <w:jc w:val="both"/>
        <w:rPr>
          <w:rFonts w:ascii="Times New Roman" w:eastAsia="Times New Roman" w:hAnsi="Times New Roman" w:cs="Times New Roman"/>
          <w:color w:val="1C1C1C"/>
          <w:sz w:val="24"/>
          <w:szCs w:val="24"/>
          <w:lang w:val="ro-RO"/>
        </w:rPr>
      </w:pPr>
      <w:r w:rsidRPr="00916171">
        <w:rPr>
          <w:rFonts w:ascii="Times New Roman" w:eastAsia="Times New Roman" w:hAnsi="Times New Roman" w:cs="Times New Roman"/>
          <w:color w:val="1C1C1C"/>
          <w:sz w:val="24"/>
          <w:szCs w:val="24"/>
          <w:lang w:val="ro-RO"/>
        </w:rPr>
        <w:lastRenderedPageBreak/>
        <w:t xml:space="preserve">Urmare a consultărilor publice </w:t>
      </w:r>
      <w:r w:rsidR="00397E78">
        <w:rPr>
          <w:rFonts w:ascii="Times New Roman" w:eastAsia="Times New Roman" w:hAnsi="Times New Roman" w:cs="Times New Roman"/>
          <w:color w:val="1C1C1C"/>
          <w:sz w:val="24"/>
          <w:szCs w:val="24"/>
          <w:lang w:val="ro-RO"/>
        </w:rPr>
        <w:t>ale</w:t>
      </w:r>
      <w:r w:rsidRPr="00916171">
        <w:rPr>
          <w:rFonts w:ascii="Times New Roman" w:eastAsia="Times New Roman" w:hAnsi="Times New Roman" w:cs="Times New Roman"/>
          <w:color w:val="1C1C1C"/>
          <w:sz w:val="24"/>
          <w:szCs w:val="24"/>
          <w:lang w:val="ro-RO"/>
        </w:rPr>
        <w:t xml:space="preserve"> </w:t>
      </w:r>
      <w:r w:rsidR="00543C45" w:rsidRPr="00916171">
        <w:rPr>
          <w:rFonts w:ascii="Times New Roman" w:eastAsia="Times New Roman" w:hAnsi="Times New Roman" w:cs="Times New Roman"/>
          <w:color w:val="1C1C1C"/>
          <w:sz w:val="24"/>
          <w:szCs w:val="24"/>
          <w:lang w:val="ro-RO"/>
        </w:rPr>
        <w:t xml:space="preserve">Planului de tabulare a rezultatelor </w:t>
      </w:r>
      <w:r w:rsidR="00210838">
        <w:rPr>
          <w:rFonts w:ascii="Times New Roman" w:eastAsia="Times New Roman" w:hAnsi="Times New Roman" w:cs="Times New Roman"/>
          <w:color w:val="1C1C1C"/>
          <w:sz w:val="24"/>
          <w:szCs w:val="24"/>
          <w:lang w:val="ro-RO"/>
        </w:rPr>
        <w:t>finale</w:t>
      </w:r>
      <w:r w:rsidR="00210838" w:rsidRPr="00916171">
        <w:rPr>
          <w:rFonts w:ascii="Times New Roman" w:eastAsia="Times New Roman" w:hAnsi="Times New Roman" w:cs="Times New Roman"/>
          <w:color w:val="1C1C1C"/>
          <w:sz w:val="24"/>
          <w:szCs w:val="24"/>
          <w:lang w:val="ro-RO"/>
        </w:rPr>
        <w:t xml:space="preserve"> </w:t>
      </w:r>
      <w:r w:rsidR="00543C45" w:rsidRPr="00916171">
        <w:rPr>
          <w:rFonts w:ascii="Times New Roman" w:eastAsia="Times New Roman" w:hAnsi="Times New Roman" w:cs="Times New Roman"/>
          <w:color w:val="1C1C1C"/>
          <w:sz w:val="24"/>
          <w:szCs w:val="24"/>
          <w:lang w:val="ro-RO"/>
        </w:rPr>
        <w:t>ale Recensământul Populației și Locuințelor din anul 2024</w:t>
      </w:r>
      <w:r w:rsidRPr="00916171">
        <w:rPr>
          <w:rFonts w:ascii="Times New Roman" w:eastAsia="Times New Roman" w:hAnsi="Times New Roman" w:cs="Times New Roman"/>
          <w:color w:val="1C1C1C"/>
          <w:sz w:val="24"/>
          <w:szCs w:val="24"/>
          <w:lang w:val="ro-RO"/>
        </w:rPr>
        <w:t xml:space="preserve"> acesta v</w:t>
      </w:r>
      <w:r w:rsidR="00543C45" w:rsidRPr="00916171">
        <w:rPr>
          <w:rFonts w:ascii="Times New Roman" w:eastAsia="Times New Roman" w:hAnsi="Times New Roman" w:cs="Times New Roman"/>
          <w:color w:val="1C1C1C"/>
          <w:sz w:val="24"/>
          <w:szCs w:val="24"/>
          <w:lang w:val="ro-RO"/>
        </w:rPr>
        <w:t>a</w:t>
      </w:r>
      <w:r w:rsidRPr="00916171">
        <w:rPr>
          <w:rFonts w:ascii="Times New Roman" w:eastAsia="Times New Roman" w:hAnsi="Times New Roman" w:cs="Times New Roman"/>
          <w:color w:val="1C1C1C"/>
          <w:sz w:val="24"/>
          <w:szCs w:val="24"/>
          <w:lang w:val="ro-RO"/>
        </w:rPr>
        <w:t xml:space="preserve"> fi definitivat</w:t>
      </w:r>
      <w:r w:rsidR="0021713A" w:rsidRPr="00916171">
        <w:rPr>
          <w:rFonts w:ascii="Times New Roman" w:eastAsia="Times New Roman" w:hAnsi="Times New Roman" w:cs="Times New Roman"/>
          <w:color w:val="1C1C1C"/>
          <w:sz w:val="24"/>
          <w:szCs w:val="24"/>
          <w:lang w:val="ro-RO"/>
        </w:rPr>
        <w:t xml:space="preserve"> </w:t>
      </w:r>
      <w:r w:rsidR="00543C45" w:rsidRPr="00916171">
        <w:rPr>
          <w:rFonts w:ascii="Times New Roman" w:eastAsia="Times New Roman" w:hAnsi="Times New Roman" w:cs="Times New Roman"/>
          <w:color w:val="1C1C1C"/>
          <w:sz w:val="24"/>
          <w:szCs w:val="24"/>
          <w:lang w:val="ro-RO"/>
        </w:rPr>
        <w:t xml:space="preserve">și aprobat </w:t>
      </w:r>
      <w:r w:rsidRPr="00916171">
        <w:rPr>
          <w:rFonts w:ascii="Times New Roman" w:eastAsia="Times New Roman" w:hAnsi="Times New Roman" w:cs="Times New Roman"/>
          <w:color w:val="1C1C1C"/>
          <w:sz w:val="24"/>
          <w:szCs w:val="24"/>
          <w:lang w:val="ro-RO"/>
        </w:rPr>
        <w:t>de către Biroul Național de Statistică</w:t>
      </w:r>
      <w:r w:rsidR="00543C45" w:rsidRPr="00916171">
        <w:rPr>
          <w:rFonts w:ascii="Times New Roman" w:eastAsia="Times New Roman" w:hAnsi="Times New Roman" w:cs="Times New Roman"/>
          <w:color w:val="1C1C1C"/>
          <w:sz w:val="24"/>
          <w:szCs w:val="24"/>
          <w:lang w:val="ro-RO"/>
        </w:rPr>
        <w:t>.</w:t>
      </w:r>
    </w:p>
    <w:p w14:paraId="0B46CE65" w14:textId="2550CFB6" w:rsidR="00543C45" w:rsidRPr="00916171" w:rsidRDefault="00543C45" w:rsidP="00397E78">
      <w:pPr>
        <w:shd w:val="clear" w:color="auto" w:fill="FFFFFF"/>
        <w:spacing w:beforeAutospacing="1" w:after="0" w:afterAutospacing="1" w:line="240" w:lineRule="auto"/>
        <w:ind w:firstLine="567"/>
        <w:jc w:val="both"/>
        <w:rPr>
          <w:rFonts w:ascii="Times New Roman" w:eastAsia="Times New Roman" w:hAnsi="Times New Roman" w:cs="Times New Roman"/>
          <w:color w:val="1C1C1C"/>
          <w:sz w:val="24"/>
          <w:szCs w:val="24"/>
          <w:lang w:val="ro-RO"/>
        </w:rPr>
      </w:pPr>
      <w:r w:rsidRPr="00916171">
        <w:rPr>
          <w:rFonts w:ascii="Times New Roman" w:eastAsia="Times New Roman" w:hAnsi="Times New Roman" w:cs="Times New Roman"/>
          <w:color w:val="1C1C1C"/>
          <w:sz w:val="24"/>
          <w:szCs w:val="24"/>
          <w:lang w:val="ro-RO"/>
        </w:rPr>
        <w:t xml:space="preserve">Planul de tabulare a rezultatelor </w:t>
      </w:r>
      <w:r w:rsidR="001E2FFE">
        <w:rPr>
          <w:rFonts w:ascii="Times New Roman" w:eastAsia="Times New Roman" w:hAnsi="Times New Roman" w:cs="Times New Roman"/>
          <w:color w:val="1C1C1C"/>
          <w:sz w:val="24"/>
          <w:szCs w:val="24"/>
          <w:lang w:val="ro-RO"/>
        </w:rPr>
        <w:t>finale</w:t>
      </w:r>
      <w:r w:rsidRPr="00916171">
        <w:rPr>
          <w:rFonts w:ascii="Times New Roman" w:eastAsia="Times New Roman" w:hAnsi="Times New Roman" w:cs="Times New Roman"/>
          <w:color w:val="1C1C1C"/>
          <w:sz w:val="24"/>
          <w:szCs w:val="24"/>
          <w:lang w:val="ro-RO"/>
        </w:rPr>
        <w:t xml:space="preserve"> ale Recensământul Populației și Locuințelor din anul 2024 </w:t>
      </w:r>
      <w:r w:rsidR="00DE2E3F" w:rsidRPr="00916171">
        <w:rPr>
          <w:rFonts w:ascii="Times New Roman" w:eastAsia="Times New Roman" w:hAnsi="Times New Roman" w:cs="Times New Roman"/>
          <w:color w:val="1C1C1C"/>
          <w:sz w:val="24"/>
          <w:szCs w:val="24"/>
          <w:lang w:val="ro-RO"/>
        </w:rPr>
        <w:t xml:space="preserve">este </w:t>
      </w:r>
      <w:r w:rsidR="00397E78">
        <w:rPr>
          <w:rFonts w:ascii="Times New Roman" w:eastAsia="Times New Roman" w:hAnsi="Times New Roman" w:cs="Times New Roman"/>
          <w:color w:val="1C1C1C"/>
          <w:sz w:val="24"/>
          <w:szCs w:val="24"/>
          <w:lang w:val="ro-RO"/>
        </w:rPr>
        <w:t>e</w:t>
      </w:r>
      <w:r w:rsidR="00397E78" w:rsidRPr="00916171">
        <w:rPr>
          <w:rFonts w:ascii="Times New Roman" w:eastAsia="Times New Roman" w:hAnsi="Times New Roman" w:cs="Times New Roman"/>
          <w:color w:val="1C1C1C"/>
          <w:sz w:val="24"/>
          <w:szCs w:val="24"/>
          <w:lang w:val="ro-RO"/>
        </w:rPr>
        <w:t>labora</w:t>
      </w:r>
      <w:r w:rsidR="00397E78">
        <w:rPr>
          <w:rFonts w:ascii="Times New Roman" w:eastAsia="Times New Roman" w:hAnsi="Times New Roman" w:cs="Times New Roman"/>
          <w:color w:val="1C1C1C"/>
          <w:sz w:val="24"/>
          <w:szCs w:val="24"/>
          <w:lang w:val="ro-RO"/>
        </w:rPr>
        <w:t>t</w:t>
      </w:r>
      <w:r w:rsidRPr="00916171">
        <w:rPr>
          <w:rFonts w:ascii="Times New Roman" w:eastAsia="Times New Roman" w:hAnsi="Times New Roman" w:cs="Times New Roman"/>
          <w:color w:val="1C1C1C"/>
          <w:sz w:val="24"/>
          <w:szCs w:val="24"/>
          <w:lang w:val="ro-RO"/>
        </w:rPr>
        <w:t xml:space="preserve"> </w:t>
      </w:r>
      <w:r w:rsidRPr="00916171">
        <w:rPr>
          <w:rFonts w:ascii="Times New Roman" w:eastAsia="Times New Roman" w:hAnsi="Times New Roman" w:cs="Times New Roman"/>
          <w:sz w:val="24"/>
          <w:szCs w:val="24"/>
          <w:lang w:val="ro-RO" w:eastAsia="ru-RU"/>
        </w:rPr>
        <w:t xml:space="preserve">în corespundere cu </w:t>
      </w:r>
      <w:r w:rsidR="00397E78" w:rsidRPr="00916171">
        <w:rPr>
          <w:rFonts w:ascii="Times New Roman" w:eastAsia="Times New Roman" w:hAnsi="Times New Roman" w:cs="Times New Roman"/>
          <w:sz w:val="24"/>
          <w:szCs w:val="24"/>
          <w:lang w:val="ro-RO" w:eastAsia="ru-RU"/>
        </w:rPr>
        <w:t xml:space="preserve">Principiile </w:t>
      </w:r>
      <w:r w:rsidRPr="00916171">
        <w:rPr>
          <w:rFonts w:ascii="Times New Roman" w:eastAsia="Times New Roman" w:hAnsi="Times New Roman" w:cs="Times New Roman"/>
          <w:sz w:val="24"/>
          <w:szCs w:val="24"/>
          <w:lang w:val="ro-RO" w:eastAsia="ru-RU"/>
        </w:rPr>
        <w:t xml:space="preserve">și recomandările </w:t>
      </w:r>
      <w:hyperlink r:id="rId5" w:history="1">
        <w:r w:rsidR="00397E78" w:rsidRPr="00397E78">
          <w:rPr>
            <w:rStyle w:val="Hyperlink"/>
            <w:rFonts w:ascii="Times New Roman" w:eastAsia="Times New Roman" w:hAnsi="Times New Roman" w:cs="Times New Roman"/>
            <w:sz w:val="24"/>
            <w:szCs w:val="24"/>
            <w:lang w:val="ro-RO" w:eastAsia="ru-RU"/>
          </w:rPr>
          <w:t>ONU</w:t>
        </w:r>
      </w:hyperlink>
      <w:r w:rsidR="00397E78">
        <w:rPr>
          <w:rFonts w:ascii="Times New Roman" w:eastAsia="Times New Roman" w:hAnsi="Times New Roman" w:cs="Times New Roman"/>
          <w:sz w:val="24"/>
          <w:szCs w:val="24"/>
          <w:lang w:val="ro-RO" w:eastAsia="ru-RU"/>
        </w:rPr>
        <w:t xml:space="preserve"> </w:t>
      </w:r>
      <w:r w:rsidRPr="00916171">
        <w:rPr>
          <w:rFonts w:ascii="Times New Roman" w:eastAsia="Times New Roman" w:hAnsi="Times New Roman" w:cs="Times New Roman"/>
          <w:sz w:val="24"/>
          <w:szCs w:val="24"/>
          <w:lang w:val="ro-RO" w:eastAsia="ru-RU"/>
        </w:rPr>
        <w:t>pentru recensământul populației și locuințelor</w:t>
      </w:r>
      <w:r w:rsidR="00397E78">
        <w:rPr>
          <w:rFonts w:ascii="Times New Roman" w:eastAsia="Times New Roman" w:hAnsi="Times New Roman" w:cs="Times New Roman"/>
          <w:sz w:val="24"/>
          <w:szCs w:val="24"/>
          <w:lang w:val="ro-RO" w:eastAsia="ru-RU"/>
        </w:rPr>
        <w:t xml:space="preserve"> și</w:t>
      </w:r>
      <w:r w:rsidRPr="00916171">
        <w:rPr>
          <w:rFonts w:ascii="Times New Roman" w:eastAsia="Times New Roman" w:hAnsi="Times New Roman" w:cs="Times New Roman"/>
          <w:sz w:val="24"/>
          <w:szCs w:val="24"/>
          <w:lang w:val="ro-RO" w:eastAsia="ru-RU"/>
        </w:rPr>
        <w:t xml:space="preserve"> </w:t>
      </w:r>
      <w:r w:rsidR="00397E78">
        <w:rPr>
          <w:rFonts w:ascii="Times New Roman" w:eastAsia="Times New Roman" w:hAnsi="Times New Roman" w:cs="Times New Roman"/>
          <w:sz w:val="24"/>
          <w:szCs w:val="24"/>
          <w:lang w:val="ro-RO" w:eastAsia="ru-RU"/>
        </w:rPr>
        <w:t xml:space="preserve">avizat de </w:t>
      </w:r>
      <w:r w:rsidR="00397E78" w:rsidRPr="00397E78">
        <w:rPr>
          <w:rFonts w:ascii="Times New Roman" w:eastAsia="Times New Roman" w:hAnsi="Times New Roman" w:cs="Times New Roman"/>
          <w:bCs/>
          <w:sz w:val="24"/>
          <w:szCs w:val="24"/>
          <w:lang w:val="ro-RO" w:eastAsia="ru-RU"/>
        </w:rPr>
        <w:t>Comisia Națională pentru Recensământul Populației și Locuințelor</w:t>
      </w:r>
      <w:r w:rsidR="00397E78" w:rsidRPr="00916171">
        <w:rPr>
          <w:rFonts w:ascii="Times New Roman" w:eastAsia="Times New Roman" w:hAnsi="Times New Roman" w:cs="Times New Roman"/>
          <w:sz w:val="24"/>
          <w:szCs w:val="24"/>
          <w:lang w:val="ro-RO" w:eastAsia="ru-RU"/>
        </w:rPr>
        <w:t xml:space="preserve"> </w:t>
      </w:r>
      <w:r w:rsidR="00397E78">
        <w:rPr>
          <w:rFonts w:ascii="Times New Roman" w:eastAsia="Times New Roman" w:hAnsi="Times New Roman" w:cs="Times New Roman"/>
          <w:sz w:val="24"/>
          <w:szCs w:val="24"/>
          <w:lang w:val="ro-RO" w:eastAsia="ru-RU"/>
        </w:rPr>
        <w:t>prin</w:t>
      </w:r>
      <w:r w:rsidRPr="00916171">
        <w:rPr>
          <w:rFonts w:ascii="Times New Roman" w:eastAsia="Times New Roman" w:hAnsi="Times New Roman" w:cs="Times New Roman"/>
          <w:sz w:val="24"/>
          <w:szCs w:val="24"/>
          <w:lang w:val="ro-RO" w:eastAsia="ru-RU"/>
        </w:rPr>
        <w:t xml:space="preserve"> </w:t>
      </w:r>
      <w:hyperlink r:id="rId6" w:history="1">
        <w:r w:rsidRPr="00916171">
          <w:rPr>
            <w:rStyle w:val="Hyperlink"/>
            <w:rFonts w:ascii="Times New Roman" w:eastAsia="Times New Roman" w:hAnsi="Times New Roman" w:cs="Times New Roman"/>
            <w:color w:val="5B9BD5" w:themeColor="accent5"/>
            <w:sz w:val="24"/>
            <w:szCs w:val="24"/>
            <w:lang w:val="ro-RO" w:eastAsia="ru-RU"/>
          </w:rPr>
          <w:t xml:space="preserve">Decizia nr. </w:t>
        </w:r>
        <w:r w:rsidRPr="003E36DC">
          <w:rPr>
            <w:rStyle w:val="Hyperlink"/>
            <w:rFonts w:ascii="Times New Roman" w:eastAsia="Times New Roman" w:hAnsi="Times New Roman" w:cs="Times New Roman"/>
            <w:bCs/>
            <w:color w:val="5B9BD5" w:themeColor="accent5"/>
            <w:sz w:val="24"/>
            <w:szCs w:val="24"/>
            <w:lang w:val="ro-RO" w:eastAsia="ru-RU"/>
          </w:rPr>
          <w:t>1</w:t>
        </w:r>
        <w:r w:rsidRPr="003E36DC">
          <w:rPr>
            <w:rStyle w:val="Hyperlink"/>
            <w:rFonts w:ascii="Times New Roman" w:eastAsia="Times New Roman" w:hAnsi="Times New Roman" w:cs="Times New Roman"/>
            <w:color w:val="5B9BD5" w:themeColor="accent5"/>
            <w:sz w:val="24"/>
            <w:szCs w:val="24"/>
            <w:lang w:val="ro-RO" w:eastAsia="ru-RU"/>
          </w:rPr>
          <w:t>7/20</w:t>
        </w:r>
        <w:r w:rsidRPr="003E36DC">
          <w:rPr>
            <w:rStyle w:val="Hyperlink"/>
            <w:rFonts w:ascii="Times New Roman" w:eastAsia="Times New Roman" w:hAnsi="Times New Roman" w:cs="Times New Roman"/>
            <w:bCs/>
            <w:color w:val="5B9BD5" w:themeColor="accent5"/>
            <w:sz w:val="24"/>
            <w:szCs w:val="24"/>
            <w:lang w:val="ro-RO" w:eastAsia="ru-RU"/>
          </w:rPr>
          <w:t>25</w:t>
        </w:r>
      </w:hyperlink>
      <w:r w:rsidRPr="00916171">
        <w:rPr>
          <w:rFonts w:ascii="Times New Roman" w:eastAsia="Times New Roman" w:hAnsi="Times New Roman" w:cs="Times New Roman"/>
          <w:sz w:val="24"/>
          <w:szCs w:val="24"/>
          <w:lang w:val="ro-RO" w:eastAsia="ru-RU"/>
        </w:rPr>
        <w:t>.</w:t>
      </w:r>
    </w:p>
    <w:p w14:paraId="66240B4A" w14:textId="28B2CB22" w:rsidR="0018528D" w:rsidRPr="00916171" w:rsidRDefault="00DE2E3F" w:rsidP="00636C39">
      <w:pPr>
        <w:shd w:val="clear" w:color="auto" w:fill="FFFFFF"/>
        <w:spacing w:beforeAutospacing="1" w:after="0" w:afterAutospacing="1" w:line="240" w:lineRule="auto"/>
        <w:ind w:firstLine="567"/>
        <w:jc w:val="both"/>
        <w:rPr>
          <w:rFonts w:ascii="Times New Roman" w:hAnsi="Times New Roman" w:cs="Times New Roman"/>
          <w:sz w:val="24"/>
          <w:szCs w:val="24"/>
          <w:lang w:val="ro-RO"/>
        </w:rPr>
      </w:pPr>
      <w:r w:rsidRPr="00916171">
        <w:rPr>
          <w:rFonts w:ascii="Times New Roman" w:eastAsia="Times New Roman" w:hAnsi="Times New Roman" w:cs="Times New Roman"/>
          <w:color w:val="1C1C1C"/>
          <w:sz w:val="24"/>
          <w:szCs w:val="24"/>
          <w:lang w:val="ro-RO"/>
        </w:rPr>
        <w:t>Pentru mai multe detalii despre Recensământ Populației și Locuințelor din 20</w:t>
      </w:r>
      <w:r w:rsidR="00543C45" w:rsidRPr="00916171">
        <w:rPr>
          <w:rFonts w:ascii="Times New Roman" w:eastAsia="Times New Roman" w:hAnsi="Times New Roman" w:cs="Times New Roman"/>
          <w:color w:val="1C1C1C"/>
          <w:sz w:val="24"/>
          <w:szCs w:val="24"/>
          <w:lang w:val="ro-RO"/>
        </w:rPr>
        <w:t>2</w:t>
      </w:r>
      <w:r w:rsidRPr="00916171">
        <w:rPr>
          <w:rFonts w:ascii="Times New Roman" w:eastAsia="Times New Roman" w:hAnsi="Times New Roman" w:cs="Times New Roman"/>
          <w:color w:val="1C1C1C"/>
          <w:sz w:val="24"/>
          <w:szCs w:val="24"/>
          <w:lang w:val="ro-RO"/>
        </w:rPr>
        <w:t>4 accesați </w:t>
      </w:r>
      <w:hyperlink r:id="rId7" w:history="1">
        <w:r w:rsidRPr="00916171">
          <w:rPr>
            <w:rFonts w:ascii="Times New Roman" w:eastAsia="Times New Roman" w:hAnsi="Times New Roman" w:cs="Times New Roman"/>
            <w:color w:val="0077C0"/>
            <w:sz w:val="24"/>
            <w:szCs w:val="24"/>
            <w:u w:val="single"/>
            <w:lang w:val="ro-RO"/>
          </w:rPr>
          <w:t>aici</w:t>
        </w:r>
      </w:hyperlink>
      <w:r w:rsidRPr="00916171">
        <w:rPr>
          <w:rFonts w:ascii="Times New Roman" w:eastAsia="Times New Roman" w:hAnsi="Times New Roman" w:cs="Times New Roman"/>
          <w:color w:val="1C1C1C"/>
          <w:sz w:val="24"/>
          <w:szCs w:val="24"/>
          <w:lang w:val="ro-RO"/>
        </w:rPr>
        <w:t>.</w:t>
      </w:r>
    </w:p>
    <w:sectPr w:rsidR="0018528D" w:rsidRPr="00916171" w:rsidSect="00C417BC">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2610B"/>
    <w:multiLevelType w:val="hybridMultilevel"/>
    <w:tmpl w:val="6598E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E50FAF"/>
    <w:multiLevelType w:val="hybridMultilevel"/>
    <w:tmpl w:val="872AEE74"/>
    <w:lvl w:ilvl="0" w:tplc="3DB006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FD201C"/>
    <w:multiLevelType w:val="multilevel"/>
    <w:tmpl w:val="1C5AF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A64CC"/>
    <w:multiLevelType w:val="hybridMultilevel"/>
    <w:tmpl w:val="617E7770"/>
    <w:lvl w:ilvl="0" w:tplc="3DB006C4">
      <w:start w:val="1"/>
      <w:numFmt w:val="bullet"/>
      <w:lvlText w:val="-"/>
      <w:lvlJc w:val="left"/>
      <w:pPr>
        <w:ind w:left="1854" w:hanging="360"/>
      </w:pPr>
      <w:rPr>
        <w:rFonts w:ascii="Times New Roman" w:eastAsia="Times New Roman" w:hAnsi="Times New Roman"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1C786139"/>
    <w:multiLevelType w:val="multilevel"/>
    <w:tmpl w:val="07B29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72792"/>
    <w:multiLevelType w:val="multilevel"/>
    <w:tmpl w:val="7854C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353"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71692"/>
    <w:multiLevelType w:val="hybridMultilevel"/>
    <w:tmpl w:val="34A02B7A"/>
    <w:lvl w:ilvl="0" w:tplc="3DB006C4">
      <w:start w:val="1"/>
      <w:numFmt w:val="bullet"/>
      <w:lvlText w:val="-"/>
      <w:lvlJc w:val="left"/>
      <w:pPr>
        <w:ind w:left="1713" w:hanging="360"/>
      </w:pPr>
      <w:rPr>
        <w:rFonts w:ascii="Times New Roman" w:eastAsia="Times New Roman" w:hAnsi="Times New Roman" w:cs="Times New Roman"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2AA6627D"/>
    <w:multiLevelType w:val="multilevel"/>
    <w:tmpl w:val="559E1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353"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92520"/>
    <w:multiLevelType w:val="hybridMultilevel"/>
    <w:tmpl w:val="76E6E1EA"/>
    <w:lvl w:ilvl="0" w:tplc="4A502DA8">
      <w:start w:val="1"/>
      <w:numFmt w:val="decimal"/>
      <w:lvlText w:val="%1)"/>
      <w:lvlJc w:val="left"/>
      <w:pPr>
        <w:ind w:left="1740" w:hanging="360"/>
      </w:pPr>
      <w:rPr>
        <w:rFonts w:ascii="Times New Roman" w:eastAsia="Times New Roman" w:hAnsi="Times New Roman" w:cs="Times New Roman"/>
      </w:rPr>
    </w:lvl>
    <w:lvl w:ilvl="1" w:tplc="D6980838">
      <w:numFmt w:val="bullet"/>
      <w:lvlText w:val="-"/>
      <w:lvlJc w:val="left"/>
      <w:pPr>
        <w:ind w:left="2460" w:hanging="360"/>
      </w:pPr>
      <w:rPr>
        <w:rFonts w:ascii="Times New Roman" w:eastAsia="Times New Roman" w:hAnsi="Times New Roman" w:cs="Times New Roman"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 w15:restartNumberingAfterBreak="0">
    <w:nsid w:val="3C4B3CA8"/>
    <w:multiLevelType w:val="hybridMultilevel"/>
    <w:tmpl w:val="7D5CCD78"/>
    <w:lvl w:ilvl="0" w:tplc="5EC89C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63004"/>
    <w:multiLevelType w:val="hybridMultilevel"/>
    <w:tmpl w:val="B436EE3C"/>
    <w:lvl w:ilvl="0" w:tplc="3DB006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8F0A13"/>
    <w:multiLevelType w:val="hybridMultilevel"/>
    <w:tmpl w:val="69C8A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137041"/>
    <w:multiLevelType w:val="multilevel"/>
    <w:tmpl w:val="95F4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367689"/>
    <w:multiLevelType w:val="hybridMultilevel"/>
    <w:tmpl w:val="93F218EE"/>
    <w:lvl w:ilvl="0" w:tplc="3DB006C4">
      <w:start w:val="1"/>
      <w:numFmt w:val="bullet"/>
      <w:lvlText w:val="-"/>
      <w:lvlJc w:val="left"/>
      <w:pPr>
        <w:ind w:left="1713" w:hanging="360"/>
      </w:pPr>
      <w:rPr>
        <w:rFonts w:ascii="Times New Roman" w:eastAsia="Times New Roman" w:hAnsi="Times New Roman" w:cs="Times New Roman"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650249BB"/>
    <w:multiLevelType w:val="multilevel"/>
    <w:tmpl w:val="B55A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31E08"/>
    <w:multiLevelType w:val="multilevel"/>
    <w:tmpl w:val="BC2A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570536"/>
    <w:multiLevelType w:val="hybridMultilevel"/>
    <w:tmpl w:val="3E021D78"/>
    <w:lvl w:ilvl="0" w:tplc="3DB006C4">
      <w:start w:val="1"/>
      <w:numFmt w:val="bullet"/>
      <w:lvlText w:val="-"/>
      <w:lvlJc w:val="left"/>
      <w:pPr>
        <w:ind w:left="1854" w:hanging="360"/>
      </w:pPr>
      <w:rPr>
        <w:rFonts w:ascii="Times New Roman" w:eastAsia="Times New Roman" w:hAnsi="Times New Roman" w:cs="Times New Roman" w:hint="default"/>
      </w:rPr>
    </w:lvl>
    <w:lvl w:ilvl="1" w:tplc="3DB006C4">
      <w:start w:val="1"/>
      <w:numFmt w:val="bullet"/>
      <w:lvlText w:val="-"/>
      <w:lvlJc w:val="left"/>
      <w:pPr>
        <w:ind w:left="2574" w:hanging="360"/>
      </w:pPr>
      <w:rPr>
        <w:rFonts w:ascii="Times New Roman" w:eastAsia="Times New Roman" w:hAnsi="Times New Roman" w:cs="Times New Roman"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72F8599B"/>
    <w:multiLevelType w:val="hybridMultilevel"/>
    <w:tmpl w:val="71508538"/>
    <w:lvl w:ilvl="0" w:tplc="04090001">
      <w:start w:val="1"/>
      <w:numFmt w:val="bullet"/>
      <w:lvlText w:val=""/>
      <w:lvlJc w:val="left"/>
      <w:pPr>
        <w:ind w:left="1080" w:hanging="360"/>
      </w:pPr>
      <w:rPr>
        <w:rFonts w:ascii="Symbol" w:hAnsi="Symbol" w:hint="default"/>
      </w:rPr>
    </w:lvl>
    <w:lvl w:ilvl="1" w:tplc="4C98C7B6">
      <w:numFmt w:val="bullet"/>
      <w:lvlText w:val="-"/>
      <w:lvlJc w:val="left"/>
      <w:pPr>
        <w:ind w:left="1800" w:hanging="360"/>
      </w:pPr>
      <w:rPr>
        <w:rFonts w:ascii="Times New Roman" w:eastAsia="Times New Roman" w:hAnsi="Times New Roman" w:cs="Times New Roman" w:hint="default"/>
        <w:b/>
        <w:color w:val="0000FF"/>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4"/>
  </w:num>
  <w:num w:numId="4">
    <w:abstractNumId w:val="5"/>
  </w:num>
  <w:num w:numId="5">
    <w:abstractNumId w:val="2"/>
  </w:num>
  <w:num w:numId="6">
    <w:abstractNumId w:val="12"/>
  </w:num>
  <w:num w:numId="7">
    <w:abstractNumId w:val="11"/>
  </w:num>
  <w:num w:numId="8">
    <w:abstractNumId w:val="17"/>
  </w:num>
  <w:num w:numId="9">
    <w:abstractNumId w:val="0"/>
  </w:num>
  <w:num w:numId="10">
    <w:abstractNumId w:val="8"/>
  </w:num>
  <w:num w:numId="11">
    <w:abstractNumId w:val="10"/>
  </w:num>
  <w:num w:numId="12">
    <w:abstractNumId w:val="9"/>
  </w:num>
  <w:num w:numId="13">
    <w:abstractNumId w:val="1"/>
  </w:num>
  <w:num w:numId="14">
    <w:abstractNumId w:val="7"/>
  </w:num>
  <w:num w:numId="15">
    <w:abstractNumId w:val="3"/>
  </w:num>
  <w:num w:numId="16">
    <w:abstractNumId w:val="16"/>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3F"/>
    <w:rsid w:val="00003209"/>
    <w:rsid w:val="00101170"/>
    <w:rsid w:val="0018528D"/>
    <w:rsid w:val="001E2FFE"/>
    <w:rsid w:val="00210838"/>
    <w:rsid w:val="00212F81"/>
    <w:rsid w:val="0021713A"/>
    <w:rsid w:val="00237044"/>
    <w:rsid w:val="002714E0"/>
    <w:rsid w:val="002F4F86"/>
    <w:rsid w:val="0033375E"/>
    <w:rsid w:val="00397E78"/>
    <w:rsid w:val="003E36DC"/>
    <w:rsid w:val="0043069D"/>
    <w:rsid w:val="00445F22"/>
    <w:rsid w:val="004F4CDC"/>
    <w:rsid w:val="00543C45"/>
    <w:rsid w:val="0057017C"/>
    <w:rsid w:val="0059111E"/>
    <w:rsid w:val="005D00D2"/>
    <w:rsid w:val="005D0B44"/>
    <w:rsid w:val="00636C39"/>
    <w:rsid w:val="00680479"/>
    <w:rsid w:val="00804690"/>
    <w:rsid w:val="00864DB0"/>
    <w:rsid w:val="00916171"/>
    <w:rsid w:val="00994C9B"/>
    <w:rsid w:val="00A42FD3"/>
    <w:rsid w:val="00AB54F6"/>
    <w:rsid w:val="00B226CE"/>
    <w:rsid w:val="00B83A0C"/>
    <w:rsid w:val="00BF4747"/>
    <w:rsid w:val="00C417BC"/>
    <w:rsid w:val="00C8413D"/>
    <w:rsid w:val="00CE74BC"/>
    <w:rsid w:val="00D31B4E"/>
    <w:rsid w:val="00DE2E3F"/>
    <w:rsid w:val="00E15188"/>
    <w:rsid w:val="00E73217"/>
    <w:rsid w:val="00E734B5"/>
    <w:rsid w:val="00F20E83"/>
    <w:rsid w:val="00F42D4E"/>
    <w:rsid w:val="00FE6EFA"/>
    <w:rsid w:val="00FF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DC63"/>
  <w15:chartTrackingRefBased/>
  <w15:docId w15:val="{6543320D-D1E2-44F4-9213-0A279757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E2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E3F"/>
    <w:rPr>
      <w:rFonts w:ascii="Times New Roman" w:eastAsia="Times New Roman" w:hAnsi="Times New Roman" w:cs="Times New Roman"/>
      <w:b/>
      <w:bCs/>
      <w:sz w:val="36"/>
      <w:szCs w:val="36"/>
    </w:rPr>
  </w:style>
  <w:style w:type="character" w:customStyle="1" w:styleId="post-meta-date">
    <w:name w:val="post-meta-date"/>
    <w:basedOn w:val="DefaultParagraphFont"/>
    <w:rsid w:val="00DE2E3F"/>
  </w:style>
  <w:style w:type="character" w:customStyle="1" w:styleId="news-view">
    <w:name w:val="news-view"/>
    <w:basedOn w:val="DefaultParagraphFont"/>
    <w:rsid w:val="00DE2E3F"/>
  </w:style>
  <w:style w:type="paragraph" w:styleId="NormalWeb">
    <w:name w:val="Normal (Web)"/>
    <w:basedOn w:val="Normal"/>
    <w:uiPriority w:val="99"/>
    <w:unhideWhenUsed/>
    <w:rsid w:val="00DE2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2E3F"/>
    <w:rPr>
      <w:b/>
      <w:bCs/>
    </w:rPr>
  </w:style>
  <w:style w:type="character" w:styleId="Emphasis">
    <w:name w:val="Emphasis"/>
    <w:basedOn w:val="DefaultParagraphFont"/>
    <w:uiPriority w:val="20"/>
    <w:qFormat/>
    <w:rsid w:val="00DE2E3F"/>
    <w:rPr>
      <w:i/>
      <w:iCs/>
    </w:rPr>
  </w:style>
  <w:style w:type="character" w:styleId="Hyperlink">
    <w:name w:val="Hyperlink"/>
    <w:basedOn w:val="DefaultParagraphFont"/>
    <w:uiPriority w:val="99"/>
    <w:unhideWhenUsed/>
    <w:rsid w:val="00DE2E3F"/>
    <w:rPr>
      <w:color w:val="0000FF"/>
      <w:u w:val="single"/>
    </w:rPr>
  </w:style>
  <w:style w:type="character" w:styleId="UnresolvedMention">
    <w:name w:val="Unresolved Mention"/>
    <w:basedOn w:val="DefaultParagraphFont"/>
    <w:uiPriority w:val="99"/>
    <w:semiHidden/>
    <w:unhideWhenUsed/>
    <w:rsid w:val="00DE2E3F"/>
    <w:rPr>
      <w:color w:val="605E5C"/>
      <w:shd w:val="clear" w:color="auto" w:fill="E1DFDD"/>
    </w:rPr>
  </w:style>
  <w:style w:type="paragraph" w:styleId="ListParagraph">
    <w:name w:val="List Paragraph"/>
    <w:basedOn w:val="Normal"/>
    <w:uiPriority w:val="34"/>
    <w:qFormat/>
    <w:rsid w:val="00101170"/>
    <w:pPr>
      <w:ind w:left="720"/>
      <w:contextualSpacing/>
    </w:pPr>
  </w:style>
  <w:style w:type="character" w:styleId="FollowedHyperlink">
    <w:name w:val="FollowedHyperlink"/>
    <w:basedOn w:val="DefaultParagraphFont"/>
    <w:uiPriority w:val="99"/>
    <w:semiHidden/>
    <w:unhideWhenUsed/>
    <w:rsid w:val="00994C9B"/>
    <w:rPr>
      <w:color w:val="954F72" w:themeColor="followedHyperlink"/>
      <w:u w:val="single"/>
    </w:rPr>
  </w:style>
  <w:style w:type="character" w:styleId="CommentReference">
    <w:name w:val="annotation reference"/>
    <w:basedOn w:val="DefaultParagraphFont"/>
    <w:uiPriority w:val="99"/>
    <w:semiHidden/>
    <w:unhideWhenUsed/>
    <w:rsid w:val="00994C9B"/>
    <w:rPr>
      <w:sz w:val="16"/>
      <w:szCs w:val="16"/>
    </w:rPr>
  </w:style>
  <w:style w:type="paragraph" w:styleId="CommentText">
    <w:name w:val="annotation text"/>
    <w:basedOn w:val="Normal"/>
    <w:link w:val="CommentTextChar"/>
    <w:uiPriority w:val="99"/>
    <w:semiHidden/>
    <w:unhideWhenUsed/>
    <w:rsid w:val="00994C9B"/>
    <w:pPr>
      <w:spacing w:line="240" w:lineRule="auto"/>
    </w:pPr>
    <w:rPr>
      <w:sz w:val="20"/>
      <w:szCs w:val="20"/>
    </w:rPr>
  </w:style>
  <w:style w:type="character" w:customStyle="1" w:styleId="CommentTextChar">
    <w:name w:val="Comment Text Char"/>
    <w:basedOn w:val="DefaultParagraphFont"/>
    <w:link w:val="CommentText"/>
    <w:uiPriority w:val="99"/>
    <w:semiHidden/>
    <w:rsid w:val="00994C9B"/>
    <w:rPr>
      <w:sz w:val="20"/>
      <w:szCs w:val="20"/>
    </w:rPr>
  </w:style>
  <w:style w:type="paragraph" w:styleId="CommentSubject">
    <w:name w:val="annotation subject"/>
    <w:basedOn w:val="CommentText"/>
    <w:next w:val="CommentText"/>
    <w:link w:val="CommentSubjectChar"/>
    <w:uiPriority w:val="99"/>
    <w:semiHidden/>
    <w:unhideWhenUsed/>
    <w:rsid w:val="00994C9B"/>
    <w:rPr>
      <w:b/>
      <w:bCs/>
    </w:rPr>
  </w:style>
  <w:style w:type="character" w:customStyle="1" w:styleId="CommentSubjectChar">
    <w:name w:val="Comment Subject Char"/>
    <w:basedOn w:val="CommentTextChar"/>
    <w:link w:val="CommentSubject"/>
    <w:uiPriority w:val="99"/>
    <w:semiHidden/>
    <w:rsid w:val="00994C9B"/>
    <w:rPr>
      <w:b/>
      <w:bCs/>
      <w:sz w:val="20"/>
      <w:szCs w:val="20"/>
    </w:rPr>
  </w:style>
  <w:style w:type="paragraph" w:styleId="BalloonText">
    <w:name w:val="Balloon Text"/>
    <w:basedOn w:val="Normal"/>
    <w:link w:val="BalloonTextChar"/>
    <w:uiPriority w:val="99"/>
    <w:semiHidden/>
    <w:unhideWhenUsed/>
    <w:rsid w:val="00D31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B4E"/>
    <w:rPr>
      <w:rFonts w:ascii="Segoe UI" w:hAnsi="Segoe UI" w:cs="Segoe UI"/>
      <w:sz w:val="18"/>
      <w:szCs w:val="18"/>
    </w:rPr>
  </w:style>
  <w:style w:type="paragraph" w:styleId="Revision">
    <w:name w:val="Revision"/>
    <w:hidden/>
    <w:uiPriority w:val="99"/>
    <w:semiHidden/>
    <w:rsid w:val="00A42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537501">
      <w:bodyDiv w:val="1"/>
      <w:marLeft w:val="0"/>
      <w:marRight w:val="0"/>
      <w:marTop w:val="0"/>
      <w:marBottom w:val="0"/>
      <w:divBdr>
        <w:top w:val="none" w:sz="0" w:space="0" w:color="auto"/>
        <w:left w:val="none" w:sz="0" w:space="0" w:color="auto"/>
        <w:bottom w:val="none" w:sz="0" w:space="0" w:color="auto"/>
        <w:right w:val="none" w:sz="0" w:space="0" w:color="auto"/>
      </w:divBdr>
      <w:divsChild>
        <w:div w:id="1194614143">
          <w:marLeft w:val="0"/>
          <w:marRight w:val="0"/>
          <w:marTop w:val="0"/>
          <w:marBottom w:val="390"/>
          <w:divBdr>
            <w:top w:val="none" w:sz="0" w:space="0" w:color="auto"/>
            <w:left w:val="none" w:sz="0" w:space="0" w:color="auto"/>
            <w:bottom w:val="single" w:sz="6" w:space="8" w:color="F3F3F3"/>
            <w:right w:val="none" w:sz="0" w:space="0" w:color="auto"/>
          </w:divBdr>
        </w:div>
        <w:div w:id="151568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tistica.gov.md/ro/recensamantul-populatiei-si-al-locuintelor-2024-994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stica.gov.md/files/files/Recensamint/Recesamint_2024/Sedinte_CNRPL_2025/Sedinte_CNRPL_23_01_2025/finale/2_Decizie_nr_17_CNRPL_23_01_25.pdf" TargetMode="External"/><Relationship Id="rId5" Type="http://schemas.openxmlformats.org/officeDocument/2006/relationships/hyperlink" Target="https://unstats.un.org/unsd/demographic-social/Standards-and-Methods/files/Principles_and_Recommendations/Population-and-Housing-Censuses/Series_M67rev3-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Aurelia Spataru</cp:lastModifiedBy>
  <cp:revision>3</cp:revision>
  <dcterms:created xsi:type="dcterms:W3CDTF">2025-04-22T10:50:00Z</dcterms:created>
  <dcterms:modified xsi:type="dcterms:W3CDTF">2025-04-22T11:22:00Z</dcterms:modified>
</cp:coreProperties>
</file>