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4C42" w14:textId="77777777" w:rsidR="00C32459" w:rsidRPr="007619F8" w:rsidRDefault="00C32459" w:rsidP="00C32459">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rPr>
          <w:rFonts w:ascii="Times New Roman" w:eastAsia="Times New Roman" w:hAnsi="Times New Roman" w:cs="Times New Roman"/>
          <w:b/>
          <w:kern w:val="0"/>
          <w:sz w:val="26"/>
          <w:szCs w:val="26"/>
          <w14:ligatures w14:val="none"/>
        </w:rPr>
      </w:pPr>
    </w:p>
    <w:p w14:paraId="77597B61" w14:textId="77777777" w:rsidR="00C32459" w:rsidRPr="007619F8" w:rsidRDefault="00C32459" w:rsidP="00C32459">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kern w:val="0"/>
          <w:sz w:val="26"/>
          <w:szCs w:val="26"/>
          <w14:ligatures w14:val="none"/>
        </w:rPr>
      </w:pPr>
      <w:r w:rsidRPr="007619F8">
        <w:rPr>
          <w:rFonts w:ascii="Times New Roman" w:eastAsia="Times New Roman" w:hAnsi="Times New Roman" w:cs="Times New Roman"/>
          <w:b/>
          <w:kern w:val="0"/>
          <w:sz w:val="26"/>
          <w:szCs w:val="26"/>
          <w14:ligatures w14:val="none"/>
        </w:rPr>
        <w:t>NOTA DE FUNDAMENTARE</w:t>
      </w:r>
    </w:p>
    <w:p w14:paraId="0CDE8153" w14:textId="77777777" w:rsidR="00AD5542" w:rsidRPr="00AD5542" w:rsidRDefault="00C32459" w:rsidP="00AD5542">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6"/>
          <w:szCs w:val="26"/>
          <w14:ligatures w14:val="none"/>
        </w:rPr>
      </w:pPr>
      <w:r w:rsidRPr="007619F8">
        <w:rPr>
          <w:rFonts w:ascii="Times New Roman" w:eastAsia="Times New Roman" w:hAnsi="Times New Roman" w:cs="Times New Roman"/>
          <w:b/>
          <w:kern w:val="0"/>
          <w:sz w:val="26"/>
          <w:szCs w:val="26"/>
          <w14:ligatures w14:val="none"/>
        </w:rPr>
        <w:t xml:space="preserve">la </w:t>
      </w:r>
      <w:r w:rsidR="00787E25" w:rsidRPr="007619F8">
        <w:rPr>
          <w:rFonts w:ascii="Times New Roman" w:eastAsia="Times New Roman" w:hAnsi="Times New Roman" w:cs="Times New Roman"/>
          <w:b/>
          <w:kern w:val="0"/>
          <w:sz w:val="26"/>
          <w:szCs w:val="26"/>
          <w14:ligatures w14:val="none"/>
        </w:rPr>
        <w:t>Proiectul Hotărârii Guvern</w:t>
      </w:r>
      <w:r w:rsidR="00AD5542">
        <w:rPr>
          <w:rFonts w:ascii="Times New Roman" w:eastAsia="Times New Roman" w:hAnsi="Times New Roman" w:cs="Times New Roman"/>
          <w:b/>
          <w:kern w:val="0"/>
          <w:sz w:val="26"/>
          <w:szCs w:val="26"/>
          <w14:ligatures w14:val="none"/>
        </w:rPr>
        <w:t>ului</w:t>
      </w:r>
      <w:r w:rsidR="00787E25" w:rsidRPr="007619F8">
        <w:rPr>
          <w:rFonts w:ascii="Times New Roman" w:eastAsia="Times New Roman" w:hAnsi="Times New Roman" w:cs="Times New Roman"/>
          <w:b/>
          <w:kern w:val="0"/>
          <w:sz w:val="26"/>
          <w:szCs w:val="26"/>
          <w14:ligatures w14:val="none"/>
        </w:rPr>
        <w:t xml:space="preserve"> </w:t>
      </w:r>
      <w:r w:rsidR="00AD5542" w:rsidRPr="00AD5542">
        <w:rPr>
          <w:rFonts w:ascii="Times New Roman" w:eastAsia="Times New Roman" w:hAnsi="Times New Roman" w:cs="Times New Roman"/>
          <w:b/>
          <w:kern w:val="0"/>
          <w:sz w:val="26"/>
          <w:szCs w:val="26"/>
          <w14:ligatures w14:val="none"/>
        </w:rPr>
        <w:t xml:space="preserve">pentru aprobarea Regulamentului cu privire la </w:t>
      </w:r>
    </w:p>
    <w:p w14:paraId="4F141409" w14:textId="77777777" w:rsidR="00AD5542" w:rsidRPr="00AD5542" w:rsidRDefault="00AD5542" w:rsidP="00AD5542">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6"/>
          <w:szCs w:val="26"/>
          <w14:ligatures w14:val="none"/>
        </w:rPr>
      </w:pPr>
      <w:r w:rsidRPr="00AD5542">
        <w:rPr>
          <w:rFonts w:ascii="Times New Roman" w:eastAsia="Times New Roman" w:hAnsi="Times New Roman" w:cs="Times New Roman"/>
          <w:b/>
          <w:kern w:val="0"/>
          <w:sz w:val="26"/>
          <w:szCs w:val="26"/>
          <w14:ligatures w14:val="none"/>
        </w:rPr>
        <w:t xml:space="preserve">modul și tarifele de calcul al cuantumurilor despăgubirilor </w:t>
      </w:r>
    </w:p>
    <w:p w14:paraId="505170AA" w14:textId="77777777" w:rsidR="00AD5542" w:rsidRPr="00AD5542" w:rsidRDefault="00AD5542" w:rsidP="00AD5542">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6"/>
          <w:szCs w:val="26"/>
          <w14:ligatures w14:val="none"/>
        </w:rPr>
      </w:pPr>
      <w:r w:rsidRPr="00AD5542">
        <w:rPr>
          <w:rFonts w:ascii="Times New Roman" w:eastAsia="Times New Roman" w:hAnsi="Times New Roman" w:cs="Times New Roman"/>
          <w:b/>
          <w:kern w:val="0"/>
          <w:sz w:val="26"/>
          <w:szCs w:val="26"/>
          <w14:ligatures w14:val="none"/>
        </w:rPr>
        <w:t>prejudiciului cauzat pentru încălcări ale legislației silvice</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86"/>
      </w:tblGrid>
      <w:tr w:rsidR="00C32459" w:rsidRPr="007619F8" w14:paraId="340F726B" w14:textId="77777777" w:rsidTr="006C0909">
        <w:tc>
          <w:tcPr>
            <w:tcW w:w="918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1EC5F44"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1. Denumirea sau numele autorului și, după caz, a/al participanților la elaborarea proiectului actului normativ</w:t>
            </w:r>
          </w:p>
        </w:tc>
      </w:tr>
      <w:tr w:rsidR="00C32459" w:rsidRPr="007619F8" w14:paraId="13AD9198" w14:textId="77777777" w:rsidTr="006C0909">
        <w:tc>
          <w:tcPr>
            <w:tcW w:w="91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B6195B" w14:textId="77777777" w:rsidR="00AD5542" w:rsidRPr="00AD5542" w:rsidRDefault="00C32459" w:rsidP="00AD5542">
            <w:pPr>
              <w:spacing w:line="276" w:lineRule="auto"/>
              <w:ind w:firstLine="164"/>
              <w:rPr>
                <w:rFonts w:ascii="Times New Roman" w:hAnsi="Times New Roman"/>
                <w:sz w:val="26"/>
                <w:szCs w:val="26"/>
              </w:rPr>
            </w:pPr>
            <w:r w:rsidRPr="007619F8">
              <w:rPr>
                <w:rFonts w:ascii="Times New Roman" w:hAnsi="Times New Roman"/>
                <w:sz w:val="26"/>
                <w:szCs w:val="26"/>
              </w:rPr>
              <w:t xml:space="preserve">Proiectul </w:t>
            </w:r>
            <w:r w:rsidR="003427BD" w:rsidRPr="007619F8">
              <w:rPr>
                <w:rFonts w:ascii="Times New Roman" w:hAnsi="Times New Roman"/>
                <w:sz w:val="26"/>
                <w:szCs w:val="26"/>
              </w:rPr>
              <w:t>Hotărârii Guvern</w:t>
            </w:r>
            <w:r w:rsidR="005D45F2" w:rsidRPr="007619F8">
              <w:rPr>
                <w:rFonts w:ascii="Times New Roman" w:hAnsi="Times New Roman"/>
                <w:sz w:val="26"/>
                <w:szCs w:val="26"/>
              </w:rPr>
              <w:t>ului</w:t>
            </w:r>
            <w:r w:rsidRPr="007619F8">
              <w:rPr>
                <w:rFonts w:ascii="Times New Roman" w:hAnsi="Times New Roman"/>
                <w:sz w:val="26"/>
                <w:szCs w:val="26"/>
              </w:rPr>
              <w:t xml:space="preserve"> </w:t>
            </w:r>
            <w:r w:rsidR="00AD5542" w:rsidRPr="00AD5542">
              <w:rPr>
                <w:rFonts w:ascii="Times New Roman" w:hAnsi="Times New Roman"/>
                <w:sz w:val="26"/>
                <w:szCs w:val="26"/>
              </w:rPr>
              <w:t xml:space="preserve">pentru aprobarea Regulamentului cu privire la </w:t>
            </w:r>
          </w:p>
          <w:p w14:paraId="25F78802" w14:textId="77777777" w:rsidR="00AD5542" w:rsidRPr="00AD5542" w:rsidRDefault="00AD5542" w:rsidP="00AD5542">
            <w:pPr>
              <w:spacing w:line="276" w:lineRule="auto"/>
              <w:ind w:firstLine="164"/>
              <w:rPr>
                <w:rFonts w:ascii="Times New Roman" w:hAnsi="Times New Roman"/>
                <w:sz w:val="26"/>
                <w:szCs w:val="26"/>
              </w:rPr>
            </w:pPr>
            <w:r w:rsidRPr="00AD5542">
              <w:rPr>
                <w:rFonts w:ascii="Times New Roman" w:hAnsi="Times New Roman"/>
                <w:sz w:val="26"/>
                <w:szCs w:val="26"/>
              </w:rPr>
              <w:t xml:space="preserve">modul și tarifele de calcul al cuantumurilor despăgubirilor </w:t>
            </w:r>
          </w:p>
          <w:p w14:paraId="4FA54DFC" w14:textId="53376A54" w:rsidR="00C32459" w:rsidRPr="007619F8" w:rsidRDefault="00AD5542" w:rsidP="00AD5542">
            <w:pPr>
              <w:spacing w:line="276" w:lineRule="auto"/>
              <w:ind w:firstLine="164"/>
              <w:rPr>
                <w:rFonts w:ascii="Times New Roman" w:hAnsi="Times New Roman"/>
                <w:sz w:val="26"/>
                <w:szCs w:val="26"/>
              </w:rPr>
            </w:pPr>
            <w:r w:rsidRPr="00AD5542">
              <w:rPr>
                <w:rFonts w:ascii="Times New Roman" w:hAnsi="Times New Roman"/>
                <w:sz w:val="26"/>
                <w:szCs w:val="26"/>
              </w:rPr>
              <w:t>prejudiciului cauzat pentru încălcări ale legislației silvice</w:t>
            </w:r>
          </w:p>
        </w:tc>
      </w:tr>
      <w:tr w:rsidR="00C32459" w:rsidRPr="007619F8" w14:paraId="02693E9B"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4B72DEB"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2. Condițiile ce au impus elaborarea proiectului actului normativ</w:t>
            </w:r>
          </w:p>
        </w:tc>
      </w:tr>
      <w:tr w:rsidR="00C32459" w:rsidRPr="007619F8" w14:paraId="263812E9"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93768F"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2.1. Temeiul legal sau, după caz, sursa proiectului actului normativ</w:t>
            </w:r>
          </w:p>
        </w:tc>
      </w:tr>
      <w:tr w:rsidR="00C32459" w:rsidRPr="007619F8" w14:paraId="67CF9BDF" w14:textId="77777777" w:rsidTr="006C0909">
        <w:trPr>
          <w:trHeight w:val="400"/>
        </w:trPr>
        <w:tc>
          <w:tcPr>
            <w:tcW w:w="918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F9BD1E3" w14:textId="0D04F32E" w:rsidR="00C32459" w:rsidRPr="007619F8" w:rsidRDefault="0066257B" w:rsidP="00787E25">
            <w:pPr>
              <w:spacing w:line="276" w:lineRule="auto"/>
              <w:rPr>
                <w:rFonts w:ascii="Times New Roman" w:hAnsi="Times New Roman"/>
                <w:sz w:val="26"/>
                <w:szCs w:val="26"/>
              </w:rPr>
            </w:pPr>
            <w:r w:rsidRPr="0066257B">
              <w:rPr>
                <w:rFonts w:ascii="Times New Roman" w:eastAsia="Times New Roman" w:hAnsi="Times New Roman"/>
                <w:sz w:val="26"/>
                <w:szCs w:val="26"/>
              </w:rPr>
              <w:t>Proiectul Hotărârii Guvernului privind modul și tarifele de calcul al cuantumurilor despăgubirilor pentru prejudiciul cauzat prin încălcarea legislației silvice este elaborat în baza prevederilor art. 70 alin. (2) din Codul silvic nr. 69/2024, care stipulează că: „</w:t>
            </w:r>
            <w:r w:rsidRPr="0066257B">
              <w:rPr>
                <w:rFonts w:ascii="Times New Roman" w:eastAsia="Times New Roman" w:hAnsi="Times New Roman"/>
                <w:i/>
                <w:iCs/>
                <w:sz w:val="26"/>
                <w:szCs w:val="26"/>
              </w:rPr>
              <w:t>Modul și tarifele de calcul al cuantumurilor despăgubirilor prejudiciului cauzat pentru încălcări ale legislației silvice stabilite la alin. (1) se aprobă de Guvern.</w:t>
            </w:r>
            <w:r w:rsidRPr="0066257B">
              <w:rPr>
                <w:rFonts w:ascii="Times New Roman" w:eastAsia="Times New Roman" w:hAnsi="Times New Roman"/>
                <w:sz w:val="26"/>
                <w:szCs w:val="26"/>
              </w:rPr>
              <w:t>”</w:t>
            </w:r>
          </w:p>
        </w:tc>
      </w:tr>
      <w:tr w:rsidR="00C32459" w:rsidRPr="007619F8" w14:paraId="4A29EE53" w14:textId="77777777" w:rsidTr="006C0909">
        <w:trPr>
          <w:trHeight w:val="524"/>
        </w:trPr>
        <w:tc>
          <w:tcPr>
            <w:tcW w:w="918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29BB2E0"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2.2. Descrierea situației actuale și a problemelor care impun intervenția, inclusiv a cadrului normativ aplicabil și a deficiențelor/lacunelor normative</w:t>
            </w:r>
          </w:p>
        </w:tc>
      </w:tr>
      <w:tr w:rsidR="00C32459" w:rsidRPr="007619F8" w14:paraId="1584212B"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EDEDED" w:fill="EDEDED"/>
          </w:tcPr>
          <w:p w14:paraId="2414EC38" w14:textId="77777777" w:rsidR="007E6C8A" w:rsidRDefault="007E6C8A" w:rsidP="00715F66">
            <w:pPr>
              <w:ind w:left="29" w:right="-53" w:firstLine="567"/>
              <w:rPr>
                <w:rFonts w:ascii="Times New Roman" w:hAnsi="Times New Roman"/>
                <w:sz w:val="26"/>
                <w:szCs w:val="26"/>
              </w:rPr>
            </w:pPr>
            <w:r w:rsidRPr="007E6C8A">
              <w:rPr>
                <w:rFonts w:ascii="Times New Roman" w:hAnsi="Times New Roman"/>
                <w:sz w:val="26"/>
                <w:szCs w:val="26"/>
              </w:rPr>
              <w:t>Până în prezent, conform Codului silvic nr. 887/1996 (abrogat), cuantumul despăgubirilor pentru prejudiciile aduse fondului forestier era reglementat prin anexele nr. 1–15 ale acestuia.</w:t>
            </w:r>
          </w:p>
          <w:p w14:paraId="36B84CFC" w14:textId="77B053E9" w:rsidR="008340AB" w:rsidRDefault="007E6C8A" w:rsidP="00715F66">
            <w:pPr>
              <w:ind w:left="29" w:right="-53" w:firstLine="567"/>
              <w:rPr>
                <w:rFonts w:ascii="Times New Roman" w:hAnsi="Times New Roman"/>
                <w:sz w:val="26"/>
                <w:szCs w:val="26"/>
              </w:rPr>
            </w:pPr>
            <w:r w:rsidRPr="007E6C8A">
              <w:rPr>
                <w:rFonts w:ascii="Times New Roman" w:hAnsi="Times New Roman"/>
                <w:sz w:val="26"/>
                <w:szCs w:val="26"/>
              </w:rPr>
              <w:t>Începând cu data de 26 aprilie 2025, odată cu intrarea în vigoare a noului Cod silvic nr. 69/2024 și abrogarea Codului anterior, aceste anexe își vor pierde aplicabilitatea, generând un vid normativ în ceea ce privește metodologia de calcul al despăgubirilor. Adoptarea unei noi hotărâri de Guvern în acest sens devine imperativă, întrucât, în lipsa unui cadru normativ actualizat, nu va fi posibilă aplicarea prevederilor legale referitoare la despăgubirile pentru prejudiciile silvice</w:t>
            </w:r>
            <w:r w:rsidR="005B0EE9" w:rsidRPr="005B0EE9">
              <w:rPr>
                <w:rFonts w:ascii="Times New Roman" w:hAnsi="Times New Roman"/>
                <w:sz w:val="26"/>
                <w:szCs w:val="26"/>
              </w:rPr>
              <w:t>.</w:t>
            </w:r>
          </w:p>
          <w:p w14:paraId="74996A9A" w14:textId="1AC6C4D9" w:rsidR="00F8572E" w:rsidRDefault="007E6C8A" w:rsidP="007E6C8A">
            <w:pPr>
              <w:ind w:right="-53" w:firstLine="596"/>
              <w:rPr>
                <w:rFonts w:ascii="Times New Roman" w:hAnsi="Times New Roman"/>
                <w:sz w:val="26"/>
                <w:szCs w:val="26"/>
              </w:rPr>
            </w:pPr>
            <w:r w:rsidRPr="007E6C8A">
              <w:rPr>
                <w:rFonts w:ascii="Times New Roman" w:hAnsi="Times New Roman"/>
                <w:sz w:val="26"/>
                <w:szCs w:val="26"/>
              </w:rPr>
              <w:t>Totodată, cuantumurile stabilite anterior au rămas la un nivel scăzut, nefiind actualizate de peste două decenii. Această situație nu mai reflectă realitatea economică actuală și nu descurajează eficient încălcarea legislației silvice. Conform rapoartelor anuale ale Inspectoratului pentru Protecția Mediului, volumul tăierilor ilicite de arbori este în creștere constantă în ultimii ani.</w:t>
            </w:r>
            <w:r w:rsidR="00F8572E" w:rsidRPr="008F170E">
              <w:rPr>
                <w:noProof/>
              </w:rPr>
              <w:drawing>
                <wp:inline distT="0" distB="0" distL="0" distR="0" wp14:anchorId="483D1127" wp14:editId="71947843">
                  <wp:extent cx="5685183" cy="2218414"/>
                  <wp:effectExtent l="0" t="0" r="10795" b="10795"/>
                  <wp:docPr id="178486902" name="Diagramă 1">
                    <a:extLst xmlns:a="http://schemas.openxmlformats.org/drawingml/2006/main">
                      <a:ext uri="{FF2B5EF4-FFF2-40B4-BE49-F238E27FC236}">
                        <a16:creationId xmlns:a16="http://schemas.microsoft.com/office/drawing/2014/main" id="{C436ED70-E783-77AE-D704-6B96CEBEF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E2F981D" w14:textId="77777777" w:rsidR="007E6C8A" w:rsidRDefault="007E6C8A" w:rsidP="00A01BC4">
            <w:pPr>
              <w:ind w:right="-53" w:firstLine="567"/>
              <w:rPr>
                <w:rFonts w:ascii="Times New Roman" w:hAnsi="Times New Roman"/>
                <w:sz w:val="26"/>
                <w:szCs w:val="26"/>
              </w:rPr>
            </w:pPr>
            <w:r w:rsidRPr="007E6C8A">
              <w:rPr>
                <w:rFonts w:ascii="Times New Roman" w:hAnsi="Times New Roman"/>
                <w:sz w:val="26"/>
                <w:szCs w:val="26"/>
              </w:rPr>
              <w:t xml:space="preserve">Această constatare relevă faptul că nivelul actual al despăgubirilor nu mai are un efect preventiv și coercitiv adecvat, permițând perpetuarea practicilor ilegale în sectorul forestier. În lipsa unei actualizări a acestor valori, prejudiciile cauzate fondului forestier </w:t>
            </w:r>
            <w:r w:rsidRPr="007E6C8A">
              <w:rPr>
                <w:rFonts w:ascii="Times New Roman" w:hAnsi="Times New Roman"/>
                <w:sz w:val="26"/>
                <w:szCs w:val="26"/>
              </w:rPr>
              <w:lastRenderedPageBreak/>
              <w:t>nu sunt compensate corespunzător, iar sancțiunile aplicate nu reflectă gravitatea faptelor comise.</w:t>
            </w:r>
          </w:p>
          <w:p w14:paraId="3A591715" w14:textId="77777777" w:rsidR="00373944" w:rsidRDefault="007E6C8A" w:rsidP="007E6C8A">
            <w:pPr>
              <w:ind w:right="-53" w:firstLine="0"/>
              <w:rPr>
                <w:rFonts w:ascii="Times New Roman" w:hAnsi="Times New Roman"/>
                <w:sz w:val="26"/>
                <w:szCs w:val="26"/>
              </w:rPr>
            </w:pPr>
            <w:r w:rsidRPr="007E6C8A">
              <w:rPr>
                <w:rFonts w:ascii="Times New Roman" w:hAnsi="Times New Roman"/>
                <w:sz w:val="26"/>
                <w:szCs w:val="26"/>
              </w:rPr>
              <w:t>Analizând evoluția prețului mediu al unui metru cub de masă lemnoasă în ultimii ani</w:t>
            </w:r>
            <w:r w:rsidR="006C0909">
              <w:rPr>
                <w:noProof/>
              </w:rPr>
              <w:drawing>
                <wp:inline distT="0" distB="0" distL="0" distR="0" wp14:anchorId="771E1505" wp14:editId="5F70904B">
                  <wp:extent cx="5614421" cy="3609975"/>
                  <wp:effectExtent l="0" t="0" r="5715" b="9525"/>
                  <wp:docPr id="2121787738" name="Diagramă 1">
                    <a:extLst xmlns:a="http://schemas.openxmlformats.org/drawingml/2006/main">
                      <a:ext uri="{FF2B5EF4-FFF2-40B4-BE49-F238E27FC236}">
                        <a16:creationId xmlns:a16="http://schemas.microsoft.com/office/drawing/2014/main" id="{58DD68B0-A2CD-F8C9-438E-ACBBEB754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6C0909">
              <w:rPr>
                <w:rFonts w:ascii="Times New Roman" w:hAnsi="Times New Roman"/>
                <w:sz w:val="26"/>
                <w:szCs w:val="26"/>
              </w:rPr>
              <w:t xml:space="preserve"> </w:t>
            </w:r>
            <w:r w:rsidRPr="007E6C8A">
              <w:rPr>
                <w:rFonts w:ascii="Times New Roman" w:hAnsi="Times New Roman"/>
                <w:sz w:val="26"/>
                <w:szCs w:val="26"/>
              </w:rPr>
              <w:t>și comparând-o cu cuantumul despăgubirilor pentru încălcări ale legislației silvice, se constată o discrepanță semnificativă. Astfel, prețul mediu al unui metru cub de masă lemnoasă a crescut de aproximativ 12 ori din anul 2000 până în prezent, în timp ce cuantumul despăgubirilor, stabilit prin Codul silvic nr. 887/1996, a rămas neschimbat încă din anul 1997.</w:t>
            </w:r>
          </w:p>
          <w:p w14:paraId="0A310471" w14:textId="61E3D788" w:rsidR="00F8572E" w:rsidRPr="007619F8" w:rsidRDefault="00373944" w:rsidP="00373944">
            <w:pPr>
              <w:ind w:right="-53" w:firstLine="0"/>
              <w:rPr>
                <w:rFonts w:ascii="Times New Roman" w:hAnsi="Times New Roman"/>
                <w:sz w:val="26"/>
                <w:szCs w:val="26"/>
              </w:rPr>
            </w:pPr>
            <w:r w:rsidRPr="00373944">
              <w:rPr>
                <w:rFonts w:ascii="Times New Roman" w:hAnsi="Times New Roman"/>
                <w:sz w:val="26"/>
                <w:szCs w:val="26"/>
              </w:rPr>
              <w:t>În contextul intrării în vigoare a noului Cod silvic și al necesității unui cadru normativ coerent și actualizat, adoptarea unei hotărâri de Guvern care să stabilească noile cuantumuri ale despăgubirilor pentru prejudiciile aduse fondului forestier este esențială. Aceasta va asigura aplicarea eficientă a legii, va reflecta realitatea economică actuală și va contribui la prevenirea și descurajarea activităților ilegale din sectorul silvic.</w:t>
            </w:r>
          </w:p>
        </w:tc>
      </w:tr>
      <w:tr w:rsidR="00C32459" w:rsidRPr="007619F8" w14:paraId="5BF3A458"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8F9385B"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lastRenderedPageBreak/>
              <w:t>3. Obiectivele urmărite și soluțiile propuse</w:t>
            </w:r>
          </w:p>
        </w:tc>
      </w:tr>
      <w:tr w:rsidR="00C32459" w:rsidRPr="007619F8" w14:paraId="3FD27A4F" w14:textId="77777777" w:rsidTr="006C0909">
        <w:trPr>
          <w:trHeight w:val="258"/>
        </w:trPr>
        <w:tc>
          <w:tcPr>
            <w:tcW w:w="9186"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2CF4A108"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3.1. Principalele prevederi ale proiectului și evidențierea elementelor noi</w:t>
            </w:r>
          </w:p>
        </w:tc>
      </w:tr>
      <w:tr w:rsidR="00C32459" w:rsidRPr="007619F8" w14:paraId="2E91DEE5" w14:textId="77777777" w:rsidTr="006C0909">
        <w:trPr>
          <w:trHeight w:val="208"/>
        </w:trPr>
        <w:tc>
          <w:tcPr>
            <w:tcW w:w="9186"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6D6A6FD" w14:textId="3066F193" w:rsidR="00D71A3E" w:rsidRPr="00D71A3E" w:rsidRDefault="00D71A3E" w:rsidP="00D71A3E">
            <w:pPr>
              <w:spacing w:line="276" w:lineRule="auto"/>
              <w:ind w:firstLine="0"/>
              <w:rPr>
                <w:rFonts w:ascii="Times New Roman" w:eastAsia="Times New Roman" w:hAnsi="Times New Roman"/>
                <w:sz w:val="26"/>
                <w:szCs w:val="26"/>
                <w:lang w:eastAsia="ru-RU"/>
              </w:rPr>
            </w:pPr>
            <w:r w:rsidRPr="00D71A3E">
              <w:rPr>
                <w:rFonts w:ascii="Times New Roman" w:eastAsia="Times New Roman" w:hAnsi="Times New Roman"/>
                <w:sz w:val="26"/>
                <w:szCs w:val="26"/>
                <w:lang w:eastAsia="ru-RU"/>
              </w:rPr>
              <w:t>Obiectivele proiectului:</w:t>
            </w:r>
          </w:p>
          <w:p w14:paraId="65C28E82" w14:textId="784E51B1" w:rsidR="00D71A3E" w:rsidRPr="00D71A3E" w:rsidRDefault="00D71A3E" w:rsidP="00D71A3E">
            <w:pPr>
              <w:pStyle w:val="Listparagraf"/>
              <w:numPr>
                <w:ilvl w:val="0"/>
                <w:numId w:val="4"/>
              </w:numPr>
              <w:spacing w:line="276" w:lineRule="auto"/>
              <w:ind w:left="454"/>
              <w:rPr>
                <w:rFonts w:ascii="Times New Roman" w:eastAsia="Times New Roman" w:hAnsi="Times New Roman"/>
                <w:sz w:val="26"/>
                <w:szCs w:val="26"/>
                <w:lang w:eastAsia="ru-RU"/>
              </w:rPr>
            </w:pPr>
            <w:r w:rsidRPr="00D71A3E">
              <w:rPr>
                <w:rFonts w:ascii="Times New Roman" w:eastAsia="Times New Roman" w:hAnsi="Times New Roman"/>
                <w:sz w:val="26"/>
                <w:szCs w:val="26"/>
                <w:lang w:eastAsia="ru-RU"/>
              </w:rPr>
              <w:t>Prevenirea și descurajarea încălcărilor legislației silvice prin majorarea de 10 ori a cuantumurilor despăgubirilor față de nivelul anterior;</w:t>
            </w:r>
          </w:p>
          <w:p w14:paraId="3F202489" w14:textId="6FA0E377" w:rsidR="00D71A3E" w:rsidRPr="00D71A3E" w:rsidRDefault="00D71A3E" w:rsidP="00D71A3E">
            <w:pPr>
              <w:pStyle w:val="Listparagraf"/>
              <w:numPr>
                <w:ilvl w:val="0"/>
                <w:numId w:val="4"/>
              </w:numPr>
              <w:spacing w:line="276" w:lineRule="auto"/>
              <w:ind w:left="454"/>
              <w:rPr>
                <w:rFonts w:ascii="Times New Roman" w:eastAsia="Times New Roman" w:hAnsi="Times New Roman"/>
                <w:sz w:val="26"/>
                <w:szCs w:val="26"/>
                <w:lang w:eastAsia="ru-RU"/>
              </w:rPr>
            </w:pPr>
            <w:r w:rsidRPr="00D71A3E">
              <w:rPr>
                <w:rFonts w:ascii="Times New Roman" w:eastAsia="Times New Roman" w:hAnsi="Times New Roman"/>
                <w:sz w:val="26"/>
                <w:szCs w:val="26"/>
                <w:lang w:eastAsia="ru-RU"/>
              </w:rPr>
              <w:t>Protejarea și conservarea fondului forestier;</w:t>
            </w:r>
          </w:p>
          <w:p w14:paraId="104FC0CC" w14:textId="0A43494A" w:rsidR="00D71A3E" w:rsidRPr="00D71A3E" w:rsidRDefault="00D71A3E" w:rsidP="00D71A3E">
            <w:pPr>
              <w:pStyle w:val="Listparagraf"/>
              <w:numPr>
                <w:ilvl w:val="0"/>
                <w:numId w:val="4"/>
              </w:numPr>
              <w:spacing w:line="276" w:lineRule="auto"/>
              <w:ind w:left="454"/>
              <w:rPr>
                <w:rFonts w:ascii="Times New Roman" w:eastAsia="Times New Roman" w:hAnsi="Times New Roman"/>
                <w:sz w:val="26"/>
                <w:szCs w:val="26"/>
                <w:lang w:eastAsia="ru-RU"/>
              </w:rPr>
            </w:pPr>
            <w:r w:rsidRPr="00D71A3E">
              <w:rPr>
                <w:rFonts w:ascii="Times New Roman" w:eastAsia="Times New Roman" w:hAnsi="Times New Roman"/>
                <w:sz w:val="26"/>
                <w:szCs w:val="26"/>
                <w:lang w:eastAsia="ru-RU"/>
              </w:rPr>
              <w:t>Asigurarea unui mecanism clar și previzibil de calcul al despăgubirilor pentru deteriorarea, distrugerea sau exploatarea ilegală a pădurilor;</w:t>
            </w:r>
          </w:p>
          <w:p w14:paraId="5662D28F" w14:textId="525F5580" w:rsidR="00D71A3E" w:rsidRPr="00D71A3E" w:rsidRDefault="00D71A3E" w:rsidP="00D71A3E">
            <w:pPr>
              <w:pStyle w:val="Listparagraf"/>
              <w:numPr>
                <w:ilvl w:val="0"/>
                <w:numId w:val="4"/>
              </w:numPr>
              <w:spacing w:line="276" w:lineRule="auto"/>
              <w:ind w:left="454"/>
              <w:rPr>
                <w:rFonts w:ascii="Times New Roman" w:eastAsia="Times New Roman" w:hAnsi="Times New Roman"/>
                <w:sz w:val="26"/>
                <w:szCs w:val="26"/>
                <w:lang w:eastAsia="ru-RU"/>
              </w:rPr>
            </w:pPr>
            <w:r w:rsidRPr="00D71A3E">
              <w:rPr>
                <w:rFonts w:ascii="Times New Roman" w:eastAsia="Times New Roman" w:hAnsi="Times New Roman"/>
                <w:sz w:val="26"/>
                <w:szCs w:val="26"/>
                <w:lang w:eastAsia="ru-RU"/>
              </w:rPr>
              <w:t>Stabilirea unui sistem echitabil, proporțional cu gravitatea prejudiciului;</w:t>
            </w:r>
          </w:p>
          <w:p w14:paraId="3472B325" w14:textId="77777777" w:rsidR="00D71A3E" w:rsidRPr="00D71A3E" w:rsidRDefault="00D71A3E" w:rsidP="00D71A3E">
            <w:pPr>
              <w:pStyle w:val="Listparagraf"/>
              <w:numPr>
                <w:ilvl w:val="0"/>
                <w:numId w:val="4"/>
              </w:numPr>
              <w:spacing w:line="276" w:lineRule="auto"/>
              <w:ind w:left="454"/>
              <w:rPr>
                <w:rFonts w:ascii="Times New Roman" w:eastAsia="Times New Roman" w:hAnsi="Times New Roman"/>
                <w:sz w:val="26"/>
                <w:szCs w:val="26"/>
                <w:lang w:eastAsia="ru-RU"/>
              </w:rPr>
            </w:pPr>
            <w:r w:rsidRPr="00D71A3E">
              <w:rPr>
                <w:rFonts w:ascii="Times New Roman" w:eastAsia="Times New Roman" w:hAnsi="Times New Roman"/>
                <w:sz w:val="26"/>
                <w:szCs w:val="26"/>
                <w:lang w:eastAsia="ru-RU"/>
              </w:rPr>
              <w:t>Repararea prejudiciului cauzat mediului forestier.</w:t>
            </w:r>
          </w:p>
          <w:p w14:paraId="6A41FB3A" w14:textId="77777777" w:rsidR="00D71A3E" w:rsidRDefault="0012677D" w:rsidP="00D71A3E">
            <w:pPr>
              <w:spacing w:line="276" w:lineRule="auto"/>
              <w:ind w:firstLine="0"/>
              <w:rPr>
                <w:rFonts w:ascii="Times New Roman" w:hAnsi="Times New Roman"/>
                <w:sz w:val="26"/>
                <w:szCs w:val="26"/>
              </w:rPr>
            </w:pPr>
            <w:r w:rsidRPr="007619F8">
              <w:rPr>
                <w:rFonts w:ascii="Times New Roman" w:hAnsi="Times New Roman"/>
                <w:sz w:val="26"/>
                <w:szCs w:val="26"/>
              </w:rPr>
              <w:t>Principalele elemente noi sunt:</w:t>
            </w:r>
            <w:r w:rsidR="007619F8">
              <w:rPr>
                <w:rFonts w:ascii="Times New Roman" w:hAnsi="Times New Roman"/>
                <w:sz w:val="26"/>
                <w:szCs w:val="26"/>
              </w:rPr>
              <w:t xml:space="preserve"> </w:t>
            </w:r>
          </w:p>
          <w:p w14:paraId="60920B5F" w14:textId="1A255C85" w:rsidR="00D71A3E" w:rsidRPr="00D71A3E" w:rsidRDefault="00D71A3E" w:rsidP="00D71A3E">
            <w:pPr>
              <w:pStyle w:val="Listparagraf"/>
              <w:numPr>
                <w:ilvl w:val="0"/>
                <w:numId w:val="5"/>
              </w:numPr>
              <w:spacing w:line="276" w:lineRule="auto"/>
              <w:ind w:left="454"/>
              <w:rPr>
                <w:rFonts w:ascii="Times New Roman" w:hAnsi="Times New Roman"/>
                <w:sz w:val="26"/>
                <w:szCs w:val="26"/>
              </w:rPr>
            </w:pPr>
            <w:r w:rsidRPr="00D71A3E">
              <w:rPr>
                <w:rFonts w:ascii="Times New Roman" w:hAnsi="Times New Roman"/>
                <w:sz w:val="26"/>
                <w:szCs w:val="26"/>
              </w:rPr>
              <w:t>Utilizarea unităților convenționale pentru calculul prejudiciului;</w:t>
            </w:r>
          </w:p>
          <w:p w14:paraId="56E1829F" w14:textId="265B08D9" w:rsidR="00D71A3E" w:rsidRPr="00D71A3E" w:rsidRDefault="00D71A3E" w:rsidP="00D71A3E">
            <w:pPr>
              <w:pStyle w:val="Listparagraf"/>
              <w:numPr>
                <w:ilvl w:val="0"/>
                <w:numId w:val="5"/>
              </w:numPr>
              <w:spacing w:line="276" w:lineRule="auto"/>
              <w:ind w:left="454"/>
              <w:rPr>
                <w:rFonts w:ascii="Times New Roman" w:hAnsi="Times New Roman"/>
                <w:sz w:val="26"/>
                <w:szCs w:val="26"/>
              </w:rPr>
            </w:pPr>
            <w:r w:rsidRPr="00D71A3E">
              <w:rPr>
                <w:rFonts w:ascii="Times New Roman" w:hAnsi="Times New Roman"/>
                <w:sz w:val="26"/>
                <w:szCs w:val="26"/>
              </w:rPr>
              <w:t>Introducerea tarifelor pentru cazuri neprevăzute anterior (ex: lipsa arborilor model, poluare cu deșeuri, incendii);</w:t>
            </w:r>
          </w:p>
          <w:p w14:paraId="1F558311" w14:textId="245CE0B6" w:rsidR="00B05DB4" w:rsidRPr="00D71A3E" w:rsidRDefault="00D71A3E" w:rsidP="00D71A3E">
            <w:pPr>
              <w:pStyle w:val="Listparagraf"/>
              <w:numPr>
                <w:ilvl w:val="0"/>
                <w:numId w:val="5"/>
              </w:numPr>
              <w:spacing w:line="276" w:lineRule="auto"/>
              <w:ind w:left="454"/>
              <w:rPr>
                <w:rFonts w:ascii="Times New Roman" w:hAnsi="Times New Roman"/>
                <w:sz w:val="26"/>
                <w:szCs w:val="26"/>
              </w:rPr>
            </w:pPr>
            <w:r w:rsidRPr="00D71A3E">
              <w:rPr>
                <w:rFonts w:ascii="Times New Roman" w:hAnsi="Times New Roman"/>
                <w:sz w:val="26"/>
                <w:szCs w:val="26"/>
              </w:rPr>
              <w:t>Separarea clară a prejudiciilor din cauza factorilor fizici, chimici sau biologici (ex: foc, vătămări mecanice etc.).</w:t>
            </w:r>
          </w:p>
        </w:tc>
      </w:tr>
      <w:tr w:rsidR="00C32459" w:rsidRPr="007619F8" w14:paraId="5DA9E0F7" w14:textId="77777777" w:rsidTr="006C0909">
        <w:tc>
          <w:tcPr>
            <w:tcW w:w="9186"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D20C81E"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lastRenderedPageBreak/>
              <w:t>3.2. Opțiunile alternative analizate și motivele pentru care acestea nu au fost luate în considerare</w:t>
            </w:r>
          </w:p>
        </w:tc>
      </w:tr>
      <w:tr w:rsidR="00C32459" w:rsidRPr="007619F8" w14:paraId="7C751151" w14:textId="77777777" w:rsidTr="006C0909">
        <w:tc>
          <w:tcPr>
            <w:tcW w:w="918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C3E48A0" w14:textId="4D8874E5" w:rsidR="00C32459" w:rsidRPr="007619F8" w:rsidRDefault="00BD28AB" w:rsidP="00426419">
            <w:pPr>
              <w:spacing w:line="276" w:lineRule="auto"/>
              <w:ind w:firstLine="0"/>
              <w:rPr>
                <w:rFonts w:ascii="Times New Roman" w:hAnsi="Times New Roman"/>
                <w:sz w:val="26"/>
                <w:szCs w:val="26"/>
              </w:rPr>
            </w:pPr>
            <w:r w:rsidRPr="007619F8">
              <w:rPr>
                <w:rFonts w:ascii="Times New Roman" w:hAnsi="Times New Roman"/>
                <w:sz w:val="26"/>
                <w:szCs w:val="26"/>
              </w:rPr>
              <w:t>Opțiuni alternative nu au fost luate în considerare, acestea nefiind actuale în cazul dat.</w:t>
            </w:r>
          </w:p>
        </w:tc>
      </w:tr>
      <w:tr w:rsidR="00C32459" w:rsidRPr="007619F8" w14:paraId="00609FBA" w14:textId="77777777" w:rsidTr="006C0909">
        <w:trPr>
          <w:trHeight w:val="381"/>
        </w:trPr>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263F8C"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 xml:space="preserve">4. Analiza impactului de reglementare </w:t>
            </w:r>
          </w:p>
        </w:tc>
      </w:tr>
      <w:tr w:rsidR="00C32459" w:rsidRPr="007619F8" w14:paraId="3EEC9268" w14:textId="77777777" w:rsidTr="006C0909">
        <w:trPr>
          <w:trHeight w:val="316"/>
        </w:trPr>
        <w:tc>
          <w:tcPr>
            <w:tcW w:w="918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5DC4916"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4.1. Impactul asupra sectorului public</w:t>
            </w:r>
          </w:p>
        </w:tc>
      </w:tr>
      <w:tr w:rsidR="00C32459" w:rsidRPr="007619F8" w14:paraId="2A2D45FA" w14:textId="77777777" w:rsidTr="006C0909">
        <w:trPr>
          <w:trHeight w:val="150"/>
        </w:trPr>
        <w:tc>
          <w:tcPr>
            <w:tcW w:w="918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4B97795"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Nu este aplicabil.</w:t>
            </w:r>
          </w:p>
        </w:tc>
      </w:tr>
      <w:tr w:rsidR="00C32459" w:rsidRPr="007619F8" w14:paraId="788FE4A6" w14:textId="77777777" w:rsidTr="006C0909">
        <w:trPr>
          <w:trHeight w:val="233"/>
        </w:trPr>
        <w:tc>
          <w:tcPr>
            <w:tcW w:w="918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5E2602A"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4.2. Impactul financiar și argumentarea costurilor estimative</w:t>
            </w:r>
          </w:p>
        </w:tc>
      </w:tr>
      <w:tr w:rsidR="00C32459" w:rsidRPr="007619F8" w14:paraId="1839E7EC" w14:textId="77777777" w:rsidTr="006C0909">
        <w:trPr>
          <w:trHeight w:val="225"/>
        </w:trPr>
        <w:tc>
          <w:tcPr>
            <w:tcW w:w="918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43B9C1" w14:textId="6E4C8A0A"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 xml:space="preserve">Pentru implementarea proiectului </w:t>
            </w:r>
            <w:r w:rsidR="00FF5DDC">
              <w:rPr>
                <w:rFonts w:ascii="Times New Roman" w:hAnsi="Times New Roman"/>
                <w:sz w:val="26"/>
                <w:szCs w:val="26"/>
              </w:rPr>
              <w:t xml:space="preserve">de act normativ </w:t>
            </w:r>
            <w:r w:rsidR="00FF5DDC" w:rsidRPr="00FF5DDC">
              <w:rPr>
                <w:rFonts w:ascii="Times New Roman" w:hAnsi="Times New Roman"/>
                <w:sz w:val="26"/>
                <w:szCs w:val="26"/>
              </w:rPr>
              <w:t>nu va necesita alocarea de mijloace financiare suplimentare din bugetul de stat.</w:t>
            </w:r>
          </w:p>
        </w:tc>
      </w:tr>
      <w:tr w:rsidR="00C32459" w:rsidRPr="007619F8" w14:paraId="3FCFAA39" w14:textId="77777777" w:rsidTr="006C0909">
        <w:trPr>
          <w:trHeight w:val="225"/>
        </w:trPr>
        <w:tc>
          <w:tcPr>
            <w:tcW w:w="918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083152A"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4.3. Impactul asupra sectorului privat</w:t>
            </w:r>
          </w:p>
        </w:tc>
      </w:tr>
      <w:tr w:rsidR="00C32459" w:rsidRPr="007619F8" w14:paraId="116DE2E0" w14:textId="77777777" w:rsidTr="006C0909">
        <w:trPr>
          <w:trHeight w:val="233"/>
        </w:trPr>
        <w:tc>
          <w:tcPr>
            <w:tcW w:w="918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CC22EDE" w14:textId="77777777" w:rsidR="00C32459" w:rsidRPr="007619F8" w:rsidRDefault="00C32459" w:rsidP="00E65484">
            <w:pPr>
              <w:spacing w:line="276" w:lineRule="auto"/>
              <w:ind w:firstLine="0"/>
              <w:rPr>
                <w:rFonts w:ascii="Times New Roman" w:hAnsi="Times New Roman"/>
                <w:color w:val="000000" w:themeColor="text1"/>
                <w:sz w:val="26"/>
                <w:szCs w:val="26"/>
              </w:rPr>
            </w:pPr>
            <w:r w:rsidRPr="007619F8">
              <w:rPr>
                <w:rFonts w:ascii="Times New Roman" w:hAnsi="Times New Roman"/>
                <w:color w:val="000000" w:themeColor="text1"/>
                <w:sz w:val="26"/>
                <w:szCs w:val="26"/>
              </w:rPr>
              <w:t>Prezentul proiect nu are impact asupra activității de întreprinzător.</w:t>
            </w:r>
          </w:p>
          <w:p w14:paraId="608CB7A3" w14:textId="77777777" w:rsidR="00C32459" w:rsidRPr="007619F8" w:rsidRDefault="00C32459" w:rsidP="00E65484">
            <w:pPr>
              <w:spacing w:line="276" w:lineRule="auto"/>
              <w:ind w:firstLine="0"/>
              <w:rPr>
                <w:rFonts w:ascii="Times New Roman" w:hAnsi="Times New Roman"/>
                <w:sz w:val="26"/>
                <w:szCs w:val="26"/>
              </w:rPr>
            </w:pPr>
            <w:r w:rsidRPr="007619F8">
              <w:rPr>
                <w:rFonts w:ascii="Times New Roman" w:hAnsi="Times New Roman"/>
                <w:color w:val="000000" w:themeColor="text1"/>
                <w:sz w:val="26"/>
                <w:szCs w:val="26"/>
              </w:rPr>
              <w:t xml:space="preserve">Proiectul nu cade sub incidența prevederilor art. 13 din Legea nr. 235/2006 cu privire la principiile de bază de reglementare a activității de întreprinzător și ale pct. 11 </w:t>
            </w:r>
            <w:proofErr w:type="spellStart"/>
            <w:r w:rsidRPr="007619F8">
              <w:rPr>
                <w:rFonts w:ascii="Times New Roman" w:hAnsi="Times New Roman"/>
                <w:color w:val="000000" w:themeColor="text1"/>
                <w:sz w:val="26"/>
                <w:szCs w:val="26"/>
              </w:rPr>
              <w:t>sbp</w:t>
            </w:r>
            <w:proofErr w:type="spellEnd"/>
            <w:r w:rsidRPr="007619F8">
              <w:rPr>
                <w:rFonts w:ascii="Times New Roman" w:hAnsi="Times New Roman"/>
                <w:color w:val="000000" w:themeColor="text1"/>
                <w:sz w:val="26"/>
                <w:szCs w:val="26"/>
              </w:rPr>
              <w:t>. 21) lit. c) din Metodologia de analiză a impactului în procesul de fundamentare a proiectelor de acte normative, aprobată pin Hotărârea Guvernului nr. 23/2019, și nu necesită elaborarea analizei impactului de reglementare sub aspectul impactului reglementărilor asupra activității de întreprinzător și expertiza Grupului de lucru al Comisiei de Stat pentru Reglementarea Activității de Întreprinzător.</w:t>
            </w:r>
          </w:p>
        </w:tc>
      </w:tr>
      <w:tr w:rsidR="00C32459" w:rsidRPr="007619F8" w14:paraId="73F3D9BF" w14:textId="77777777" w:rsidTr="006C0909">
        <w:trPr>
          <w:trHeight w:val="674"/>
        </w:trPr>
        <w:tc>
          <w:tcPr>
            <w:tcW w:w="918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FA56C1D"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4.4. Impactul social</w:t>
            </w:r>
          </w:p>
          <w:p w14:paraId="48316BFA"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4.4.1. Impactul asupra datelor cu caracter personal</w:t>
            </w:r>
          </w:p>
          <w:p w14:paraId="2B082EB0"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4.4.2. Impactul asupra echității și egalității de gen</w:t>
            </w:r>
          </w:p>
        </w:tc>
      </w:tr>
      <w:tr w:rsidR="00C32459" w:rsidRPr="007619F8" w14:paraId="1BFD1F44" w14:textId="77777777" w:rsidTr="006C0909">
        <w:trPr>
          <w:trHeight w:val="250"/>
        </w:trPr>
        <w:tc>
          <w:tcPr>
            <w:tcW w:w="918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CF55CFC"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Nu este aplicabil.</w:t>
            </w:r>
          </w:p>
        </w:tc>
      </w:tr>
      <w:tr w:rsidR="00C32459" w:rsidRPr="007619F8" w14:paraId="579FAA8C" w14:textId="77777777" w:rsidTr="006C0909">
        <w:trPr>
          <w:trHeight w:val="258"/>
        </w:trPr>
        <w:tc>
          <w:tcPr>
            <w:tcW w:w="918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8A546F3"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4.5. Impactul asupra mediului</w:t>
            </w:r>
          </w:p>
        </w:tc>
      </w:tr>
      <w:tr w:rsidR="00C32459" w:rsidRPr="007619F8" w14:paraId="391181B5" w14:textId="77777777" w:rsidTr="006C0909">
        <w:trPr>
          <w:trHeight w:val="208"/>
        </w:trPr>
        <w:tc>
          <w:tcPr>
            <w:tcW w:w="918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370DCF" w14:textId="042E1CC0" w:rsidR="00CC5E28" w:rsidRPr="00CC5E28" w:rsidRDefault="00CC5E28" w:rsidP="00CC5E28">
            <w:pPr>
              <w:spacing w:line="276" w:lineRule="auto"/>
              <w:rPr>
                <w:rFonts w:ascii="Times New Roman" w:hAnsi="Times New Roman"/>
                <w:sz w:val="26"/>
                <w:szCs w:val="26"/>
              </w:rPr>
            </w:pPr>
            <w:r w:rsidRPr="00CC5E28">
              <w:rPr>
                <w:rFonts w:ascii="Times New Roman" w:hAnsi="Times New Roman"/>
                <w:sz w:val="26"/>
                <w:szCs w:val="26"/>
              </w:rPr>
              <w:t>Proiectul va avea un impact pozitiv, durabil și substanțial asupra mediului, contribuind la protecția și conservarea resurselor forestiere și la reducerea presiunii antropice asupra ecosistemelor naturale. Majorarea cuantumurilor despăgubirilor pentru încălcările legislației silvice reprezintă un instrument eficient de responsabilizare a factorilor implicați, prin creșterea costului nerespectării legii. Această măsură încurajează respectarea reglementărilor de mediu prin sancțiuni proporționale cu prejudiciul adus.</w:t>
            </w:r>
          </w:p>
          <w:p w14:paraId="1D09FC60" w14:textId="6D72E98D" w:rsidR="00CC5E28" w:rsidRPr="00CC5E28" w:rsidRDefault="00CC5E28" w:rsidP="00CC5E28">
            <w:pPr>
              <w:spacing w:line="276" w:lineRule="auto"/>
              <w:rPr>
                <w:rFonts w:ascii="Times New Roman" w:hAnsi="Times New Roman"/>
                <w:sz w:val="26"/>
                <w:szCs w:val="26"/>
              </w:rPr>
            </w:pPr>
            <w:r w:rsidRPr="00CC5E28">
              <w:rPr>
                <w:rFonts w:ascii="Times New Roman" w:hAnsi="Times New Roman"/>
                <w:sz w:val="26"/>
                <w:szCs w:val="26"/>
              </w:rPr>
              <w:t>Aplicarea tarifelor majorate va contribui semnificativ la prevenirea defrișărilor ilegale, a tăierilor abuzive, a incendiilor provocate și a altor acțiuni distructive care afectează negativ funcțiile ecologice ale pădurilor. Astfel de acțiuni au consecințe directe asupra calității aerului, a solului, a resurselor de apă, a biodiversității și a capacității ecosistemelor de a furniza servicii esențiale societății, inclusiv reglarea climatică, stocarea carbonului și prevenirea eroziunii solului.</w:t>
            </w:r>
          </w:p>
          <w:p w14:paraId="2323ABCB" w14:textId="77777777" w:rsidR="00CC5E28" w:rsidRPr="00CC5E28" w:rsidRDefault="00CC5E28" w:rsidP="00CC5E28">
            <w:pPr>
              <w:spacing w:line="276" w:lineRule="auto"/>
              <w:rPr>
                <w:rFonts w:ascii="Times New Roman" w:hAnsi="Times New Roman"/>
                <w:sz w:val="26"/>
                <w:szCs w:val="26"/>
              </w:rPr>
            </w:pPr>
            <w:r w:rsidRPr="00CC5E28">
              <w:rPr>
                <w:rFonts w:ascii="Times New Roman" w:hAnsi="Times New Roman"/>
                <w:sz w:val="26"/>
                <w:szCs w:val="26"/>
              </w:rPr>
              <w:t>Prin stabilirea unor tarife mai mari, proiectul stimulează o conduită responsabilă din partea tuturor celor care interacționează cu fondul forestier, fie că este vorba de operatori economici, persoane fizice sau instituții. Aceasta va duce la o reducere a fenomenului de exploatare ilegală, la o mai bună gestionare a pădurilor și la o reacție mai promptă din partea autorităților competente în sancționarea faptelor de degradare a mediului.</w:t>
            </w:r>
          </w:p>
          <w:p w14:paraId="2A825813" w14:textId="77777777" w:rsidR="00CC5E28" w:rsidRPr="00CC5E28" w:rsidRDefault="00CC5E28" w:rsidP="00CC5E28">
            <w:pPr>
              <w:spacing w:line="276" w:lineRule="auto"/>
              <w:rPr>
                <w:rFonts w:ascii="Times New Roman" w:hAnsi="Times New Roman"/>
                <w:sz w:val="26"/>
                <w:szCs w:val="26"/>
              </w:rPr>
            </w:pPr>
          </w:p>
          <w:p w14:paraId="047330E9" w14:textId="7811A659" w:rsidR="00CC5E28" w:rsidRPr="00CC5E28" w:rsidRDefault="00CC5E28" w:rsidP="00B861CF">
            <w:pPr>
              <w:spacing w:line="276" w:lineRule="auto"/>
              <w:rPr>
                <w:rFonts w:ascii="Times New Roman" w:hAnsi="Times New Roman"/>
                <w:sz w:val="26"/>
                <w:szCs w:val="26"/>
              </w:rPr>
            </w:pPr>
            <w:r w:rsidRPr="00CC5E28">
              <w:rPr>
                <w:rFonts w:ascii="Times New Roman" w:hAnsi="Times New Roman"/>
                <w:sz w:val="26"/>
                <w:szCs w:val="26"/>
              </w:rPr>
              <w:lastRenderedPageBreak/>
              <w:t>Pe plan economic, fondurile colectate prin aplicarea despăgubirilor vor putea fi direcționate către activități de reîmpădurire, reconstrucție ecologică, achiziționarea de echipamente moderne de monitorizare, susținerea cercetării în domeniul silvic și dezvoltarea unor programe educaționale de conștientizare ecologică în rândul populației.</w:t>
            </w:r>
          </w:p>
          <w:p w14:paraId="66144889" w14:textId="69C910A9" w:rsidR="00CC5E28" w:rsidRPr="00CC5E28" w:rsidRDefault="00CC5E28" w:rsidP="00764251">
            <w:pPr>
              <w:spacing w:line="276" w:lineRule="auto"/>
              <w:rPr>
                <w:rFonts w:ascii="Times New Roman" w:hAnsi="Times New Roman"/>
                <w:sz w:val="26"/>
                <w:szCs w:val="26"/>
              </w:rPr>
            </w:pPr>
            <w:r w:rsidRPr="00CC5E28">
              <w:rPr>
                <w:rFonts w:ascii="Times New Roman" w:hAnsi="Times New Roman"/>
                <w:sz w:val="26"/>
                <w:szCs w:val="26"/>
              </w:rPr>
              <w:t xml:space="preserve">Totodată, măsurile propuse vor consolida cadrul instituțional de intervenție în cazurile de prejudicii silvice, prin clarificarea și standardizarea procedurilor de evaluare și calcul a despăgubirilor, reducând astfel riscurile de interpretare neunitară și de aplicare ineficientă a </w:t>
            </w:r>
            <w:r w:rsidR="00764251">
              <w:rPr>
                <w:rFonts w:ascii="Times New Roman" w:hAnsi="Times New Roman"/>
                <w:sz w:val="26"/>
                <w:szCs w:val="26"/>
              </w:rPr>
              <w:t xml:space="preserve">încălcărilor. </w:t>
            </w:r>
          </w:p>
          <w:p w14:paraId="0151C57A" w14:textId="1A234CD7" w:rsidR="00C32459" w:rsidRPr="007619F8" w:rsidRDefault="00CC5E28" w:rsidP="00764251">
            <w:pPr>
              <w:spacing w:line="276" w:lineRule="auto"/>
              <w:ind w:firstLine="738"/>
              <w:rPr>
                <w:rFonts w:ascii="Times New Roman" w:hAnsi="Times New Roman"/>
                <w:sz w:val="26"/>
                <w:szCs w:val="26"/>
              </w:rPr>
            </w:pPr>
            <w:r w:rsidRPr="00CC5E28">
              <w:rPr>
                <w:rFonts w:ascii="Times New Roman" w:hAnsi="Times New Roman"/>
                <w:sz w:val="26"/>
                <w:szCs w:val="26"/>
              </w:rPr>
              <w:t>Pe termen lung, implementarea prezentului proiect va contribui la consolidarea cadrului de protecție a pădurilor</w:t>
            </w:r>
            <w:r w:rsidR="00764251">
              <w:rPr>
                <w:rFonts w:ascii="Times New Roman" w:hAnsi="Times New Roman"/>
                <w:sz w:val="26"/>
                <w:szCs w:val="26"/>
              </w:rPr>
              <w:t xml:space="preserve"> și </w:t>
            </w:r>
            <w:r w:rsidRPr="00CC5E28">
              <w:rPr>
                <w:rFonts w:ascii="Times New Roman" w:hAnsi="Times New Roman"/>
                <w:sz w:val="26"/>
                <w:szCs w:val="26"/>
              </w:rPr>
              <w:t>la menținerea integrității ecosistemelor forestiere. În același timp, va promova o cultură a legalității și a respectului față de patrimoniul natural național.</w:t>
            </w:r>
          </w:p>
        </w:tc>
      </w:tr>
      <w:tr w:rsidR="00C32459" w:rsidRPr="007619F8" w14:paraId="610D88B1"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9D2EC" w14:textId="77777777"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lastRenderedPageBreak/>
              <w:t>4.6. Alte impacturi și informații relevante</w:t>
            </w:r>
          </w:p>
        </w:tc>
      </w:tr>
      <w:tr w:rsidR="00C32459" w:rsidRPr="007619F8" w14:paraId="79ECDBA5" w14:textId="77777777" w:rsidTr="006C0909">
        <w:tc>
          <w:tcPr>
            <w:tcW w:w="918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F41C9F0" w14:textId="3D792A03"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 xml:space="preserve"> Nu </w:t>
            </w:r>
            <w:r w:rsidR="006768B9" w:rsidRPr="007619F8">
              <w:rPr>
                <w:rFonts w:ascii="Times New Roman" w:hAnsi="Times New Roman"/>
                <w:sz w:val="26"/>
                <w:szCs w:val="26"/>
              </w:rPr>
              <w:t>au fost identificate</w:t>
            </w:r>
          </w:p>
        </w:tc>
      </w:tr>
      <w:tr w:rsidR="00C32459" w:rsidRPr="007619F8" w14:paraId="0BA5C940"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EB33285"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 xml:space="preserve">5. Compatibilitatea proiectului actului normativ cu legislația UE </w:t>
            </w:r>
          </w:p>
        </w:tc>
      </w:tr>
      <w:tr w:rsidR="00C32459" w:rsidRPr="007619F8" w14:paraId="40915DFA" w14:textId="77777777" w:rsidTr="006C0909">
        <w:trPr>
          <w:trHeight w:val="241"/>
        </w:trPr>
        <w:tc>
          <w:tcPr>
            <w:tcW w:w="918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722640D0" w14:textId="58C78185" w:rsidR="00C32459" w:rsidRPr="007619F8" w:rsidRDefault="003C0D88" w:rsidP="00702FB1">
            <w:pPr>
              <w:spacing w:line="276" w:lineRule="auto"/>
              <w:rPr>
                <w:rFonts w:ascii="Times New Roman" w:hAnsi="Times New Roman"/>
                <w:sz w:val="26"/>
                <w:szCs w:val="26"/>
              </w:rPr>
            </w:pPr>
            <w:r w:rsidRPr="003C0D88">
              <w:rPr>
                <w:rFonts w:ascii="Times New Roman" w:hAnsi="Times New Roman"/>
                <w:sz w:val="26"/>
                <w:szCs w:val="26"/>
              </w:rPr>
              <w:t xml:space="preserve">Prezentul proiect </w:t>
            </w:r>
            <w:r>
              <w:rPr>
                <w:rFonts w:ascii="Times New Roman" w:hAnsi="Times New Roman"/>
                <w:sz w:val="26"/>
                <w:szCs w:val="26"/>
              </w:rPr>
              <w:t>de act normativ</w:t>
            </w:r>
            <w:r w:rsidRPr="003C0D88">
              <w:rPr>
                <w:rFonts w:ascii="Times New Roman" w:hAnsi="Times New Roman"/>
                <w:sz w:val="26"/>
                <w:szCs w:val="26"/>
              </w:rPr>
              <w:t xml:space="preserve"> nu are</w:t>
            </w:r>
            <w:r>
              <w:rPr>
                <w:rFonts w:ascii="Times New Roman" w:hAnsi="Times New Roman"/>
                <w:sz w:val="26"/>
                <w:szCs w:val="26"/>
              </w:rPr>
              <w:t xml:space="preserve"> </w:t>
            </w:r>
            <w:r w:rsidRPr="003C0D88">
              <w:rPr>
                <w:rFonts w:ascii="Times New Roman" w:hAnsi="Times New Roman"/>
                <w:sz w:val="26"/>
                <w:szCs w:val="26"/>
              </w:rPr>
              <w:t>scopul de a transpune prevederi</w:t>
            </w:r>
            <w:r>
              <w:rPr>
                <w:rFonts w:ascii="Times New Roman" w:hAnsi="Times New Roman"/>
                <w:sz w:val="26"/>
                <w:szCs w:val="26"/>
              </w:rPr>
              <w:t xml:space="preserve"> ale</w:t>
            </w:r>
            <w:r w:rsidRPr="003C0D88">
              <w:rPr>
                <w:rFonts w:ascii="Times New Roman" w:hAnsi="Times New Roman"/>
                <w:sz w:val="26"/>
                <w:szCs w:val="26"/>
              </w:rPr>
              <w:t xml:space="preserve"> legislației UE.</w:t>
            </w:r>
          </w:p>
        </w:tc>
      </w:tr>
      <w:tr w:rsidR="00C32459" w:rsidRPr="007619F8" w14:paraId="37E12C8E"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EFF6F0"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6. Avizarea și consultarea publică a proiectului actului normativ</w:t>
            </w:r>
          </w:p>
        </w:tc>
      </w:tr>
      <w:tr w:rsidR="00C32459" w:rsidRPr="007619F8" w14:paraId="0ABBC150" w14:textId="77777777" w:rsidTr="006C0909">
        <w:tc>
          <w:tcPr>
            <w:tcW w:w="918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43F480D" w14:textId="10B50C79" w:rsidR="005E6CC7" w:rsidRPr="007619F8" w:rsidRDefault="00C32459" w:rsidP="00274A3F">
            <w:pPr>
              <w:tabs>
                <w:tab w:val="left" w:pos="308"/>
                <w:tab w:val="left" w:pos="449"/>
              </w:tabs>
              <w:spacing w:line="276" w:lineRule="auto"/>
              <w:ind w:firstLine="0"/>
              <w:rPr>
                <w:rFonts w:ascii="Times New Roman" w:hAnsi="Times New Roman"/>
                <w:color w:val="000000" w:themeColor="text1"/>
                <w:sz w:val="26"/>
                <w:szCs w:val="26"/>
              </w:rPr>
            </w:pPr>
            <w:r w:rsidRPr="007619F8">
              <w:rPr>
                <w:rFonts w:ascii="Times New Roman" w:hAnsi="Times New Roman"/>
                <w:sz w:val="26"/>
                <w:szCs w:val="26"/>
              </w:rPr>
              <w:t xml:space="preserve">În scopul respectării prevederilor Legii nr. 239/2008 privind transparența în procesul decizional, anunțul privind inițierea elaborării proiectul actului normativ propus, a fost plasat pe pagina web </w:t>
            </w:r>
            <w:hyperlink r:id="rId7" w:history="1">
              <w:r w:rsidR="006049D2" w:rsidRPr="006049D2">
                <w:rPr>
                  <w:rStyle w:val="Hyperlink"/>
                  <w:rFonts w:ascii="Times New Roman" w:hAnsi="Times New Roman"/>
                  <w:sz w:val="26"/>
                  <w:szCs w:val="26"/>
                </w:rPr>
                <w:t>https://particip.gov.md</w:t>
              </w:r>
            </w:hyperlink>
            <w:r w:rsidR="006049D2" w:rsidRPr="006049D2">
              <w:rPr>
                <w:rFonts w:ascii="Times New Roman" w:hAnsi="Times New Roman"/>
                <w:sz w:val="26"/>
                <w:szCs w:val="26"/>
              </w:rPr>
              <w:t xml:space="preserve"> </w:t>
            </w:r>
            <w:r w:rsidR="006049D2">
              <w:rPr>
                <w:rFonts w:ascii="Times New Roman" w:hAnsi="Times New Roman"/>
                <w:sz w:val="26"/>
                <w:szCs w:val="26"/>
              </w:rPr>
              <w:t xml:space="preserve">la data de </w:t>
            </w:r>
            <w:r w:rsidR="006049D2">
              <w:rPr>
                <w:rFonts w:ascii="Times New Roman" w:hAnsi="Times New Roman"/>
                <w:color w:val="000000" w:themeColor="text1"/>
                <w:sz w:val="26"/>
                <w:szCs w:val="26"/>
              </w:rPr>
              <w:t>11</w:t>
            </w:r>
            <w:r w:rsidR="006049D2" w:rsidRPr="007619F8">
              <w:rPr>
                <w:rFonts w:ascii="Times New Roman" w:hAnsi="Times New Roman"/>
                <w:color w:val="000000" w:themeColor="text1"/>
                <w:sz w:val="26"/>
                <w:szCs w:val="26"/>
              </w:rPr>
              <w:t>.1</w:t>
            </w:r>
            <w:r w:rsidR="006049D2">
              <w:rPr>
                <w:rFonts w:ascii="Times New Roman" w:hAnsi="Times New Roman"/>
                <w:color w:val="000000" w:themeColor="text1"/>
                <w:sz w:val="26"/>
                <w:szCs w:val="26"/>
              </w:rPr>
              <w:t>2</w:t>
            </w:r>
            <w:r w:rsidR="006049D2" w:rsidRPr="007619F8">
              <w:rPr>
                <w:rFonts w:ascii="Times New Roman" w:hAnsi="Times New Roman"/>
                <w:color w:val="000000" w:themeColor="text1"/>
                <w:sz w:val="26"/>
                <w:szCs w:val="26"/>
              </w:rPr>
              <w:t>.2024.</w:t>
            </w:r>
            <w:r w:rsidRPr="007619F8">
              <w:rPr>
                <w:rFonts w:ascii="Times New Roman" w:hAnsi="Times New Roman"/>
                <w:color w:val="000000" w:themeColor="text1"/>
                <w:sz w:val="26"/>
                <w:szCs w:val="26"/>
              </w:rPr>
              <w:t xml:space="preserve"> </w:t>
            </w:r>
          </w:p>
        </w:tc>
      </w:tr>
      <w:tr w:rsidR="00C32459" w:rsidRPr="007619F8" w14:paraId="2A42F4B9"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FF3E271"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7. Concluziile expertizelor</w:t>
            </w:r>
          </w:p>
        </w:tc>
      </w:tr>
      <w:tr w:rsidR="00C32459" w:rsidRPr="007619F8" w14:paraId="276D77DE" w14:textId="77777777" w:rsidTr="006C0909">
        <w:tc>
          <w:tcPr>
            <w:tcW w:w="9186"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97E1D0B" w14:textId="77777777" w:rsidR="006049D2" w:rsidRPr="006049D2" w:rsidRDefault="006049D2" w:rsidP="006049D2">
            <w:pPr>
              <w:spacing w:line="276" w:lineRule="auto"/>
              <w:rPr>
                <w:rFonts w:ascii="Times New Roman" w:hAnsi="Times New Roman"/>
                <w:sz w:val="26"/>
                <w:szCs w:val="26"/>
              </w:rPr>
            </w:pPr>
            <w:r w:rsidRPr="006049D2">
              <w:rPr>
                <w:rFonts w:ascii="Times New Roman" w:hAnsi="Times New Roman"/>
                <w:sz w:val="26"/>
                <w:szCs w:val="26"/>
              </w:rPr>
              <w:t>Conform art. 36 din Legea 100/2017 cu privire la actele normative Proiectul va fi supus expertizei anticorupție de către Centrul Național Anticorupție.</w:t>
            </w:r>
          </w:p>
          <w:p w14:paraId="65B337B8" w14:textId="524115E8" w:rsidR="00C32459" w:rsidRPr="00F60DD1" w:rsidRDefault="006049D2" w:rsidP="006049D2">
            <w:pPr>
              <w:spacing w:line="276" w:lineRule="auto"/>
              <w:ind w:firstLine="0"/>
              <w:rPr>
                <w:rFonts w:ascii="Times New Roman" w:hAnsi="Times New Roman"/>
                <w:sz w:val="26"/>
                <w:szCs w:val="26"/>
                <w:highlight w:val="yellow"/>
              </w:rPr>
            </w:pPr>
            <w:r w:rsidRPr="006049D2">
              <w:rPr>
                <w:rFonts w:ascii="Times New Roman" w:hAnsi="Times New Roman"/>
                <w:sz w:val="26"/>
                <w:szCs w:val="26"/>
              </w:rPr>
              <w:t>Conform art. 37 din Legea nr.100/2017 cu privire la actele normative  Proiectul va fi supus expertizei juridice de către Ministerul Justiției.</w:t>
            </w:r>
          </w:p>
        </w:tc>
      </w:tr>
      <w:tr w:rsidR="00C32459" w:rsidRPr="007619F8" w14:paraId="624180A8"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D9C5A50"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8. Modul de încorporare a actului în cadrul normativ existent</w:t>
            </w:r>
          </w:p>
        </w:tc>
      </w:tr>
      <w:tr w:rsidR="00C32459" w:rsidRPr="007619F8" w14:paraId="22731546" w14:textId="77777777" w:rsidTr="006C0909">
        <w:tc>
          <w:tcPr>
            <w:tcW w:w="918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5F1A5D2" w14:textId="4E7A8010" w:rsidR="00C32459" w:rsidRPr="007619F8" w:rsidRDefault="00C32459" w:rsidP="00702FB1">
            <w:pPr>
              <w:spacing w:line="276" w:lineRule="auto"/>
              <w:rPr>
                <w:rFonts w:ascii="Times New Roman" w:hAnsi="Times New Roman"/>
                <w:sz w:val="26"/>
                <w:szCs w:val="26"/>
              </w:rPr>
            </w:pPr>
            <w:r w:rsidRPr="007619F8">
              <w:rPr>
                <w:rFonts w:ascii="Times New Roman" w:hAnsi="Times New Roman"/>
                <w:sz w:val="26"/>
                <w:szCs w:val="26"/>
              </w:rPr>
              <w:t xml:space="preserve"> </w:t>
            </w:r>
            <w:r w:rsidR="005E0DB6">
              <w:rPr>
                <w:rFonts w:ascii="Times New Roman" w:hAnsi="Times New Roman"/>
                <w:sz w:val="26"/>
                <w:szCs w:val="26"/>
              </w:rPr>
              <w:t xml:space="preserve">Proiectul actului normativ va pune în aplicare prevederile </w:t>
            </w:r>
            <w:r w:rsidR="008B11B8">
              <w:rPr>
                <w:rFonts w:ascii="Times New Roman" w:hAnsi="Times New Roman"/>
                <w:sz w:val="26"/>
                <w:szCs w:val="26"/>
              </w:rPr>
              <w:t xml:space="preserve">art. 70 alin (2) </w:t>
            </w:r>
            <w:r w:rsidR="005E0DB6">
              <w:rPr>
                <w:rFonts w:ascii="Times New Roman" w:hAnsi="Times New Roman"/>
                <w:sz w:val="26"/>
                <w:szCs w:val="26"/>
              </w:rPr>
              <w:t>Codului silvic nr. 69/2024</w:t>
            </w:r>
            <w:r w:rsidR="008B11B8">
              <w:rPr>
                <w:rFonts w:ascii="Times New Roman" w:hAnsi="Times New Roman"/>
                <w:sz w:val="26"/>
                <w:szCs w:val="26"/>
              </w:rPr>
              <w:t>.</w:t>
            </w:r>
          </w:p>
        </w:tc>
      </w:tr>
      <w:tr w:rsidR="00C32459" w:rsidRPr="007619F8" w14:paraId="152D79B3" w14:textId="77777777" w:rsidTr="006C0909">
        <w:tc>
          <w:tcPr>
            <w:tcW w:w="918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03E9CF" w14:textId="77777777" w:rsidR="00C32459" w:rsidRPr="007619F8" w:rsidRDefault="00C32459" w:rsidP="00702FB1">
            <w:pPr>
              <w:spacing w:line="276" w:lineRule="auto"/>
              <w:rPr>
                <w:rFonts w:ascii="Times New Roman" w:hAnsi="Times New Roman"/>
                <w:b/>
                <w:bCs/>
                <w:sz w:val="26"/>
                <w:szCs w:val="26"/>
              </w:rPr>
            </w:pPr>
            <w:r w:rsidRPr="007619F8">
              <w:rPr>
                <w:rFonts w:ascii="Times New Roman" w:hAnsi="Times New Roman"/>
                <w:b/>
                <w:bCs/>
                <w:sz w:val="26"/>
                <w:szCs w:val="26"/>
              </w:rPr>
              <w:t>9. Măsurile necesare pentru implementarea prevederilor proiectului actului normativ</w:t>
            </w:r>
          </w:p>
        </w:tc>
      </w:tr>
      <w:tr w:rsidR="00C32459" w:rsidRPr="007619F8" w14:paraId="1E2907F1" w14:textId="77777777" w:rsidTr="006C0909">
        <w:tc>
          <w:tcPr>
            <w:tcW w:w="91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363D0" w14:textId="1A5514EE" w:rsidR="007A1F65" w:rsidRPr="007619F8" w:rsidRDefault="005E0DB6" w:rsidP="005E0DB6">
            <w:pPr>
              <w:spacing w:line="276" w:lineRule="auto"/>
              <w:ind w:firstLine="0"/>
              <w:rPr>
                <w:rFonts w:ascii="Times New Roman" w:hAnsi="Times New Roman"/>
                <w:sz w:val="26"/>
                <w:szCs w:val="26"/>
              </w:rPr>
            </w:pPr>
            <w:r>
              <w:rPr>
                <w:rFonts w:ascii="Times New Roman" w:hAnsi="Times New Roman"/>
                <w:sz w:val="26"/>
                <w:szCs w:val="26"/>
              </w:rPr>
              <w:t>Nu se necesită măsuri suplimentare pentru implementarea prevederilor actului normativ.</w:t>
            </w:r>
          </w:p>
        </w:tc>
      </w:tr>
    </w:tbl>
    <w:p w14:paraId="6714C9FA" w14:textId="77777777" w:rsidR="00730A87" w:rsidRDefault="00730A87" w:rsidP="00C32459">
      <w:pPr>
        <w:spacing w:line="276" w:lineRule="auto"/>
        <w:rPr>
          <w:rFonts w:ascii="Times New Roman" w:hAnsi="Times New Roman" w:cs="Times New Roman"/>
          <w:sz w:val="26"/>
          <w:szCs w:val="26"/>
        </w:rPr>
      </w:pPr>
    </w:p>
    <w:p w14:paraId="721ADC25" w14:textId="77777777" w:rsidR="00CA5CEB" w:rsidRPr="007619F8" w:rsidRDefault="00CA5CEB" w:rsidP="00C32459">
      <w:pPr>
        <w:spacing w:line="276" w:lineRule="auto"/>
        <w:rPr>
          <w:rFonts w:ascii="Times New Roman" w:hAnsi="Times New Roman" w:cs="Times New Roman"/>
          <w:sz w:val="26"/>
          <w:szCs w:val="26"/>
        </w:rPr>
      </w:pPr>
    </w:p>
    <w:p w14:paraId="39324A6B" w14:textId="6A34E09B" w:rsidR="00C47408" w:rsidRPr="007619F8" w:rsidRDefault="00730A87">
      <w:pPr>
        <w:rPr>
          <w:rFonts w:ascii="Times New Roman" w:hAnsi="Times New Roman" w:cs="Times New Roman"/>
          <w:b/>
          <w:bCs/>
          <w:sz w:val="28"/>
          <w:szCs w:val="28"/>
        </w:rPr>
      </w:pPr>
      <w:r w:rsidRPr="007619F8">
        <w:rPr>
          <w:rFonts w:ascii="Times New Roman" w:hAnsi="Times New Roman" w:cs="Times New Roman"/>
          <w:b/>
          <w:bCs/>
          <w:sz w:val="28"/>
          <w:szCs w:val="28"/>
        </w:rPr>
        <w:t xml:space="preserve">Ministru </w:t>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r>
      <w:r w:rsidRPr="007619F8">
        <w:rPr>
          <w:rFonts w:ascii="Times New Roman" w:hAnsi="Times New Roman" w:cs="Times New Roman"/>
          <w:b/>
          <w:bCs/>
          <w:sz w:val="28"/>
          <w:szCs w:val="28"/>
        </w:rPr>
        <w:tab/>
        <w:t>Sergiu LAZARENCU</w:t>
      </w:r>
    </w:p>
    <w:sectPr w:rsidR="00C47408" w:rsidRPr="007619F8" w:rsidSect="00FE1F76">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CDE"/>
    <w:multiLevelType w:val="hybridMultilevel"/>
    <w:tmpl w:val="77D0E8B2"/>
    <w:lvl w:ilvl="0" w:tplc="9BAA4AA8">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CE2143"/>
    <w:multiLevelType w:val="hybridMultilevel"/>
    <w:tmpl w:val="48487422"/>
    <w:lvl w:ilvl="0" w:tplc="673A7852">
      <w:start w:val="1"/>
      <w:numFmt w:val="decimal"/>
      <w:lvlText w:val="%1."/>
      <w:lvlJc w:val="left"/>
      <w:pPr>
        <w:ind w:left="1234" w:hanging="645"/>
      </w:pPr>
      <w:rPr>
        <w:rFonts w:hint="default"/>
      </w:rPr>
    </w:lvl>
    <w:lvl w:ilvl="1" w:tplc="04180019" w:tentative="1">
      <w:start w:val="1"/>
      <w:numFmt w:val="lowerLetter"/>
      <w:lvlText w:val="%2."/>
      <w:lvlJc w:val="left"/>
      <w:pPr>
        <w:ind w:left="1669" w:hanging="360"/>
      </w:pPr>
    </w:lvl>
    <w:lvl w:ilvl="2" w:tplc="0418001B" w:tentative="1">
      <w:start w:val="1"/>
      <w:numFmt w:val="lowerRoman"/>
      <w:lvlText w:val="%3."/>
      <w:lvlJc w:val="right"/>
      <w:pPr>
        <w:ind w:left="2389" w:hanging="180"/>
      </w:pPr>
    </w:lvl>
    <w:lvl w:ilvl="3" w:tplc="0418000F" w:tentative="1">
      <w:start w:val="1"/>
      <w:numFmt w:val="decimal"/>
      <w:lvlText w:val="%4."/>
      <w:lvlJc w:val="left"/>
      <w:pPr>
        <w:ind w:left="3109" w:hanging="360"/>
      </w:pPr>
    </w:lvl>
    <w:lvl w:ilvl="4" w:tplc="04180019" w:tentative="1">
      <w:start w:val="1"/>
      <w:numFmt w:val="lowerLetter"/>
      <w:lvlText w:val="%5."/>
      <w:lvlJc w:val="left"/>
      <w:pPr>
        <w:ind w:left="3829" w:hanging="360"/>
      </w:pPr>
    </w:lvl>
    <w:lvl w:ilvl="5" w:tplc="0418001B" w:tentative="1">
      <w:start w:val="1"/>
      <w:numFmt w:val="lowerRoman"/>
      <w:lvlText w:val="%6."/>
      <w:lvlJc w:val="right"/>
      <w:pPr>
        <w:ind w:left="4549" w:hanging="180"/>
      </w:pPr>
    </w:lvl>
    <w:lvl w:ilvl="6" w:tplc="0418000F" w:tentative="1">
      <w:start w:val="1"/>
      <w:numFmt w:val="decimal"/>
      <w:lvlText w:val="%7."/>
      <w:lvlJc w:val="left"/>
      <w:pPr>
        <w:ind w:left="5269" w:hanging="360"/>
      </w:pPr>
    </w:lvl>
    <w:lvl w:ilvl="7" w:tplc="04180019" w:tentative="1">
      <w:start w:val="1"/>
      <w:numFmt w:val="lowerLetter"/>
      <w:lvlText w:val="%8."/>
      <w:lvlJc w:val="left"/>
      <w:pPr>
        <w:ind w:left="5989" w:hanging="360"/>
      </w:pPr>
    </w:lvl>
    <w:lvl w:ilvl="8" w:tplc="0418001B" w:tentative="1">
      <w:start w:val="1"/>
      <w:numFmt w:val="lowerRoman"/>
      <w:lvlText w:val="%9."/>
      <w:lvlJc w:val="right"/>
      <w:pPr>
        <w:ind w:left="6709" w:hanging="180"/>
      </w:pPr>
    </w:lvl>
  </w:abstractNum>
  <w:abstractNum w:abstractNumId="2" w15:restartNumberingAfterBreak="0">
    <w:nsid w:val="16F2037E"/>
    <w:multiLevelType w:val="hybridMultilevel"/>
    <w:tmpl w:val="527A8E0A"/>
    <w:lvl w:ilvl="0" w:tplc="9BAA4AA8">
      <w:start w:val="3"/>
      <w:numFmt w:val="bullet"/>
      <w:lvlText w:val="-"/>
      <w:lvlJc w:val="left"/>
      <w:pPr>
        <w:ind w:left="1174" w:hanging="360"/>
      </w:pPr>
      <w:rPr>
        <w:rFonts w:ascii="Times New Roman" w:eastAsia="Calibri" w:hAnsi="Times New Roman" w:cs="Times New Roman" w:hint="default"/>
      </w:rPr>
    </w:lvl>
    <w:lvl w:ilvl="1" w:tplc="04180003" w:tentative="1">
      <w:start w:val="1"/>
      <w:numFmt w:val="bullet"/>
      <w:lvlText w:val="o"/>
      <w:lvlJc w:val="left"/>
      <w:pPr>
        <w:ind w:left="1894" w:hanging="360"/>
      </w:pPr>
      <w:rPr>
        <w:rFonts w:ascii="Courier New" w:hAnsi="Courier New" w:cs="Courier New" w:hint="default"/>
      </w:rPr>
    </w:lvl>
    <w:lvl w:ilvl="2" w:tplc="04180005" w:tentative="1">
      <w:start w:val="1"/>
      <w:numFmt w:val="bullet"/>
      <w:lvlText w:val=""/>
      <w:lvlJc w:val="left"/>
      <w:pPr>
        <w:ind w:left="2614" w:hanging="360"/>
      </w:pPr>
      <w:rPr>
        <w:rFonts w:ascii="Wingdings" w:hAnsi="Wingdings" w:hint="default"/>
      </w:rPr>
    </w:lvl>
    <w:lvl w:ilvl="3" w:tplc="04180001" w:tentative="1">
      <w:start w:val="1"/>
      <w:numFmt w:val="bullet"/>
      <w:lvlText w:val=""/>
      <w:lvlJc w:val="left"/>
      <w:pPr>
        <w:ind w:left="3334" w:hanging="360"/>
      </w:pPr>
      <w:rPr>
        <w:rFonts w:ascii="Symbol" w:hAnsi="Symbol" w:hint="default"/>
      </w:rPr>
    </w:lvl>
    <w:lvl w:ilvl="4" w:tplc="04180003" w:tentative="1">
      <w:start w:val="1"/>
      <w:numFmt w:val="bullet"/>
      <w:lvlText w:val="o"/>
      <w:lvlJc w:val="left"/>
      <w:pPr>
        <w:ind w:left="4054" w:hanging="360"/>
      </w:pPr>
      <w:rPr>
        <w:rFonts w:ascii="Courier New" w:hAnsi="Courier New" w:cs="Courier New" w:hint="default"/>
      </w:rPr>
    </w:lvl>
    <w:lvl w:ilvl="5" w:tplc="04180005" w:tentative="1">
      <w:start w:val="1"/>
      <w:numFmt w:val="bullet"/>
      <w:lvlText w:val=""/>
      <w:lvlJc w:val="left"/>
      <w:pPr>
        <w:ind w:left="4774" w:hanging="360"/>
      </w:pPr>
      <w:rPr>
        <w:rFonts w:ascii="Wingdings" w:hAnsi="Wingdings" w:hint="default"/>
      </w:rPr>
    </w:lvl>
    <w:lvl w:ilvl="6" w:tplc="04180001" w:tentative="1">
      <w:start w:val="1"/>
      <w:numFmt w:val="bullet"/>
      <w:lvlText w:val=""/>
      <w:lvlJc w:val="left"/>
      <w:pPr>
        <w:ind w:left="5494" w:hanging="360"/>
      </w:pPr>
      <w:rPr>
        <w:rFonts w:ascii="Symbol" w:hAnsi="Symbol" w:hint="default"/>
      </w:rPr>
    </w:lvl>
    <w:lvl w:ilvl="7" w:tplc="04180003" w:tentative="1">
      <w:start w:val="1"/>
      <w:numFmt w:val="bullet"/>
      <w:lvlText w:val="o"/>
      <w:lvlJc w:val="left"/>
      <w:pPr>
        <w:ind w:left="6214" w:hanging="360"/>
      </w:pPr>
      <w:rPr>
        <w:rFonts w:ascii="Courier New" w:hAnsi="Courier New" w:cs="Courier New" w:hint="default"/>
      </w:rPr>
    </w:lvl>
    <w:lvl w:ilvl="8" w:tplc="04180005" w:tentative="1">
      <w:start w:val="1"/>
      <w:numFmt w:val="bullet"/>
      <w:lvlText w:val=""/>
      <w:lvlJc w:val="left"/>
      <w:pPr>
        <w:ind w:left="6934" w:hanging="360"/>
      </w:pPr>
      <w:rPr>
        <w:rFonts w:ascii="Wingdings" w:hAnsi="Wingdings" w:hint="default"/>
      </w:rPr>
    </w:lvl>
  </w:abstractNum>
  <w:abstractNum w:abstractNumId="3" w15:restartNumberingAfterBreak="0">
    <w:nsid w:val="378E0731"/>
    <w:multiLevelType w:val="hybridMultilevel"/>
    <w:tmpl w:val="12966776"/>
    <w:lvl w:ilvl="0" w:tplc="9BAA4AA8">
      <w:start w:val="3"/>
      <w:numFmt w:val="bullet"/>
      <w:lvlText w:val="-"/>
      <w:lvlJc w:val="left"/>
      <w:pPr>
        <w:ind w:left="1174" w:hanging="360"/>
      </w:pPr>
      <w:rPr>
        <w:rFonts w:ascii="Times New Roman" w:eastAsia="Calibri" w:hAnsi="Times New Roman" w:cs="Times New Roman" w:hint="default"/>
      </w:rPr>
    </w:lvl>
    <w:lvl w:ilvl="1" w:tplc="04180003" w:tentative="1">
      <w:start w:val="1"/>
      <w:numFmt w:val="bullet"/>
      <w:lvlText w:val="o"/>
      <w:lvlJc w:val="left"/>
      <w:pPr>
        <w:ind w:left="1894" w:hanging="360"/>
      </w:pPr>
      <w:rPr>
        <w:rFonts w:ascii="Courier New" w:hAnsi="Courier New" w:cs="Courier New" w:hint="default"/>
      </w:rPr>
    </w:lvl>
    <w:lvl w:ilvl="2" w:tplc="04180005" w:tentative="1">
      <w:start w:val="1"/>
      <w:numFmt w:val="bullet"/>
      <w:lvlText w:val=""/>
      <w:lvlJc w:val="left"/>
      <w:pPr>
        <w:ind w:left="2614" w:hanging="360"/>
      </w:pPr>
      <w:rPr>
        <w:rFonts w:ascii="Wingdings" w:hAnsi="Wingdings" w:hint="default"/>
      </w:rPr>
    </w:lvl>
    <w:lvl w:ilvl="3" w:tplc="04180001" w:tentative="1">
      <w:start w:val="1"/>
      <w:numFmt w:val="bullet"/>
      <w:lvlText w:val=""/>
      <w:lvlJc w:val="left"/>
      <w:pPr>
        <w:ind w:left="3334" w:hanging="360"/>
      </w:pPr>
      <w:rPr>
        <w:rFonts w:ascii="Symbol" w:hAnsi="Symbol" w:hint="default"/>
      </w:rPr>
    </w:lvl>
    <w:lvl w:ilvl="4" w:tplc="04180003" w:tentative="1">
      <w:start w:val="1"/>
      <w:numFmt w:val="bullet"/>
      <w:lvlText w:val="o"/>
      <w:lvlJc w:val="left"/>
      <w:pPr>
        <w:ind w:left="4054" w:hanging="360"/>
      </w:pPr>
      <w:rPr>
        <w:rFonts w:ascii="Courier New" w:hAnsi="Courier New" w:cs="Courier New" w:hint="default"/>
      </w:rPr>
    </w:lvl>
    <w:lvl w:ilvl="5" w:tplc="04180005" w:tentative="1">
      <w:start w:val="1"/>
      <w:numFmt w:val="bullet"/>
      <w:lvlText w:val=""/>
      <w:lvlJc w:val="left"/>
      <w:pPr>
        <w:ind w:left="4774" w:hanging="360"/>
      </w:pPr>
      <w:rPr>
        <w:rFonts w:ascii="Wingdings" w:hAnsi="Wingdings" w:hint="default"/>
      </w:rPr>
    </w:lvl>
    <w:lvl w:ilvl="6" w:tplc="04180001" w:tentative="1">
      <w:start w:val="1"/>
      <w:numFmt w:val="bullet"/>
      <w:lvlText w:val=""/>
      <w:lvlJc w:val="left"/>
      <w:pPr>
        <w:ind w:left="5494" w:hanging="360"/>
      </w:pPr>
      <w:rPr>
        <w:rFonts w:ascii="Symbol" w:hAnsi="Symbol" w:hint="default"/>
      </w:rPr>
    </w:lvl>
    <w:lvl w:ilvl="7" w:tplc="04180003" w:tentative="1">
      <w:start w:val="1"/>
      <w:numFmt w:val="bullet"/>
      <w:lvlText w:val="o"/>
      <w:lvlJc w:val="left"/>
      <w:pPr>
        <w:ind w:left="6214" w:hanging="360"/>
      </w:pPr>
      <w:rPr>
        <w:rFonts w:ascii="Courier New" w:hAnsi="Courier New" w:cs="Courier New" w:hint="default"/>
      </w:rPr>
    </w:lvl>
    <w:lvl w:ilvl="8" w:tplc="04180005" w:tentative="1">
      <w:start w:val="1"/>
      <w:numFmt w:val="bullet"/>
      <w:lvlText w:val=""/>
      <w:lvlJc w:val="left"/>
      <w:pPr>
        <w:ind w:left="6934" w:hanging="360"/>
      </w:pPr>
      <w:rPr>
        <w:rFonts w:ascii="Wingdings" w:hAnsi="Wingdings" w:hint="default"/>
      </w:rPr>
    </w:lvl>
  </w:abstractNum>
  <w:abstractNum w:abstractNumId="4" w15:restartNumberingAfterBreak="0">
    <w:nsid w:val="4820278A"/>
    <w:multiLevelType w:val="hybridMultilevel"/>
    <w:tmpl w:val="E1B0CFA6"/>
    <w:lvl w:ilvl="0" w:tplc="EAA0A7CC">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num w:numId="1" w16cid:durableId="968585046">
    <w:abstractNumId w:val="4"/>
  </w:num>
  <w:num w:numId="2" w16cid:durableId="473984808">
    <w:abstractNumId w:val="1"/>
  </w:num>
  <w:num w:numId="3" w16cid:durableId="1680891458">
    <w:abstractNumId w:val="0"/>
  </w:num>
  <w:num w:numId="4" w16cid:durableId="759987302">
    <w:abstractNumId w:val="2"/>
  </w:num>
  <w:num w:numId="5" w16cid:durableId="209134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08"/>
    <w:rsid w:val="00033820"/>
    <w:rsid w:val="000806EB"/>
    <w:rsid w:val="000B2CFC"/>
    <w:rsid w:val="0012677D"/>
    <w:rsid w:val="00145EAD"/>
    <w:rsid w:val="00167103"/>
    <w:rsid w:val="00175265"/>
    <w:rsid w:val="00193E47"/>
    <w:rsid w:val="001A72D6"/>
    <w:rsid w:val="001D2C24"/>
    <w:rsid w:val="001F1AF6"/>
    <w:rsid w:val="00274A3F"/>
    <w:rsid w:val="003031A5"/>
    <w:rsid w:val="003268DC"/>
    <w:rsid w:val="003427BD"/>
    <w:rsid w:val="00345100"/>
    <w:rsid w:val="00373944"/>
    <w:rsid w:val="003C0D88"/>
    <w:rsid w:val="00426419"/>
    <w:rsid w:val="00477BD6"/>
    <w:rsid w:val="00574A6C"/>
    <w:rsid w:val="005B0EE9"/>
    <w:rsid w:val="005D45F2"/>
    <w:rsid w:val="005E0DB6"/>
    <w:rsid w:val="005E5F43"/>
    <w:rsid w:val="005E6CC7"/>
    <w:rsid w:val="006049D2"/>
    <w:rsid w:val="00627B6B"/>
    <w:rsid w:val="0066257B"/>
    <w:rsid w:val="006768B9"/>
    <w:rsid w:val="006C0909"/>
    <w:rsid w:val="00701C33"/>
    <w:rsid w:val="00715F66"/>
    <w:rsid w:val="00730A87"/>
    <w:rsid w:val="007619F8"/>
    <w:rsid w:val="00764251"/>
    <w:rsid w:val="00787E25"/>
    <w:rsid w:val="007A1F65"/>
    <w:rsid w:val="007E6C8A"/>
    <w:rsid w:val="007F0FAC"/>
    <w:rsid w:val="008340AB"/>
    <w:rsid w:val="008B11B8"/>
    <w:rsid w:val="00977448"/>
    <w:rsid w:val="00987A18"/>
    <w:rsid w:val="00A01BC4"/>
    <w:rsid w:val="00A168EB"/>
    <w:rsid w:val="00A67008"/>
    <w:rsid w:val="00A731D1"/>
    <w:rsid w:val="00A83512"/>
    <w:rsid w:val="00AD5542"/>
    <w:rsid w:val="00AE505E"/>
    <w:rsid w:val="00B05DB4"/>
    <w:rsid w:val="00B47E7F"/>
    <w:rsid w:val="00B82B16"/>
    <w:rsid w:val="00B861CF"/>
    <w:rsid w:val="00BC0A9E"/>
    <w:rsid w:val="00BD1EC1"/>
    <w:rsid w:val="00BD28AB"/>
    <w:rsid w:val="00BF4D43"/>
    <w:rsid w:val="00C12B22"/>
    <w:rsid w:val="00C32459"/>
    <w:rsid w:val="00C377F3"/>
    <w:rsid w:val="00C47408"/>
    <w:rsid w:val="00C63686"/>
    <w:rsid w:val="00CA5CEB"/>
    <w:rsid w:val="00CC5E28"/>
    <w:rsid w:val="00D71A3E"/>
    <w:rsid w:val="00DA1A58"/>
    <w:rsid w:val="00E17177"/>
    <w:rsid w:val="00E17733"/>
    <w:rsid w:val="00E22ACA"/>
    <w:rsid w:val="00E25BDB"/>
    <w:rsid w:val="00E65484"/>
    <w:rsid w:val="00E815AF"/>
    <w:rsid w:val="00F60DD1"/>
    <w:rsid w:val="00F81918"/>
    <w:rsid w:val="00F8340B"/>
    <w:rsid w:val="00F8572E"/>
    <w:rsid w:val="00FB5FCB"/>
    <w:rsid w:val="00FE1F76"/>
    <w:rsid w:val="00FF0630"/>
    <w:rsid w:val="00FF5DD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D3E2"/>
  <w15:chartTrackingRefBased/>
  <w15:docId w15:val="{AD5DD076-61CA-4F41-B922-119C1FB8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459"/>
    <w:rPr>
      <w:lang w:val="ro-RO"/>
    </w:rPr>
  </w:style>
  <w:style w:type="paragraph" w:styleId="Titlu1">
    <w:name w:val="heading 1"/>
    <w:basedOn w:val="Normal"/>
    <w:next w:val="Normal"/>
    <w:link w:val="Titlu1Caracter"/>
    <w:uiPriority w:val="9"/>
    <w:qFormat/>
    <w:rsid w:val="00C47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47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4740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4740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4740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4740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4740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4740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4740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740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4740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4740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4740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4740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4740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4740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4740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47408"/>
    <w:rPr>
      <w:rFonts w:eastAsiaTheme="majorEastAsia" w:cstheme="majorBidi"/>
      <w:color w:val="272727" w:themeColor="text1" w:themeTint="D8"/>
    </w:rPr>
  </w:style>
  <w:style w:type="paragraph" w:styleId="Titlu">
    <w:name w:val="Title"/>
    <w:basedOn w:val="Normal"/>
    <w:next w:val="Normal"/>
    <w:link w:val="TitluCaracter"/>
    <w:uiPriority w:val="10"/>
    <w:qFormat/>
    <w:rsid w:val="00C47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4740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740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4740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740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47408"/>
    <w:rPr>
      <w:i/>
      <w:iCs/>
      <w:color w:val="404040" w:themeColor="text1" w:themeTint="BF"/>
    </w:rPr>
  </w:style>
  <w:style w:type="paragraph" w:styleId="Listparagraf">
    <w:name w:val="List Paragraph"/>
    <w:basedOn w:val="Normal"/>
    <w:uiPriority w:val="34"/>
    <w:qFormat/>
    <w:rsid w:val="00C47408"/>
    <w:pPr>
      <w:ind w:left="720"/>
      <w:contextualSpacing/>
    </w:pPr>
  </w:style>
  <w:style w:type="character" w:styleId="Accentuareintens">
    <w:name w:val="Intense Emphasis"/>
    <w:basedOn w:val="Fontdeparagrafimplicit"/>
    <w:uiPriority w:val="21"/>
    <w:qFormat/>
    <w:rsid w:val="00C47408"/>
    <w:rPr>
      <w:i/>
      <w:iCs/>
      <w:color w:val="0F4761" w:themeColor="accent1" w:themeShade="BF"/>
    </w:rPr>
  </w:style>
  <w:style w:type="paragraph" w:styleId="Citatintens">
    <w:name w:val="Intense Quote"/>
    <w:basedOn w:val="Normal"/>
    <w:next w:val="Normal"/>
    <w:link w:val="CitatintensCaracter"/>
    <w:uiPriority w:val="30"/>
    <w:qFormat/>
    <w:rsid w:val="00C47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47408"/>
    <w:rPr>
      <w:i/>
      <w:iCs/>
      <w:color w:val="0F4761" w:themeColor="accent1" w:themeShade="BF"/>
    </w:rPr>
  </w:style>
  <w:style w:type="character" w:styleId="Referireintens">
    <w:name w:val="Intense Reference"/>
    <w:basedOn w:val="Fontdeparagrafimplicit"/>
    <w:uiPriority w:val="32"/>
    <w:qFormat/>
    <w:rsid w:val="00C47408"/>
    <w:rPr>
      <w:b/>
      <w:bCs/>
      <w:smallCaps/>
      <w:color w:val="0F4761" w:themeColor="accent1" w:themeShade="BF"/>
      <w:spacing w:val="5"/>
    </w:rPr>
  </w:style>
  <w:style w:type="table" w:styleId="Tabelgril">
    <w:name w:val="Table Grid"/>
    <w:basedOn w:val="TabelNormal"/>
    <w:uiPriority w:val="39"/>
    <w:rsid w:val="00C32459"/>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C32459"/>
    <w:rPr>
      <w:color w:val="467886" w:themeColor="hyperlink"/>
      <w:u w:val="single"/>
    </w:rPr>
  </w:style>
  <w:style w:type="character" w:styleId="HyperlinkParcurs">
    <w:name w:val="FollowedHyperlink"/>
    <w:basedOn w:val="Fontdeparagrafimplicit"/>
    <w:uiPriority w:val="99"/>
    <w:semiHidden/>
    <w:unhideWhenUsed/>
    <w:rsid w:val="00274A3F"/>
    <w:rPr>
      <w:color w:val="96607D" w:themeColor="followedHyperlink"/>
      <w:u w:val="single"/>
    </w:rPr>
  </w:style>
  <w:style w:type="character" w:styleId="MeniuneNerezolvat">
    <w:name w:val="Unresolved Mention"/>
    <w:basedOn w:val="Fontdeparagrafimplicit"/>
    <w:uiPriority w:val="99"/>
    <w:semiHidden/>
    <w:unhideWhenUsed/>
    <w:rsid w:val="00326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anunt-privind-initierea-elaborarii-proiectului-hotararii-guvernului-privind-aprobarea-regulamentului-cu-privire-la-modul-si-tarifele-de-calcul-al-cuantumurilor-despagubirilor-prejudiciului-cauzat-pentru-incalcari-ale-legislatiei-silvice/135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Volumul în</a:t>
            </a:r>
            <a:r>
              <a:rPr lang="ro-RO" baseline="0"/>
              <a:t> </a:t>
            </a:r>
            <a:r>
              <a:rPr lang="en-US"/>
              <a:t>m3</a:t>
            </a:r>
            <a:r>
              <a:rPr lang="ro-RO"/>
              <a:t> a tăierilor ilicite constatat</a:t>
            </a:r>
            <a:r>
              <a:rPr lang="ro-RO" baseline="0"/>
              <a:t> de către IPM pe parcursul anilor 2017-2023</a:t>
            </a:r>
            <a:r>
              <a:rPr lang="ro-RO"/>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Sheet1!$H$10</c:f>
              <c:strCache>
                <c:ptCount val="1"/>
                <c:pt idx="0">
                  <c:v>m3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Sheet1!$I$9:$O$9</c:f>
              <c:numCache>
                <c:formatCode>General</c:formatCode>
                <c:ptCount val="7"/>
                <c:pt idx="0">
                  <c:v>2017</c:v>
                </c:pt>
                <c:pt idx="1">
                  <c:v>2018</c:v>
                </c:pt>
                <c:pt idx="2">
                  <c:v>2019</c:v>
                </c:pt>
                <c:pt idx="3">
                  <c:v>2020</c:v>
                </c:pt>
                <c:pt idx="4">
                  <c:v>2021</c:v>
                </c:pt>
                <c:pt idx="5">
                  <c:v>2022</c:v>
                </c:pt>
                <c:pt idx="6">
                  <c:v>2023</c:v>
                </c:pt>
              </c:numCache>
            </c:numRef>
          </c:cat>
          <c:val>
            <c:numRef>
              <c:f>Sheet1!$I$10:$O$10</c:f>
              <c:numCache>
                <c:formatCode>General</c:formatCode>
                <c:ptCount val="7"/>
                <c:pt idx="0">
                  <c:v>1397</c:v>
                </c:pt>
                <c:pt idx="1">
                  <c:v>1087</c:v>
                </c:pt>
                <c:pt idx="2">
                  <c:v>1301</c:v>
                </c:pt>
                <c:pt idx="3">
                  <c:v>3129</c:v>
                </c:pt>
                <c:pt idx="4">
                  <c:v>4340</c:v>
                </c:pt>
                <c:pt idx="5">
                  <c:v>4719</c:v>
                </c:pt>
                <c:pt idx="6">
                  <c:v>4815</c:v>
                </c:pt>
              </c:numCache>
            </c:numRef>
          </c:val>
          <c:smooth val="0"/>
          <c:extLst>
            <c:ext xmlns:c16="http://schemas.microsoft.com/office/drawing/2014/chart" uri="{C3380CC4-5D6E-409C-BE32-E72D297353CC}">
              <c16:uniqueId val="{00000000-8CAB-47C8-B0C9-D1C75F0583CC}"/>
            </c:ext>
          </c:extLst>
        </c:ser>
        <c:dLbls>
          <c:dLblPos val="t"/>
          <c:showLegendKey val="0"/>
          <c:showVal val="1"/>
          <c:showCatName val="0"/>
          <c:showSerName val="0"/>
          <c:showPercent val="0"/>
          <c:showBubbleSize val="0"/>
        </c:dLbls>
        <c:marker val="1"/>
        <c:smooth val="0"/>
        <c:axId val="1828173823"/>
        <c:axId val="1828170943"/>
      </c:lineChart>
      <c:catAx>
        <c:axId val="182817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828170943"/>
        <c:crosses val="autoZero"/>
        <c:auto val="1"/>
        <c:lblAlgn val="ctr"/>
        <c:lblOffset val="100"/>
        <c:noMultiLvlLbl val="0"/>
      </c:catAx>
      <c:valAx>
        <c:axId val="182817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82817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Cost</a:t>
            </a:r>
            <a:r>
              <a:rPr lang="ro-RO"/>
              <a:t>ul mediu pentru</a:t>
            </a:r>
            <a:r>
              <a:rPr lang="en-US"/>
              <a:t> 1 m3 </a:t>
            </a:r>
            <a:r>
              <a:rPr lang="ro-RO"/>
              <a:t>de masă lemnoasă </a:t>
            </a:r>
          </a:p>
          <a:p>
            <a:pPr>
              <a:defRPr/>
            </a:pPr>
            <a:r>
              <a:rPr lang="ro-RO"/>
              <a:t>pe ultimii 24 de ani, </a:t>
            </a:r>
            <a:r>
              <a:rPr lang="en-US"/>
              <a:t>lei</a:t>
            </a:r>
          </a:p>
        </c:rich>
      </c:tx>
      <c:layout>
        <c:manualLayout>
          <c:xMode val="edge"/>
          <c:yMode val="edge"/>
          <c:x val="0.20982122517704158"/>
          <c:y val="5.4375588938269083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ro-RO"/>
        </a:p>
      </c:txPr>
    </c:title>
    <c:autoTitleDeleted val="0"/>
    <c:plotArea>
      <c:layout/>
      <c:lineChart>
        <c:grouping val="standard"/>
        <c:varyColors val="0"/>
        <c:ser>
          <c:idx val="0"/>
          <c:order val="0"/>
          <c:tx>
            <c:strRef>
              <c:f>'Sheet1 (3)'!$A$5:$B$5</c:f>
              <c:strCache>
                <c:ptCount val="2"/>
                <c:pt idx="0">
                  <c:v>Cost 1 m3 ML</c:v>
                </c:pt>
                <c:pt idx="1">
                  <c:v>lei</c:v>
                </c:pt>
              </c:strCache>
            </c:strRef>
          </c:tx>
          <c:spPr>
            <a:ln w="22225" cap="rnd" cmpd="sng" algn="ctr">
              <a:solidFill>
                <a:schemeClr val="accent1"/>
              </a:solidFill>
              <a:round/>
            </a:ln>
            <a:effectLst/>
          </c:spPr>
          <c:marker>
            <c:symbol val="none"/>
          </c:marker>
          <c:dLbls>
            <c:dLbl>
              <c:idx val="0"/>
              <c:layout>
                <c:manualLayout>
                  <c:x val="-2.9350104821802937E-2"/>
                  <c:y val="-0.106942633168297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83-4F9D-BC5F-DFE662F554FF}"/>
                </c:ext>
              </c:extLst>
            </c:dLbl>
            <c:dLbl>
              <c:idx val="1"/>
              <c:layout>
                <c:manualLayout>
                  <c:x val="-3.1446540880503145E-2"/>
                  <c:y val="-5.1746435404014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83-4F9D-BC5F-DFE662F554FF}"/>
                </c:ext>
              </c:extLst>
            </c:dLbl>
            <c:dLbl>
              <c:idx val="2"/>
              <c:layout>
                <c:manualLayout>
                  <c:x val="-3.7735849056603793E-2"/>
                  <c:y val="-7.5894771925888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83-4F9D-BC5F-DFE662F554FF}"/>
                </c:ext>
              </c:extLst>
            </c:dLbl>
            <c:dLbl>
              <c:idx val="3"/>
              <c:layout>
                <c:manualLayout>
                  <c:x val="-3.5639412997903561E-2"/>
                  <c:y val="-0.106942633168297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83-4F9D-BC5F-DFE662F554FF}"/>
                </c:ext>
              </c:extLst>
            </c:dLbl>
            <c:dLbl>
              <c:idx val="4"/>
              <c:layout>
                <c:manualLayout>
                  <c:x val="-3.5639412997903561E-2"/>
                  <c:y val="-0.144890019131241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83-4F9D-BC5F-DFE662F554FF}"/>
                </c:ext>
              </c:extLst>
            </c:dLbl>
            <c:dLbl>
              <c:idx val="5"/>
              <c:layout>
                <c:manualLayout>
                  <c:x val="-4.4025157232704441E-2"/>
                  <c:y val="-0.18628716745445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83-4F9D-BC5F-DFE662F554FF}"/>
                </c:ext>
              </c:extLst>
            </c:dLbl>
            <c:dLbl>
              <c:idx val="6"/>
              <c:layout>
                <c:manualLayout>
                  <c:x val="-4.192872117400423E-2"/>
                  <c:y val="-0.175937880373649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83-4F9D-BC5F-DFE662F554FF}"/>
                </c:ext>
              </c:extLst>
            </c:dLbl>
            <c:dLbl>
              <c:idx val="7"/>
              <c:layout>
                <c:manualLayout>
                  <c:x val="-3.5639412997903561E-2"/>
                  <c:y val="-0.18628716745445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83-4F9D-BC5F-DFE662F554FF}"/>
                </c:ext>
              </c:extLst>
            </c:dLbl>
            <c:dLbl>
              <c:idx val="8"/>
              <c:layout>
                <c:manualLayout>
                  <c:x val="-2.9350104821802937E-2"/>
                  <c:y val="-0.127641207329902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83-4F9D-BC5F-DFE662F554FF}"/>
                </c:ext>
              </c:extLst>
            </c:dLbl>
            <c:dLbl>
              <c:idx val="9"/>
              <c:layout>
                <c:manualLayout>
                  <c:x val="-3.3542976939203432E-2"/>
                  <c:y val="-8.6244059006691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83-4F9D-BC5F-DFE662F554FF}"/>
                </c:ext>
              </c:extLst>
            </c:dLbl>
            <c:dLbl>
              <c:idx val="10"/>
              <c:layout>
                <c:manualLayout>
                  <c:x val="-3.1446540880503145E-2"/>
                  <c:y val="-6.8995247205352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83-4F9D-BC5F-DFE662F554FF}"/>
                </c:ext>
              </c:extLst>
            </c:dLbl>
            <c:dLbl>
              <c:idx val="11"/>
              <c:layout>
                <c:manualLayout>
                  <c:x val="-3.3542976939203356E-2"/>
                  <c:y val="-6.2095722484817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83-4F9D-BC5F-DFE662F554FF}"/>
                </c:ext>
              </c:extLst>
            </c:dLbl>
            <c:dLbl>
              <c:idx val="12"/>
              <c:layout>
                <c:manualLayout>
                  <c:x val="-4.1928721174004195E-2"/>
                  <c:y val="-7.58947719258882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83-4F9D-BC5F-DFE662F554FF}"/>
                </c:ext>
              </c:extLst>
            </c:dLbl>
            <c:dLbl>
              <c:idx val="13"/>
              <c:layout>
                <c:manualLayout>
                  <c:x val="-3.7735849056603772E-2"/>
                  <c:y val="-7.58947719258882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983-4F9D-BC5F-DFE662F554FF}"/>
                </c:ext>
              </c:extLst>
            </c:dLbl>
            <c:dLbl>
              <c:idx val="14"/>
              <c:layout>
                <c:manualLayout>
                  <c:x val="-3.7735849056603848E-2"/>
                  <c:y val="-6.2095722484817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983-4F9D-BC5F-DFE662F554FF}"/>
                </c:ext>
              </c:extLst>
            </c:dLbl>
            <c:dLbl>
              <c:idx val="15"/>
              <c:layout>
                <c:manualLayout>
                  <c:x val="-4.6121593291404687E-2"/>
                  <c:y val="-4.4846910683479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983-4F9D-BC5F-DFE662F554FF}"/>
                </c:ext>
              </c:extLst>
            </c:dLbl>
            <c:dLbl>
              <c:idx val="16"/>
              <c:layout>
                <c:manualLayout>
                  <c:x val="-4.40251572327044E-2"/>
                  <c:y val="-4.1397148323211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983-4F9D-BC5F-DFE662F554FF}"/>
                </c:ext>
              </c:extLst>
            </c:dLbl>
            <c:dLbl>
              <c:idx val="17"/>
              <c:layout>
                <c:manualLayout>
                  <c:x val="-4.8218029350104823E-2"/>
                  <c:y val="-5.1746435404014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983-4F9D-BC5F-DFE662F554FF}"/>
                </c:ext>
              </c:extLst>
            </c:dLbl>
            <c:dLbl>
              <c:idx val="18"/>
              <c:layout>
                <c:manualLayout>
                  <c:x val="-3.9832285115304136E-2"/>
                  <c:y val="-6.209572248481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983-4F9D-BC5F-DFE662F554FF}"/>
                </c:ext>
              </c:extLst>
            </c:dLbl>
            <c:dLbl>
              <c:idx val="19"/>
              <c:layout>
                <c:manualLayout>
                  <c:x val="-3.9832285115304136E-2"/>
                  <c:y val="-6.5545484845085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983-4F9D-BC5F-DFE662F554FF}"/>
                </c:ext>
              </c:extLst>
            </c:dLbl>
            <c:dLbl>
              <c:idx val="20"/>
              <c:layout>
                <c:manualLayout>
                  <c:x val="-3.9832285115303984E-2"/>
                  <c:y val="-6.5545484845085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983-4F9D-BC5F-DFE662F554FF}"/>
                </c:ext>
              </c:extLst>
            </c:dLbl>
            <c:dLbl>
              <c:idx val="21"/>
              <c:layout>
                <c:manualLayout>
                  <c:x val="-4.40251572327044E-2"/>
                  <c:y val="-8.9693821366958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983-4F9D-BC5F-DFE662F554FF}"/>
                </c:ext>
              </c:extLst>
            </c:dLbl>
            <c:dLbl>
              <c:idx val="22"/>
              <c:layout>
                <c:manualLayout>
                  <c:x val="-4.40251572327044E-2"/>
                  <c:y val="-4.829667304374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983-4F9D-BC5F-DFE662F554FF}"/>
                </c:ext>
              </c:extLst>
            </c:dLbl>
            <c:dLbl>
              <c:idx val="23"/>
              <c:layout>
                <c:manualLayout>
                  <c:x val="-2.5157232704402517E-2"/>
                  <c:y val="-5.5196197764282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983-4F9D-BC5F-DFE662F55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 (3)'!$C$4:$Z$4</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 (3)'!$C$5:$Z$5</c:f>
              <c:numCache>
                <c:formatCode>0</c:formatCode>
                <c:ptCount val="24"/>
                <c:pt idx="0">
                  <c:v>72.315982932980489</c:v>
                </c:pt>
                <c:pt idx="1">
                  <c:v>72.357940647794749</c:v>
                </c:pt>
                <c:pt idx="2">
                  <c:v>120.53051290214214</c:v>
                </c:pt>
                <c:pt idx="3">
                  <c:v>137.10752692513077</c:v>
                </c:pt>
                <c:pt idx="4">
                  <c:v>148.4973364114916</c:v>
                </c:pt>
                <c:pt idx="5">
                  <c:v>164.20464379679782</c:v>
                </c:pt>
                <c:pt idx="6">
                  <c:v>236.05734877427454</c:v>
                </c:pt>
                <c:pt idx="7">
                  <c:v>249.28337482916109</c:v>
                </c:pt>
                <c:pt idx="8">
                  <c:v>281.17892522864832</c:v>
                </c:pt>
                <c:pt idx="9">
                  <c:v>268.78995413471495</c:v>
                </c:pt>
                <c:pt idx="10">
                  <c:v>246.289400921659</c:v>
                </c:pt>
                <c:pt idx="11">
                  <c:v>289.31500202183582</c:v>
                </c:pt>
                <c:pt idx="12">
                  <c:v>337.0399562123701</c:v>
                </c:pt>
                <c:pt idx="13">
                  <c:v>378.47341991341989</c:v>
                </c:pt>
                <c:pt idx="14">
                  <c:v>347.20526762956666</c:v>
                </c:pt>
                <c:pt idx="15">
                  <c:v>478.8608757062147</c:v>
                </c:pt>
                <c:pt idx="16">
                  <c:v>481.25915918467859</c:v>
                </c:pt>
                <c:pt idx="17">
                  <c:v>588</c:v>
                </c:pt>
                <c:pt idx="18">
                  <c:v>634</c:v>
                </c:pt>
                <c:pt idx="19">
                  <c:v>661</c:v>
                </c:pt>
                <c:pt idx="20">
                  <c:v>673</c:v>
                </c:pt>
                <c:pt idx="21" formatCode="General">
                  <c:v>706</c:v>
                </c:pt>
                <c:pt idx="22" formatCode="General">
                  <c:v>831</c:v>
                </c:pt>
                <c:pt idx="23" formatCode="General">
                  <c:v>841</c:v>
                </c:pt>
              </c:numCache>
            </c:numRef>
          </c:val>
          <c:smooth val="0"/>
          <c:extLst>
            <c:ext xmlns:c16="http://schemas.microsoft.com/office/drawing/2014/chart" uri="{C3380CC4-5D6E-409C-BE32-E72D297353CC}">
              <c16:uniqueId val="{00000018-F983-4F9D-BC5F-DFE662F554F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63946671"/>
        <c:axId val="863942831"/>
      </c:lineChart>
      <c:catAx>
        <c:axId val="86394667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o-RO"/>
          </a:p>
        </c:txPr>
        <c:crossAx val="863942831"/>
        <c:crosses val="autoZero"/>
        <c:auto val="1"/>
        <c:lblAlgn val="ctr"/>
        <c:lblOffset val="100"/>
        <c:noMultiLvlLbl val="0"/>
      </c:catAx>
      <c:valAx>
        <c:axId val="86394283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o-RO"/>
          </a:p>
        </c:txPr>
        <c:crossAx val="86394667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781</TotalTime>
  <Pages>4</Pages>
  <Words>1443</Words>
  <Characters>8374</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 Ostafi</dc:creator>
  <cp:keywords/>
  <dc:description/>
  <cp:lastModifiedBy>Secția politici în domeniul forestier și cinegetic</cp:lastModifiedBy>
  <cp:revision>71</cp:revision>
  <dcterms:created xsi:type="dcterms:W3CDTF">2024-10-22T05:24:00Z</dcterms:created>
  <dcterms:modified xsi:type="dcterms:W3CDTF">2025-04-22T08:17:00Z</dcterms:modified>
</cp:coreProperties>
</file>