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30" w:type="dxa"/>
        <w:tblInd w:w="-5" w:type="dxa"/>
        <w:tblCellMar>
          <w:left w:w="10" w:type="dxa"/>
          <w:right w:w="10" w:type="dxa"/>
        </w:tblCellMar>
        <w:tblLook w:val="04A0" w:firstRow="1" w:lastRow="0" w:firstColumn="1" w:lastColumn="0" w:noHBand="0" w:noVBand="1"/>
      </w:tblPr>
      <w:tblGrid>
        <w:gridCol w:w="552"/>
        <w:gridCol w:w="13578"/>
      </w:tblGrid>
      <w:tr w:rsidR="002F15D7">
        <w:tblPrEx>
          <w:tblCellMar>
            <w:top w:w="0" w:type="dxa"/>
            <w:bottom w:w="0" w:type="dxa"/>
          </w:tblCellMar>
        </w:tblPrEx>
        <w:trPr>
          <w:trHeight w:val="890"/>
        </w:trPr>
        <w:tc>
          <w:tcPr>
            <w:tcW w:w="1413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rPr>
                <w:rFonts w:ascii="Times New Roman" w:eastAsia="Times New Roman" w:hAnsi="Times New Roman"/>
                <w:b/>
                <w:bCs/>
                <w:sz w:val="24"/>
                <w:szCs w:val="24"/>
                <w:lang w:val="ro-MD" w:eastAsia="ro-RO"/>
              </w:rPr>
            </w:pPr>
            <w:bookmarkStart w:id="0" w:name="_GoBack"/>
            <w:bookmarkEnd w:id="0"/>
            <w:r>
              <w:rPr>
                <w:rFonts w:ascii="Times New Roman" w:eastAsia="Times New Roman" w:hAnsi="Times New Roman"/>
                <w:b/>
                <w:bCs/>
                <w:sz w:val="24"/>
                <w:szCs w:val="24"/>
                <w:lang w:val="ro-MD" w:eastAsia="ro-RO"/>
              </w:rPr>
              <w:t>TABEL DE CONCORDANŢĂ</w:t>
            </w:r>
          </w:p>
          <w:p w:rsidR="002F15D7" w:rsidRDefault="006C2DA4">
            <w:pPr>
              <w:spacing w:after="0"/>
              <w:jc w:val="center"/>
              <w:rPr>
                <w:rFonts w:ascii="Times New Roman" w:eastAsia="Times New Roman" w:hAnsi="Times New Roman"/>
                <w:b/>
                <w:sz w:val="24"/>
                <w:szCs w:val="24"/>
                <w:lang w:val="ro-MD" w:eastAsia="ro-RO"/>
              </w:rPr>
            </w:pPr>
            <w:r>
              <w:rPr>
                <w:rFonts w:ascii="Times New Roman" w:eastAsia="Times New Roman" w:hAnsi="Times New Roman"/>
                <w:b/>
                <w:sz w:val="24"/>
                <w:szCs w:val="24"/>
                <w:lang w:val="ro-MD" w:eastAsia="ro-RO"/>
              </w:rPr>
              <w:t xml:space="preserve">A PROIECTULUI DE LEGE PENTRU MODIFICAREA LEGII nr. 50/2021 CU PRIVIRE LA GRUPURILE </w:t>
            </w:r>
          </w:p>
          <w:p w:rsidR="002F15D7" w:rsidRDefault="006C2DA4">
            <w:pPr>
              <w:spacing w:after="0"/>
              <w:jc w:val="center"/>
            </w:pPr>
            <w:r>
              <w:rPr>
                <w:rFonts w:ascii="Times New Roman" w:eastAsia="Times New Roman" w:hAnsi="Times New Roman"/>
                <w:b/>
                <w:sz w:val="24"/>
                <w:szCs w:val="24"/>
                <w:lang w:val="ro-MD" w:eastAsia="ro-RO"/>
              </w:rPr>
              <w:t>DE ACȚIUNE LOCALĂ</w:t>
            </w:r>
          </w:p>
        </w:tc>
      </w:tr>
      <w:tr w:rsidR="002F15D7">
        <w:tblPrEx>
          <w:tblCellMar>
            <w:top w:w="0" w:type="dxa"/>
            <w:bottom w:w="0" w:type="dxa"/>
          </w:tblCellMar>
        </w:tblPrEx>
        <w:tc>
          <w:tcPr>
            <w:tcW w:w="141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lang w:val="ro-MD"/>
              </w:rPr>
            </w:pPr>
          </w:p>
        </w:tc>
      </w:tr>
      <w:tr w:rsidR="002F15D7">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1.</w:t>
            </w:r>
          </w:p>
        </w:tc>
        <w:tc>
          <w:tcPr>
            <w:tcW w:w="1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b/>
                <w:bCs/>
                <w:sz w:val="24"/>
                <w:szCs w:val="24"/>
                <w:lang w:val="ro-MD" w:eastAsia="ro-RO"/>
              </w:rPr>
              <w:t xml:space="preserve">Titlul actului Uniunii Europene, inclusiv </w:t>
            </w:r>
            <w:r>
              <w:rPr>
                <w:rFonts w:ascii="Times New Roman" w:hAnsi="Times New Roman"/>
                <w:b/>
                <w:sz w:val="24"/>
                <w:szCs w:val="24"/>
                <w:lang w:val="ro-MD"/>
              </w:rPr>
              <w:t xml:space="preserve">cea mai </w:t>
            </w:r>
            <w:r>
              <w:rPr>
                <w:rFonts w:ascii="Times New Roman" w:hAnsi="Times New Roman"/>
                <w:b/>
                <w:sz w:val="24"/>
                <w:szCs w:val="24"/>
                <w:lang w:val="ro-MD"/>
              </w:rPr>
              <w:t>recentă modificare, nr. CELEX</w:t>
            </w:r>
          </w:p>
          <w:p w:rsidR="002F15D7" w:rsidRDefault="002F15D7">
            <w:pPr>
              <w:spacing w:after="0"/>
              <w:jc w:val="both"/>
              <w:rPr>
                <w:lang w:val="ro-MD"/>
              </w:rPr>
            </w:pPr>
          </w:p>
          <w:p w:rsidR="002F15D7" w:rsidRDefault="006C2DA4">
            <w:pPr>
              <w:spacing w:after="0"/>
              <w:jc w:val="both"/>
            </w:pPr>
            <w:r>
              <w:rPr>
                <w:rFonts w:ascii="Times New Roman" w:hAnsi="Times New Roman"/>
                <w:sz w:val="24"/>
                <w:szCs w:val="24"/>
                <w:lang w:val="ro-MD" w:eastAsia="en-GB"/>
              </w:rPr>
              <w:t>Regulamentul (UE) 2021/1060 al Parlamentului European și al Consiliului din 24 iunie 2021 de stabilire a dispozițiilor comune privind Fondul european de dezvoltare regională, Fondul social european Plus, Fondul de coeziune, F</w:t>
            </w:r>
            <w:r>
              <w:rPr>
                <w:rFonts w:ascii="Times New Roman" w:hAnsi="Times New Roman"/>
                <w:sz w:val="24"/>
                <w:szCs w:val="24"/>
                <w:lang w:val="ro-MD" w:eastAsia="en-GB"/>
              </w:rPr>
              <w:t>ondul pentru o tranziție justă și Fondul european pentru afaceri maritime, pescuit și acvacultură și de stabilire a normelor financiare aplicabile acestor fonduri, precum și Fondului pentru azil, migrație și integrare, Fondului pentru securitate internă și</w:t>
            </w:r>
            <w:r>
              <w:rPr>
                <w:rFonts w:ascii="Times New Roman" w:hAnsi="Times New Roman"/>
                <w:sz w:val="24"/>
                <w:szCs w:val="24"/>
                <w:lang w:val="ro-MD" w:eastAsia="en-GB"/>
              </w:rPr>
              <w:t xml:space="preserve"> Instrumentului de sprijin financiar pentru managementul frontierelor și politica de vize (CELEX: 32021R1060), publicat în Jurnalul Oficial al Uniunii Europene L 231 din 30 iunie 2021, așa cum a fost modificat ultima oară prin Regulamentul (UE) 2024/795 al</w:t>
            </w:r>
            <w:r>
              <w:rPr>
                <w:rFonts w:ascii="Times New Roman" w:hAnsi="Times New Roman"/>
                <w:sz w:val="24"/>
                <w:szCs w:val="24"/>
                <w:lang w:val="ro-MD" w:eastAsia="en-GB"/>
              </w:rPr>
              <w:t xml:space="preserve"> Parlamentului European și al Consiliului din 29 februarie 2024.</w:t>
            </w:r>
          </w:p>
        </w:tc>
      </w:tr>
      <w:tr w:rsidR="002F15D7">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2.</w:t>
            </w:r>
          </w:p>
        </w:tc>
        <w:tc>
          <w:tcPr>
            <w:tcW w:w="1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pPr>
            <w:r>
              <w:rPr>
                <w:rFonts w:ascii="Times New Roman" w:eastAsia="Times New Roman" w:hAnsi="Times New Roman"/>
                <w:b/>
                <w:bCs/>
                <w:sz w:val="24"/>
                <w:szCs w:val="24"/>
                <w:lang w:val="ro-MD" w:eastAsia="ro-RO"/>
              </w:rPr>
              <w:t xml:space="preserve">Titlul proiectului de act normativ </w:t>
            </w:r>
            <w:proofErr w:type="spellStart"/>
            <w:r>
              <w:rPr>
                <w:rFonts w:ascii="Times New Roman" w:eastAsia="Times New Roman" w:hAnsi="Times New Roman"/>
                <w:b/>
                <w:bCs/>
                <w:sz w:val="24"/>
                <w:szCs w:val="24"/>
                <w:lang w:val="ro-MD" w:eastAsia="ro-RO"/>
              </w:rPr>
              <w:t>naţional</w:t>
            </w:r>
            <w:proofErr w:type="spellEnd"/>
            <w:r>
              <w:rPr>
                <w:rFonts w:ascii="Times New Roman" w:eastAsia="Times New Roman" w:hAnsi="Times New Roman"/>
                <w:bCs/>
                <w:sz w:val="24"/>
                <w:szCs w:val="24"/>
                <w:lang w:val="ro-MD" w:eastAsia="ro-RO"/>
              </w:rPr>
              <w:t xml:space="preserve"> </w:t>
            </w:r>
          </w:p>
          <w:p w:rsidR="002F15D7" w:rsidRDefault="006C2DA4">
            <w:pPr>
              <w:spacing w:after="0"/>
            </w:pPr>
            <w:r>
              <w:rPr>
                <w:rFonts w:ascii="Times New Roman" w:eastAsia="Times New Roman" w:hAnsi="Times New Roman"/>
                <w:bCs/>
                <w:sz w:val="24"/>
                <w:szCs w:val="24"/>
                <w:lang w:val="ro-MD" w:eastAsia="ro-RO"/>
              </w:rPr>
              <w:t>Proiect de lege pentru modificarea Legii nr. 50/2021 cu privire la grupurile de acțiune locală</w:t>
            </w:r>
          </w:p>
        </w:tc>
      </w:tr>
      <w:tr w:rsidR="002F15D7">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3.</w:t>
            </w:r>
          </w:p>
        </w:tc>
        <w:tc>
          <w:tcPr>
            <w:tcW w:w="1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rPr>
                <w:rFonts w:ascii="Times New Roman" w:eastAsia="Times New Roman" w:hAnsi="Times New Roman"/>
                <w:b/>
                <w:bCs/>
                <w:sz w:val="24"/>
                <w:szCs w:val="24"/>
                <w:lang w:val="ro-MD" w:eastAsia="ro-RO"/>
              </w:rPr>
            </w:pPr>
            <w:r>
              <w:rPr>
                <w:rFonts w:ascii="Times New Roman" w:eastAsia="Times New Roman" w:hAnsi="Times New Roman"/>
                <w:b/>
                <w:bCs/>
                <w:sz w:val="24"/>
                <w:szCs w:val="24"/>
                <w:lang w:val="ro-MD" w:eastAsia="ro-RO"/>
              </w:rPr>
              <w:t>Gradul general de compatibilitate</w:t>
            </w:r>
          </w:p>
          <w:p w:rsidR="002F15D7" w:rsidRDefault="006C2DA4">
            <w:pPr>
              <w:spacing w:after="0"/>
            </w:pPr>
            <w:r>
              <w:rPr>
                <w:rFonts w:ascii="Times New Roman" w:eastAsia="Times New Roman" w:hAnsi="Times New Roman"/>
                <w:sz w:val="24"/>
                <w:szCs w:val="24"/>
                <w:lang w:val="ro-MD" w:eastAsia="ro-RO"/>
              </w:rPr>
              <w:t xml:space="preserve">Parțial </w:t>
            </w:r>
            <w:r>
              <w:rPr>
                <w:rFonts w:ascii="Times New Roman" w:eastAsia="Times New Roman" w:hAnsi="Times New Roman"/>
                <w:sz w:val="24"/>
                <w:szCs w:val="24"/>
                <w:lang w:val="ro-MD" w:eastAsia="ro-RO"/>
              </w:rPr>
              <w:t>compatibil</w:t>
            </w:r>
          </w:p>
        </w:tc>
      </w:tr>
      <w:tr w:rsidR="002F15D7">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4.</w:t>
            </w:r>
          </w:p>
        </w:tc>
        <w:tc>
          <w:tcPr>
            <w:tcW w:w="1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ind w:firstLine="22"/>
              <w:jc w:val="both"/>
              <w:rPr>
                <w:rFonts w:ascii="Times New Roman" w:hAnsi="Times New Roman"/>
                <w:b/>
                <w:sz w:val="24"/>
                <w:szCs w:val="24"/>
                <w:lang w:val="ro-MD"/>
              </w:rPr>
            </w:pPr>
            <w:r>
              <w:rPr>
                <w:rFonts w:ascii="Times New Roman" w:hAnsi="Times New Roman"/>
                <w:b/>
                <w:sz w:val="24"/>
                <w:szCs w:val="24"/>
                <w:lang w:val="ro-MD"/>
              </w:rPr>
              <w:t xml:space="preserve">Autoritatea/persoana responsabilă </w:t>
            </w:r>
          </w:p>
          <w:p w:rsidR="002F15D7" w:rsidRDefault="006C2DA4">
            <w:pPr>
              <w:spacing w:after="0"/>
              <w:ind w:firstLine="22"/>
              <w:jc w:val="both"/>
            </w:pPr>
            <w:r>
              <w:rPr>
                <w:rFonts w:ascii="Times New Roman" w:hAnsi="Times New Roman"/>
                <w:bCs/>
                <w:sz w:val="24"/>
                <w:szCs w:val="24"/>
                <w:lang w:val="ro-MD"/>
              </w:rPr>
              <w:t>Ministerul Agriculturii și Industriei Alimentare (</w:t>
            </w:r>
            <w:r>
              <w:rPr>
                <w:rFonts w:ascii="Times New Roman" w:hAnsi="Times New Roman"/>
                <w:bCs/>
                <w:i/>
                <w:iCs/>
                <w:sz w:val="24"/>
                <w:szCs w:val="24"/>
                <w:lang w:val="ro-MD"/>
              </w:rPr>
              <w:t>în continuare – MAIA</w:t>
            </w:r>
            <w:r>
              <w:rPr>
                <w:rFonts w:ascii="Times New Roman" w:hAnsi="Times New Roman"/>
                <w:bCs/>
                <w:sz w:val="24"/>
                <w:szCs w:val="24"/>
                <w:lang w:val="ro-MD"/>
              </w:rPr>
              <w:t>)</w:t>
            </w:r>
          </w:p>
          <w:p w:rsidR="002F15D7" w:rsidRDefault="006C2DA4">
            <w:pPr>
              <w:spacing w:after="0"/>
            </w:pPr>
            <w:r>
              <w:rPr>
                <w:rFonts w:ascii="Times New Roman" w:hAnsi="Times New Roman"/>
                <w:bCs/>
                <w:sz w:val="24"/>
                <w:szCs w:val="24"/>
                <w:lang w:val="ro-MD"/>
              </w:rPr>
              <w:t xml:space="preserve">Galina </w:t>
            </w:r>
            <w:proofErr w:type="spellStart"/>
            <w:r>
              <w:rPr>
                <w:rFonts w:ascii="Times New Roman" w:hAnsi="Times New Roman"/>
                <w:bCs/>
                <w:sz w:val="24"/>
                <w:szCs w:val="24"/>
                <w:lang w:val="ro-MD"/>
              </w:rPr>
              <w:t>Petrachi</w:t>
            </w:r>
            <w:proofErr w:type="spellEnd"/>
            <w:r>
              <w:rPr>
                <w:rFonts w:ascii="Times New Roman" w:hAnsi="Times New Roman"/>
                <w:bCs/>
                <w:sz w:val="24"/>
                <w:szCs w:val="24"/>
                <w:lang w:val="ro-MD"/>
              </w:rPr>
              <w:t xml:space="preserve">, Eugenia </w:t>
            </w:r>
            <w:proofErr w:type="spellStart"/>
            <w:r>
              <w:rPr>
                <w:rFonts w:ascii="Times New Roman" w:hAnsi="Times New Roman"/>
                <w:bCs/>
                <w:sz w:val="24"/>
                <w:szCs w:val="24"/>
                <w:lang w:val="ro-MD"/>
              </w:rPr>
              <w:t>Cîrlig</w:t>
            </w:r>
            <w:proofErr w:type="spellEnd"/>
            <w:r>
              <w:rPr>
                <w:rFonts w:ascii="Times New Roman" w:hAnsi="Times New Roman"/>
                <w:sz w:val="28"/>
                <w:szCs w:val="28"/>
                <w:lang w:val="ro-MD"/>
              </w:rPr>
              <w:t xml:space="preserve"> </w:t>
            </w:r>
          </w:p>
        </w:tc>
      </w:tr>
      <w:tr w:rsidR="002F15D7">
        <w:tblPrEx>
          <w:tblCellMar>
            <w:top w:w="0" w:type="dxa"/>
            <w:bottom w:w="0" w:type="dxa"/>
          </w:tblCellMar>
        </w:tblPrEx>
        <w:tc>
          <w:tcPr>
            <w:tcW w:w="55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5.</w:t>
            </w:r>
          </w:p>
        </w:tc>
        <w:tc>
          <w:tcPr>
            <w:tcW w:w="135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ind w:firstLine="22"/>
              <w:jc w:val="both"/>
            </w:pPr>
            <w:r>
              <w:rPr>
                <w:rFonts w:ascii="Times New Roman" w:hAnsi="Times New Roman"/>
                <w:b/>
                <w:sz w:val="24"/>
                <w:szCs w:val="24"/>
                <w:lang w:val="ro-MD"/>
              </w:rPr>
              <w:t xml:space="preserve">Data întocmirii: </w:t>
            </w:r>
            <w:r>
              <w:rPr>
                <w:rFonts w:ascii="Times New Roman" w:hAnsi="Times New Roman"/>
                <w:bCs/>
                <w:sz w:val="24"/>
                <w:szCs w:val="24"/>
                <w:lang w:val="ro-MD"/>
              </w:rPr>
              <w:t>Februarie 2025</w:t>
            </w:r>
            <w:r>
              <w:rPr>
                <w:rFonts w:ascii="Times New Roman" w:hAnsi="Times New Roman"/>
                <w:b/>
                <w:sz w:val="24"/>
                <w:szCs w:val="24"/>
                <w:lang w:val="ro-MD"/>
              </w:rPr>
              <w:t xml:space="preserve"> </w:t>
            </w:r>
          </w:p>
          <w:p w:rsidR="002F15D7" w:rsidRDefault="006C2DA4">
            <w:pPr>
              <w:spacing w:after="0"/>
              <w:ind w:firstLine="22"/>
              <w:jc w:val="both"/>
            </w:pPr>
            <w:r>
              <w:rPr>
                <w:rFonts w:ascii="Times New Roman" w:hAnsi="Times New Roman"/>
                <w:b/>
                <w:sz w:val="24"/>
                <w:szCs w:val="24"/>
                <w:lang w:val="ro-MD"/>
              </w:rPr>
              <w:t xml:space="preserve">Data actualizării: </w:t>
            </w:r>
            <w:r>
              <w:rPr>
                <w:rFonts w:ascii="Times New Roman" w:hAnsi="Times New Roman"/>
                <w:bCs/>
                <w:sz w:val="24"/>
                <w:szCs w:val="24"/>
                <w:lang w:val="ro-MD"/>
              </w:rPr>
              <w:t>Martie</w:t>
            </w:r>
            <w:r>
              <w:rPr>
                <w:rFonts w:ascii="Times New Roman" w:hAnsi="Times New Roman"/>
                <w:b/>
                <w:sz w:val="24"/>
                <w:szCs w:val="24"/>
                <w:lang w:val="ro-MD"/>
              </w:rPr>
              <w:t xml:space="preserve"> </w:t>
            </w:r>
            <w:r>
              <w:rPr>
                <w:rFonts w:ascii="Times New Roman" w:hAnsi="Times New Roman"/>
                <w:bCs/>
                <w:sz w:val="24"/>
                <w:szCs w:val="24"/>
                <w:lang w:val="ro-MD"/>
              </w:rPr>
              <w:t>2025</w:t>
            </w:r>
            <w:r>
              <w:rPr>
                <w:rFonts w:ascii="Times New Roman" w:hAnsi="Times New Roman"/>
                <w:b/>
                <w:sz w:val="24"/>
                <w:szCs w:val="24"/>
                <w:lang w:val="ro-MD"/>
              </w:rPr>
              <w:t xml:space="preserve">                               </w:t>
            </w:r>
          </w:p>
        </w:tc>
      </w:tr>
    </w:tbl>
    <w:p w:rsidR="002F15D7" w:rsidRDefault="002F15D7">
      <w:pPr>
        <w:rPr>
          <w:lang w:val="ro-MD"/>
        </w:rPr>
      </w:pPr>
    </w:p>
    <w:tbl>
      <w:tblPr>
        <w:tblW w:w="14125" w:type="dxa"/>
        <w:tblCellMar>
          <w:left w:w="10" w:type="dxa"/>
          <w:right w:w="10" w:type="dxa"/>
        </w:tblCellMar>
        <w:tblLook w:val="04A0" w:firstRow="1" w:lastRow="0" w:firstColumn="1" w:lastColumn="0" w:noHBand="0" w:noVBand="1"/>
      </w:tblPr>
      <w:tblGrid>
        <w:gridCol w:w="4044"/>
        <w:gridCol w:w="5219"/>
        <w:gridCol w:w="1443"/>
        <w:gridCol w:w="3419"/>
      </w:tblGrid>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Actul Uniunii Europene</w:t>
            </w:r>
          </w:p>
        </w:tc>
        <w:tc>
          <w:tcPr>
            <w:tcW w:w="52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Proiectul de act normativ național</w:t>
            </w:r>
          </w:p>
        </w:tc>
        <w:tc>
          <w:tcPr>
            <w:tcW w:w="1443"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rPr>
                <w:rFonts w:ascii="Times New Roman" w:eastAsia="Times New Roman" w:hAnsi="Times New Roman"/>
                <w:b/>
                <w:bCs/>
                <w:sz w:val="24"/>
                <w:szCs w:val="24"/>
                <w:lang w:val="ro-MD" w:eastAsia="ro-RO"/>
              </w:rPr>
            </w:pPr>
            <w:r>
              <w:rPr>
                <w:rFonts w:ascii="Times New Roman" w:eastAsia="Times New Roman" w:hAnsi="Times New Roman"/>
                <w:b/>
                <w:bCs/>
                <w:sz w:val="24"/>
                <w:szCs w:val="24"/>
                <w:lang w:val="ro-MD" w:eastAsia="ro-RO"/>
              </w:rPr>
              <w:t>Gradul de compatibili</w:t>
            </w:r>
          </w:p>
          <w:p w:rsidR="002F15D7" w:rsidRDefault="006C2DA4">
            <w:pPr>
              <w:spacing w:after="0"/>
              <w:jc w:val="center"/>
            </w:pPr>
            <w:proofErr w:type="spellStart"/>
            <w:r>
              <w:rPr>
                <w:rFonts w:ascii="Times New Roman" w:eastAsia="Times New Roman" w:hAnsi="Times New Roman"/>
                <w:b/>
                <w:bCs/>
                <w:sz w:val="24"/>
                <w:szCs w:val="24"/>
                <w:lang w:val="ro-MD" w:eastAsia="ro-RO"/>
              </w:rPr>
              <w:t>tate</w:t>
            </w:r>
            <w:proofErr w:type="spellEnd"/>
          </w:p>
        </w:tc>
        <w:tc>
          <w:tcPr>
            <w:tcW w:w="341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Observații</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6</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7</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8</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9</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Times New Roman" w:hAnsi="Times New Roman"/>
                <w:sz w:val="24"/>
                <w:szCs w:val="24"/>
                <w:lang w:val="ro-MD" w:eastAsia="en-GB"/>
              </w:rPr>
            </w:pPr>
            <w:r>
              <w:rPr>
                <w:rFonts w:ascii="Times New Roman" w:eastAsia="Times New Roman" w:hAnsi="Times New Roman"/>
                <w:sz w:val="24"/>
                <w:szCs w:val="24"/>
                <w:lang w:val="ro-MD" w:eastAsia="en-GB"/>
              </w:rPr>
              <w:t>Parlamentul adoptă prezenta lege organică.</w:t>
            </w:r>
          </w:p>
          <w:p w:rsidR="002F15D7" w:rsidRDefault="002F15D7">
            <w:pPr>
              <w:spacing w:after="0"/>
              <w:jc w:val="both"/>
              <w:rPr>
                <w:rFonts w:ascii="Times New Roman" w:eastAsia="Times New Roman" w:hAnsi="Times New Roman"/>
                <w:sz w:val="24"/>
                <w:szCs w:val="24"/>
                <w:lang w:val="ro-MD" w:eastAsia="en-GB"/>
              </w:rPr>
            </w:pPr>
          </w:p>
          <w:p w:rsidR="002F15D7" w:rsidRDefault="006C2DA4">
            <w:pPr>
              <w:spacing w:after="0"/>
              <w:jc w:val="both"/>
            </w:pPr>
            <w:r>
              <w:rPr>
                <w:rFonts w:ascii="Times New Roman" w:eastAsia="Times New Roman" w:hAnsi="Times New Roman"/>
                <w:sz w:val="24"/>
                <w:szCs w:val="24"/>
                <w:lang w:val="ro-MD"/>
              </w:rPr>
              <w:t xml:space="preserve">Prezenta lege transpune parțial (transpune art. 31 (2), (4) și (5); art. 32 (1) și (2); art. 33 (1) și </w:t>
            </w:r>
            <w:r>
              <w:rPr>
                <w:rFonts w:ascii="Times New Roman" w:eastAsia="Times New Roman" w:hAnsi="Times New Roman"/>
                <w:sz w:val="24"/>
                <w:szCs w:val="24"/>
                <w:lang w:val="ro-MD"/>
              </w:rPr>
              <w:t xml:space="preserve">(3); art. 34 (1) și ultima teză a art. 34) Regulamentul (UE) 2021/1060 al Parlamentului European și al Consiliului din 24 iunie 2021 de stabilire a </w:t>
            </w:r>
            <w:r>
              <w:rPr>
                <w:rFonts w:ascii="Times New Roman" w:eastAsia="Times New Roman" w:hAnsi="Times New Roman"/>
                <w:sz w:val="24"/>
                <w:szCs w:val="24"/>
                <w:lang w:val="ro-MD"/>
              </w:rPr>
              <w:lastRenderedPageBreak/>
              <w:t>dispozițiilor comune privind Fondul european de dezvoltare regională, Fondul social european Plus, Fondul de</w:t>
            </w:r>
            <w:r>
              <w:rPr>
                <w:rFonts w:ascii="Times New Roman" w:eastAsia="Times New Roman" w:hAnsi="Times New Roman"/>
                <w:sz w:val="24"/>
                <w:szCs w:val="24"/>
                <w:lang w:val="ro-MD"/>
              </w:rPr>
              <w:t xml:space="preserve"> coeziune, Fondul pentru o tranziție justă și Fondul european pentru afaceri maritime, pescuit și acvacultură și de stabilire a normelor financiare aplicabile acestor fonduri, precum și Fondului pentru azil, migrație și integrare, Fondului pentru securitat</w:t>
            </w:r>
            <w:r>
              <w:rPr>
                <w:rFonts w:ascii="Times New Roman" w:eastAsia="Times New Roman" w:hAnsi="Times New Roman"/>
                <w:sz w:val="24"/>
                <w:szCs w:val="24"/>
                <w:lang w:val="ro-MD"/>
              </w:rPr>
              <w:t>e internă și Instrumentului de sprijin financiar pentru managementul frontierelor și politica de vize (CELEX: 32021R1060), publicat în Jurnalul Oficial al Uniunii Europene L 231 din 30 iunie 2021, așa cum a fost modificat ultima oară prin Regulamentul (UE)</w:t>
            </w:r>
            <w:r>
              <w:rPr>
                <w:rFonts w:ascii="Times New Roman" w:eastAsia="Times New Roman" w:hAnsi="Times New Roman"/>
                <w:sz w:val="24"/>
                <w:szCs w:val="24"/>
                <w:lang w:val="ro-MD"/>
              </w:rPr>
              <w:t xml:space="preserve"> 2024/795 al Parlamentului European și al Consiliului din 29 februarie 2024.</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ti-grseq-1"/>
              <w:shd w:val="clear" w:color="auto" w:fill="FFFFFF"/>
              <w:spacing w:before="0" w:after="120"/>
              <w:jc w:val="center"/>
              <w:rPr>
                <w:b/>
                <w:bCs/>
                <w:lang w:val="ro-MD"/>
              </w:rPr>
            </w:pPr>
            <w:r>
              <w:rPr>
                <w:b/>
                <w:bCs/>
                <w:lang w:val="ro-MD"/>
              </w:rPr>
              <w:t>TITLUL I</w:t>
            </w:r>
          </w:p>
          <w:p w:rsidR="002F15D7" w:rsidRPr="00207D48" w:rsidRDefault="006C2DA4">
            <w:pPr>
              <w:pStyle w:val="oj-ti-grseq-1"/>
              <w:shd w:val="clear" w:color="auto" w:fill="FFFFFF"/>
              <w:spacing w:before="0" w:after="120"/>
              <w:jc w:val="center"/>
              <w:rPr>
                <w:lang w:val="it-IT"/>
              </w:rPr>
            </w:pPr>
            <w:r>
              <w:rPr>
                <w:rStyle w:val="oj-bold"/>
                <w:b/>
                <w:bCs/>
                <w:lang w:val="ro-MD"/>
              </w:rPr>
              <w:t>OBIECTIVE ȘI NORME GENERALE PRIVIND SPRIJINUL</w:t>
            </w:r>
          </w:p>
          <w:p w:rsidR="002F15D7" w:rsidRPr="00207D48" w:rsidRDefault="006C2DA4">
            <w:pPr>
              <w:pStyle w:val="oj-ti-grseq-1"/>
              <w:shd w:val="clear" w:color="auto" w:fill="FFFFFF"/>
              <w:spacing w:before="0" w:after="120"/>
              <w:jc w:val="center"/>
              <w:rPr>
                <w:lang w:val="it-IT"/>
              </w:rPr>
            </w:pPr>
            <w:r>
              <w:rPr>
                <w:rStyle w:val="oj-italic"/>
                <w:b/>
                <w:bCs/>
                <w:i/>
                <w:iCs/>
                <w:lang w:val="ro-MD"/>
              </w:rPr>
              <w:t>CAPITOLUL I</w:t>
            </w:r>
          </w:p>
          <w:p w:rsidR="002F15D7" w:rsidRDefault="006C2DA4">
            <w:pPr>
              <w:pStyle w:val="oj-ti-grseq-1"/>
              <w:shd w:val="clear" w:color="auto" w:fill="FFFFFF"/>
              <w:spacing w:before="0" w:after="120"/>
              <w:jc w:val="center"/>
            </w:pPr>
            <w:r>
              <w:rPr>
                <w:rStyle w:val="oj-italic"/>
                <w:b/>
                <w:bCs/>
                <w:i/>
                <w:iCs/>
                <w:lang w:val="ro-MD"/>
              </w:rPr>
              <w:t>Obiect, definiții și norme generale</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Obiect și domeniu de aplicare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Prezentul regulament stabilește: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normele financiare aplicabile Fondului european de dezvoltare regională „FEDR), </w:t>
                  </w:r>
                  <w:r>
                    <w:rPr>
                      <w:rFonts w:ascii="Times New Roman" w:eastAsia="Times New Roman" w:hAnsi="Times New Roman"/>
                      <w:sz w:val="24"/>
                      <w:szCs w:val="24"/>
                      <w:lang w:val="ro-MD"/>
                    </w:rPr>
                    <w:t xml:space="preserve">Fondului social european Plus (FSE+), Fondului de coeziune, Fondului pentru o tranziție justă </w:t>
                  </w:r>
                  <w:r>
                    <w:rPr>
                      <w:rFonts w:ascii="Times New Roman" w:eastAsia="Times New Roman" w:hAnsi="Times New Roman"/>
                      <w:sz w:val="24"/>
                      <w:szCs w:val="24"/>
                      <w:lang w:val="ro-MD"/>
                    </w:rPr>
                    <w:lastRenderedPageBreak/>
                    <w:t xml:space="preserve">(FTJ), Fondului european pentru afaceri maritime, pescuit și acvacultură (FEAMPA), Fondului pentru azil, migrație și integrare (FAMI), Fondului pentru securitate </w:t>
                  </w:r>
                  <w:r>
                    <w:rPr>
                      <w:rFonts w:ascii="Times New Roman" w:eastAsia="Times New Roman" w:hAnsi="Times New Roman"/>
                      <w:sz w:val="24"/>
                      <w:szCs w:val="24"/>
                      <w:lang w:val="ro-MD"/>
                    </w:rPr>
                    <w:t>internă (FSI) și Instrumentului de sprijin financiar pentru managementul frontierelor și politica de vize (IMFV) (denumite în continuare „fondurile”);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dispozițiile comune aplicabile FEDR, FSE+, Fondului de coeziune, FTJ și FEAMPA.</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(2)   Prezentul </w:t>
            </w:r>
            <w:r>
              <w:rPr>
                <w:rFonts w:ascii="Times New Roman" w:eastAsia="Times New Roman" w:hAnsi="Times New Roman"/>
                <w:sz w:val="24"/>
                <w:szCs w:val="24"/>
                <w:lang w:val="ro-MD"/>
              </w:rPr>
              <w:t>regulament nu se aplică liniei de acțiune „Ocuparea forței de muncă și inovare socială” a FSE+, nici componentelor de gestiune directă sau indirectă ale FEAMPA, FAMI, FSI și IMFV, cu excepția asistenței tehnice acordate la inițiativa Comisiei.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Artico</w:t>
            </w:r>
            <w:r>
              <w:rPr>
                <w:rFonts w:ascii="Times New Roman" w:eastAsia="Times New Roman" w:hAnsi="Times New Roman"/>
                <w:sz w:val="24"/>
                <w:szCs w:val="24"/>
                <w:lang w:val="ro-MD"/>
              </w:rPr>
              <w:t>lele 5, 14, 19, 28-34 și 108-112 nu se aplică FAMI, FSI sau IMFV.</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Articolele 108-112 nu se aplică FEAMPA.</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(5)   Articolele 14, 15, 18, 19, 21-27, 37-42, articolul 43 alineatele (1)-(4), articolele 44 și 50, articolul 55 alineatul (1) și articolele</w:t>
            </w:r>
            <w:r>
              <w:rPr>
                <w:rFonts w:ascii="Times New Roman" w:eastAsia="Times New Roman" w:hAnsi="Times New Roman"/>
                <w:sz w:val="27"/>
                <w:szCs w:val="27"/>
                <w:lang w:val="ro-MD"/>
              </w:rPr>
              <w:t xml:space="preserve"> </w:t>
            </w:r>
            <w:r>
              <w:rPr>
                <w:rFonts w:ascii="Times New Roman" w:eastAsia="Times New Roman" w:hAnsi="Times New Roman"/>
                <w:sz w:val="24"/>
                <w:szCs w:val="24"/>
                <w:lang w:val="ro-MD"/>
              </w:rPr>
              <w:t>73</w:t>
            </w:r>
            <w:r>
              <w:rPr>
                <w:rFonts w:ascii="Times New Roman" w:eastAsia="Times New Roman" w:hAnsi="Times New Roman"/>
                <w:sz w:val="24"/>
                <w:szCs w:val="24"/>
                <w:lang w:val="ro-MD"/>
              </w:rPr>
              <w:t xml:space="preserve">, 77 și 80, precum și articolele 83-85 nu se aplică programelor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(6)   Regulamentele specifice fiecărui fond, enumerate în continuare, pot să </w:t>
            </w:r>
            <w:r>
              <w:rPr>
                <w:rFonts w:ascii="Times New Roman" w:eastAsia="Times New Roman" w:hAnsi="Times New Roman"/>
                <w:sz w:val="24"/>
                <w:szCs w:val="24"/>
                <w:lang w:val="ro-MD"/>
              </w:rPr>
              <w:lastRenderedPageBreak/>
              <w:t>stabilească norme de completare a prezentului regulament, care să nu contravină prezentului regulament:</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w:t>
                  </w: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Regulamentul (UE) 2021/1060 al Parlamentului European și al Consiliului </w:t>
                  </w:r>
                  <w:hyperlink r:id="rId7"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33</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xml:space="preserve"> („Regulamentul FEDR și Fondul de </w:t>
                  </w:r>
                  <w:r>
                    <w:rPr>
                      <w:rFonts w:ascii="Times New Roman" w:eastAsia="Times New Roman" w:hAnsi="Times New Roman"/>
                      <w:sz w:val="24"/>
                      <w:szCs w:val="24"/>
                      <w:lang w:val="ro-MD"/>
                    </w:rPr>
                    <w:t>coeziune”);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Regulamentul (UE) 2021/1060 al Parlamentului European și al Consiliului </w:t>
                  </w:r>
                  <w:hyperlink r:id="rId8"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34</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(„Regulamentul FSE+”);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Regulamentul (UE) 2021/1060 al Parlamentului European și al Consiliului </w:t>
                  </w:r>
                  <w:hyperlink r:id="rId9"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35</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xml:space="preserve"> („Regulamentul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Regulamentul (UE) 2021/1060 al Parlamentului European și al Consiliului </w:t>
                  </w:r>
                  <w:hyperlink r:id="rId10"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36</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(„Regulamentul FTJ”);</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Regulamentul</w:t>
                  </w:r>
                  <w:r>
                    <w:rPr>
                      <w:rFonts w:ascii="Times New Roman" w:eastAsia="Times New Roman" w:hAnsi="Times New Roman"/>
                      <w:sz w:val="24"/>
                      <w:szCs w:val="24"/>
                      <w:lang w:val="ro-MD"/>
                    </w:rPr>
                    <w:t xml:space="preserve"> Parlamentului European și al Consiliului de instituire a Fondului european pentru afaceri maritime, pescuit și acvacultură și de modificare a Regulamentului (UE) 2017/1004 („Regulamentul FEAMPA”);</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Regulamentul Parlamentului European și al </w:t>
                  </w:r>
                  <w:r>
                    <w:rPr>
                      <w:rFonts w:ascii="Times New Roman" w:eastAsia="Times New Roman" w:hAnsi="Times New Roman"/>
                      <w:sz w:val="24"/>
                      <w:szCs w:val="24"/>
                      <w:lang w:val="ro-MD"/>
                    </w:rPr>
                    <w:t>Consiliului de instituire a Fondului pentru azil, migrație și integrare („Regulamentul FAMI”);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Regulamentul Parlamentului European și al Consiliului de instituire a Fondului pentru securitate internă („Regulamentul FSI”);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lastRenderedPageBreak/>
                    <w:t>(h)</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Regulamentul </w:t>
                  </w:r>
                  <w:r>
                    <w:rPr>
                      <w:rFonts w:ascii="Times New Roman" w:eastAsia="Times New Roman" w:hAnsi="Times New Roman"/>
                      <w:sz w:val="24"/>
                      <w:szCs w:val="24"/>
                      <w:lang w:val="ro-MD"/>
                    </w:rPr>
                    <w:t>Parlamentului European și al Consiliului de instituire, ca parte a Fondului de management integrat al frontierelor, a Instrumentului de sprijin financiar pentru managementul frontierelor și politica de vize („Regulamentul IMFV”).</w:t>
                  </w:r>
                </w:p>
              </w:tc>
            </w:tr>
          </w:tbl>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În cazul în care există o</w:t>
            </w:r>
            <w:r>
              <w:rPr>
                <w:rFonts w:ascii="Times New Roman" w:eastAsia="Times New Roman" w:hAnsi="Times New Roman"/>
                <w:sz w:val="24"/>
                <w:szCs w:val="24"/>
                <w:lang w:val="ro-MD"/>
              </w:rPr>
              <w:t xml:space="preserve"> incertitudine cu privire la aplicare între prezentul regulament și regulamentele specifice fiecărui fond, prevalează prezentul regulament.</w:t>
            </w:r>
            <w:r>
              <w:rPr>
                <w:rFonts w:ascii="Times New Roman" w:hAnsi="Times New Roman"/>
                <w:sz w:val="24"/>
                <w:szCs w:val="24"/>
                <w:shd w:val="clear" w:color="auto" w:fill="FFFFFF"/>
                <w:lang w:val="ro-MD"/>
              </w:rPr>
              <w:t xml:space="preserve">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spacing w:after="0"/>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lastRenderedPageBreak/>
              <w:t>Articolul 2</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Definiții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Europeană, </w:t>
            </w:r>
            <w:r>
              <w:rPr>
                <w:rFonts w:ascii="Times New Roman" w:eastAsia="Times New Roman" w:hAnsi="Times New Roman"/>
                <w:sz w:val="24"/>
                <w:szCs w:val="24"/>
                <w:lang w:val="ro-MD" w:eastAsia="ro-RO"/>
              </w:rPr>
              <w:t>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sensul prezentului regulament, se aplică următoarele definiții:</w:t>
            </w: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„recomandări relevante specifice fiecărei țări” înseamnă recomandări ale Consiliului referitoare la provocările </w:t>
                  </w:r>
                  <w:r>
                    <w:rPr>
                      <w:rFonts w:ascii="Times New Roman" w:eastAsia="Times New Roman" w:hAnsi="Times New Roman"/>
                      <w:sz w:val="24"/>
                      <w:szCs w:val="24"/>
                      <w:lang w:val="ro-MD"/>
                    </w:rPr>
                    <w:t>structurale, adoptate în conformitate cu articolul 121 alineatul (2) și cu articolul 148 alineatul (4) din TFUE, precum și recomandările suplimentare ale Comisiei emise în conformitate cu articolul 34 din Regulamentul (UE) 2018/1999, care este oportun să f</w:t>
                  </w:r>
                  <w:r>
                    <w:rPr>
                      <w:rFonts w:ascii="Times New Roman" w:eastAsia="Times New Roman" w:hAnsi="Times New Roman"/>
                      <w:sz w:val="24"/>
                      <w:szCs w:val="24"/>
                      <w:lang w:val="ro-MD"/>
                    </w:rPr>
                    <w:t>ie abordate prin investiții multianuale ce intră în domeniul de aplicare al fondurilor, astfel cum este prevăzut în regulamentele specifice fiecărui fond;</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lastRenderedPageBreak/>
                    <w:t>2.</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„condiție favorizantă” înseamnă o condiție prealabilă pentru punerea în aplicare efectivă și efi</w:t>
                  </w:r>
                  <w:r>
                    <w:rPr>
                      <w:rFonts w:ascii="Times New Roman" w:eastAsia="Times New Roman" w:hAnsi="Times New Roman"/>
                      <w:sz w:val="24"/>
                      <w:szCs w:val="24"/>
                      <w:lang w:val="ro-MD"/>
                    </w:rPr>
                    <w:t>cace a obiectivelor specifice;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„dreptul aplicabil” înseamnă dreptul Uniunii și dreptul intern referitor la aplicarea acestuia;</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„operațiune” înseamnă:</w:t>
                  </w:r>
                </w:p>
                <w:tbl>
                  <w:tblPr>
                    <w:tblW w:w="5000" w:type="pct"/>
                    <w:tblCellMar>
                      <w:left w:w="10" w:type="dxa"/>
                      <w:right w:w="10" w:type="dxa"/>
                    </w:tblCellMar>
                    <w:tblLook w:val="04A0" w:firstRow="1" w:lastRow="0" w:firstColumn="1" w:lastColumn="0" w:noHBand="0" w:noVBand="1"/>
                  </w:tblPr>
                  <w:tblGrid>
                    <w:gridCol w:w="267"/>
                    <w:gridCol w:w="338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3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un proiect, un contract, o acțiune sau un grup de proiecte selectate în cadrul programelor </w:t>
                        </w:r>
                        <w:r>
                          <w:rPr>
                            <w:rFonts w:ascii="Times New Roman" w:eastAsia="Times New Roman" w:hAnsi="Times New Roman"/>
                            <w:sz w:val="24"/>
                            <w:szCs w:val="24"/>
                            <w:lang w:val="ro-MD"/>
                          </w:rPr>
                          <w:t>vizate;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36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36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contextul instrumentelor financiare, o contribuție a unui program la un instrument financiar și sprijinul financiar ulterior acordat destinatarilor finali prin instrumentul financiar respectiv;</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5.</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„operațiune de importanță strategică” </w:t>
                  </w:r>
                  <w:r>
                    <w:rPr>
                      <w:rFonts w:ascii="Times New Roman" w:eastAsia="Times New Roman" w:hAnsi="Times New Roman"/>
                      <w:sz w:val="24"/>
                      <w:szCs w:val="24"/>
                      <w:lang w:val="ro-MD"/>
                    </w:rPr>
                    <w:t>înseamnă o operațiune care aduce o contribuție semnificativă la realizarea obiectivelor unui program și care face obiectul unei monitorizări și al unor măsuri de comunicare speciale;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6.</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„prioritate”, în contextul FAMI, FSI și IMFV, înseamnă un obiectiv s</w:t>
                  </w:r>
                  <w:r>
                    <w:rPr>
                      <w:rFonts w:ascii="Times New Roman" w:eastAsia="Times New Roman" w:hAnsi="Times New Roman"/>
                      <w:sz w:val="24"/>
                      <w:szCs w:val="24"/>
                      <w:lang w:val="ro-MD"/>
                    </w:rPr>
                    <w:t>pecific;</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7.</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„prioritate”, în contextul FEAMPA, exclusiv în sensul titlului VII, înseamnă un obiectiv specific;</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8.</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„organism intermediar” înseamnă un organism public sau privat care acțio</w:t>
                  </w:r>
                  <w:r>
                    <w:rPr>
                      <w:rFonts w:ascii="Times New Roman" w:eastAsia="Times New Roman" w:hAnsi="Times New Roman"/>
                      <w:sz w:val="24"/>
                      <w:szCs w:val="24"/>
                      <w:lang w:val="ro-MD"/>
                    </w:rPr>
                    <w:lastRenderedPageBreak/>
                    <w:t>nează sub responsabilitatea unei autorități de management sau care</w:t>
                  </w:r>
                  <w:r>
                    <w:rPr>
                      <w:rFonts w:ascii="Times New Roman" w:eastAsia="Times New Roman" w:hAnsi="Times New Roman"/>
                      <w:sz w:val="24"/>
                      <w:szCs w:val="24"/>
                      <w:lang w:val="ro-MD"/>
                    </w:rPr>
                    <w:t xml:space="preserve"> îndeplinește funcții sau sarcini în numele unei astfel de autorități;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180"/>
              <w:gridCol w:w="3648"/>
            </w:tblGrid>
            <w:tr w:rsidR="002F15D7">
              <w:tblPrEx>
                <w:tblCellMar>
                  <w:top w:w="0" w:type="dxa"/>
                  <w:bottom w:w="0" w:type="dxa"/>
                </w:tblCellMar>
              </w:tblPrEx>
              <w:tc>
                <w:tcPr>
                  <w:tcW w:w="1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9.</w:t>
                  </w:r>
                </w:p>
              </w:tc>
              <w:tc>
                <w:tcPr>
                  <w:tcW w:w="36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„beneficiar” înseamnă:</w:t>
                  </w:r>
                </w:p>
                <w:tbl>
                  <w:tblPr>
                    <w:tblW w:w="5000" w:type="pct"/>
                    <w:tblCellMar>
                      <w:left w:w="10" w:type="dxa"/>
                      <w:right w:w="10" w:type="dxa"/>
                    </w:tblCellMar>
                    <w:tblLook w:val="04A0" w:firstRow="1" w:lastRow="0" w:firstColumn="1" w:lastColumn="0" w:noHBand="0" w:noVBand="1"/>
                  </w:tblPr>
                  <w:tblGrid>
                    <w:gridCol w:w="267"/>
                    <w:gridCol w:w="338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3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un organism public sau privat, o entitate cu sau fără personalitate juridică sau o persoană fizică, responsabilă cu inițierea sau deopotrivă cu inițierea</w:t>
                        </w:r>
                        <w:r>
                          <w:rPr>
                            <w:rFonts w:ascii="Times New Roman" w:eastAsia="Times New Roman" w:hAnsi="Times New Roman"/>
                            <w:sz w:val="24"/>
                            <w:szCs w:val="24"/>
                            <w:lang w:val="ro-MD"/>
                          </w:rPr>
                          <w:t xml:space="preserve"> și implementarea operațiunilor;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36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36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contextul parteneriatelor public-privat („PPP”), organismul public care inițiază o operațiune PPP sau partenerul privat selectat pentru implementarea acesteia;</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38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3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în contextul schemelor de ajutor de stat, </w:t>
                        </w:r>
                        <w:r>
                          <w:rPr>
                            <w:rFonts w:ascii="Times New Roman" w:eastAsia="Times New Roman" w:hAnsi="Times New Roman"/>
                            <w:sz w:val="24"/>
                            <w:szCs w:val="24"/>
                            <w:lang w:val="ro-MD"/>
                          </w:rPr>
                          <w:t>întreprinderea care primește ajutorul;</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36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368"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în contextul ajutoarelor </w:t>
                        </w:r>
                        <w:r>
                          <w:rPr>
                            <w:rFonts w:ascii="Times New Roman" w:eastAsia="Times New Roman" w:hAnsi="Times New Roman"/>
                            <w:i/>
                            <w:iCs/>
                            <w:sz w:val="24"/>
                            <w:szCs w:val="24"/>
                            <w:lang w:val="ro-MD"/>
                          </w:rPr>
                          <w:t xml:space="preserve">de </w:t>
                        </w:r>
                        <w:proofErr w:type="spellStart"/>
                        <w:r>
                          <w:rPr>
                            <w:rFonts w:ascii="Times New Roman" w:eastAsia="Times New Roman" w:hAnsi="Times New Roman"/>
                            <w:i/>
                            <w:iCs/>
                            <w:sz w:val="24"/>
                            <w:szCs w:val="24"/>
                            <w:lang w:val="ro-MD"/>
                          </w:rPr>
                          <w:t>minimis</w:t>
                        </w:r>
                        <w:proofErr w:type="spellEnd"/>
                        <w:r>
                          <w:rPr>
                            <w:rFonts w:ascii="Times New Roman" w:eastAsia="Times New Roman" w:hAnsi="Times New Roman"/>
                            <w:sz w:val="24"/>
                            <w:szCs w:val="24"/>
                            <w:lang w:val="ro-MD"/>
                          </w:rPr>
                          <w:t> acordate în conformitate cu Regulamentele (UE) nr. 1407/2013 </w:t>
                        </w:r>
                        <w:hyperlink r:id="rId11"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37</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sau (UE) nr. 717/2014 </w:t>
                        </w:r>
                        <w:hyperlink r:id="rId12"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38</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xml:space="preserve"> ale Comisiei, statul membru poate decide că beneficiarul în </w:t>
                        </w:r>
                        <w:r>
                          <w:rPr>
                            <w:rFonts w:ascii="Times New Roman" w:eastAsia="Times New Roman" w:hAnsi="Times New Roman"/>
                            <w:sz w:val="24"/>
                            <w:szCs w:val="24"/>
                            <w:lang w:val="ro-MD"/>
                          </w:rPr>
                          <w:t>sensul prezentului regulament este organismul care acordă ajutorul, în cazul în care acesta este responsabil cu inițierea sau atât cu inițierea cât și cu implementarea operațiunii;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38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lastRenderedPageBreak/>
                          <w:t>(e)</w:t>
                        </w:r>
                      </w:p>
                    </w:tc>
                    <w:tc>
                      <w:tcPr>
                        <w:tcW w:w="33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contextul instrumentelor financiare, organismul care execută fondu</w:t>
                        </w:r>
                        <w:r>
                          <w:rPr>
                            <w:rFonts w:ascii="Times New Roman" w:eastAsia="Times New Roman" w:hAnsi="Times New Roman"/>
                            <w:sz w:val="24"/>
                            <w:szCs w:val="24"/>
                            <w:lang w:val="ro-MD"/>
                          </w:rPr>
                          <w:t>l de participare sau, atunci când nu există o structură de tipul fondului de participare, organismul care execută fondul specific sau, atunci când autoritatea de management gestionează instrumentul financiar, autoritatea de management;</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10.</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„fond pentru</w:t>
                  </w:r>
                  <w:r>
                    <w:rPr>
                      <w:rFonts w:ascii="Times New Roman" w:eastAsia="Times New Roman" w:hAnsi="Times New Roman"/>
                      <w:sz w:val="24"/>
                      <w:szCs w:val="24"/>
                      <w:lang w:val="ro-MD"/>
                    </w:rPr>
                    <w:t xml:space="preserve"> proiecte mici” înseamnă o operațiune în cadrul programelor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 xml:space="preserve"> care vizează selectarea și implementarea unor proiecte, inclusiv a unor acțiuni de tip </w:t>
                  </w:r>
                  <w:proofErr w:type="spellStart"/>
                  <w:r>
                    <w:rPr>
                      <w:rFonts w:ascii="Times New Roman" w:eastAsia="Times New Roman" w:hAnsi="Times New Roman"/>
                      <w:sz w:val="24"/>
                      <w:szCs w:val="24"/>
                      <w:lang w:val="ro-MD"/>
                    </w:rPr>
                    <w:t>people-to-people</w:t>
                  </w:r>
                  <w:proofErr w:type="spellEnd"/>
                  <w:r>
                    <w:rPr>
                      <w:rFonts w:ascii="Times New Roman" w:eastAsia="Times New Roman" w:hAnsi="Times New Roman"/>
                      <w:sz w:val="24"/>
                      <w:szCs w:val="24"/>
                      <w:lang w:val="ro-MD"/>
                    </w:rPr>
                    <w:t>, cu volum financiar limitat;</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11.</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„țintă” înseamnă o valoare convenită în </w:t>
                  </w:r>
                  <w:r>
                    <w:rPr>
                      <w:rFonts w:ascii="Times New Roman" w:eastAsia="Times New Roman" w:hAnsi="Times New Roman"/>
                      <w:sz w:val="24"/>
                      <w:szCs w:val="24"/>
                      <w:lang w:val="ro-MD"/>
                    </w:rPr>
                    <w:t>prealabil care trebuie atinsă până la sfârșitul perioadei de eligibilitate în raport cu un indicator inclus în cadrul unui obiectiv specific;</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12.</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„obiectiv de etapă” înseamnă o valoare intermediară care trebuie atinsă la un moment dat pe parcursul perioa</w:t>
                  </w:r>
                  <w:r>
                    <w:rPr>
                      <w:rFonts w:ascii="Times New Roman" w:eastAsia="Times New Roman" w:hAnsi="Times New Roman"/>
                      <w:sz w:val="24"/>
                      <w:szCs w:val="24"/>
                      <w:lang w:val="ro-MD"/>
                    </w:rPr>
                    <w:t>dei de eligibilitate în raport cu un indicator de realizare inclus în cadrul unui obiectiv specific;</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13.</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„indicator de realizare” înseamnă un indicator de măsurare a rezultatelor specifice ale intervenției;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lastRenderedPageBreak/>
                    <w:t>14.</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„indicator de rezultat” înseamnă un indic</w:t>
                  </w:r>
                  <w:r>
                    <w:rPr>
                      <w:rFonts w:ascii="Times New Roman" w:eastAsia="Times New Roman" w:hAnsi="Times New Roman"/>
                      <w:sz w:val="24"/>
                      <w:szCs w:val="24"/>
                      <w:lang w:val="ro-MD"/>
                    </w:rPr>
                    <w:t>ator de măsurare a efectelor intervențiilor sprijinite, în special în ceea ce privește destinatarii direcți, populația vizată sau utilizatorii infrastructurii;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15.</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„operațiune PPP” înseamnă o operațiune implementată în cadrul unui parteneriat între </w:t>
                  </w:r>
                  <w:r>
                    <w:rPr>
                      <w:rFonts w:ascii="Times New Roman" w:eastAsia="Times New Roman" w:hAnsi="Times New Roman"/>
                      <w:sz w:val="24"/>
                      <w:szCs w:val="24"/>
                      <w:lang w:val="ro-MD"/>
                    </w:rPr>
                    <w:t>organisme publice și sectorul privat, în conformitate cu un acord PPP, și care își propune să ofere servicii publice prin partajarea riscurilor, prin punerea în comun fie a expertizei sectorului privat, fie a unor surse de capital suplimentare, fie a ambel</w:t>
                  </w:r>
                  <w:r>
                    <w:rPr>
                      <w:rFonts w:ascii="Times New Roman" w:eastAsia="Times New Roman" w:hAnsi="Times New Roman"/>
                      <w:sz w:val="24"/>
                      <w:szCs w:val="24"/>
                      <w:lang w:val="ro-MD"/>
                    </w:rPr>
                    <w:t>or;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16.</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„instrument financiar” înseamnă o formă de sprijin care se acordă prin intermediul unei structuri prin care produsele financiare sunt furnizate destinatarilor finali;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17.</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„produs financiar” înseamnă investiții de capital sau </w:t>
                  </w:r>
                  <w:proofErr w:type="spellStart"/>
                  <w:r>
                    <w:rPr>
                      <w:rFonts w:ascii="Times New Roman" w:eastAsia="Times New Roman" w:hAnsi="Times New Roman"/>
                      <w:sz w:val="24"/>
                      <w:szCs w:val="24"/>
                      <w:lang w:val="ro-MD"/>
                    </w:rPr>
                    <w:t>cvasicapital</w:t>
                  </w:r>
                  <w:proofErr w:type="spellEnd"/>
                  <w:r>
                    <w:rPr>
                      <w:rFonts w:ascii="Times New Roman" w:eastAsia="Times New Roman" w:hAnsi="Times New Roman"/>
                      <w:sz w:val="24"/>
                      <w:szCs w:val="24"/>
                      <w:lang w:val="ro-MD"/>
                    </w:rPr>
                    <w:t>, împru</w:t>
                  </w:r>
                  <w:r>
                    <w:rPr>
                      <w:rFonts w:ascii="Times New Roman" w:eastAsia="Times New Roman" w:hAnsi="Times New Roman"/>
                      <w:sz w:val="24"/>
                      <w:szCs w:val="24"/>
                      <w:lang w:val="ro-MD"/>
                    </w:rPr>
                    <w:t>muturi și garanții definite la articolul 2 din Regulamentul financiar;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18.</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„destinatar final” înseamnă o persoană fizică sau juridică care primește sprijin fie din partea fondurilor, printr-un beneficiar al unui fond pentru proiecte mici, fie din partea </w:t>
                  </w:r>
                  <w:r>
                    <w:rPr>
                      <w:rFonts w:ascii="Times New Roman" w:eastAsia="Times New Roman" w:hAnsi="Times New Roman"/>
                      <w:sz w:val="24"/>
                      <w:szCs w:val="24"/>
                      <w:lang w:val="ro-MD"/>
                    </w:rPr>
                    <w:t>unui instrument financiar;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lastRenderedPageBreak/>
                    <w:t>19.</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„contribuție a programului” înseamnă sprijinul din fonduri și cofinanțarea națională publică și oricare cofinanțare privată, acordate unui instrument financiar;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20.</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„fond de participare” înseamnă un fond constituit sub </w:t>
                  </w:r>
                  <w:r>
                    <w:rPr>
                      <w:rFonts w:ascii="Times New Roman" w:eastAsia="Times New Roman" w:hAnsi="Times New Roman"/>
                      <w:sz w:val="24"/>
                      <w:szCs w:val="24"/>
                      <w:lang w:val="ro-MD"/>
                    </w:rPr>
                    <w:t>responsabilitatea unei autorități de management în cadrul unuia sau al mai multor programe, pentru a executa unul sau mai multe fonduri specifice;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21.</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„fond specific” înseamnă un fond prin care o autoritate de management sau un fond de participare furniz</w:t>
                  </w:r>
                  <w:r>
                    <w:rPr>
                      <w:rFonts w:ascii="Times New Roman" w:eastAsia="Times New Roman" w:hAnsi="Times New Roman"/>
                      <w:sz w:val="24"/>
                      <w:szCs w:val="24"/>
                      <w:lang w:val="ro-MD"/>
                    </w:rPr>
                    <w:t>ează produse financiare destinatarilor finali;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22.</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„organism de execuție a unui instrument financiar” înseamnă un organism de drept public sau privat care îndeplinește sarcini ale unui fond de participare sau ale unui fond specific;</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23.</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„efect de </w:t>
                  </w:r>
                  <w:r>
                    <w:rPr>
                      <w:rFonts w:ascii="Times New Roman" w:eastAsia="Times New Roman" w:hAnsi="Times New Roman"/>
                      <w:sz w:val="24"/>
                      <w:szCs w:val="24"/>
                      <w:lang w:val="ro-MD"/>
                    </w:rPr>
                    <w:t>levier” înseamnă cuantumul finanțărilor rambursabile acordate destinatarilor finali, împărțit la cuantumul contribuției din partea fondurilor;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24.</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 xml:space="preserve">„coeficient de multiplicare”, în contextul instrumentelor de garanție, înseamnă raportul, stabilit pe baza </w:t>
                  </w:r>
                  <w:r>
                    <w:rPr>
                      <w:rFonts w:ascii="Times New Roman" w:eastAsia="Times New Roman" w:hAnsi="Times New Roman"/>
                      <w:sz w:val="24"/>
                      <w:szCs w:val="24"/>
                      <w:lang w:val="ro-MD"/>
                    </w:rPr>
                    <w:t>unei evaluări </w:t>
                  </w:r>
                  <w:r>
                    <w:rPr>
                      <w:rFonts w:ascii="Times New Roman" w:eastAsia="Times New Roman" w:hAnsi="Times New Roman"/>
                      <w:i/>
                      <w:iCs/>
                      <w:sz w:val="24"/>
                      <w:szCs w:val="24"/>
                      <w:lang w:val="ro-MD"/>
                    </w:rPr>
                    <w:t>ex ante</w:t>
                  </w:r>
                  <w:r>
                    <w:rPr>
                      <w:rFonts w:ascii="Times New Roman" w:eastAsia="Times New Roman" w:hAnsi="Times New Roman"/>
                      <w:sz w:val="24"/>
                      <w:szCs w:val="24"/>
                      <w:lang w:val="ro-MD"/>
                    </w:rPr>
                    <w:t xml:space="preserve"> prudente a riscurilor în ceea ce privește fiecare produs de </w:t>
                  </w:r>
                  <w:r>
                    <w:rPr>
                      <w:rFonts w:ascii="Times New Roman" w:eastAsia="Times New Roman" w:hAnsi="Times New Roman"/>
                      <w:sz w:val="24"/>
                      <w:szCs w:val="24"/>
                      <w:lang w:val="ro-MD"/>
                    </w:rPr>
                    <w:lastRenderedPageBreak/>
                    <w:t xml:space="preserve">garanție care urmează să fie oferit, dintre valoarea noilor împrumuturi sau a noilor investiții suport de capital sau </w:t>
                  </w:r>
                  <w:proofErr w:type="spellStart"/>
                  <w:r>
                    <w:rPr>
                      <w:rFonts w:ascii="Times New Roman" w:eastAsia="Times New Roman" w:hAnsi="Times New Roman"/>
                      <w:sz w:val="24"/>
                      <w:szCs w:val="24"/>
                      <w:lang w:val="ro-MD"/>
                    </w:rPr>
                    <w:t>cvasicapital</w:t>
                  </w:r>
                  <w:proofErr w:type="spellEnd"/>
                  <w:r>
                    <w:rPr>
                      <w:rFonts w:ascii="Times New Roman" w:eastAsia="Times New Roman" w:hAnsi="Times New Roman"/>
                      <w:sz w:val="24"/>
                      <w:szCs w:val="24"/>
                      <w:lang w:val="ro-MD"/>
                    </w:rPr>
                    <w:t xml:space="preserve"> care au fost plătite și cuantumul contribuț</w:t>
                  </w:r>
                  <w:r>
                    <w:rPr>
                      <w:rFonts w:ascii="Times New Roman" w:eastAsia="Times New Roman" w:hAnsi="Times New Roman"/>
                      <w:sz w:val="24"/>
                      <w:szCs w:val="24"/>
                      <w:lang w:val="ro-MD"/>
                    </w:rPr>
                    <w:t xml:space="preserve">iei programului, rezervat pentru contractele de garanție pentru a acoperi pierderile prevăzute și neprevăzute rezultate din respectivele noi împrumuturi sau noi investiții de capital sau </w:t>
                  </w:r>
                  <w:proofErr w:type="spellStart"/>
                  <w:r>
                    <w:rPr>
                      <w:rFonts w:ascii="Times New Roman" w:eastAsia="Times New Roman" w:hAnsi="Times New Roman"/>
                      <w:sz w:val="24"/>
                      <w:szCs w:val="24"/>
                      <w:lang w:val="ro-MD"/>
                    </w:rPr>
                    <w:t>cvasicapital</w:t>
                  </w:r>
                  <w:proofErr w:type="spellEnd"/>
                  <w:r>
                    <w:rPr>
                      <w:rFonts w:ascii="Times New Roman" w:eastAsia="Times New Roman" w:hAnsi="Times New Roman"/>
                      <w:sz w:val="24"/>
                      <w:szCs w:val="24"/>
                      <w:lang w:val="ro-MD"/>
                    </w:rPr>
                    <w:t>;</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25.</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„costuri de gestiune” înseamnă costuri directe sa</w:t>
                  </w:r>
                  <w:r>
                    <w:rPr>
                      <w:rFonts w:ascii="Times New Roman" w:eastAsia="Times New Roman" w:hAnsi="Times New Roman"/>
                      <w:sz w:val="24"/>
                      <w:szCs w:val="24"/>
                      <w:lang w:val="ro-MD"/>
                    </w:rPr>
                    <w:t>u indirecte, rambursate pe baza unor dovezi care atestă cheltuieli suportate cu ocazia execuției unor instrumente financiare;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26.</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„comisioane de gestiune” înseamnă un preț pentru servicii prestate, stabilit în acordul de finanțare dintre autoritatea de m</w:t>
                  </w:r>
                  <w:r>
                    <w:rPr>
                      <w:rFonts w:ascii="Times New Roman" w:eastAsia="Times New Roman" w:hAnsi="Times New Roman"/>
                      <w:sz w:val="24"/>
                      <w:szCs w:val="24"/>
                      <w:lang w:val="ro-MD"/>
                    </w:rPr>
                    <w:t>anagement și organismul care execută un fond de participare sau un fond specific și, după caz, dintre organismul care execută un fond de participare și organismul care execută un fond specific;</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27.</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„relocare” înseamnă transferul unei activități identice </w:t>
                  </w:r>
                  <w:r>
                    <w:rPr>
                      <w:rFonts w:ascii="Times New Roman" w:eastAsia="Times New Roman" w:hAnsi="Times New Roman"/>
                      <w:sz w:val="24"/>
                      <w:szCs w:val="24"/>
                      <w:lang w:val="ro-MD"/>
                    </w:rPr>
                    <w:t>sau similare sau al unei părți a acesteia în sensul articolului 2 punctul 61a din Regulamentul (UE) nr. 651/2014;</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28.</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„contribuție publică” înseamnă orice contribuție la finanțarea unor opera</w:t>
                  </w:r>
                  <w:r>
                    <w:rPr>
                      <w:rFonts w:ascii="Times New Roman" w:eastAsia="Times New Roman" w:hAnsi="Times New Roman"/>
                      <w:sz w:val="24"/>
                      <w:szCs w:val="24"/>
                      <w:lang w:val="ro-MD"/>
                    </w:rPr>
                    <w:lastRenderedPageBreak/>
                    <w:t>țiuni, care provine de la bugetul autorităților publice naționa</w:t>
                  </w:r>
                  <w:r>
                    <w:rPr>
                      <w:rFonts w:ascii="Times New Roman" w:eastAsia="Times New Roman" w:hAnsi="Times New Roman"/>
                      <w:sz w:val="24"/>
                      <w:szCs w:val="24"/>
                      <w:lang w:val="ro-MD"/>
                    </w:rPr>
                    <w:t>le, regionale sau locale sau al oricărei grupări europene de cooperare teritorială (GECT) înființate în conformitate cu Regulamentul (CE) nr. 1082/2006 al Parlamentului European și al Consiliului </w:t>
                  </w:r>
                  <w:hyperlink r:id="rId13"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39</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de la bugetul Uniunii pus la dispoziția fondurilor, de la bugetul unor organisme de drept public sau al unor asociații de autorități publice sau organisme de drept public,</w:t>
                  </w:r>
                  <w:r>
                    <w:rPr>
                      <w:rFonts w:ascii="Times New Roman" w:eastAsia="Times New Roman" w:hAnsi="Times New Roman"/>
                      <w:sz w:val="24"/>
                      <w:szCs w:val="24"/>
                      <w:lang w:val="ro-MD"/>
                    </w:rPr>
                    <w:t xml:space="preserve"> iar în scopul calculării ratei de cofinanțare pentru programele sau prioritățile FSE+, ea poate include orice resurse financiare vărsate în mod colectiv de angajatori și lucrători;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29.</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„an fiscal” înseamnă perioada de la 1 iulie până la 30 iunie a </w:t>
                  </w:r>
                  <w:r>
                    <w:rPr>
                      <w:rFonts w:ascii="Times New Roman" w:eastAsia="Times New Roman" w:hAnsi="Times New Roman"/>
                      <w:sz w:val="24"/>
                      <w:szCs w:val="24"/>
                      <w:lang w:val="ro-MD"/>
                    </w:rPr>
                    <w:t>anului următor, cu excepția primului an fiscal al perioadei de programare, pentru care înseamnă perioada de la data de început a eligibilității cheltuielilor până la 30 iunie 2022; pentru ultimul an fiscal, înseamnă perioada de la 1 iulie 2029 până la 30 i</w:t>
                  </w:r>
                  <w:r>
                    <w:rPr>
                      <w:rFonts w:ascii="Times New Roman" w:eastAsia="Times New Roman" w:hAnsi="Times New Roman"/>
                      <w:sz w:val="24"/>
                      <w:szCs w:val="24"/>
                      <w:lang w:val="ro-MD"/>
                    </w:rPr>
                    <w:t>unie 2030;</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30.</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„operator economic” înseamnă orice persoană fizică sau juridică sau o altă entitate care participă la implementarea asistenței din fonduri, cu excepția unui stat membru care își exercită prerogativele în calitate de autoritate publică;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lastRenderedPageBreak/>
                    <w:t>31.</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„neregulă” înseamnă orice încălcare a legislației aplicabile, rezultată dintr-un act sau dintr-o omisiune a unui operator economic, care are sau ar avea ca efect prejudicierea bugetului Uniunii prin imputarea de cheltuieli nejustificate respectivului b</w:t>
                  </w:r>
                  <w:r>
                    <w:rPr>
                      <w:rFonts w:ascii="Times New Roman" w:eastAsia="Times New Roman" w:hAnsi="Times New Roman"/>
                      <w:sz w:val="24"/>
                      <w:szCs w:val="24"/>
                      <w:lang w:val="ro-MD"/>
                    </w:rPr>
                    <w:t>uget;</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32.</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„deficiență gravă” înseamnă o deficiență în funcționarea cu eficacitate a sistemului de gestiune și control al unui program, pentru care sunt necesare îmbunătățiri semnificative ale sistemelor de gestiune și control și în privința căreia oricar</w:t>
                  </w:r>
                  <w:r>
                    <w:rPr>
                      <w:rFonts w:ascii="Times New Roman" w:eastAsia="Times New Roman" w:hAnsi="Times New Roman"/>
                      <w:sz w:val="24"/>
                      <w:szCs w:val="24"/>
                      <w:lang w:val="ro-MD"/>
                    </w:rPr>
                    <w:t>e dintre cerințele-cheie 2, 4, 5, 9, 12, 13 și 15 menționate în anexa XI sau două sau mai multe dintre celelalte cerințe-cheie sunt evaluate ca aparținând categoriilor 3 și 4 din anexa respectivă;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33.</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„neregulă sistemică” înseamnă orice neregulă, care </w:t>
                  </w:r>
                  <w:r>
                    <w:rPr>
                      <w:rFonts w:ascii="Times New Roman" w:eastAsia="Times New Roman" w:hAnsi="Times New Roman"/>
                      <w:sz w:val="24"/>
                      <w:szCs w:val="24"/>
                      <w:lang w:val="ro-MD"/>
                    </w:rPr>
                    <w:t>poate avea o natură recurentă, cu o probabilitate ridicată de apariție în tipuri de operațiuni similare, care decurge dintr-o deficiență gravă, inclusiv din neinstituirea unor proceduri adecvate în conformitate cu prezentul regulament și cu normele specifi</w:t>
                  </w:r>
                  <w:r>
                    <w:rPr>
                      <w:rFonts w:ascii="Times New Roman" w:eastAsia="Times New Roman" w:hAnsi="Times New Roman"/>
                      <w:sz w:val="24"/>
                      <w:szCs w:val="24"/>
                      <w:lang w:val="ro-MD"/>
                    </w:rPr>
                    <w:t>ce fiecărui fond;</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34.</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„totalul erorilor” înseamnă suma erorilor aleatorii preconizate și, dacă </w:t>
                  </w:r>
                  <w:r>
                    <w:rPr>
                      <w:rFonts w:ascii="Times New Roman" w:eastAsia="Times New Roman" w:hAnsi="Times New Roman"/>
                      <w:sz w:val="24"/>
                      <w:szCs w:val="24"/>
                      <w:lang w:val="ro-MD"/>
                    </w:rPr>
                    <w:lastRenderedPageBreak/>
                    <w:t>este cazul, a erorilor sistemice delimitate și a erorilor conjuncturale necorectate;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35.</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„rata totală de eroare” înseamnă totalul erorilor împărțit la popula</w:t>
                  </w:r>
                  <w:r>
                    <w:rPr>
                      <w:rFonts w:ascii="Times New Roman" w:eastAsia="Times New Roman" w:hAnsi="Times New Roman"/>
                      <w:sz w:val="24"/>
                      <w:szCs w:val="24"/>
                      <w:lang w:val="ro-MD"/>
                    </w:rPr>
                    <w:t>ția supusă auditului;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36.</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„rata de eroare reziduală” înseamnă totalul erorilor minus corecțiile financiare aplicate de statul membru pentru reducerea riscurilor identificate de autoritatea de audit, împărțit la cheltuielile care trebuie declarate în cont</w:t>
                  </w:r>
                  <w:r>
                    <w:rPr>
                      <w:rFonts w:ascii="Times New Roman" w:eastAsia="Times New Roman" w:hAnsi="Times New Roman"/>
                      <w:sz w:val="24"/>
                      <w:szCs w:val="24"/>
                      <w:lang w:val="ro-MD"/>
                    </w:rPr>
                    <w:t>uri;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37.</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„operațiune finalizată” înseamnă o operațiune care a fost finalizată fizic sau a fost implementată integral și în privința căreia toate plățile conexe au fost efectuate de către beneficiari, iar contribuția publică corespunzătoare a fost plătită</w:t>
                  </w:r>
                  <w:r>
                    <w:rPr>
                      <w:rFonts w:ascii="Times New Roman" w:eastAsia="Times New Roman" w:hAnsi="Times New Roman"/>
                      <w:sz w:val="24"/>
                      <w:szCs w:val="24"/>
                      <w:lang w:val="ro-MD"/>
                    </w:rPr>
                    <w:t xml:space="preserve"> beneficiarilor;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38.</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„unitate de eșantionare” înseamnă una dintre unitățile în care este împărțită o populație supusă auditului în scopul eșantionării; ea poate fi o operațiune, un proiect din cadrul unei operațiuni sau o cerere de plată din partea unui </w:t>
                  </w:r>
                  <w:r>
                    <w:rPr>
                      <w:rFonts w:ascii="Times New Roman" w:eastAsia="Times New Roman" w:hAnsi="Times New Roman"/>
                      <w:sz w:val="24"/>
                      <w:szCs w:val="24"/>
                      <w:lang w:val="ro-MD"/>
                    </w:rPr>
                    <w:t>beneficiar;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39.</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„cont de garanție” înseamnă, în cazul unei operațiuni PPP, un cont bancar reglementat de un acord scris încheiat între un organism public beneficiar și partenerul privat, aprobat de </w:t>
                  </w:r>
                  <w:r>
                    <w:rPr>
                      <w:rFonts w:ascii="Times New Roman" w:eastAsia="Times New Roman" w:hAnsi="Times New Roman"/>
                      <w:sz w:val="24"/>
                      <w:szCs w:val="24"/>
                      <w:lang w:val="ro-MD"/>
                    </w:rPr>
                    <w:lastRenderedPageBreak/>
                    <w:t>autoritatea de management sau de un organism intermediar</w:t>
                  </w:r>
                  <w:r>
                    <w:rPr>
                      <w:rFonts w:ascii="Times New Roman" w:eastAsia="Times New Roman" w:hAnsi="Times New Roman"/>
                      <w:sz w:val="24"/>
                      <w:szCs w:val="24"/>
                      <w:lang w:val="ro-MD"/>
                    </w:rPr>
                    <w:t>, utilizat pentru plăți în cursul sau după încheierea perioadei de eligibilitate;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40.</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„participant” înseamnă o persoană fizică care beneficiază direct de o operațiune, fără a fi responsabilă cu inițierea sau deopotrivă cu inițierea și implementarea opera</w:t>
                  </w:r>
                  <w:r>
                    <w:rPr>
                      <w:rFonts w:ascii="Times New Roman" w:eastAsia="Times New Roman" w:hAnsi="Times New Roman"/>
                      <w:sz w:val="24"/>
                      <w:szCs w:val="24"/>
                      <w:lang w:val="ro-MD"/>
                    </w:rPr>
                    <w:t>țiunii și care, în contextul FEAMPA, nu beneficiază de sprijin financiar;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41.</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„principiul «eficiența energetică înainte de toate»” înseamnă că în planificarea energetică și în deciziile privind politicile și investițiile se ține seama în mod strict de mă</w:t>
                  </w:r>
                  <w:r>
                    <w:rPr>
                      <w:rFonts w:ascii="Times New Roman" w:eastAsia="Times New Roman" w:hAnsi="Times New Roman"/>
                      <w:sz w:val="24"/>
                      <w:szCs w:val="24"/>
                      <w:lang w:val="ro-MD"/>
                    </w:rPr>
                    <w:t>surile alternative rentabile privind eficiența energetică, care vizează eficientizarea cererii și a ofertei de energie, în special prin economiile de energie la nivelul utilizării finale rentabile din punctul de vedere al costurilor, prin inițiative de rea</w:t>
                  </w:r>
                  <w:r>
                    <w:rPr>
                      <w:rFonts w:ascii="Times New Roman" w:eastAsia="Times New Roman" w:hAnsi="Times New Roman"/>
                      <w:sz w:val="24"/>
                      <w:szCs w:val="24"/>
                      <w:lang w:val="ro-MD"/>
                    </w:rPr>
                    <w:t>cție din partea cererii și prin eficientizarea conversiei, transportului și a distribuției de energie, fiind îndeplinite totodată obiectivele deciziilor respective;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42.</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„imunizare la schimbările climatice” înseamnă un proces de prevenire a </w:t>
                  </w:r>
                  <w:r>
                    <w:rPr>
                      <w:rFonts w:ascii="Times New Roman" w:eastAsia="Times New Roman" w:hAnsi="Times New Roman"/>
                      <w:sz w:val="24"/>
                      <w:szCs w:val="24"/>
                      <w:lang w:val="ro-MD"/>
                    </w:rPr>
                    <w:t>vulnerabilității infrastructurii la potențialele efecte pe termen lung ale schimbărilor climatice, asigurându-</w:t>
                  </w:r>
                  <w:r>
                    <w:rPr>
                      <w:rFonts w:ascii="Times New Roman" w:eastAsia="Times New Roman" w:hAnsi="Times New Roman"/>
                      <w:sz w:val="24"/>
                      <w:szCs w:val="24"/>
                      <w:lang w:val="ro-MD"/>
                    </w:rPr>
                    <w:lastRenderedPageBreak/>
                    <w:t>se în același timp respectarea principiului „eficiența energetică înainte de toate” și faptul că nivelul emisiilor de gaze cu efect de seră genera</w:t>
                  </w:r>
                  <w:r>
                    <w:rPr>
                      <w:rFonts w:ascii="Times New Roman" w:eastAsia="Times New Roman" w:hAnsi="Times New Roman"/>
                      <w:sz w:val="24"/>
                      <w:szCs w:val="24"/>
                      <w:lang w:val="ro-MD"/>
                    </w:rPr>
                    <w:t>te de proiect este compatibil cu obiectivul privind neutralitatea climatică stabilit pentru 2050;</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43.</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„granturi supuse unor condiții” înseamnă o categorie de grant care face obiectul unor condiții în legătură cu rambursarea sprijinului;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44.</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„BEI” </w:t>
                  </w:r>
                  <w:r>
                    <w:rPr>
                      <w:rFonts w:ascii="Times New Roman" w:eastAsia="Times New Roman" w:hAnsi="Times New Roman"/>
                      <w:sz w:val="24"/>
                      <w:szCs w:val="24"/>
                      <w:lang w:val="ro-MD"/>
                    </w:rPr>
                    <w:t>înseamnă Banca Europeană de Investiții, Fondul european de investiții sau oricare filială a Băncii Europene de Investiții;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0"/>
              <w:gridCol w:w="3528"/>
            </w:tblGrid>
            <w:tr w:rsidR="002F15D7">
              <w:tblPrEx>
                <w:tblCellMar>
                  <w:top w:w="0" w:type="dxa"/>
                  <w:bottom w:w="0" w:type="dxa"/>
                </w:tblCellMar>
              </w:tblPrEx>
              <w:tc>
                <w:tcPr>
                  <w:tcW w:w="30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45.</w:t>
                  </w:r>
                </w:p>
              </w:tc>
              <w:tc>
                <w:tcPr>
                  <w:tcW w:w="352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„marcă de excelență” înseamnă eticheta de calitate conferită de Comisie unei propuneri care atestă că propunerea care a fost ev</w:t>
                  </w:r>
                  <w:r>
                    <w:rPr>
                      <w:rFonts w:ascii="Times New Roman" w:eastAsia="Times New Roman" w:hAnsi="Times New Roman"/>
                      <w:sz w:val="24"/>
                      <w:szCs w:val="24"/>
                      <w:lang w:val="ro-MD"/>
                    </w:rPr>
                    <w:t>aluată în cadrul unei cereri de propuneri în temeiul unui instrument al Uniunii este considerată compatibilă cu cerințele minime de calitate ale respectivului instrument al Uniunii dar, în absența resurselor bugetare disponibile pentru respectiva cerere de</w:t>
                  </w:r>
                  <w:r>
                    <w:rPr>
                      <w:rFonts w:ascii="Times New Roman" w:eastAsia="Times New Roman" w:hAnsi="Times New Roman"/>
                      <w:sz w:val="24"/>
                      <w:szCs w:val="24"/>
                      <w:lang w:val="ro-MD"/>
                    </w:rPr>
                    <w:t xml:space="preserve"> propuneri, nu a putut fi finanțată și ar putea beneficia de sprijin din alte surse de finanțare ale Uniunii sau naționale.</w:t>
                  </w:r>
                </w:p>
              </w:tc>
            </w:tr>
          </w:tbl>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lastRenderedPageBreak/>
              <w:t>Articolul 3</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Calcularea termenelor pentru acțiunile Comisiei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w:t>
            </w:r>
            <w:r>
              <w:rPr>
                <w:rFonts w:ascii="Times New Roman" w:eastAsia="Times New Roman" w:hAnsi="Times New Roman"/>
                <w:sz w:val="24"/>
                <w:szCs w:val="24"/>
                <w:lang w:val="ro-MD" w:eastAsia="ro-RO"/>
              </w:rPr>
              <w:t xml:space="preserve"> Uniunea Europeană, acestea se vor aplica direct și </w:t>
            </w:r>
            <w:r>
              <w:rPr>
                <w:rFonts w:ascii="Times New Roman" w:eastAsia="Times New Roman" w:hAnsi="Times New Roman"/>
                <w:sz w:val="24"/>
                <w:szCs w:val="24"/>
                <w:lang w:val="ro-MD" w:eastAsia="ro-RO"/>
              </w:rPr>
              <w:lastRenderedPageBreak/>
              <w:t>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lastRenderedPageBreak/>
              <w:t xml:space="preserve">Atunci când se stabilește un termen pentru o acțiune a Comisiei, acest termen începe să curgă atunci când statul membru a prezentat toate informațiile în </w:t>
            </w:r>
            <w:r>
              <w:rPr>
                <w:lang w:val="ro-MD"/>
              </w:rPr>
              <w:t>conformitate cu cerințele stabilite în prezentul regulament sau în regulamentele specifice fiecărui fond.</w:t>
            </w:r>
          </w:p>
          <w:p w:rsidR="002F15D7" w:rsidRDefault="006C2DA4">
            <w:pPr>
              <w:pStyle w:val="oj-normal"/>
              <w:shd w:val="clear" w:color="auto" w:fill="FFFFFF"/>
              <w:spacing w:before="120" w:after="0"/>
              <w:jc w:val="both"/>
              <w:rPr>
                <w:lang w:val="ro-MD"/>
              </w:rPr>
            </w:pPr>
            <w:r>
              <w:rPr>
                <w:lang w:val="ro-MD"/>
              </w:rPr>
              <w:t>Termenul se suspendă începând din ziua următoare datei la care Comisia transmite observațiile sale sau o cerere de documente revizuite către statul me</w:t>
            </w:r>
            <w:r>
              <w:rPr>
                <w:lang w:val="ro-MD"/>
              </w:rPr>
              <w:t>mbru și până când statul membru răspunde Comisiei.</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Prelucrarea și protejarea datelor cu caracter personal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Europeană, acestea se vor aplica direct și obligatoriu în </w:t>
            </w:r>
            <w:r>
              <w:rPr>
                <w:rFonts w:ascii="Times New Roman" w:eastAsia="Times New Roman" w:hAnsi="Times New Roman"/>
                <w:sz w:val="24"/>
                <w:szCs w:val="24"/>
                <w:lang w:val="ro-MD" w:eastAsia="ro-RO"/>
              </w:rPr>
              <w:t>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Statele membre și Comisia sunt autorizate să prelucreze date cu caracter personal numai în cazul în care acest lucru este necesar în scopul îndeplinirii obligațiilor care le revin în temeiul prezentului regulament, îndeosebi în ceea</w:t>
            </w:r>
            <w:r>
              <w:rPr>
                <w:rFonts w:ascii="Times New Roman" w:hAnsi="Times New Roman"/>
                <w:sz w:val="24"/>
                <w:szCs w:val="24"/>
                <w:lang w:val="ro-MD"/>
              </w:rPr>
              <w:t xml:space="preserve"> ce privește monitorizarea, raportarea, comunicarea, publicarea, evaluarea, gestiunea financiară, controalele și auditurile și, după caz, stabilirea eligibilității participanților. Datele cu caracter personal sunt prelucrate în conformitate cu </w:t>
            </w:r>
            <w:r>
              <w:rPr>
                <w:rFonts w:ascii="Times New Roman" w:hAnsi="Times New Roman"/>
                <w:sz w:val="24"/>
                <w:szCs w:val="24"/>
                <w:lang w:val="ro-MD"/>
              </w:rPr>
              <w:lastRenderedPageBreak/>
              <w:t>Regulamentul</w:t>
            </w:r>
            <w:r>
              <w:rPr>
                <w:rFonts w:ascii="Times New Roman" w:hAnsi="Times New Roman"/>
                <w:sz w:val="24"/>
                <w:szCs w:val="24"/>
                <w:lang w:val="ro-MD"/>
              </w:rPr>
              <w:t xml:space="preserve"> (UE) 2016/679 sau cu Regulamentul (UE) 2018/1725 al Parlamentului European și al Consiliului </w:t>
            </w:r>
            <w:hyperlink r:id="rId14" w:history="1">
              <w:r>
                <w:rPr>
                  <w:rStyle w:val="Hyperlink"/>
                  <w:rFonts w:ascii="Times New Roman" w:hAnsi="Times New Roman"/>
                  <w:color w:val="auto"/>
                  <w:sz w:val="24"/>
                  <w:szCs w:val="24"/>
                  <w:lang w:val="ro-MD"/>
                </w:rPr>
                <w:t>(</w:t>
              </w:r>
              <w:r>
                <w:rPr>
                  <w:rStyle w:val="Hyperlink"/>
                  <w:rFonts w:ascii="Times New Roman" w:hAnsi="Times New Roman"/>
                  <w:color w:val="auto"/>
                  <w:sz w:val="24"/>
                  <w:szCs w:val="24"/>
                  <w:vertAlign w:val="superscript"/>
                  <w:lang w:val="ro-MD"/>
                </w:rPr>
                <w:t>40</w:t>
              </w:r>
              <w:r>
                <w:rPr>
                  <w:rStyle w:val="Hyperlink"/>
                  <w:rFonts w:ascii="Times New Roman" w:hAnsi="Times New Roman"/>
                  <w:color w:val="auto"/>
                  <w:sz w:val="24"/>
                  <w:szCs w:val="24"/>
                  <w:lang w:val="ro-MD"/>
                </w:rPr>
                <w:t>)</w:t>
              </w:r>
            </w:hyperlink>
            <w:r>
              <w:rPr>
                <w:rFonts w:ascii="Times New Roman" w:hAnsi="Times New Roman"/>
                <w:sz w:val="24"/>
                <w:szCs w:val="24"/>
                <w:lang w:val="ro-MD"/>
              </w:rPr>
              <w:t xml:space="preserve">, în funcție de </w:t>
            </w:r>
            <w:r>
              <w:rPr>
                <w:rFonts w:ascii="Times New Roman" w:hAnsi="Times New Roman"/>
                <w:sz w:val="24"/>
                <w:szCs w:val="24"/>
                <w:lang w:val="ro-MD"/>
              </w:rPr>
              <w:t>aplicabilitatea acestora.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Obiective și principii de politică pentru sprijinul din fonduri</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Obiective de politică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Europeană, acestea se vor aplica direct </w:t>
            </w:r>
            <w:r>
              <w:rPr>
                <w:rFonts w:ascii="Times New Roman" w:eastAsia="Times New Roman" w:hAnsi="Times New Roman"/>
                <w:sz w:val="24"/>
                <w:szCs w:val="24"/>
                <w:lang w:val="ro-MD" w:eastAsia="ro-RO"/>
              </w:rPr>
              <w:t>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FEDR, FSE+, Fondul de coeziune și FEAMPA sprijină următoarele obiective de politică:</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w:t>
                  </w:r>
                  <w:proofErr w:type="spellStart"/>
                  <w:r>
                    <w:rPr>
                      <w:rFonts w:ascii="Times New Roman" w:eastAsia="Times New Roman" w:hAnsi="Times New Roman"/>
                      <w:sz w:val="24"/>
                      <w:szCs w:val="24"/>
                      <w:lang w:val="ro-MD"/>
                    </w:rPr>
                    <w:t>Europă</w:t>
                  </w:r>
                  <w:proofErr w:type="spellEnd"/>
                  <w:r>
                    <w:rPr>
                      <w:rFonts w:ascii="Times New Roman" w:eastAsia="Times New Roman" w:hAnsi="Times New Roman"/>
                      <w:sz w:val="24"/>
                      <w:szCs w:val="24"/>
                      <w:lang w:val="ro-MD"/>
                    </w:rPr>
                    <w:t xml:space="preserve"> mai competitivă și mai inteligentă, prin promovarea unei transformări economice inovatoare și inteligente și a</w:t>
                  </w:r>
                  <w:r>
                    <w:rPr>
                      <w:rFonts w:ascii="Times New Roman" w:eastAsia="Times New Roman" w:hAnsi="Times New Roman"/>
                      <w:sz w:val="24"/>
                      <w:szCs w:val="24"/>
                      <w:lang w:val="ro-MD"/>
                    </w:rPr>
                    <w:t xml:space="preserve"> conectivității TIC regionale;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w:t>
                  </w:r>
                  <w:proofErr w:type="spellStart"/>
                  <w:r>
                    <w:rPr>
                      <w:rFonts w:ascii="Times New Roman" w:eastAsia="Times New Roman" w:hAnsi="Times New Roman"/>
                      <w:sz w:val="24"/>
                      <w:szCs w:val="24"/>
                      <w:lang w:val="ro-MD"/>
                    </w:rPr>
                    <w:t>Europă</w:t>
                  </w:r>
                  <w:proofErr w:type="spellEnd"/>
                  <w:r>
                    <w:rPr>
                      <w:rFonts w:ascii="Times New Roman" w:eastAsia="Times New Roman" w:hAnsi="Times New Roman"/>
                      <w:sz w:val="24"/>
                      <w:szCs w:val="24"/>
                      <w:lang w:val="ro-MD"/>
                    </w:rPr>
                    <w:t xml:space="preserve"> mai verde, </w:t>
                  </w:r>
                  <w:proofErr w:type="spellStart"/>
                  <w:r>
                    <w:rPr>
                      <w:rFonts w:ascii="Times New Roman" w:eastAsia="Times New Roman" w:hAnsi="Times New Roman"/>
                      <w:sz w:val="24"/>
                      <w:szCs w:val="24"/>
                      <w:lang w:val="ro-MD"/>
                    </w:rPr>
                    <w:t>rezilientă</w:t>
                  </w:r>
                  <w:proofErr w:type="spellEnd"/>
                  <w:r>
                    <w:rPr>
                      <w:rFonts w:ascii="Times New Roman" w:eastAsia="Times New Roman" w:hAnsi="Times New Roman"/>
                      <w:sz w:val="24"/>
                      <w:szCs w:val="24"/>
                      <w:lang w:val="ro-MD"/>
                    </w:rPr>
                    <w:t xml:space="preserve">, cu emisii reduse de dioxid de carbon, care se îndreaptă către o economie cu zero emisii de dioxid de carbon, prin promovarea tranziției către o energie curată și echitabilă, a </w:t>
                  </w:r>
                  <w:r>
                    <w:rPr>
                      <w:rFonts w:ascii="Times New Roman" w:eastAsia="Times New Roman" w:hAnsi="Times New Roman"/>
                      <w:sz w:val="24"/>
                      <w:szCs w:val="24"/>
                      <w:lang w:val="ro-MD"/>
                    </w:rPr>
                    <w:t>investițiilor verzi și albastre, a economiei circulare, a atenuării schimbărilor climatice și a adaptării la acestea, a prevenirii și gestionării riscurilor, precum și a unei mobilități urbane durabile;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w:t>
                  </w:r>
                  <w:proofErr w:type="spellStart"/>
                  <w:r>
                    <w:rPr>
                      <w:rFonts w:ascii="Times New Roman" w:eastAsia="Times New Roman" w:hAnsi="Times New Roman"/>
                      <w:sz w:val="24"/>
                      <w:szCs w:val="24"/>
                      <w:lang w:val="ro-MD"/>
                    </w:rPr>
                    <w:t>Europă</w:t>
                  </w:r>
                  <w:proofErr w:type="spellEnd"/>
                  <w:r>
                    <w:rPr>
                      <w:rFonts w:ascii="Times New Roman" w:eastAsia="Times New Roman" w:hAnsi="Times New Roman"/>
                      <w:sz w:val="24"/>
                      <w:szCs w:val="24"/>
                      <w:lang w:val="ro-MD"/>
                    </w:rPr>
                    <w:t xml:space="preserve"> mai conectată prin dezvoltarea mobilit</w:t>
                  </w:r>
                  <w:r>
                    <w:rPr>
                      <w:rFonts w:ascii="Times New Roman" w:eastAsia="Times New Roman" w:hAnsi="Times New Roman"/>
                      <w:sz w:val="24"/>
                      <w:szCs w:val="24"/>
                      <w:lang w:val="ro-MD"/>
                    </w:rPr>
                    <w:t>ății;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lastRenderedPageBreak/>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w:t>
                  </w:r>
                  <w:proofErr w:type="spellStart"/>
                  <w:r>
                    <w:rPr>
                      <w:rFonts w:ascii="Times New Roman" w:eastAsia="Times New Roman" w:hAnsi="Times New Roman"/>
                      <w:sz w:val="24"/>
                      <w:szCs w:val="24"/>
                      <w:lang w:val="ro-MD"/>
                    </w:rPr>
                    <w:t>Europă</w:t>
                  </w:r>
                  <w:proofErr w:type="spellEnd"/>
                  <w:r>
                    <w:rPr>
                      <w:rFonts w:ascii="Times New Roman" w:eastAsia="Times New Roman" w:hAnsi="Times New Roman"/>
                      <w:sz w:val="24"/>
                      <w:szCs w:val="24"/>
                      <w:lang w:val="ro-MD"/>
                    </w:rPr>
                    <w:t xml:space="preserve"> mai socială și mai favorabilă incluziunii, prin implementarea Pilonului european al drepturilor sociale;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w:t>
                  </w:r>
                  <w:proofErr w:type="spellStart"/>
                  <w:r>
                    <w:rPr>
                      <w:rFonts w:ascii="Times New Roman" w:eastAsia="Times New Roman" w:hAnsi="Times New Roman"/>
                      <w:sz w:val="24"/>
                      <w:szCs w:val="24"/>
                      <w:lang w:val="ro-MD"/>
                    </w:rPr>
                    <w:t>Europă</w:t>
                  </w:r>
                  <w:proofErr w:type="spellEnd"/>
                  <w:r>
                    <w:rPr>
                      <w:rFonts w:ascii="Times New Roman" w:eastAsia="Times New Roman" w:hAnsi="Times New Roman"/>
                      <w:sz w:val="24"/>
                      <w:szCs w:val="24"/>
                      <w:lang w:val="ro-MD"/>
                    </w:rPr>
                    <w:t xml:space="preserve"> mai aproape de cetățeni, prin promovarea dezvoltării durabile și integrate a tuturor tipurilor de teritorii și de </w:t>
                  </w:r>
                  <w:r>
                    <w:rPr>
                      <w:rFonts w:ascii="Times New Roman" w:eastAsia="Times New Roman" w:hAnsi="Times New Roman"/>
                      <w:sz w:val="24"/>
                      <w:szCs w:val="24"/>
                      <w:lang w:val="ro-MD"/>
                    </w:rPr>
                    <w:t>inițiative locale.</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FTJ sprijină obiectivul specific de a permite regiunilor și cetățenilor să facă față efectelor sociale, asupra ocupării forței de muncă, economice și de mediu ale tranziției către țintele energetice și climatice ale Uniunii pentru 2030 </w:t>
            </w:r>
            <w:r>
              <w:rPr>
                <w:rFonts w:ascii="Times New Roman" w:eastAsia="Times New Roman" w:hAnsi="Times New Roman"/>
                <w:sz w:val="24"/>
                <w:szCs w:val="24"/>
                <w:lang w:val="ro-MD"/>
              </w:rPr>
              <w:t>și o economie neutră din punct de vedere climatic a Uniunii până în 2050, în temeiul Acordului de la Paris.</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Alineatul (1) primul paragraf de la prezentul articol nu se aplică resurselor FEDR și FSE+ care sunt transferate către FTJ în conformitate cu artico</w:t>
            </w:r>
            <w:r>
              <w:rPr>
                <w:rFonts w:ascii="Times New Roman" w:eastAsia="Times New Roman" w:hAnsi="Times New Roman"/>
                <w:sz w:val="24"/>
                <w:szCs w:val="24"/>
                <w:lang w:val="ro-MD"/>
              </w:rPr>
              <w:t>lul 27.</w:t>
            </w:r>
          </w:p>
          <w:p w:rsidR="002F15D7" w:rsidRDefault="006C2DA4">
            <w:pPr>
              <w:shd w:val="clear" w:color="auto" w:fill="FFFFFF"/>
              <w:suppressAutoHyphens w:val="0"/>
              <w:spacing w:before="120" w:after="0"/>
              <w:jc w:val="both"/>
            </w:pPr>
            <w:r>
              <w:rPr>
                <w:rFonts w:ascii="Times New Roman" w:eastAsia="Times New Roman" w:hAnsi="Times New Roman"/>
                <w:sz w:val="27"/>
                <w:szCs w:val="27"/>
                <w:lang w:val="ro-MD"/>
              </w:rPr>
              <w:t>(</w:t>
            </w:r>
            <w:r>
              <w:rPr>
                <w:rFonts w:ascii="Times New Roman" w:eastAsia="Times New Roman" w:hAnsi="Times New Roman"/>
                <w:sz w:val="24"/>
                <w:szCs w:val="24"/>
                <w:lang w:val="ro-MD"/>
              </w:rPr>
              <w:t>2)   FEDR, FSE+, Fondul de coeziune și FTJ contribuie la acțiunile Uniunii care conduc la consolidarea coeziunii sale economice, sociale și teritoriale în conformitate cu articolul 174 din TFUE, prin urmărirea următoarelor obiective: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obiectivu</w:t>
                  </w:r>
                  <w:r>
                    <w:rPr>
                      <w:rFonts w:ascii="Times New Roman" w:eastAsia="Times New Roman" w:hAnsi="Times New Roman"/>
                      <w:sz w:val="24"/>
                      <w:szCs w:val="24"/>
                      <w:lang w:val="ro-MD"/>
                    </w:rPr>
                    <w:t>l Investiții pentru ocuparea forței de muncă și creștere economică în statele membre și în regiuni, sprijinit de FEDR, FSE+, Fondul de coeziune și FTJ; și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lastRenderedPageBreak/>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obiectivul Cooperare teritorială europeană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 sprijinit de FEDR.</w:t>
                  </w:r>
                </w:p>
              </w:tc>
            </w:tr>
          </w:tbl>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(3)   Statele membre</w:t>
            </w:r>
            <w:r>
              <w:rPr>
                <w:rFonts w:ascii="Times New Roman" w:eastAsia="Times New Roman" w:hAnsi="Times New Roman"/>
                <w:sz w:val="24"/>
                <w:szCs w:val="24"/>
                <w:lang w:val="ro-MD"/>
              </w:rPr>
              <w:t xml:space="preserve"> și Comisia promovează coordonarea, complementaritatea și coerența dintre fonduri și alte instrumente și fonduri ale Uniunii. Ele optimizează mecanismele de coordonare între entitățile competente, pentru a se evita duplicarea pe parcursul planificării și a</w:t>
            </w:r>
            <w:r>
              <w:rPr>
                <w:rFonts w:ascii="Times New Roman" w:eastAsia="Times New Roman" w:hAnsi="Times New Roman"/>
                <w:sz w:val="24"/>
                <w:szCs w:val="24"/>
                <w:lang w:val="ro-MD"/>
              </w:rPr>
              <w:t>l implementării. În consecință, în programarea și execuția fondurilor, statele membre și Comisia iau, de asemenea, în considerare recomandările relevante specifice fiecărei țări.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lastRenderedPageBreak/>
              <w:t>Articolul 6</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 xml:space="preserve">Țintele climatice și mecanismul de ajustare a acțiunilor </w:t>
            </w:r>
            <w:r>
              <w:rPr>
                <w:rFonts w:ascii="Times New Roman" w:eastAsia="Times New Roman" w:hAnsi="Times New Roman"/>
                <w:b/>
                <w:bCs/>
                <w:sz w:val="24"/>
                <w:szCs w:val="24"/>
                <w:lang w:val="ro-MD"/>
              </w:rPr>
              <w:t>climatice</w:t>
            </w:r>
          </w:p>
          <w:p w:rsidR="002F15D7" w:rsidRDefault="002F15D7">
            <w:pPr>
              <w:shd w:val="clear" w:color="auto" w:fill="FFFFFF"/>
              <w:suppressAutoHyphens w:val="0"/>
              <w:spacing w:before="120" w:after="0"/>
              <w:jc w:val="both"/>
              <w:rPr>
                <w:rFonts w:ascii="Times New Roman" w:eastAsia="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before="240"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240" w:after="0"/>
              <w:jc w:val="both"/>
              <w:rPr>
                <w:lang w:val="ro-MD"/>
              </w:rPr>
            </w:pPr>
            <w:r>
              <w:rPr>
                <w:lang w:val="ro-MD"/>
              </w:rPr>
              <w:t>(1)   Statele membre furnizează informații referitoare la sprijinul acordat obiectivelor</w:t>
            </w:r>
            <w:r>
              <w:rPr>
                <w:lang w:val="ro-MD"/>
              </w:rPr>
              <w:t xml:space="preserve"> de mediu și obiectivelor climatice, utilizând o metodologie bazată pe tipuri de intervenții pentru fiecare fond în parte. Această metodologie constă în atribuirea unei ponderi specifice sprijinului acordat, la un nivel care reflectă măsura în care sprijin</w:t>
            </w:r>
            <w:r>
              <w:rPr>
                <w:lang w:val="ro-MD"/>
              </w:rPr>
              <w:t>ul în cauză contribuie la îndeplinirea obiectivelor de mediu și a obiectivelor climatice. În cazul FEDR, FSE+ și al Fondului de coezi</w:t>
            </w:r>
            <w:r>
              <w:rPr>
                <w:lang w:val="ro-MD"/>
              </w:rPr>
              <w:lastRenderedPageBreak/>
              <w:t>une, ponderile se corelează cu dimensiunile și codurile aferente tipurilor de intervenții stabilite în anexa I. FEDR și Fon</w:t>
            </w:r>
            <w:r>
              <w:rPr>
                <w:lang w:val="ro-MD"/>
              </w:rPr>
              <w:t>dul de coeziune contribuie cu 30 % și, respectiv, 37 % din contribuția Uniunii la cheltuielile sprijinite pentru îndeplinirea obiectivelor climatice stabilite pentru bugetul Uniunii.</w:t>
            </w:r>
          </w:p>
          <w:p w:rsidR="002F15D7" w:rsidRDefault="006C2DA4">
            <w:pPr>
              <w:pStyle w:val="oj-normal"/>
              <w:shd w:val="clear" w:color="auto" w:fill="FFFFFF"/>
              <w:spacing w:before="240" w:after="0"/>
              <w:jc w:val="both"/>
              <w:rPr>
                <w:lang w:val="ro-MD"/>
              </w:rPr>
            </w:pPr>
            <w:r>
              <w:rPr>
                <w:lang w:val="ro-MD"/>
              </w:rPr>
              <w:t>(2)   Ținta privind contribuția în domeniul climei pentru fiecare stat me</w:t>
            </w:r>
            <w:r>
              <w:rPr>
                <w:lang w:val="ro-MD"/>
              </w:rPr>
              <w:t>mbru se stabilește ca procent din alocarea sa totală din FEDR și din Fondul de coeziune și este inclus în programe ca rezultat al tipurilor de intervenții și al defalcării financiare orientative în temeiul articolului 22 alineatul (3) litera (d) punctul (v</w:t>
            </w:r>
            <w:r>
              <w:rPr>
                <w:lang w:val="ro-MD"/>
              </w:rPr>
              <w:t>iii). Potrivit articolului 11 alineatul (1), ținta preliminară privind contribuția în domeniul climei se stabilește în acordul de parteneriat.</w:t>
            </w:r>
          </w:p>
          <w:p w:rsidR="002F15D7" w:rsidRDefault="006C2DA4">
            <w:pPr>
              <w:pStyle w:val="oj-normal"/>
              <w:shd w:val="clear" w:color="auto" w:fill="FFFFFF"/>
              <w:spacing w:before="240" w:after="0"/>
              <w:jc w:val="both"/>
              <w:rPr>
                <w:lang w:val="ro-MD"/>
              </w:rPr>
            </w:pPr>
            <w:r>
              <w:rPr>
                <w:lang w:val="ro-MD"/>
              </w:rPr>
              <w:t>(3)   Statul membru și Comisia monitorizează periodic respectarea țintelor privind contribuția în domeniul climei</w:t>
            </w:r>
            <w:r>
              <w:rPr>
                <w:lang w:val="ro-MD"/>
              </w:rPr>
              <w:t>, pe baza cheltuielilor totale eligibile declarate de beneficiari autorității de management, defalcate pe tipuri de intervenții în conformitate cu articolul 42, și pe baza datelor transmise de statul membru. În cazul în care monitorizarea indică progrese i</w:t>
            </w:r>
            <w:r>
              <w:rPr>
                <w:lang w:val="ro-MD"/>
              </w:rPr>
              <w:t xml:space="preserve">nsuficiente în direcția atingerii țintei privind contribuția în domeniul climei, statul membru și Comisia convin </w:t>
            </w:r>
            <w:r>
              <w:rPr>
                <w:lang w:val="ro-MD"/>
              </w:rPr>
              <w:lastRenderedPageBreak/>
              <w:t>asupra unor măsuri de remediere în cadrul reuniunii anuale de evaluare.</w:t>
            </w:r>
          </w:p>
          <w:p w:rsidR="002F15D7" w:rsidRDefault="006C2DA4">
            <w:pPr>
              <w:pStyle w:val="oj-normal"/>
              <w:shd w:val="clear" w:color="auto" w:fill="FFFFFF"/>
              <w:spacing w:before="240" w:after="0"/>
              <w:jc w:val="both"/>
              <w:rPr>
                <w:lang w:val="ro-MD"/>
              </w:rPr>
            </w:pPr>
            <w:r>
              <w:rPr>
                <w:lang w:val="ro-MD"/>
              </w:rPr>
              <w:t>(4)   În cazul în care nu se înregistrează progrese suficiente în direc</w:t>
            </w:r>
            <w:r>
              <w:rPr>
                <w:lang w:val="ro-MD"/>
              </w:rPr>
              <w:t>ția atingerii țintei privind contribuția în domeniul climei la nivel național până la 31 decembrie 2024, statul membru ține seama de acest lucru în evaluarea intermediară pe care o realizează în conformitate cu articolul 18 alineatul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before="240"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before="240" w:after="0"/>
              <w:jc w:val="center"/>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before="240"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lastRenderedPageBreak/>
              <w:t>Articolul 7</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Gestiunea partajată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Bugetul Uniunii alocat fondurilor este executat de statele membre și de </w:t>
            </w:r>
            <w:r>
              <w:rPr>
                <w:lang w:val="ro-MD"/>
              </w:rPr>
              <w:t>Comisie prin gestiune partajată în conformitate cu articolul 63 din Regulamentul financiar. Statele membre pregătesc și implementează programe la nivelul teritorial corespunzător, în conformitate cu cadrul lor instituțional, juridic și financiar.</w:t>
            </w:r>
          </w:p>
          <w:p w:rsidR="002F15D7" w:rsidRDefault="006C2DA4">
            <w:pPr>
              <w:pStyle w:val="oj-normal"/>
              <w:shd w:val="clear" w:color="auto" w:fill="FFFFFF"/>
              <w:spacing w:before="120" w:after="0"/>
              <w:jc w:val="both"/>
              <w:rPr>
                <w:lang w:val="ro-MD"/>
              </w:rPr>
            </w:pPr>
            <w:r>
              <w:rPr>
                <w:lang w:val="ro-MD"/>
              </w:rPr>
              <w:t xml:space="preserve">(2)   În </w:t>
            </w:r>
            <w:r>
              <w:rPr>
                <w:lang w:val="ro-MD"/>
              </w:rPr>
              <w:t>conformitate cu articolul 62 alineatul (1) primul paragraf literele (a) și (c) din Regulamentul financiar, Comisia execută prin gestiune directă sau indirectă cuantumul sprijinului din Fondul de coeziune transferat Mecanismului pentru interconectarea Europ</w:t>
            </w:r>
            <w:r>
              <w:rPr>
                <w:lang w:val="ro-MD"/>
              </w:rPr>
              <w:t xml:space="preserve">ei (MIE), Inițiativei europene privind dezvoltarea urbană și investițiilor interregionale pentru inovare, cuantumul sprijinului din FSE+ transferat cooperării transnaționale, precum și cuantumurile contribuției la Programul </w:t>
            </w:r>
            <w:proofErr w:type="spellStart"/>
            <w:r>
              <w:rPr>
                <w:lang w:val="ro-MD"/>
              </w:rPr>
              <w:t>InvestEU</w:t>
            </w:r>
            <w:proofErr w:type="spellEnd"/>
            <w:r>
              <w:rPr>
                <w:lang w:val="ro-MD"/>
              </w:rPr>
              <w:t xml:space="preserve"> și asistența tehnică ac</w:t>
            </w:r>
            <w:r>
              <w:rPr>
                <w:lang w:val="ro-MD"/>
              </w:rPr>
              <w:t>ordată la inițiativa Comisiei.</w:t>
            </w:r>
          </w:p>
          <w:p w:rsidR="002F15D7" w:rsidRDefault="006C2DA4">
            <w:pPr>
              <w:pStyle w:val="oj-normal"/>
              <w:shd w:val="clear" w:color="auto" w:fill="FFFFFF"/>
              <w:spacing w:before="120" w:after="0"/>
              <w:jc w:val="both"/>
              <w:rPr>
                <w:lang w:val="ro-MD"/>
              </w:rPr>
            </w:pPr>
            <w:r>
              <w:rPr>
                <w:lang w:val="ro-MD"/>
              </w:rPr>
              <w:t xml:space="preserve">(3)   Comisia, cu acordul statului membru și al regiunilor vizate, poate implementa cooperarea regiunilor </w:t>
            </w:r>
            <w:proofErr w:type="spellStart"/>
            <w:r>
              <w:rPr>
                <w:lang w:val="ro-MD"/>
              </w:rPr>
              <w:t>ultraperiferice</w:t>
            </w:r>
            <w:proofErr w:type="spellEnd"/>
            <w:r>
              <w:rPr>
                <w:lang w:val="ro-MD"/>
              </w:rPr>
              <w:t xml:space="preserve"> în cadrul obiectivului Cooperare teritorială europeană (</w:t>
            </w:r>
            <w:proofErr w:type="spellStart"/>
            <w:r>
              <w:rPr>
                <w:lang w:val="ro-MD"/>
              </w:rPr>
              <w:t>Interreg</w:t>
            </w:r>
            <w:proofErr w:type="spellEnd"/>
            <w:r>
              <w:rPr>
                <w:lang w:val="ro-MD"/>
              </w:rPr>
              <w:t>), prin gestiune indirectă.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w:t>
            </w:r>
            <w:r>
              <w:rPr>
                <w:rFonts w:ascii="Times New Roman" w:eastAsia="Times New Roman" w:hAnsi="Times New Roman"/>
                <w:i/>
                <w:iCs/>
                <w:sz w:val="24"/>
                <w:szCs w:val="24"/>
                <w:lang w:val="ro-MD"/>
              </w:rPr>
              <w:t>ul 8</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Parteneriat și guvernanță pe mai multe niveluri</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Pentru acordul de parteneriat și pentru</w:t>
            </w:r>
            <w:r>
              <w:rPr>
                <w:rFonts w:ascii="Times New Roman" w:eastAsia="Times New Roman" w:hAnsi="Times New Roman"/>
                <w:sz w:val="24"/>
                <w:szCs w:val="24"/>
                <w:lang w:val="ro-MD"/>
              </w:rPr>
              <w:t xml:space="preserve"> fiecare program, fiecare stat membru organizează și implementează un parteneriat cuprinzător în conformitate cu cadrul său instituțional și juridic și ținând seama de particularitățile fondurilor. Parteneriatul respectiv include cel puțin următorii parten</w:t>
            </w:r>
            <w:r>
              <w:rPr>
                <w:rFonts w:ascii="Times New Roman" w:eastAsia="Times New Roman" w:hAnsi="Times New Roman"/>
                <w:sz w:val="24"/>
                <w:szCs w:val="24"/>
                <w:lang w:val="ro-MD"/>
              </w:rPr>
              <w:t>eri: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autoritățile regionale, locale, urbane și alte autorități publice;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32"/>
              <w:gridCol w:w="3496"/>
            </w:tblGrid>
            <w:tr w:rsidR="002F15D7">
              <w:tblPrEx>
                <w:tblCellMar>
                  <w:top w:w="0" w:type="dxa"/>
                  <w:bottom w:w="0" w:type="dxa"/>
                </w:tblCellMar>
              </w:tblPrEx>
              <w:tc>
                <w:tcPr>
                  <w:tcW w:w="332"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496"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partenerii economici și sociali;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organismele relevante care reprezintă societatea civilă, cum ar fi partenerii din domeniul protecției mediului, organizațiile </w:t>
                  </w:r>
                  <w:r>
                    <w:rPr>
                      <w:rFonts w:ascii="Times New Roman" w:eastAsia="Times New Roman" w:hAnsi="Times New Roman"/>
                      <w:sz w:val="24"/>
                      <w:szCs w:val="24"/>
                      <w:lang w:val="ro-MD"/>
                    </w:rPr>
                    <w:t>neguvernamentale și organismele responsabile cu promovarea incluziunii sociale, a drepturilor fundamentale, a drepturilor persoanelor cu handicap, a egalității de gen și a nediscriminării;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organizații de cercetare și universități, după caz.</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Parteneriatul constituit în temeiul alineatului (1) de la prezentul articol funcționează în conformitate cu principiul guvernanței pe mai multe niveluri și cu o abordare ascendentă. Statul membru implică partenerii menționați la alineatul (1) în preg</w:t>
            </w:r>
            <w:r>
              <w:rPr>
                <w:rFonts w:ascii="Times New Roman" w:eastAsia="Times New Roman" w:hAnsi="Times New Roman"/>
                <w:sz w:val="24"/>
                <w:szCs w:val="24"/>
                <w:lang w:val="ro-MD"/>
              </w:rPr>
              <w:t>ătirea acordurilor de parteneriat și pe toată durata pregătirii, implementării și evaluării programelor, inclusiv prin participarea la comitetele de monitorizare în conformitate cu articolul 39.</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acest context, dacă este cazul, statele membre alocă un pr</w:t>
            </w:r>
            <w:r>
              <w:rPr>
                <w:rFonts w:ascii="Times New Roman" w:eastAsia="Times New Roman" w:hAnsi="Times New Roman"/>
                <w:sz w:val="24"/>
                <w:szCs w:val="24"/>
                <w:lang w:val="ro-MD"/>
              </w:rPr>
              <w:t>ocentaj corespunzător din resursele provenite din fonduri pentru consolidarea capacității administrative a partenerilor sociali și a organizațiilor societății civile.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(3)   Pentru programele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 parteneriatul include parteneri din toate statele membr</w:t>
            </w:r>
            <w:r>
              <w:rPr>
                <w:rFonts w:ascii="Times New Roman" w:eastAsia="Times New Roman" w:hAnsi="Times New Roman"/>
                <w:sz w:val="24"/>
                <w:szCs w:val="24"/>
                <w:lang w:val="ro-MD"/>
              </w:rPr>
              <w:t>e participante.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Organizarea și implementarea parteneriatului se efectuează în conformitate cu codul european de conduită privind parteneriatul stabilit prin Regulamentul delegat (UE) nr. 240/2014.</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(5)   Cel puțin o dată pe an, Comisia consultă organi</w:t>
            </w:r>
            <w:r>
              <w:rPr>
                <w:rFonts w:ascii="Times New Roman" w:eastAsia="Times New Roman" w:hAnsi="Times New Roman"/>
                <w:sz w:val="24"/>
                <w:szCs w:val="24"/>
                <w:lang w:val="ro-MD"/>
              </w:rPr>
              <w:t>zațiile care reprezintă partenerii la nivelul Uniunii în ceea ce privește implementarea programelor și prezintă Parlamentului European și Consiliului un raport referitor la rezultate.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Principii orizontale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w:t>
            </w:r>
            <w:r>
              <w:rPr>
                <w:rFonts w:ascii="Times New Roman" w:eastAsia="Times New Roman" w:hAnsi="Times New Roman"/>
                <w:sz w:val="24"/>
                <w:szCs w:val="24"/>
                <w:lang w:val="ro-MD" w:eastAsia="ro-RO"/>
              </w:rPr>
              <w:t xml:space="preserve">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În executarea fondurilor, statele membre și Comisia asigură respectarea drepturilor fundamentale și a Cartei drepturilor </w:t>
            </w:r>
            <w:r>
              <w:rPr>
                <w:lang w:val="ro-MD"/>
              </w:rPr>
              <w:t>fundamentale a Uniunii Europene.</w:t>
            </w:r>
          </w:p>
          <w:p w:rsidR="002F15D7" w:rsidRDefault="006C2DA4">
            <w:pPr>
              <w:pStyle w:val="oj-normal"/>
              <w:shd w:val="clear" w:color="auto" w:fill="FFFFFF"/>
              <w:spacing w:before="120" w:after="0"/>
              <w:jc w:val="both"/>
              <w:rPr>
                <w:lang w:val="ro-MD"/>
              </w:rPr>
            </w:pPr>
            <w:r>
              <w:rPr>
                <w:lang w:val="ro-MD"/>
              </w:rPr>
              <w:t>(2)   Statele membre și Comisia veghează ca egalitatea între bărbați și femei, integrarea perspectivei de gen și abordarea aspectelor de gen să fie luate în considerare și promovate pe toată durata pregătirii, implementării</w:t>
            </w:r>
            <w:r>
              <w:rPr>
                <w:lang w:val="ro-MD"/>
              </w:rPr>
              <w:t>, monitorizării și evaluării programelor și a raportării în cadrul acestora.</w:t>
            </w:r>
          </w:p>
          <w:p w:rsidR="002F15D7" w:rsidRDefault="006C2DA4">
            <w:pPr>
              <w:pStyle w:val="oj-normal"/>
              <w:shd w:val="clear" w:color="auto" w:fill="FFFFFF"/>
              <w:spacing w:before="120" w:after="0"/>
              <w:jc w:val="both"/>
              <w:rPr>
                <w:lang w:val="ro-MD"/>
              </w:rPr>
            </w:pPr>
            <w:r>
              <w:rPr>
                <w:lang w:val="ro-MD"/>
              </w:rPr>
              <w:t>(3)   Statele membre și Comisia iau măsurile necesare pentru a preveni orice formă de discriminare pe criterii de gen, origine rasială sau etnică, religie sau convingeri, handicap</w:t>
            </w:r>
            <w:r>
              <w:rPr>
                <w:lang w:val="ro-MD"/>
              </w:rPr>
              <w:t>, vârstă sau orientare sexuală în timpul pregătirii, implementării, monitorizării și evaluării programelor și al raportării în cadrul acestora. Pe toată durata pregătirii și implementării programelor se ține seama în special de accesibilitatea pentru perso</w:t>
            </w:r>
            <w:r>
              <w:rPr>
                <w:lang w:val="ro-MD"/>
              </w:rPr>
              <w:t>anele cu handicap.</w:t>
            </w:r>
          </w:p>
          <w:p w:rsidR="002F15D7" w:rsidRDefault="006C2DA4">
            <w:pPr>
              <w:pStyle w:val="oj-normal"/>
              <w:shd w:val="clear" w:color="auto" w:fill="FFFFFF"/>
              <w:spacing w:before="120" w:after="0"/>
              <w:jc w:val="both"/>
              <w:rPr>
                <w:lang w:val="ro-MD"/>
              </w:rPr>
            </w:pPr>
            <w:r>
              <w:rPr>
                <w:lang w:val="ro-MD"/>
              </w:rPr>
              <w:t>(4)   Obiectivele fondurilor sunt urmărite în conformitate cu obiectivul de promovare a dezvoltării durabile, astfel cum este prevăzut la articolul 11 din TFUE, ținând seama de obiectivele de dezvoltare durabilă ale ONU, de Acordul de la</w:t>
            </w:r>
            <w:r>
              <w:rPr>
                <w:lang w:val="ro-MD"/>
              </w:rPr>
              <w:t xml:space="preserve"> Paris și de principiul de „a nu prejudicia în mod semnificativ”.</w:t>
            </w:r>
          </w:p>
          <w:p w:rsidR="002F15D7" w:rsidRDefault="006C2DA4">
            <w:pPr>
              <w:pStyle w:val="oj-normal"/>
              <w:shd w:val="clear" w:color="auto" w:fill="FFFFFF"/>
              <w:spacing w:before="120" w:after="0"/>
              <w:jc w:val="both"/>
              <w:rPr>
                <w:lang w:val="ro-MD"/>
              </w:rPr>
            </w:pPr>
            <w:r>
              <w:rPr>
                <w:lang w:val="ro-MD"/>
              </w:rPr>
              <w:t>Obiectivele fondurilor sunt urmărite cu respectarea deplină a acquis-ului Uniunii în domeniul mediului.</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TITLUL II</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ABORDAREA STRATEGICĂ</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Acordul de parteneriat</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Pregătirea și transmiterea acordului de parteneriat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Fiecare stat membru pregătește un acord </w:t>
            </w:r>
            <w:r>
              <w:rPr>
                <w:lang w:val="ro-MD"/>
              </w:rPr>
              <w:t>de parteneriat care stabilește orientarea strategică pentru programare și modalitățile de utilizare efectivă și eficace a FEDR, a FSE+, a Fondului de coeziune, a FTJ și a FEAMPA pentru perioada 1 ianuarie 2021-31 decembrie 2027.</w:t>
            </w:r>
          </w:p>
          <w:p w:rsidR="002F15D7" w:rsidRDefault="006C2DA4">
            <w:pPr>
              <w:pStyle w:val="oj-normal"/>
              <w:shd w:val="clear" w:color="auto" w:fill="FFFFFF"/>
              <w:spacing w:before="120" w:after="0"/>
              <w:jc w:val="both"/>
              <w:rPr>
                <w:lang w:val="ro-MD"/>
              </w:rPr>
            </w:pPr>
            <w:r>
              <w:rPr>
                <w:lang w:val="ro-MD"/>
              </w:rPr>
              <w:t>(2)   Acordul de parteneria</w:t>
            </w:r>
            <w:r>
              <w:rPr>
                <w:lang w:val="ro-MD"/>
              </w:rPr>
              <w:t>t este pregătit în conformitate cu codul european de conduită privind parteneriatul. În cazul în care un stat membru prevede deja un parteneriat cuprinzător în timpul pregătirii programelor sale, respectiva cerință este considerată a fi îndeplinită.</w:t>
            </w:r>
          </w:p>
          <w:p w:rsidR="002F15D7" w:rsidRDefault="006C2DA4">
            <w:pPr>
              <w:pStyle w:val="oj-normal"/>
              <w:shd w:val="clear" w:color="auto" w:fill="FFFFFF"/>
              <w:spacing w:before="120" w:after="0"/>
              <w:jc w:val="both"/>
              <w:rPr>
                <w:lang w:val="ro-MD"/>
              </w:rPr>
            </w:pPr>
            <w:r>
              <w:rPr>
                <w:lang w:val="ro-MD"/>
              </w:rPr>
              <w:t>(3)   </w:t>
            </w:r>
            <w:r>
              <w:rPr>
                <w:lang w:val="ro-MD"/>
              </w:rPr>
              <w:t>Statul membru transmite acordul de parteneriat Comisiei înainte de prezentarea primului program sau concomitent cu aceasta.</w:t>
            </w:r>
          </w:p>
          <w:p w:rsidR="002F15D7" w:rsidRDefault="006C2DA4">
            <w:pPr>
              <w:pStyle w:val="oj-normal"/>
              <w:shd w:val="clear" w:color="auto" w:fill="FFFFFF"/>
              <w:spacing w:before="120" w:after="0"/>
              <w:jc w:val="both"/>
              <w:rPr>
                <w:lang w:val="ro-MD"/>
              </w:rPr>
            </w:pPr>
            <w:r>
              <w:rPr>
                <w:lang w:val="ro-MD"/>
              </w:rPr>
              <w:t>(4)   Acordul de parteneriat poate fi transmis împreună cu programul național de reformă anual relevant și cu planul național integr</w:t>
            </w:r>
            <w:r>
              <w:rPr>
                <w:lang w:val="ro-MD"/>
              </w:rPr>
              <w:t>at privind energia și clima.</w:t>
            </w:r>
          </w:p>
          <w:p w:rsidR="002F15D7" w:rsidRDefault="006C2DA4">
            <w:pPr>
              <w:pStyle w:val="oj-normal"/>
              <w:shd w:val="clear" w:color="auto" w:fill="FFFFFF"/>
              <w:spacing w:before="120" w:after="0"/>
              <w:jc w:val="both"/>
              <w:rPr>
                <w:lang w:val="ro-MD"/>
              </w:rPr>
            </w:pPr>
            <w:r>
              <w:rPr>
                <w:lang w:val="ro-MD"/>
              </w:rPr>
              <w:t>(5)   Acordul de parteneriat este un document strategic concis. Acesta nu depășește 35 de pagini, cu excepția cazului în care statul membru decide, din proprie inițiativă, extinderea documentului.</w:t>
            </w:r>
          </w:p>
          <w:p w:rsidR="002F15D7" w:rsidRDefault="006C2DA4">
            <w:pPr>
              <w:pStyle w:val="oj-normal"/>
              <w:shd w:val="clear" w:color="auto" w:fill="FFFFFF"/>
              <w:spacing w:before="120" w:after="0"/>
              <w:jc w:val="both"/>
              <w:rPr>
                <w:lang w:val="ro-MD"/>
              </w:rPr>
            </w:pPr>
            <w:r>
              <w:rPr>
                <w:lang w:val="ro-MD"/>
              </w:rPr>
              <w:t>(6)   Statul membru redactează</w:t>
            </w:r>
            <w:r>
              <w:rPr>
                <w:lang w:val="ro-MD"/>
              </w:rPr>
              <w:t xml:space="preserve"> acordul de parteneriat în conformitate cu modelul stabilit în anexa II. Statul membru poate include acordul de parteneriat </w:t>
            </w:r>
            <w:proofErr w:type="spellStart"/>
            <w:r>
              <w:rPr>
                <w:lang w:val="ro-MD"/>
              </w:rPr>
              <w:t>într</w:t>
            </w:r>
            <w:proofErr w:type="spellEnd"/>
            <w:r>
              <w:rPr>
                <w:lang w:val="ro-MD"/>
              </w:rPr>
              <w:t>-unul dintre programele sale.</w:t>
            </w:r>
          </w:p>
          <w:p w:rsidR="002F15D7" w:rsidRDefault="006C2DA4">
            <w:pPr>
              <w:pStyle w:val="oj-normal"/>
              <w:shd w:val="clear" w:color="auto" w:fill="FFFFFF"/>
              <w:spacing w:before="120" w:after="0"/>
              <w:jc w:val="both"/>
              <w:rPr>
                <w:lang w:val="ro-MD"/>
              </w:rPr>
            </w:pPr>
            <w:r>
              <w:rPr>
                <w:lang w:val="ro-MD"/>
              </w:rPr>
              <w:t xml:space="preserve">(7)   Programele </w:t>
            </w:r>
            <w:proofErr w:type="spellStart"/>
            <w:r>
              <w:rPr>
                <w:lang w:val="ro-MD"/>
              </w:rPr>
              <w:t>Interreg</w:t>
            </w:r>
            <w:proofErr w:type="spellEnd"/>
            <w:r>
              <w:rPr>
                <w:lang w:val="ro-MD"/>
              </w:rPr>
              <w:t xml:space="preserve"> pot fi transmise Comisiei înainte de transmiterea acordului de parteneri</w:t>
            </w:r>
            <w:r>
              <w:rPr>
                <w:lang w:val="ro-MD"/>
              </w:rPr>
              <w:t>at.</w:t>
            </w:r>
          </w:p>
          <w:p w:rsidR="002F15D7" w:rsidRDefault="006C2DA4">
            <w:pPr>
              <w:pStyle w:val="oj-normal"/>
              <w:shd w:val="clear" w:color="auto" w:fill="FFFFFF"/>
              <w:spacing w:before="120" w:after="0"/>
              <w:jc w:val="both"/>
              <w:rPr>
                <w:lang w:val="ro-MD"/>
              </w:rPr>
            </w:pPr>
            <w:r>
              <w:rPr>
                <w:lang w:val="ro-MD"/>
              </w:rPr>
              <w:t>(8)   La cererea statelor membre în cauză, BEI poate să participe la pregătirea acordului de parteneriat, precum și la activitățile în legătură cu pregătirea operațiunilor, a instrumentelor financiare și a PPP-urilor.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 xml:space="preserve">Conținutul </w:t>
            </w:r>
            <w:r>
              <w:rPr>
                <w:rFonts w:ascii="Times New Roman" w:eastAsia="Times New Roman" w:hAnsi="Times New Roman"/>
                <w:b/>
                <w:bCs/>
                <w:sz w:val="24"/>
                <w:szCs w:val="24"/>
                <w:lang w:val="ro-MD"/>
              </w:rPr>
              <w:t>acordului de parteneriat</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Acordul de parteneriat conține următoarele elemente: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obiectivele de politică selectate și obiectivul specific al FTJ, indicându-se fondurile vizate de acordul de parteneriat și programele prin intermediul cărora aceste obiective vor fi urmărite, precum și o justificare în acest sens, ținându-se cont de recom</w:t>
                  </w:r>
                  <w:r>
                    <w:rPr>
                      <w:rFonts w:ascii="Times New Roman" w:eastAsia="Times New Roman" w:hAnsi="Times New Roman"/>
                      <w:sz w:val="24"/>
                      <w:szCs w:val="24"/>
                      <w:lang w:val="ro-MD"/>
                    </w:rPr>
                    <w:t>andările relevante specifice fiecărei țări, de planul național integrat privind energia și clima, de principiile Pilonului european al drepturilor sociale și, dacă este cazul, de provocările regionale;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fiecare dintre obiectivele de politică </w:t>
                  </w:r>
                  <w:r>
                    <w:rPr>
                      <w:rFonts w:ascii="Times New Roman" w:eastAsia="Times New Roman" w:hAnsi="Times New Roman"/>
                      <w:sz w:val="24"/>
                      <w:szCs w:val="24"/>
                      <w:lang w:val="ro-MD"/>
                    </w:rPr>
                    <w:t>selectate și pentru obiectivul specific al FTJ:</w:t>
                  </w:r>
                </w:p>
                <w:tbl>
                  <w:tblPr>
                    <w:tblW w:w="5000" w:type="pct"/>
                    <w:tblCellMar>
                      <w:left w:w="10" w:type="dxa"/>
                      <w:right w:w="10" w:type="dxa"/>
                    </w:tblCellMar>
                    <w:tblLook w:val="04A0" w:firstRow="1" w:lastRow="0" w:firstColumn="1" w:lastColumn="0" w:noHBand="0" w:noVBand="1"/>
                  </w:tblPr>
                  <w:tblGrid>
                    <w:gridCol w:w="227"/>
                    <w:gridCol w:w="332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2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un rezumat al opțiunilor de politică și al principalelor rezultate preconizate pentru fiecare dintre fondurile vizate de acordul de parteneriat;</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54"/>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5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coordonarea, demarcarea și </w:t>
                        </w:r>
                        <w:proofErr w:type="spellStart"/>
                        <w:r>
                          <w:rPr>
                            <w:rFonts w:ascii="Times New Roman" w:eastAsia="Times New Roman" w:hAnsi="Times New Roman"/>
                            <w:sz w:val="24"/>
                            <w:szCs w:val="24"/>
                            <w:lang w:val="ro-MD"/>
                          </w:rPr>
                          <w:t>complementaritățile</w:t>
                        </w:r>
                        <w:proofErr w:type="spellEnd"/>
                        <w:r>
                          <w:rPr>
                            <w:rFonts w:ascii="Times New Roman" w:eastAsia="Times New Roman" w:hAnsi="Times New Roman"/>
                            <w:sz w:val="24"/>
                            <w:szCs w:val="24"/>
                            <w:lang w:val="ro-MD"/>
                          </w:rPr>
                          <w:t xml:space="preserve"> </w:t>
                        </w:r>
                        <w:r>
                          <w:rPr>
                            <w:rFonts w:ascii="Times New Roman" w:eastAsia="Times New Roman" w:hAnsi="Times New Roman"/>
                            <w:sz w:val="24"/>
                            <w:szCs w:val="24"/>
                            <w:lang w:val="ro-MD"/>
                          </w:rPr>
                          <w:t>dintre fonduri și, după caz, coordonarea dintre programele naționale și cele regionale;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188"/>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1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proofErr w:type="spellStart"/>
                        <w:r>
                          <w:rPr>
                            <w:rFonts w:ascii="Times New Roman" w:eastAsia="Times New Roman" w:hAnsi="Times New Roman"/>
                            <w:sz w:val="24"/>
                            <w:szCs w:val="24"/>
                            <w:lang w:val="ro-MD"/>
                          </w:rPr>
                          <w:t>complementaritățile</w:t>
                        </w:r>
                        <w:proofErr w:type="spellEnd"/>
                        <w:r>
                          <w:rPr>
                            <w:rFonts w:ascii="Times New Roman" w:eastAsia="Times New Roman" w:hAnsi="Times New Roman"/>
                            <w:sz w:val="24"/>
                            <w:szCs w:val="24"/>
                            <w:lang w:val="ro-MD"/>
                          </w:rPr>
                          <w:t xml:space="preserve"> și </w:t>
                        </w:r>
                        <w:proofErr w:type="spellStart"/>
                        <w:r>
                          <w:rPr>
                            <w:rFonts w:ascii="Times New Roman" w:eastAsia="Times New Roman" w:hAnsi="Times New Roman"/>
                            <w:sz w:val="24"/>
                            <w:szCs w:val="24"/>
                            <w:lang w:val="ro-MD"/>
                          </w:rPr>
                          <w:t>sinergiile</w:t>
                        </w:r>
                        <w:proofErr w:type="spellEnd"/>
                        <w:r>
                          <w:rPr>
                            <w:rFonts w:ascii="Times New Roman" w:eastAsia="Times New Roman" w:hAnsi="Times New Roman"/>
                            <w:sz w:val="24"/>
                            <w:szCs w:val="24"/>
                            <w:lang w:val="ro-MD"/>
                          </w:rPr>
                          <w:t xml:space="preserve"> dintre fondurile vizate de acordul de parteneriat, FAMI, FSI, IMFV și alte instrumente ale Uniunii, inclusiv proiectele strate</w:t>
                        </w:r>
                        <w:r>
                          <w:rPr>
                            <w:rFonts w:ascii="Times New Roman" w:eastAsia="Times New Roman" w:hAnsi="Times New Roman"/>
                            <w:sz w:val="24"/>
                            <w:szCs w:val="24"/>
                            <w:lang w:val="ro-MD"/>
                          </w:rPr>
                          <w:t>gice integrate și proiectele strategice privind natura ale programului LIFE și, după caz, proiectele finanțate în cadrul Orizont Europa;</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alocarea financiară preliminară din fiecare dintre fondurile vizate de acordul de parteneriat, defalcată pe </w:t>
                  </w:r>
                  <w:r>
                    <w:rPr>
                      <w:rFonts w:ascii="Times New Roman" w:eastAsia="Times New Roman" w:hAnsi="Times New Roman"/>
                      <w:sz w:val="24"/>
                      <w:szCs w:val="24"/>
                      <w:lang w:val="ro-MD"/>
                    </w:rPr>
                    <w:t>obiective de politică la nivel național și, dacă este cazul, la nivel regional, respectând normele specifice fiecărui fond privind concentrarea tematică și alocarea financiară preliminară pentru obiectivul specific al FTJ, inclusiv orice resurse FEDR și FS</w:t>
                  </w:r>
                  <w:r>
                    <w:rPr>
                      <w:rFonts w:ascii="Times New Roman" w:eastAsia="Times New Roman" w:hAnsi="Times New Roman"/>
                      <w:sz w:val="24"/>
                      <w:szCs w:val="24"/>
                      <w:lang w:val="ro-MD"/>
                    </w:rPr>
                    <w:t>E+ care urmează să fie transferate către FTJ în conformitate cu articolul 27;</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ținta preliminară privind contribuția în domeniul climei, în conformitate cu articolul 6 alineatul (2);</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după caz, defalcarea resurselor financiare pe categorii de </w:t>
                  </w:r>
                  <w:r>
                    <w:rPr>
                      <w:rFonts w:ascii="Times New Roman" w:eastAsia="Times New Roman" w:hAnsi="Times New Roman"/>
                      <w:sz w:val="24"/>
                      <w:szCs w:val="24"/>
                      <w:lang w:val="ro-MD"/>
                    </w:rPr>
                    <w:t>regiuni, întocmită în conformitate cu articolul 108 alineatul (2), și cuantumurile alocărilor propuse a fi transferate în temeiul articolelor 26 și 111, inclusiv o justificare a acestor transferuri;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asistența tehnică, opțiunea statului membru </w:t>
                  </w:r>
                  <w:r>
                    <w:rPr>
                      <w:rFonts w:ascii="Times New Roman" w:eastAsia="Times New Roman" w:hAnsi="Times New Roman"/>
                      <w:sz w:val="24"/>
                      <w:szCs w:val="24"/>
                      <w:lang w:val="ro-MD"/>
                    </w:rPr>
                    <w:t>cu privire la forma contribuției Uniunii în temeiul articolului 36 alineatul (3) și, după caz, alocarea financiară preliminară din fiecare dintre fondurile vizate de acordul de parteneriat la nivel național și defalcarea resurselor financiare pe programe ș</w:t>
                  </w:r>
                  <w:r>
                    <w:rPr>
                      <w:rFonts w:ascii="Times New Roman" w:eastAsia="Times New Roman" w:hAnsi="Times New Roman"/>
                      <w:sz w:val="24"/>
                      <w:szCs w:val="24"/>
                      <w:lang w:val="ro-MD"/>
                    </w:rPr>
                    <w:t>i pe categorii de regiuni;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cuantumurile contribuțiilor care urmează să fie alocate Programului </w:t>
                  </w:r>
                  <w:proofErr w:type="spellStart"/>
                  <w:r>
                    <w:rPr>
                      <w:rFonts w:ascii="Times New Roman" w:eastAsia="Times New Roman" w:hAnsi="Times New Roman"/>
                      <w:sz w:val="24"/>
                      <w:szCs w:val="24"/>
                      <w:lang w:val="ro-MD"/>
                    </w:rPr>
                    <w:t>InvestEU</w:t>
                  </w:r>
                  <w:proofErr w:type="spellEnd"/>
                  <w:r>
                    <w:rPr>
                      <w:rFonts w:ascii="Times New Roman" w:eastAsia="Times New Roman" w:hAnsi="Times New Roman"/>
                      <w:sz w:val="24"/>
                      <w:szCs w:val="24"/>
                      <w:lang w:val="ro-MD"/>
                    </w:rPr>
                    <w:t xml:space="preserve"> defalcate, după caz, pe fonduri și pe categorii de regiuni;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(h)</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lista programelor planificate în cadrul fondurilor vizate de acordul de </w:t>
                  </w:r>
                  <w:r>
                    <w:rPr>
                      <w:rFonts w:ascii="Times New Roman" w:eastAsia="Times New Roman" w:hAnsi="Times New Roman"/>
                      <w:sz w:val="24"/>
                      <w:szCs w:val="24"/>
                      <w:lang w:val="ro-MD"/>
                    </w:rPr>
                    <w:t>parteneriat, cu respectivele alocări financiare preliminare pentru fiecare fond și, după caz, contribuția națională corespunzătoare pe categorii de regiuni;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un rezumat al acțiunilor pe care statul membru în cauză intenționează să le întreprindă pentr</w:t>
                  </w:r>
                  <w:r>
                    <w:rPr>
                      <w:rFonts w:ascii="Times New Roman" w:eastAsia="Times New Roman" w:hAnsi="Times New Roman"/>
                      <w:sz w:val="24"/>
                      <w:szCs w:val="24"/>
                      <w:lang w:val="ro-MD"/>
                    </w:rPr>
                    <w:t>u a-și consolida capacitatea administrativă de execuție a fondurilor vizate de acordul de parteneriat;</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(j)</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dacă este cazul, o abordare integrată de gestionare a problemelor demografice sau a nevoilor specifice ale regiunilor și zonelor.</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În ceea ce </w:t>
            </w:r>
            <w:r>
              <w:rPr>
                <w:rFonts w:ascii="Times New Roman" w:eastAsia="Times New Roman" w:hAnsi="Times New Roman"/>
                <w:sz w:val="24"/>
                <w:szCs w:val="24"/>
                <w:lang w:val="ro-MD"/>
              </w:rPr>
              <w:t>privește obiectivul Cooperare teritorială europeană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 acordul de parteneriat conține numai o listă a programelor planificate.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(2)   Acordul de parteneriat poate conține, de asemenea, un rezumat al evaluării îndeplinirii condițiilor favorizante re</w:t>
            </w:r>
            <w:r>
              <w:rPr>
                <w:rFonts w:ascii="Times New Roman" w:eastAsia="Times New Roman" w:hAnsi="Times New Roman"/>
                <w:sz w:val="24"/>
                <w:szCs w:val="24"/>
                <w:lang w:val="ro-MD"/>
              </w:rPr>
              <w:t>levante menționate la articolul 15 și în anexele III și IV</w:t>
            </w:r>
            <w:r>
              <w:rPr>
                <w:rFonts w:ascii="Times New Roman" w:eastAsia="Times New Roman" w:hAnsi="Times New Roman"/>
                <w:sz w:val="27"/>
                <w:szCs w:val="27"/>
                <w:lang w:val="ro-MD"/>
              </w:rPr>
              <w: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360"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12</w:t>
            </w:r>
          </w:p>
          <w:p w:rsidR="002F15D7" w:rsidRDefault="006C2DA4">
            <w:pPr>
              <w:shd w:val="clear" w:color="auto" w:fill="FFFFFF"/>
              <w:suppressAutoHyphens w:val="0"/>
              <w:spacing w:before="60"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Aprobarea acordului de parteneriat</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Europeană, acestea se vor aplica direct și obligatoriu în toate </w:t>
            </w:r>
            <w:r>
              <w:rPr>
                <w:rFonts w:ascii="Times New Roman" w:eastAsia="Times New Roman" w:hAnsi="Times New Roman"/>
                <w:sz w:val="24"/>
                <w:szCs w:val="24"/>
                <w:lang w:val="ro-MD" w:eastAsia="ro-RO"/>
              </w:rPr>
              <w:t>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(1)   Comisia evaluează acordul de parteneriat și conformitatea acestuia cu prezentul regulament și cu normele specifice fiecărui fond, cu respectarea principiului proporționalității, luând în considerare caracterul strategic al documentu</w:t>
            </w:r>
            <w:r>
              <w:rPr>
                <w:lang w:val="ro-MD"/>
              </w:rPr>
              <w:t>lui, numărul de programe vizate și cuantumul total al resurselor alocate statului membru în cauză. În evaluarea sa, Comisia ia în considerare, în special, modul în care statul membru intenționează să abordeze recomandările relevante specifice fiecărei țări</w:t>
            </w:r>
            <w:r>
              <w:rPr>
                <w:lang w:val="ro-MD"/>
              </w:rPr>
              <w:t>, planul său național integrat privind energia și clima, precum și Pilonul european al drepturilor sociale.</w:t>
            </w:r>
          </w:p>
          <w:p w:rsidR="002F15D7" w:rsidRDefault="006C2DA4">
            <w:pPr>
              <w:pStyle w:val="oj-normal"/>
              <w:shd w:val="clear" w:color="auto" w:fill="FFFFFF"/>
              <w:spacing w:before="120" w:after="0"/>
              <w:jc w:val="both"/>
              <w:rPr>
                <w:lang w:val="ro-MD"/>
              </w:rPr>
            </w:pPr>
            <w:r>
              <w:rPr>
                <w:lang w:val="ro-MD"/>
              </w:rPr>
              <w:t>(2)   Comisia poate formula observații în termen de trei luni de la data prezentării acordului de parteneriat de către statul membru.</w:t>
            </w:r>
          </w:p>
          <w:p w:rsidR="002F15D7" w:rsidRDefault="006C2DA4">
            <w:pPr>
              <w:pStyle w:val="oj-normal"/>
              <w:shd w:val="clear" w:color="auto" w:fill="FFFFFF"/>
              <w:spacing w:before="120" w:after="0"/>
              <w:jc w:val="both"/>
              <w:rPr>
                <w:lang w:val="ro-MD"/>
              </w:rPr>
            </w:pPr>
            <w:r>
              <w:rPr>
                <w:lang w:val="ro-MD"/>
              </w:rPr>
              <w:t>(3)   Statul m</w:t>
            </w:r>
            <w:r>
              <w:rPr>
                <w:lang w:val="ro-MD"/>
              </w:rPr>
              <w:t>embru reexaminează acordul de parteneriat ținând seama de observațiile formulate de Comisie.</w:t>
            </w:r>
          </w:p>
          <w:p w:rsidR="002F15D7" w:rsidRDefault="006C2DA4">
            <w:pPr>
              <w:pStyle w:val="oj-normal"/>
              <w:shd w:val="clear" w:color="auto" w:fill="FFFFFF"/>
              <w:spacing w:before="120" w:after="0"/>
              <w:jc w:val="both"/>
              <w:rPr>
                <w:lang w:val="ro-MD"/>
              </w:rPr>
            </w:pPr>
            <w:r>
              <w:rPr>
                <w:lang w:val="ro-MD"/>
              </w:rPr>
              <w:t xml:space="preserve">(4)   Comisia adoptă, prin intermediul unui act de punere în aplicare, o decizie prin care aprobă acordul de parteneriat în termen de patru luni de la data primei </w:t>
            </w:r>
            <w:r>
              <w:rPr>
                <w:lang w:val="ro-MD"/>
              </w:rPr>
              <w:t>prezentări a respectivului acord de parteneriat de către statul membru în cauză.</w:t>
            </w:r>
          </w:p>
          <w:p w:rsidR="002F15D7" w:rsidRDefault="006C2DA4">
            <w:pPr>
              <w:pStyle w:val="oj-normal"/>
              <w:shd w:val="clear" w:color="auto" w:fill="FFFFFF"/>
              <w:spacing w:before="120" w:after="0"/>
              <w:jc w:val="both"/>
              <w:rPr>
                <w:lang w:val="ro-MD"/>
              </w:rPr>
            </w:pPr>
            <w:r>
              <w:rPr>
                <w:lang w:val="ro-MD"/>
              </w:rPr>
              <w:t>(5)   Atunci când acordul de parteneriat este inclus într-un program în conformitate cu articolul 10 alineatul (6), Comisia adoptă, prin intermediul unui act de punere în apli</w:t>
            </w:r>
            <w:r>
              <w:rPr>
                <w:lang w:val="ro-MD"/>
              </w:rPr>
              <w:t>care, o decizie unică prin care aprobă atât acordul de parteneriat cât și programul respectiv în termen de șase luni de la data primei prezentări a programului respectiv de către statul membru în cauză.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13</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Modificarea acordului de parteneriat</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Un stat membru poate prezenta Comisiei, până la 31 martie 2025, un acord de parteneriat </w:t>
            </w:r>
            <w:r>
              <w:rPr>
                <w:lang w:val="ro-MD"/>
              </w:rPr>
              <w:t>modificat, ținând seama de rezultatul evaluării intermediare.</w:t>
            </w:r>
          </w:p>
          <w:p w:rsidR="002F15D7" w:rsidRDefault="006C2DA4">
            <w:pPr>
              <w:pStyle w:val="oj-normal"/>
              <w:shd w:val="clear" w:color="auto" w:fill="FFFFFF"/>
              <w:spacing w:before="120" w:after="0"/>
              <w:jc w:val="both"/>
              <w:rPr>
                <w:lang w:val="ro-MD"/>
              </w:rPr>
            </w:pPr>
            <w:r>
              <w:rPr>
                <w:lang w:val="ro-MD"/>
              </w:rPr>
              <w:t>(2)   Comisia evaluează modificarea și poate formula observații în termen de trei luni de la prezentarea acordului de parteneriat modificat.</w:t>
            </w:r>
          </w:p>
          <w:p w:rsidR="002F15D7" w:rsidRDefault="006C2DA4">
            <w:pPr>
              <w:pStyle w:val="oj-normal"/>
              <w:shd w:val="clear" w:color="auto" w:fill="FFFFFF"/>
              <w:spacing w:before="120" w:after="0"/>
              <w:jc w:val="both"/>
              <w:rPr>
                <w:lang w:val="ro-MD"/>
              </w:rPr>
            </w:pPr>
            <w:r>
              <w:rPr>
                <w:lang w:val="ro-MD"/>
              </w:rPr>
              <w:t>(3)   Statul membru reexaminează acordul de parteneri</w:t>
            </w:r>
            <w:r>
              <w:rPr>
                <w:lang w:val="ro-MD"/>
              </w:rPr>
              <w:t>at modificat ținând seama de observațiile formulate de Comisie.</w:t>
            </w:r>
          </w:p>
          <w:p w:rsidR="002F15D7" w:rsidRDefault="006C2DA4">
            <w:pPr>
              <w:pStyle w:val="oj-normal"/>
              <w:shd w:val="clear" w:color="auto" w:fill="FFFFFF"/>
              <w:spacing w:before="120" w:after="0"/>
              <w:jc w:val="both"/>
              <w:rPr>
                <w:lang w:val="ro-MD"/>
              </w:rPr>
            </w:pPr>
            <w:r>
              <w:rPr>
                <w:lang w:val="ro-MD"/>
              </w:rPr>
              <w:t>(4)   Comisia aprobă modificarea unui acord de parteneriat în termen de șase luni de la prima prezentare a acesteia de către statul membru.</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14</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Utilizarea FEDR, a FSE+, a Fondului</w:t>
            </w:r>
            <w:r>
              <w:rPr>
                <w:rFonts w:ascii="Times New Roman" w:eastAsia="Times New Roman" w:hAnsi="Times New Roman"/>
                <w:b/>
                <w:bCs/>
                <w:sz w:val="24"/>
                <w:szCs w:val="24"/>
                <w:lang w:val="ro-MD"/>
              </w:rPr>
              <w:t xml:space="preserve"> de coeziune și a FEAMPA prin intermediul Programului </w:t>
            </w:r>
            <w:proofErr w:type="spellStart"/>
            <w:r>
              <w:rPr>
                <w:rFonts w:ascii="Times New Roman" w:eastAsia="Times New Roman" w:hAnsi="Times New Roman"/>
                <w:b/>
                <w:bCs/>
                <w:sz w:val="24"/>
                <w:szCs w:val="24"/>
                <w:lang w:val="ro-MD"/>
              </w:rPr>
              <w:t>InvestEU</w:t>
            </w:r>
            <w:proofErr w:type="spellEnd"/>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Statele membre pot aloca, în </w:t>
            </w:r>
            <w:r>
              <w:rPr>
                <w:lang w:val="ro-MD"/>
              </w:rPr>
              <w:t xml:space="preserve">acordul de parteneriat, un cuantum de maximum 2 % din alocarea națională inițială pentru FEDR, FSE+, Fondul de coeziune și, respectiv, FEAMPA drept contribuție care urmează a fi vărsată Programului </w:t>
            </w:r>
            <w:proofErr w:type="spellStart"/>
            <w:r>
              <w:rPr>
                <w:lang w:val="ro-MD"/>
              </w:rPr>
              <w:t>InvestEU</w:t>
            </w:r>
            <w:proofErr w:type="spellEnd"/>
            <w:r>
              <w:rPr>
                <w:lang w:val="ro-MD"/>
              </w:rPr>
              <w:t xml:space="preserve"> și furnizată prin garanția UE și Platforma de con</w:t>
            </w:r>
            <w:r>
              <w:rPr>
                <w:lang w:val="ro-MD"/>
              </w:rPr>
              <w:t xml:space="preserve">siliere </w:t>
            </w:r>
            <w:proofErr w:type="spellStart"/>
            <w:r>
              <w:rPr>
                <w:lang w:val="ro-MD"/>
              </w:rPr>
              <w:t>InvestEU</w:t>
            </w:r>
            <w:proofErr w:type="spellEnd"/>
            <w:r>
              <w:rPr>
                <w:lang w:val="ro-MD"/>
              </w:rPr>
              <w:t xml:space="preserve"> în conformitate cu articolul 10 din Regulamentul </w:t>
            </w:r>
            <w:proofErr w:type="spellStart"/>
            <w:r>
              <w:rPr>
                <w:lang w:val="ro-MD"/>
              </w:rPr>
              <w:t>InvestEU</w:t>
            </w:r>
            <w:proofErr w:type="spellEnd"/>
            <w:r>
              <w:rPr>
                <w:lang w:val="ro-MD"/>
              </w:rPr>
              <w:t>. Statele membre, cu acordul autorității de management în cauză, pot aloca un cuantum suplimentar de maximum 3 % din alocarea națională inițială a fiecăruia dintre aceste fonduri dup</w:t>
            </w:r>
            <w:r>
              <w:rPr>
                <w:lang w:val="ro-MD"/>
              </w:rPr>
              <w:t>ă 1 ianuarie 2023, prin intermediul uneia sau mai multor cereri de modificare a programului.</w:t>
            </w:r>
          </w:p>
          <w:p w:rsidR="002F15D7" w:rsidRDefault="006C2DA4">
            <w:pPr>
              <w:pStyle w:val="oj-normal"/>
              <w:shd w:val="clear" w:color="auto" w:fill="FFFFFF"/>
              <w:spacing w:before="120" w:after="0"/>
              <w:jc w:val="both"/>
              <w:rPr>
                <w:lang w:val="ro-MD"/>
              </w:rPr>
            </w:pPr>
            <w:r>
              <w:rPr>
                <w:lang w:val="ro-MD"/>
              </w:rPr>
              <w:t>Aceste cuantumuri contribuie la realizarea obiectivelor de politică selectate în acordul de parteneriat sau în program și sprijină investițiile în principal în cat</w:t>
            </w:r>
            <w:r>
              <w:rPr>
                <w:lang w:val="ro-MD"/>
              </w:rPr>
              <w:t>egoria de regiuni contribuitoare.</w:t>
            </w:r>
          </w:p>
          <w:p w:rsidR="002F15D7" w:rsidRDefault="006C2DA4">
            <w:pPr>
              <w:pStyle w:val="oj-normal"/>
              <w:shd w:val="clear" w:color="auto" w:fill="FFFFFF"/>
              <w:spacing w:before="120" w:after="0"/>
              <w:jc w:val="both"/>
              <w:rPr>
                <w:lang w:val="ro-MD"/>
              </w:rPr>
            </w:pPr>
            <w:r>
              <w:rPr>
                <w:lang w:val="ro-MD"/>
              </w:rPr>
              <w:t xml:space="preserve">Aceste contribuții sunt executate în conformitate cu normele stabilite în Regulamentul </w:t>
            </w:r>
            <w:proofErr w:type="spellStart"/>
            <w:r>
              <w:rPr>
                <w:lang w:val="ro-MD"/>
              </w:rPr>
              <w:t>InvestEU</w:t>
            </w:r>
            <w:proofErr w:type="spellEnd"/>
            <w:r>
              <w:rPr>
                <w:lang w:val="ro-MD"/>
              </w:rPr>
              <w:t xml:space="preserve"> și nu constituie transferuri de resurse în temeiul articolului 26.</w:t>
            </w:r>
          </w:p>
          <w:p w:rsidR="002F15D7" w:rsidRDefault="006C2DA4">
            <w:pPr>
              <w:pStyle w:val="oj-normal"/>
              <w:shd w:val="clear" w:color="auto" w:fill="FFFFFF"/>
              <w:spacing w:before="120" w:after="0"/>
              <w:jc w:val="both"/>
              <w:rPr>
                <w:lang w:val="ro-MD"/>
              </w:rPr>
            </w:pPr>
            <w:r>
              <w:rPr>
                <w:lang w:val="ro-MD"/>
              </w:rPr>
              <w:t>(2)   Statele membre stabilesc cuantumul total al contribuț</w:t>
            </w:r>
            <w:r>
              <w:rPr>
                <w:lang w:val="ro-MD"/>
              </w:rPr>
              <w:t>iilor pentru fiecare an, pentru fiecare fond și pentru fiecare categorie de regiune, după caz. Pentru acordul de parteneriat, pot fi alocate resurse ale anului calendaristic curent și ale anilor calendaristici viitori. În cazul în care un stat membru solic</w:t>
            </w:r>
            <w:r>
              <w:rPr>
                <w:lang w:val="ro-MD"/>
              </w:rPr>
              <w:t>ită o modificare a unui program, pot fi alocate numai resurse ale anilor calendaristici viitori.</w:t>
            </w:r>
          </w:p>
          <w:p w:rsidR="002F15D7" w:rsidRDefault="006C2DA4">
            <w:pPr>
              <w:pStyle w:val="oj-normal"/>
              <w:shd w:val="clear" w:color="auto" w:fill="FFFFFF"/>
              <w:spacing w:before="120" w:after="0"/>
              <w:jc w:val="both"/>
              <w:rPr>
                <w:lang w:val="ro-MD"/>
              </w:rPr>
            </w:pPr>
            <w:r>
              <w:rPr>
                <w:lang w:val="ro-MD"/>
              </w:rPr>
              <w:t xml:space="preserve">(3)   Cuantumurile menționate la alineatul (1) de la prezentul articol se utilizează pentru </w:t>
            </w:r>
            <w:proofErr w:type="spellStart"/>
            <w:r>
              <w:rPr>
                <w:lang w:val="ro-MD"/>
              </w:rPr>
              <w:t>provizionarea</w:t>
            </w:r>
            <w:proofErr w:type="spellEnd"/>
            <w:r>
              <w:rPr>
                <w:lang w:val="ro-MD"/>
              </w:rPr>
              <w:t xml:space="preserve"> părții din garanția UE aflate în compartimentul statu</w:t>
            </w:r>
            <w:r>
              <w:rPr>
                <w:lang w:val="ro-MD"/>
              </w:rPr>
              <w:t xml:space="preserve">lui membru și pentru Platforma de consiliere </w:t>
            </w:r>
            <w:proofErr w:type="spellStart"/>
            <w:r>
              <w:rPr>
                <w:lang w:val="ro-MD"/>
              </w:rPr>
              <w:t>InvestEU</w:t>
            </w:r>
            <w:proofErr w:type="spellEnd"/>
            <w:r>
              <w:rPr>
                <w:lang w:val="ro-MD"/>
              </w:rPr>
              <w:t xml:space="preserve"> la încheierea acordului de contribuție în conformitate cu articolul 10 alineatul (3) din Regulamentul </w:t>
            </w:r>
            <w:proofErr w:type="spellStart"/>
            <w:r>
              <w:rPr>
                <w:lang w:val="ro-MD"/>
              </w:rPr>
              <w:t>InvestEU</w:t>
            </w:r>
            <w:proofErr w:type="spellEnd"/>
            <w:r>
              <w:rPr>
                <w:lang w:val="ro-MD"/>
              </w:rPr>
              <w:t>. Angajamentele bugetare ale Uniunii pentru fiecare acord de contribuție pot fi realizate de</w:t>
            </w:r>
            <w:r>
              <w:rPr>
                <w:lang w:val="ro-MD"/>
              </w:rPr>
              <w:t xml:space="preserve"> către Comisie în tranșe anuale pe parcursul perioadei 1 ianuarie 2021-31 decembrie 2027.</w:t>
            </w:r>
          </w:p>
          <w:p w:rsidR="002F15D7" w:rsidRDefault="006C2DA4">
            <w:pPr>
              <w:pStyle w:val="oj-normal"/>
              <w:shd w:val="clear" w:color="auto" w:fill="FFFFFF"/>
              <w:spacing w:before="120" w:after="0"/>
              <w:jc w:val="both"/>
              <w:rPr>
                <w:lang w:val="ro-MD"/>
              </w:rPr>
            </w:pPr>
            <w:r>
              <w:rPr>
                <w:lang w:val="ro-MD"/>
              </w:rPr>
              <w:t>(4)   În pofida articolului 12 din Regulamentul financiar, în cazul în care, în termen de patru luni de la data deciziei Comisiei de adoptare a acordului de parteneri</w:t>
            </w:r>
            <w:r>
              <w:rPr>
                <w:lang w:val="ro-MD"/>
              </w:rPr>
              <w:t xml:space="preserve">at, nu s-a încheiat un acord de contribuție, potrivit articolului 10 alineatul (2) din Regulamentul </w:t>
            </w:r>
            <w:proofErr w:type="spellStart"/>
            <w:r>
              <w:rPr>
                <w:lang w:val="ro-MD"/>
              </w:rPr>
              <w:t>InvestEU</w:t>
            </w:r>
            <w:proofErr w:type="spellEnd"/>
            <w:r>
              <w:rPr>
                <w:lang w:val="ro-MD"/>
              </w:rPr>
              <w:t>, pentru cuantumul menționat la alineatul (1) de la prezentul articol, alocat în acordul de parteneriat, cuantumul corespunzător se alocă unui progr</w:t>
            </w:r>
            <w:r>
              <w:rPr>
                <w:lang w:val="ro-MD"/>
              </w:rPr>
              <w:t>am sau unor programe din cadrul fondului contribuitor și al categoriei de regiuni, după caz, în urma unei cereri din partea statului membru.</w:t>
            </w:r>
          </w:p>
          <w:p w:rsidR="002F15D7" w:rsidRDefault="006C2DA4">
            <w:pPr>
              <w:pStyle w:val="oj-normal"/>
              <w:shd w:val="clear" w:color="auto" w:fill="FFFFFF"/>
              <w:spacing w:before="120" w:after="0"/>
              <w:jc w:val="both"/>
              <w:rPr>
                <w:lang w:val="ro-MD"/>
              </w:rPr>
            </w:pPr>
            <w:r>
              <w:rPr>
                <w:lang w:val="ro-MD"/>
              </w:rPr>
              <w:t>Acordul de contribuție pentru cuantumurile menționate la alineatul (1), alocate în cererea de modificare a unui pro</w:t>
            </w:r>
            <w:r>
              <w:rPr>
                <w:lang w:val="ro-MD"/>
              </w:rPr>
              <w:t>gram, se încheie simultan cu adoptarea deciziei de modificare a programului.</w:t>
            </w:r>
          </w:p>
          <w:p w:rsidR="002F15D7" w:rsidRDefault="006C2DA4">
            <w:pPr>
              <w:pStyle w:val="oj-normal"/>
              <w:shd w:val="clear" w:color="auto" w:fill="FFFFFF"/>
              <w:spacing w:before="120" w:after="0"/>
              <w:jc w:val="both"/>
              <w:rPr>
                <w:lang w:val="ro-MD"/>
              </w:rPr>
            </w:pPr>
            <w:r>
              <w:rPr>
                <w:lang w:val="ro-MD"/>
              </w:rPr>
              <w:t>(5)   În cazul în care, în termen de nouă luni de la încheierea acordului de contribuție, nu s-a încheiat un acord de garanție, în conformitate cu articolul 10 alineatul (4) al do</w:t>
            </w:r>
            <w:r>
              <w:rPr>
                <w:lang w:val="ro-MD"/>
              </w:rPr>
              <w:t xml:space="preserve">ilea paragraf din Regulamentul </w:t>
            </w:r>
            <w:proofErr w:type="spellStart"/>
            <w:r>
              <w:rPr>
                <w:lang w:val="ro-MD"/>
              </w:rPr>
              <w:t>InvestEU</w:t>
            </w:r>
            <w:proofErr w:type="spellEnd"/>
            <w:r>
              <w:rPr>
                <w:lang w:val="ro-MD"/>
              </w:rPr>
              <w:t>, acordul de contribuție se reziliază sau se prelungește de comun acord.</w:t>
            </w:r>
          </w:p>
          <w:p w:rsidR="002F15D7" w:rsidRDefault="006C2DA4">
            <w:pPr>
              <w:pStyle w:val="oj-normal"/>
              <w:shd w:val="clear" w:color="auto" w:fill="FFFFFF"/>
              <w:spacing w:before="120" w:after="0"/>
              <w:jc w:val="both"/>
              <w:rPr>
                <w:lang w:val="ro-MD"/>
              </w:rPr>
            </w:pPr>
            <w:r>
              <w:rPr>
                <w:lang w:val="ro-MD"/>
              </w:rPr>
              <w:t xml:space="preserve">În cazul în care participarea unui stat membru la Fondul </w:t>
            </w:r>
            <w:proofErr w:type="spellStart"/>
            <w:r>
              <w:rPr>
                <w:lang w:val="ro-MD"/>
              </w:rPr>
              <w:t>InvestEU</w:t>
            </w:r>
            <w:proofErr w:type="spellEnd"/>
            <w:r>
              <w:rPr>
                <w:lang w:val="ro-MD"/>
              </w:rPr>
              <w:t xml:space="preserve"> este întreruptă, cuantumurile în cauză plătite fondului comun de </w:t>
            </w:r>
            <w:proofErr w:type="spellStart"/>
            <w:r>
              <w:rPr>
                <w:lang w:val="ro-MD"/>
              </w:rPr>
              <w:t>provizionare</w:t>
            </w:r>
            <w:proofErr w:type="spellEnd"/>
            <w:r>
              <w:rPr>
                <w:lang w:val="ro-MD"/>
              </w:rPr>
              <w:t xml:space="preserve"> </w:t>
            </w:r>
            <w:r>
              <w:rPr>
                <w:lang w:val="ro-MD"/>
              </w:rPr>
              <w:t>cu titlu de provizion se recuperează ca venituri alocate interne în temeiul articolului 21 alineatul (5) din Regulamentul financiar. Statul membru în cauză depune o cerere pentru una sau mai multe modificări ale programului pentru a utiliza cuantumurile re</w:t>
            </w:r>
            <w:r>
              <w:rPr>
                <w:lang w:val="ro-MD"/>
              </w:rPr>
              <w:t>cuperate și cuantumurile alocate anilor calendaristici viitori în conformitate cu alineatul (2) de la prezentul articol. Rezilierea sau modificarea acordului de contribuție se încheie simultan cu adoptarea deciziilor de modificare a programului sau program</w:t>
            </w:r>
            <w:r>
              <w:rPr>
                <w:lang w:val="ro-MD"/>
              </w:rPr>
              <w:t>elor în cauză.</w:t>
            </w:r>
          </w:p>
          <w:p w:rsidR="002F15D7" w:rsidRDefault="006C2DA4">
            <w:pPr>
              <w:pStyle w:val="oj-normal"/>
              <w:shd w:val="clear" w:color="auto" w:fill="FFFFFF"/>
              <w:spacing w:before="120" w:after="0"/>
              <w:jc w:val="both"/>
              <w:rPr>
                <w:lang w:val="ro-MD"/>
              </w:rPr>
            </w:pPr>
            <w:r>
              <w:rPr>
                <w:lang w:val="ro-MD"/>
              </w:rPr>
              <w:t xml:space="preserve">(6)   În cazul în care un acord de garanție, în conformitate cu articolul 10 alineatul (4) al treilea paragraf din Regulamentul </w:t>
            </w:r>
            <w:proofErr w:type="spellStart"/>
            <w:r>
              <w:rPr>
                <w:lang w:val="ro-MD"/>
              </w:rPr>
              <w:t>InvestEU</w:t>
            </w:r>
            <w:proofErr w:type="spellEnd"/>
            <w:r>
              <w:rPr>
                <w:lang w:val="ro-MD"/>
              </w:rPr>
              <w:t>, nu a fost pus în aplicare în mod corespunzător în termen de patru ani de la încheierea sa, acordul de c</w:t>
            </w:r>
            <w:r>
              <w:rPr>
                <w:lang w:val="ro-MD"/>
              </w:rPr>
              <w:t>ontribuție se modifică. Statul membru poate solicita ca cuantumurile care au fost plătite cu titlu de contribuții la garanția UE în temeiul alineatului (1) de la prezentul articol și sunt angajate în acordul de garanție, dar care nu acoperă împrumuturi sup</w:t>
            </w:r>
            <w:r>
              <w:rPr>
                <w:lang w:val="ro-MD"/>
              </w:rPr>
              <w:t>ort, investiții de capital sau alte instrumente purtătoare de risc, să fie tratate în conformitate cu alineatul (5) de la prezentul articol.</w:t>
            </w:r>
          </w:p>
          <w:p w:rsidR="002F15D7" w:rsidRDefault="006C2DA4">
            <w:pPr>
              <w:pStyle w:val="oj-normal"/>
              <w:shd w:val="clear" w:color="auto" w:fill="FFFFFF"/>
              <w:spacing w:before="120" w:after="0"/>
              <w:jc w:val="both"/>
              <w:rPr>
                <w:lang w:val="ro-MD"/>
              </w:rPr>
            </w:pPr>
            <w:r>
              <w:rPr>
                <w:lang w:val="ro-MD"/>
              </w:rPr>
              <w:t xml:space="preserve">(7)   Resursele generate sau atribuibile cuantumurilor plătite cu titlu de contribuții la garanția UE sunt puse la </w:t>
            </w:r>
            <w:r>
              <w:rPr>
                <w:lang w:val="ro-MD"/>
              </w:rPr>
              <w:t xml:space="preserve">dispoziția statelor membre în conformitate cu articolul 10 alineatul (5) litera (a) din Regulamentul </w:t>
            </w:r>
            <w:proofErr w:type="spellStart"/>
            <w:r>
              <w:rPr>
                <w:lang w:val="ro-MD"/>
              </w:rPr>
              <w:t>InvestEU</w:t>
            </w:r>
            <w:proofErr w:type="spellEnd"/>
            <w:r>
              <w:rPr>
                <w:lang w:val="ro-MD"/>
              </w:rPr>
              <w:t xml:space="preserve"> și sunt utilizate pentru acordarea de sprijin în cadrul aceluiași obiectiv sau al acelorași obiective, sub formă de instrumente financiare sau de </w:t>
            </w:r>
            <w:r>
              <w:rPr>
                <w:lang w:val="ro-MD"/>
              </w:rPr>
              <w:t>garanții bugetare.</w:t>
            </w:r>
          </w:p>
          <w:p w:rsidR="002F15D7" w:rsidRDefault="006C2DA4">
            <w:pPr>
              <w:pStyle w:val="oj-normal"/>
              <w:shd w:val="clear" w:color="auto" w:fill="FFFFFF"/>
              <w:spacing w:before="120" w:after="0"/>
              <w:jc w:val="both"/>
              <w:rPr>
                <w:lang w:val="ro-MD"/>
              </w:rPr>
            </w:pPr>
            <w:r>
              <w:rPr>
                <w:lang w:val="ro-MD"/>
              </w:rPr>
              <w:t xml:space="preserve">(8)   Pentru cuantumurile care urmează să fie reutilizate în cadrul unui program în conformitate cu alineatele (4), (5) și (6) de la prezentul articol, termenul de dezangajare, astfel cum este prevăzut la articolul 105 alineatul (1), </w:t>
            </w:r>
            <w:r>
              <w:rPr>
                <w:lang w:val="ro-MD"/>
              </w:rPr>
              <w:t>începe în anul în care sunt realizate angajamentele bugetare corespunzătoare.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Condiții favorizante și cadru de performanță</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15</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Condiții favorizante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w:t>
            </w:r>
            <w:r>
              <w:rPr>
                <w:rFonts w:ascii="Times New Roman" w:eastAsia="Times New Roman" w:hAnsi="Times New Roman"/>
                <w:sz w:val="24"/>
                <w:szCs w:val="24"/>
                <w:lang w:val="ro-MD" w:eastAsia="ro-RO"/>
              </w:rPr>
              <w:t>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(1)   Prezentul regulament prevede condiții favorizante pentru obiectivele specifice.</w:t>
            </w:r>
          </w:p>
          <w:p w:rsidR="002F15D7" w:rsidRDefault="006C2DA4">
            <w:pPr>
              <w:pStyle w:val="oj-normal"/>
              <w:shd w:val="clear" w:color="auto" w:fill="FFFFFF"/>
              <w:spacing w:before="120" w:after="0"/>
              <w:jc w:val="both"/>
              <w:rPr>
                <w:lang w:val="ro-MD"/>
              </w:rPr>
            </w:pPr>
            <w:r>
              <w:rPr>
                <w:lang w:val="ro-MD"/>
              </w:rPr>
              <w:t xml:space="preserve">Anexa III conține condiții favorizante orizontale aplicabile tuturor obiectivelor </w:t>
            </w:r>
            <w:r>
              <w:rPr>
                <w:lang w:val="ro-MD"/>
              </w:rPr>
              <w:t>specifice, precum și criteriile necesare pentru evaluarea îndeplinirii acestora.</w:t>
            </w:r>
          </w:p>
          <w:p w:rsidR="002F15D7" w:rsidRDefault="006C2DA4">
            <w:pPr>
              <w:pStyle w:val="oj-normal"/>
              <w:shd w:val="clear" w:color="auto" w:fill="FFFFFF"/>
              <w:spacing w:before="120" w:after="0"/>
              <w:jc w:val="both"/>
              <w:rPr>
                <w:lang w:val="ro-MD"/>
              </w:rPr>
            </w:pPr>
            <w:r>
              <w:rPr>
                <w:lang w:val="ro-MD"/>
              </w:rPr>
              <w:t>Anexa IV conține condiții favorizante tematice pentru FEDR, FSE+ și Fondul de coeziune, precum și criteriile necesare pentru evaluarea îndeplinirii acestora.</w:t>
            </w:r>
          </w:p>
          <w:p w:rsidR="002F15D7" w:rsidRDefault="006C2DA4">
            <w:pPr>
              <w:pStyle w:val="oj-normal"/>
              <w:shd w:val="clear" w:color="auto" w:fill="FFFFFF"/>
              <w:spacing w:before="120" w:after="0"/>
              <w:jc w:val="both"/>
              <w:rPr>
                <w:lang w:val="ro-MD"/>
              </w:rPr>
            </w:pPr>
            <w:r>
              <w:rPr>
                <w:lang w:val="ro-MD"/>
              </w:rPr>
              <w:t>Condiția favoriza</w:t>
            </w:r>
            <w:r>
              <w:rPr>
                <w:lang w:val="ro-MD"/>
              </w:rPr>
              <w:t>ntă privind instrumentele și capacitatea de aplicare efectivă a normelor privind ajutoarele de stat nu este aplicabilă programelor sprijinite din FAMI, FSI sau de IMFV.</w:t>
            </w:r>
          </w:p>
          <w:p w:rsidR="002F15D7" w:rsidRDefault="006C2DA4">
            <w:pPr>
              <w:pStyle w:val="oj-normal"/>
              <w:shd w:val="clear" w:color="auto" w:fill="FFFFFF"/>
              <w:spacing w:before="120" w:after="0"/>
              <w:jc w:val="both"/>
              <w:rPr>
                <w:lang w:val="ro-MD"/>
              </w:rPr>
            </w:pPr>
            <w:r>
              <w:rPr>
                <w:lang w:val="ro-MD"/>
              </w:rPr>
              <w:t>(2)   Atunci când pregătește un program sau introduce un nou obiectiv specific ca parte</w:t>
            </w:r>
            <w:r>
              <w:rPr>
                <w:lang w:val="ro-MD"/>
              </w:rPr>
              <w:t xml:space="preserve"> a modificării unui program, statul membru evaluează dacă sunt îndeplinite condițiile favorizante în legătură cu obiectivul specific selectat. O condiție favorizantă este îndeplinită atunci când sunt respectate toate criteriile aferente. Statul membru iden</w:t>
            </w:r>
            <w:r>
              <w:rPr>
                <w:lang w:val="ro-MD"/>
              </w:rPr>
              <w:t>tifică, în fiecare program sau în modificarea programului, condițiile favorizante îndeplinite și cele neîndeplinite și furnizează o justificare atunci când consideră că o condiție favorizantă a fost îndeplinită.</w:t>
            </w:r>
          </w:p>
          <w:p w:rsidR="002F15D7" w:rsidRDefault="006C2DA4">
            <w:pPr>
              <w:pStyle w:val="oj-normal"/>
              <w:shd w:val="clear" w:color="auto" w:fill="FFFFFF"/>
              <w:spacing w:before="120" w:after="0"/>
              <w:jc w:val="both"/>
              <w:rPr>
                <w:lang w:val="ro-MD"/>
              </w:rPr>
            </w:pPr>
            <w:r>
              <w:rPr>
                <w:lang w:val="ro-MD"/>
              </w:rPr>
              <w:t xml:space="preserve">(3)   Atunci când o condiție favorizantă nu </w:t>
            </w:r>
            <w:r>
              <w:rPr>
                <w:lang w:val="ro-MD"/>
              </w:rPr>
              <w:t>este îndeplinită la momentul aprobării programului sau al modificării programului, statul membru informează Comisia de îndată ce consideră că respectiva condiție a fost îndeplinită și furnizează dovada îndeplinirii acesteia.</w:t>
            </w:r>
          </w:p>
          <w:p w:rsidR="002F15D7" w:rsidRDefault="006C2DA4">
            <w:pPr>
              <w:pStyle w:val="oj-normal"/>
              <w:shd w:val="clear" w:color="auto" w:fill="FFFFFF"/>
              <w:spacing w:before="120" w:after="0"/>
              <w:jc w:val="both"/>
              <w:rPr>
                <w:lang w:val="ro-MD"/>
              </w:rPr>
            </w:pPr>
            <w:r>
              <w:rPr>
                <w:lang w:val="ro-MD"/>
              </w:rPr>
              <w:t>(4)   Cât mai curând posibil, d</w:t>
            </w:r>
            <w:r>
              <w:rPr>
                <w:lang w:val="ro-MD"/>
              </w:rPr>
              <w:t>ar în cel mult trei luni de la primirea informațiilor menționate la alineatul (3), Comisia efectuează o evaluare și informează statul membru în cazul în care este de acord cu statul membru cu privire la îndeplinirea condiției favorizante.</w:t>
            </w:r>
          </w:p>
          <w:p w:rsidR="002F15D7" w:rsidRDefault="006C2DA4">
            <w:pPr>
              <w:pStyle w:val="oj-normal"/>
              <w:shd w:val="clear" w:color="auto" w:fill="FFFFFF"/>
              <w:spacing w:before="120" w:after="0"/>
              <w:jc w:val="both"/>
              <w:rPr>
                <w:lang w:val="ro-MD"/>
              </w:rPr>
            </w:pPr>
            <w:r>
              <w:rPr>
                <w:lang w:val="ro-MD"/>
              </w:rPr>
              <w:t xml:space="preserve">În cazul în care </w:t>
            </w:r>
            <w:r>
              <w:rPr>
                <w:lang w:val="ro-MD"/>
              </w:rPr>
              <w:t>nu este de acord cu statul membru cu privire la îndeplinirea condiției favorizante, Comisia informează statul membru și transmite propria evaluare.</w:t>
            </w:r>
          </w:p>
          <w:p w:rsidR="002F15D7" w:rsidRDefault="006C2DA4">
            <w:pPr>
              <w:pStyle w:val="oj-normal"/>
              <w:shd w:val="clear" w:color="auto" w:fill="FFFFFF"/>
              <w:spacing w:before="120" w:after="0"/>
              <w:jc w:val="both"/>
              <w:rPr>
                <w:lang w:val="ro-MD"/>
              </w:rPr>
            </w:pPr>
            <w:r>
              <w:rPr>
                <w:lang w:val="ro-MD"/>
              </w:rPr>
              <w:t xml:space="preserve">În cazul în care statul membru nu este de acord cu evaluarea Comisiei, acesta își prezintă observațiile în </w:t>
            </w:r>
            <w:r>
              <w:rPr>
                <w:lang w:val="ro-MD"/>
              </w:rPr>
              <w:t>termen de o lună, iar Comisia procedează în conformitate cu primul paragraf.</w:t>
            </w:r>
          </w:p>
          <w:p w:rsidR="002F15D7" w:rsidRDefault="006C2DA4">
            <w:pPr>
              <w:pStyle w:val="oj-normal"/>
              <w:shd w:val="clear" w:color="auto" w:fill="FFFFFF"/>
              <w:spacing w:before="120" w:after="0"/>
              <w:jc w:val="both"/>
              <w:rPr>
                <w:lang w:val="ro-MD"/>
              </w:rPr>
            </w:pPr>
            <w:r>
              <w:rPr>
                <w:lang w:val="ro-MD"/>
              </w:rPr>
              <w:t>În cazul în care statul membru acceptă evaluarea Comisiei, aceasta procedează în conformitate cu alineatul (3).</w:t>
            </w:r>
          </w:p>
          <w:p w:rsidR="002F15D7" w:rsidRDefault="006C2DA4">
            <w:pPr>
              <w:pStyle w:val="oj-normal"/>
              <w:shd w:val="clear" w:color="auto" w:fill="FFFFFF"/>
              <w:spacing w:before="120" w:after="0"/>
              <w:jc w:val="both"/>
              <w:rPr>
                <w:lang w:val="ro-MD"/>
              </w:rPr>
            </w:pPr>
            <w:r>
              <w:rPr>
                <w:lang w:val="ro-MD"/>
              </w:rPr>
              <w:t xml:space="preserve">(5)   Fără a aduce atingere articolului 105, cheltuielile aferente </w:t>
            </w:r>
            <w:r>
              <w:rPr>
                <w:lang w:val="ro-MD"/>
              </w:rPr>
              <w:t xml:space="preserve">unor operațiuni în legătură cu obiectivul specific pot fi incluse în cererile de plată, dar nu se rambursează de către Comisie până când aceasta nu a informat statul membru cu privire la îndeplinirea condiției favorizante în temeiul alineatului (4) primul </w:t>
            </w:r>
            <w:r>
              <w:rPr>
                <w:lang w:val="ro-MD"/>
              </w:rPr>
              <w:t>paragraf de la prezentul articol.</w:t>
            </w:r>
          </w:p>
          <w:p w:rsidR="002F15D7" w:rsidRDefault="006C2DA4">
            <w:pPr>
              <w:pStyle w:val="oj-normal"/>
              <w:shd w:val="clear" w:color="auto" w:fill="FFFFFF"/>
              <w:spacing w:before="120" w:after="0"/>
              <w:jc w:val="both"/>
              <w:rPr>
                <w:lang w:val="ro-MD"/>
              </w:rPr>
            </w:pPr>
            <w:r>
              <w:rPr>
                <w:lang w:val="ro-MD"/>
              </w:rPr>
              <w:t>Primul paragraf nu se aplică operațiunilor care contribuie la îndeplinirea condiției favorizante corespunzătoare.</w:t>
            </w:r>
          </w:p>
          <w:p w:rsidR="002F15D7" w:rsidRDefault="006C2DA4">
            <w:pPr>
              <w:pStyle w:val="oj-normal"/>
              <w:shd w:val="clear" w:color="auto" w:fill="FFFFFF"/>
              <w:spacing w:before="120" w:after="0"/>
              <w:jc w:val="both"/>
              <w:rPr>
                <w:lang w:val="ro-MD"/>
              </w:rPr>
            </w:pPr>
            <w:r>
              <w:rPr>
                <w:lang w:val="ro-MD"/>
              </w:rPr>
              <w:t>(6)   Statul membru se asigură de îndeplinirea și de respectarea condițiilor favorizante pe întreg parcursul</w:t>
            </w:r>
            <w:r>
              <w:rPr>
                <w:lang w:val="ro-MD"/>
              </w:rPr>
              <w:t xml:space="preserve"> perioadei de programare. El informează Comisia în legătură cu orice modificare care are un impact asupra îndeplinirii condițiilor favorizante.</w:t>
            </w:r>
          </w:p>
          <w:p w:rsidR="002F15D7" w:rsidRDefault="006C2DA4">
            <w:pPr>
              <w:pStyle w:val="oj-normal"/>
              <w:shd w:val="clear" w:color="auto" w:fill="FFFFFF"/>
              <w:spacing w:before="120" w:after="0"/>
              <w:jc w:val="both"/>
              <w:rPr>
                <w:lang w:val="ro-MD"/>
              </w:rPr>
            </w:pPr>
            <w:r>
              <w:rPr>
                <w:lang w:val="ro-MD"/>
              </w:rPr>
              <w:t xml:space="preserve">Atunci când consideră că o condiție favorizantă nu mai este îndeplinită, Comisia informează statul membru </w:t>
            </w:r>
            <w:r>
              <w:rPr>
                <w:lang w:val="ro-MD"/>
              </w:rPr>
              <w:t>transmițându-i propria evaluare. Ulterior, se aplică procedura prevăzută la alineatul (4) al doilea și al treilea paragraf.</w:t>
            </w:r>
          </w:p>
          <w:p w:rsidR="002F15D7" w:rsidRDefault="006C2DA4">
            <w:pPr>
              <w:pStyle w:val="oj-normal"/>
              <w:shd w:val="clear" w:color="auto" w:fill="FFFFFF"/>
              <w:spacing w:before="120" w:after="0"/>
              <w:jc w:val="both"/>
              <w:rPr>
                <w:lang w:val="ro-MD"/>
              </w:rPr>
            </w:pPr>
            <w:r>
              <w:rPr>
                <w:lang w:val="ro-MD"/>
              </w:rPr>
              <w:t>Fără a se aduce atingere articolului 105, în cazul în care, pe baza observațiilor statului membru, Comisia concluzionează că neîndep</w:t>
            </w:r>
            <w:r>
              <w:rPr>
                <w:lang w:val="ro-MD"/>
              </w:rPr>
              <w:t xml:space="preserve">linirea condiției favorizante persistă, cheltuielile în legătură cu obiectivul specific în cauză pot fi incluse în cererile de plată, dar nu se rambursează de către Comisie până când aceasta nu a informat statul membru cu privire la îndeplinirea condiției </w:t>
            </w:r>
            <w:r>
              <w:rPr>
                <w:lang w:val="ro-MD"/>
              </w:rPr>
              <w:t>favorizante în temeiul alineatului (4) primul paragraf de la prezentul articol.</w:t>
            </w:r>
          </w:p>
          <w:p w:rsidR="002F15D7" w:rsidRDefault="006C2DA4">
            <w:pPr>
              <w:pStyle w:val="oj-normal"/>
              <w:shd w:val="clear" w:color="auto" w:fill="FFFFFF"/>
              <w:spacing w:before="120" w:after="0"/>
              <w:jc w:val="both"/>
              <w:rPr>
                <w:lang w:val="ro-MD"/>
              </w:rPr>
            </w:pPr>
            <w:r>
              <w:rPr>
                <w:lang w:val="ro-MD"/>
              </w:rPr>
              <w:t>(7)   Anexa IV nu se aplică priorităților sprijinite din FTJ sau resurselor FEDR și FSE+ care sunt transferate către FTJ în conformitate cu articolul 27.</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360"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16</w:t>
            </w:r>
          </w:p>
          <w:p w:rsidR="002F15D7" w:rsidRDefault="006C2DA4">
            <w:pPr>
              <w:shd w:val="clear" w:color="auto" w:fill="FFFFFF"/>
              <w:suppressAutoHyphens w:val="0"/>
              <w:spacing w:before="60" w:after="120"/>
              <w:jc w:val="center"/>
            </w:pPr>
            <w:r>
              <w:rPr>
                <w:rFonts w:ascii="Times New Roman" w:eastAsia="Times New Roman" w:hAnsi="Times New Roman"/>
                <w:b/>
                <w:bCs/>
                <w:sz w:val="24"/>
                <w:szCs w:val="24"/>
                <w:lang w:val="ro-MD"/>
              </w:rPr>
              <w:t>Cadrul de performanță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Fiecare stat membru stabilește un cadru de performanță pentru a permite</w:t>
            </w:r>
            <w:r>
              <w:rPr>
                <w:rFonts w:ascii="Times New Roman" w:eastAsia="Times New Roman" w:hAnsi="Times New Roman"/>
                <w:sz w:val="24"/>
                <w:szCs w:val="24"/>
                <w:lang w:val="ro-MD"/>
              </w:rPr>
              <w:t xml:space="preserve"> monitorizarea, raportarea și evaluarea performanțelor programului în cursul implementării acestuia și pentru a contribui la măsurarea performanțelor globale ale fondurilor.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Cadrul de performanță constă în:</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indicatorii de realizare și de rezultat </w:t>
                  </w:r>
                  <w:r>
                    <w:rPr>
                      <w:rFonts w:ascii="Times New Roman" w:eastAsia="Times New Roman" w:hAnsi="Times New Roman"/>
                      <w:sz w:val="24"/>
                      <w:szCs w:val="24"/>
                      <w:lang w:val="ro-MD"/>
                    </w:rPr>
                    <w:t>legați de obiectivele specifice stabilite în regulamentele specifice fiecărui fond, selectate pentru program;</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obiectivele de etapă care trebuie să fie atinse până la finele anului 2024 în ceea ce privește indicatorii de realizare; și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țintele </w:t>
                  </w:r>
                  <w:r>
                    <w:rPr>
                      <w:rFonts w:ascii="Times New Roman" w:eastAsia="Times New Roman" w:hAnsi="Times New Roman"/>
                      <w:sz w:val="24"/>
                      <w:szCs w:val="24"/>
                      <w:lang w:val="ro-MD"/>
                    </w:rPr>
                    <w:t>care trebuie să fie atinse până la finele anului 2029 pentru indicatorii de realizare și de rezultat.</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(2)   Obiectivele de etapă și țintele se stabilesc în legătură cu fiecare obiectiv specific din cadrul unui program, cu excepția asistenței tehnice și a </w:t>
            </w:r>
            <w:r>
              <w:rPr>
                <w:rFonts w:ascii="Times New Roman" w:eastAsia="Times New Roman" w:hAnsi="Times New Roman"/>
                <w:sz w:val="24"/>
                <w:szCs w:val="24"/>
                <w:lang w:val="ro-MD"/>
              </w:rPr>
              <w:t xml:space="preserve">obiectivului specific care abordează </w:t>
            </w:r>
            <w:proofErr w:type="spellStart"/>
            <w:r>
              <w:rPr>
                <w:rFonts w:ascii="Times New Roman" w:eastAsia="Times New Roman" w:hAnsi="Times New Roman"/>
                <w:sz w:val="24"/>
                <w:szCs w:val="24"/>
                <w:lang w:val="ro-MD"/>
              </w:rPr>
              <w:t>deprivarea</w:t>
            </w:r>
            <w:proofErr w:type="spellEnd"/>
            <w:r>
              <w:rPr>
                <w:rFonts w:ascii="Times New Roman" w:eastAsia="Times New Roman" w:hAnsi="Times New Roman"/>
                <w:sz w:val="24"/>
                <w:szCs w:val="24"/>
                <w:lang w:val="ro-MD"/>
              </w:rPr>
              <w:t xml:space="preserve"> materială prevăzut la articolul 4 alineatul (1) litera (m) din Regulamentul FSE+.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(3)   Obiectivele de etapă și țintele permit Comisiei și statelor membre să măsoare progresele înregistrate în direcția </w:t>
            </w:r>
            <w:r>
              <w:rPr>
                <w:rFonts w:ascii="Times New Roman" w:eastAsia="Times New Roman" w:hAnsi="Times New Roman"/>
                <w:sz w:val="24"/>
                <w:szCs w:val="24"/>
                <w:lang w:val="ro-MD"/>
              </w:rPr>
              <w:t>îndeplinirii obiectivelor specifice. Acestea trebuie să îndeplinească cerințele prevăzute la articolul 33 alineatul (3) din Regulamentul financiar.</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17</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Metodologia pentru stabilirea cadrului de performanță</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w:t>
            </w:r>
            <w:r>
              <w:rPr>
                <w:rFonts w:ascii="Times New Roman" w:eastAsia="Times New Roman" w:hAnsi="Times New Roman"/>
                <w:sz w:val="24"/>
                <w:szCs w:val="24"/>
                <w:lang w:val="ro-MD" w:eastAsia="ro-RO"/>
              </w:rPr>
              <w:t xml:space="preserve">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Metodologia de stabilire a cadrului de performanță cuprinde: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criteriile aplicate de statul membru pentru selectarea </w:t>
                  </w:r>
                  <w:r>
                    <w:rPr>
                      <w:rFonts w:ascii="Times New Roman" w:eastAsia="Times New Roman" w:hAnsi="Times New Roman"/>
                      <w:sz w:val="24"/>
                      <w:szCs w:val="24"/>
                      <w:lang w:val="ro-MD"/>
                    </w:rPr>
                    <w:t>indicatorilor;</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datele sau dovezile utilizate, asigurarea calității datelor și metoda de calcul;</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factorii care pot influența îndeplinirea obiectivelor de etapă și a țintelor, precum și modul în care s-a ținut cont de aceștia.</w:t>
                  </w:r>
                </w:p>
              </w:tc>
            </w:tr>
          </w:tbl>
          <w:p w:rsidR="002F15D7" w:rsidRDefault="006C2DA4">
            <w:pPr>
              <w:shd w:val="clear" w:color="auto" w:fill="FFFFFF"/>
              <w:suppressAutoHyphens w:val="0"/>
              <w:spacing w:before="120" w:after="0"/>
              <w:jc w:val="both"/>
            </w:pPr>
            <w:r>
              <w:rPr>
                <w:rFonts w:ascii="Times New Roman" w:eastAsia="Times New Roman" w:hAnsi="Times New Roman"/>
                <w:sz w:val="27"/>
                <w:szCs w:val="27"/>
                <w:lang w:val="ro-MD"/>
              </w:rPr>
              <w:t>(</w:t>
            </w:r>
            <w:r>
              <w:rPr>
                <w:rFonts w:ascii="Times New Roman" w:eastAsia="Times New Roman" w:hAnsi="Times New Roman"/>
                <w:sz w:val="24"/>
                <w:szCs w:val="24"/>
                <w:lang w:val="ro-MD"/>
              </w:rPr>
              <w:t xml:space="preserve">2)   Statul </w:t>
            </w:r>
            <w:r>
              <w:rPr>
                <w:rFonts w:ascii="Times New Roman" w:eastAsia="Times New Roman" w:hAnsi="Times New Roman"/>
                <w:sz w:val="24"/>
                <w:szCs w:val="24"/>
                <w:lang w:val="ro-MD"/>
              </w:rPr>
              <w:t>membru pune la dispoziția Comisiei metodologia pentru stabilirea cadrului de performanță, la cerere.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18</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Evaluarea intermediară și cuantumul de flexibilitate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w:t>
            </w:r>
            <w:r>
              <w:rPr>
                <w:rFonts w:ascii="Times New Roman" w:eastAsia="Times New Roman" w:hAnsi="Times New Roman"/>
                <w:sz w:val="24"/>
                <w:szCs w:val="24"/>
                <w:lang w:val="ro-MD" w:eastAsia="ro-RO"/>
              </w:rPr>
              <w:t xml:space="preserve">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Pentru programele sprijinite de FEDR, FSE+, Fondul de coeziune și FTJ, statul membru evaluează fiecare program, ținând cont de următoarele elemente: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noile provocări </w:t>
                  </w:r>
                  <w:r>
                    <w:rPr>
                      <w:rFonts w:ascii="Times New Roman" w:eastAsia="Times New Roman" w:hAnsi="Times New Roman"/>
                      <w:sz w:val="24"/>
                      <w:szCs w:val="24"/>
                      <w:lang w:val="ro-MD"/>
                    </w:rPr>
                    <w:t>identificate în recomandările relevante specifice fiecărei țări, adoptate în 2024;</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progresele înregistrate în implementarea planului național integrat privind energia și clima, dacă este cazul;</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progresele înregistrate în punerea în aplicare a </w:t>
                  </w:r>
                  <w:r>
                    <w:rPr>
                      <w:rFonts w:ascii="Times New Roman" w:eastAsia="Times New Roman" w:hAnsi="Times New Roman"/>
                      <w:sz w:val="24"/>
                      <w:szCs w:val="24"/>
                      <w:lang w:val="ro-MD"/>
                    </w:rPr>
                    <w:t>principiilor Pilonului european al drepturilor sociale;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situația socioeconomică din statul membru sau regiunea în cauză, cu accent deosebit pe nevoile teritoriale, ținând seama de orice evoluție negativă importantă din domeniul financiar, economic sa</w:t>
                  </w:r>
                  <w:r>
                    <w:rPr>
                      <w:rFonts w:ascii="Times New Roman" w:eastAsia="Times New Roman" w:hAnsi="Times New Roman"/>
                      <w:sz w:val="24"/>
                      <w:szCs w:val="24"/>
                      <w:lang w:val="ro-MD"/>
                    </w:rPr>
                    <w:t>u social;</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principalele rezultate ale evaluărilor relevante;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progresele înregistrate în ceea ce privește îndeplinirea obiectivelor de etapă, ținând seama de dificultățile majore întâmpinate în implementarea programului;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programele </w:t>
                  </w:r>
                  <w:r>
                    <w:rPr>
                      <w:rFonts w:ascii="Times New Roman" w:eastAsia="Times New Roman" w:hAnsi="Times New Roman"/>
                      <w:sz w:val="24"/>
                      <w:szCs w:val="24"/>
                      <w:lang w:val="ro-MD"/>
                    </w:rPr>
                    <w:t>sprijinite din FTJ, evaluarea efectuată de Comisie în temeiul articolului 29 alineatul (1) litera (b) din Regulamentul (UE) 2018/1999.</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Statul membru prezintă Comisiei, până la 31 martie 2025, o evaluare pentru fiecare program cu privire la rezultatu</w:t>
            </w:r>
            <w:r>
              <w:rPr>
                <w:rFonts w:ascii="Times New Roman" w:eastAsia="Times New Roman" w:hAnsi="Times New Roman"/>
                <w:sz w:val="24"/>
                <w:szCs w:val="24"/>
                <w:lang w:val="ro-MD"/>
              </w:rPr>
              <w:t>l evaluării intermediare, inclusiv o propunere de alocare definitivă a cuantumului de flexibilitate menționat la articolul 86 alineatul (1) al doilea paragraf.</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Dacă se consideră necesar în urma evaluării intermediare a programului sau în cazul în car</w:t>
            </w:r>
            <w:r>
              <w:rPr>
                <w:rFonts w:ascii="Times New Roman" w:eastAsia="Times New Roman" w:hAnsi="Times New Roman"/>
                <w:sz w:val="24"/>
                <w:szCs w:val="24"/>
                <w:lang w:val="ro-MD"/>
              </w:rPr>
              <w:t>e sunt identificate noi provocări în temeiul alineatului (1) litera (a), statul membru prezintă Comisiei evaluarea menționată la alineatul (2), împreună cu programul modificat.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Revizuirea programului cuprinde: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alocările resurselor financiare pe priorit</w:t>
                  </w:r>
                  <w:r>
                    <w:rPr>
                      <w:rFonts w:ascii="Times New Roman" w:eastAsia="Times New Roman" w:hAnsi="Times New Roman"/>
                      <w:sz w:val="24"/>
                      <w:szCs w:val="24"/>
                      <w:lang w:val="ro-MD"/>
                    </w:rPr>
                    <w:t>ăți;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443"/>
              <w:gridCol w:w="3385"/>
            </w:tblGrid>
            <w:tr w:rsidR="002F15D7">
              <w:tblPrEx>
                <w:tblCellMar>
                  <w:top w:w="0" w:type="dxa"/>
                  <w:bottom w:w="0" w:type="dxa"/>
                </w:tblCellMar>
              </w:tblPrEx>
              <w:tc>
                <w:tcPr>
                  <w:tcW w:w="443"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385"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ținte noi sau revizuite;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cuantumurile contribuțiilor care urmează să fie alocate Programului </w:t>
                  </w:r>
                  <w:proofErr w:type="spellStart"/>
                  <w:r>
                    <w:rPr>
                      <w:rFonts w:ascii="Times New Roman" w:eastAsia="Times New Roman" w:hAnsi="Times New Roman"/>
                      <w:sz w:val="24"/>
                      <w:szCs w:val="24"/>
                      <w:lang w:val="ro-MD"/>
                    </w:rPr>
                    <w:t>InvestEU</w:t>
                  </w:r>
                  <w:proofErr w:type="spellEnd"/>
                  <w:r>
                    <w:rPr>
                      <w:rFonts w:ascii="Times New Roman" w:eastAsia="Times New Roman" w:hAnsi="Times New Roman"/>
                      <w:sz w:val="24"/>
                      <w:szCs w:val="24"/>
                      <w:lang w:val="ro-MD"/>
                    </w:rPr>
                    <w:t>, defalcate pe fonduri și pe categorii de regiuni, după caz.</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Comisia aprobă programul revizuit în conformitate cu articolul 24, inclusiv </w:t>
            </w:r>
            <w:r>
              <w:rPr>
                <w:rFonts w:ascii="Times New Roman" w:eastAsia="Times New Roman" w:hAnsi="Times New Roman"/>
                <w:sz w:val="24"/>
                <w:szCs w:val="24"/>
                <w:lang w:val="ro-MD"/>
              </w:rPr>
              <w:t>o alocare definitivă a cuantumului de flexibilitate.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În cazul în care, în urma evaluării intermediare, statul membru consideră că programul nu trebuie modificat, Comisia:</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adoptă o decizie în termen de trei luni de la prezentarea evaluării mențion</w:t>
                  </w:r>
                  <w:r>
                    <w:rPr>
                      <w:rFonts w:ascii="Times New Roman" w:eastAsia="Times New Roman" w:hAnsi="Times New Roman"/>
                      <w:sz w:val="24"/>
                      <w:szCs w:val="24"/>
                      <w:lang w:val="ro-MD"/>
                    </w:rPr>
                    <w:t>ate la alineatul (2), confirmând alocarea definitivă a cuantumului de flexibilitate; sau</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solicită statului membru, în termen de două luni de la prezentarea evaluării menționate la alineatul (2) de la prezentul articol, să prezinte un program modifica</w:t>
                  </w:r>
                  <w:r>
                    <w:rPr>
                      <w:rFonts w:ascii="Times New Roman" w:eastAsia="Times New Roman" w:hAnsi="Times New Roman"/>
                      <w:sz w:val="24"/>
                      <w:szCs w:val="24"/>
                      <w:lang w:val="ro-MD"/>
                    </w:rPr>
                    <w:t>t în conformitate cu articolul 24.</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(5)   Până la adoptarea deciziei Comisiei de confirmare a alocării definitive a cuantumului de flexibilitate, acest cuantum nu este disponibil pentru selectarea operațiunilor.</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(6)   Comisia întocmește un raport privind </w:t>
            </w:r>
            <w:r>
              <w:rPr>
                <w:rFonts w:ascii="Times New Roman" w:eastAsia="Times New Roman" w:hAnsi="Times New Roman"/>
                <w:sz w:val="24"/>
                <w:szCs w:val="24"/>
                <w:lang w:val="ro-MD"/>
              </w:rPr>
              <w:t>rezultatul evaluării intermediare și îl transmite Parlamentului European și Consiliului până la sfârșitul anului 2026.</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III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Măsuri referitoare la buna guvernanță economică și la circumstanțe excepționale sau neobișnuite</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19</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 xml:space="preserve">Măsuri de </w:t>
            </w:r>
            <w:r>
              <w:rPr>
                <w:rFonts w:ascii="Times New Roman" w:eastAsia="Times New Roman" w:hAnsi="Times New Roman"/>
                <w:b/>
                <w:bCs/>
                <w:sz w:val="24"/>
                <w:szCs w:val="24"/>
                <w:lang w:val="ro-MD"/>
              </w:rPr>
              <w:t>corelare a eficacității fondurilor cu buna guvernanță economică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Comisia poate solicita unui </w:t>
            </w:r>
            <w:r>
              <w:rPr>
                <w:rFonts w:ascii="Times New Roman" w:eastAsia="Times New Roman" w:hAnsi="Times New Roman"/>
                <w:sz w:val="24"/>
                <w:szCs w:val="24"/>
                <w:lang w:val="ro-MD"/>
              </w:rPr>
              <w:t>stat membru să revizuiască și să propună modificări ale programelor relevante, dacă acest lucru este necesar pentru a sprijini punerea în aplicare a recomandărilor pertinente ale Consiliului.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 astfel de solicitare poate fi adresată pentru:</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 sprijini </w:t>
                  </w:r>
                  <w:r>
                    <w:rPr>
                      <w:rFonts w:ascii="Times New Roman" w:eastAsia="Times New Roman" w:hAnsi="Times New Roman"/>
                      <w:sz w:val="24"/>
                      <w:szCs w:val="24"/>
                      <w:lang w:val="ro-MD"/>
                    </w:rPr>
                    <w:t>punerea în aplicare a unei recomandări pertinente specifice unei țări, adoptată în conformitate cu articolul 121 alineatul (2) din TFUE, și a unei recomandări pertinente a Consiliului, adoptată în conformitate cu articolul 148 alineatul (4) din TFUE, adres</w:t>
                  </w:r>
                  <w:r>
                    <w:rPr>
                      <w:rFonts w:ascii="Times New Roman" w:eastAsia="Times New Roman" w:hAnsi="Times New Roman"/>
                      <w:sz w:val="24"/>
                      <w:szCs w:val="24"/>
                      <w:lang w:val="ro-MD"/>
                    </w:rPr>
                    <w:t>ate statului membru în cauză;</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 xml:space="preserve">a sprijini punerea în aplicare a recomandărilor pertinente ale Consiliului, adresate statului membru în cauză și adoptate în conformitate cu articolul 7 alineatul (2) sau cu articolul 8 alineatul (2) din Regulamentul </w:t>
                  </w:r>
                  <w:r>
                    <w:rPr>
                      <w:rFonts w:ascii="Times New Roman" w:eastAsia="Times New Roman" w:hAnsi="Times New Roman"/>
                      <w:sz w:val="24"/>
                      <w:szCs w:val="24"/>
                      <w:lang w:val="ro-MD"/>
                    </w:rPr>
                    <w:t>(UE) nr. 1176/2011 al Parlamentului European și al Consiliului </w:t>
                  </w:r>
                  <w:hyperlink r:id="rId15"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41</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xml:space="preserve">, cu condiția ca aceste modificări să fie </w:t>
                  </w:r>
                  <w:r>
                    <w:rPr>
                      <w:rFonts w:ascii="Times New Roman" w:eastAsia="Times New Roman" w:hAnsi="Times New Roman"/>
                      <w:sz w:val="24"/>
                      <w:szCs w:val="24"/>
                      <w:lang w:val="ro-MD"/>
                    </w:rPr>
                    <w:t>considerate necesare pentru corectarea dezechilibrelor macroeconomice.</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Comisia își motivează solicitarea adresată unui stat membru în conformitate cu alineatul (1), făcând trimitere la necesitatea de a sprijini punerea în aplicare a recomandărilor p</w:t>
            </w:r>
            <w:r>
              <w:rPr>
                <w:rFonts w:ascii="Times New Roman" w:eastAsia="Times New Roman" w:hAnsi="Times New Roman"/>
                <w:sz w:val="24"/>
                <w:szCs w:val="24"/>
                <w:lang w:val="ro-MD"/>
              </w:rPr>
              <w:t>ertinente, și indică programele sau prioritățile pe care Comisia le consideră vizate, precum și natura modificărilor preconizate. Astfel de solicitări nu sunt adresate înainte de 2023 sau după 2026 și nu vizează aceleași programe în doi ani consecutivi.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Statul membru transmite răspunsul său la solicitarea menționată la alineatul (1) în termen de două luni de la primirea acesteia, prezentând modificările pe care le consideră necesare în programele relevante și motivele acestor modificări, identificân</w:t>
            </w:r>
            <w:r>
              <w:rPr>
                <w:rFonts w:ascii="Times New Roman" w:eastAsia="Times New Roman" w:hAnsi="Times New Roman"/>
                <w:sz w:val="24"/>
                <w:szCs w:val="24"/>
                <w:lang w:val="ro-MD"/>
              </w:rPr>
              <w:t>d programele vizate și subliniind natura modificărilor propuse, precum și efectele lor preconizate asupra punerii în aplicare a recomandărilor și asupra execuției fondurilor. Dacă este cazul, Comisia formulează observații în termen de o lună de la primirea</w:t>
            </w:r>
            <w:r>
              <w:rPr>
                <w:rFonts w:ascii="Times New Roman" w:eastAsia="Times New Roman" w:hAnsi="Times New Roman"/>
                <w:sz w:val="24"/>
                <w:szCs w:val="24"/>
                <w:lang w:val="ro-MD"/>
              </w:rPr>
              <w:t xml:space="preserve"> răspunsului.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Statul membru prezintă propunerea de modificare a programelor relevante în termen de două luni de la transmiterea răspunsului menționat la alineatul (3).</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(5)   În cazul în care Comisia nu a prezentat observații sau este satisfăcută că t</w:t>
            </w:r>
            <w:r>
              <w:rPr>
                <w:rFonts w:ascii="Times New Roman" w:eastAsia="Times New Roman" w:hAnsi="Times New Roman"/>
                <w:sz w:val="24"/>
                <w:szCs w:val="24"/>
                <w:lang w:val="ro-MD"/>
              </w:rPr>
              <w:t>oate observațiile sale au fost luate în considerare în mod corespunzător, aceasta adoptă o decizie de aprobare a modificărilor aduse programelor relevante în termen de patru luni de la prezentarea acesteia de către statul membru.</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(6)   Dacă statul membru n</w:t>
            </w:r>
            <w:r>
              <w:rPr>
                <w:rFonts w:ascii="Times New Roman" w:eastAsia="Times New Roman" w:hAnsi="Times New Roman"/>
                <w:sz w:val="24"/>
                <w:szCs w:val="24"/>
                <w:lang w:val="ro-MD"/>
              </w:rPr>
              <w:t>u întreprinde acțiuni eficace ca răspuns la o solicitare adresată în conformitate cu alineatul (1), în termenele prevăzute la alineatele (3) și (4), Comisia poate prezenta Consiliului, în termen de trei luni de la formularea observațiilor prevăzute la alin</w:t>
            </w:r>
            <w:r>
              <w:rPr>
                <w:rFonts w:ascii="Times New Roman" w:eastAsia="Times New Roman" w:hAnsi="Times New Roman"/>
                <w:sz w:val="24"/>
                <w:szCs w:val="24"/>
                <w:lang w:val="ro-MD"/>
              </w:rPr>
              <w:t>eatul (3) sau de la prezentarea propunerii statului membru prevăzută la alineatul (4), o propunere de suspendare parțială sau integrală a plăților pentru programele sau prioritățile în cauză. În propunerea sa, Comisia prezintă motivele pe care se bazează c</w:t>
            </w:r>
            <w:r>
              <w:rPr>
                <w:rFonts w:ascii="Times New Roman" w:eastAsia="Times New Roman" w:hAnsi="Times New Roman"/>
                <w:sz w:val="24"/>
                <w:szCs w:val="24"/>
                <w:lang w:val="ro-MD"/>
              </w:rPr>
              <w:t>oncluzia sa conform căreia statul membru nu a întreprins acțiuni eficace. La elaborarea propunerii sale, Comisia ține seama de toate informațiile relevante și acordă atenția cuvenită oricăror elemente care reies din dialogul structurat prevăzut la alineatu</w:t>
            </w:r>
            <w:r>
              <w:rPr>
                <w:rFonts w:ascii="Times New Roman" w:eastAsia="Times New Roman" w:hAnsi="Times New Roman"/>
                <w:sz w:val="24"/>
                <w:szCs w:val="24"/>
                <w:lang w:val="ro-MD"/>
              </w:rPr>
              <w:t>l (14), precum și oricăror opinii exprimate în cadrul dialogului în cauză.</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Consiliul decide asupra propunerii respective prin intermediul unui act de punere în aplicare. Actul de punere în aplicare se aplică doar pentru cererile de plată formulate după dat</w:t>
            </w:r>
            <w:r>
              <w:rPr>
                <w:rFonts w:ascii="Times New Roman" w:eastAsia="Times New Roman" w:hAnsi="Times New Roman"/>
                <w:sz w:val="24"/>
                <w:szCs w:val="24"/>
                <w:lang w:val="ro-MD"/>
              </w:rPr>
              <w:t>a adoptării actului respectiv.</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(7)   Comisia prezintă Consiliului o propunere de suspendare integrală sau parțială a angajamentelor sau a plăților pentru unul sau mai multe programe ale unui stat membru în cazul în care Consiliul decide, în conformitate cu</w:t>
            </w:r>
            <w:r>
              <w:rPr>
                <w:rFonts w:ascii="Times New Roman" w:eastAsia="Times New Roman" w:hAnsi="Times New Roman"/>
                <w:sz w:val="24"/>
                <w:szCs w:val="24"/>
                <w:lang w:val="ro-MD"/>
              </w:rPr>
              <w:t xml:space="preserve"> articolul 126 alineatul (8) sau alineatul (11) din TFUE, că un stat membru nu a întreprins acțiuni eficace pentru corectarea deficitului său excesiv, cu excepția cazului în care constată existența unei recesiuni economice grave în zona euro sau în întreag</w:t>
            </w:r>
            <w:r>
              <w:rPr>
                <w:rFonts w:ascii="Times New Roman" w:eastAsia="Times New Roman" w:hAnsi="Times New Roman"/>
                <w:sz w:val="24"/>
                <w:szCs w:val="24"/>
                <w:lang w:val="ro-MD"/>
              </w:rPr>
              <w:t>a Uniune, în înțelesul articolului 3 alineatul (5) și al articolului 5 alineatul (2) din Regulamentul (CE) nr. 1467/97 al Consiliului </w:t>
            </w:r>
            <w:hyperlink r:id="rId16"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42</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(8)   Comisia poate prezenta Consiliului o propunere de suspendare integrală sau parțială a angajamentelor sau a plăților pentru unul sau mai multe programe ale unui stat membru în următoarele cazuri: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atunci când Consiliul adoptă</w:t>
                  </w:r>
                  <w:r>
                    <w:rPr>
                      <w:rFonts w:ascii="Times New Roman" w:eastAsia="Times New Roman" w:hAnsi="Times New Roman"/>
                      <w:sz w:val="24"/>
                      <w:szCs w:val="24"/>
                      <w:lang w:val="ro-MD"/>
                    </w:rPr>
                    <w:t xml:space="preserve"> două recomandări succesive în cadrul aceleiași proceduri de dezechilibru excesiv în conformitate cu articolul 8 alineatul (3) din Regulamentul (UE) nr. 1176/2011, pe motiv că un stat membru a transmis un plan de acțiuni corective nesatisfăcător;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atu</w:t>
                  </w:r>
                  <w:r>
                    <w:rPr>
                      <w:rFonts w:ascii="Times New Roman" w:eastAsia="Times New Roman" w:hAnsi="Times New Roman"/>
                      <w:sz w:val="24"/>
                      <w:szCs w:val="24"/>
                      <w:lang w:val="ro-MD"/>
                    </w:rPr>
                    <w:t>nci când Consiliul adoptă două decizii succesive în cadrul aceleiași proceduri de dezechilibru excesiv în conformitate cu articolul 10 alineatul (4) din Regulamentul (UE) nr. 1176/2011, prin care constată un caz de nerespectare de către un stat membru pe m</w:t>
                  </w:r>
                  <w:r>
                    <w:rPr>
                      <w:rFonts w:ascii="Times New Roman" w:eastAsia="Times New Roman" w:hAnsi="Times New Roman"/>
                      <w:sz w:val="24"/>
                      <w:szCs w:val="24"/>
                      <w:lang w:val="ro-MD"/>
                    </w:rPr>
                    <w:t>otiv că acesta nu a întreprins acțiunile corective recomandate;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atunci când Comisia concluzionează că un stat membru nu a luat măsurile menționate în Regulamentul (CE) nr. 332/2002 al Consiliului </w:t>
                  </w:r>
                  <w:hyperlink r:id="rId17"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43</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și decide, în consecință, să nu autorizeze plata asistenței financiare acordate statului membru respectiv;</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atunci când Consiliul decide că un stat membru nu respectă programul de ajustare macroeconomică menționat la articolul 7 din Regulamentul (UE) nr. 472/2013 al Parlamentului European și al Consiliului </w:t>
                  </w:r>
                  <w:hyperlink r:id="rId18"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44</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sau măsurile solicitate printr-o decizie a Consiliului adoptată în conformitate cu articolul 136 alineatul (1) din TFUE.</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(9)   Se acordă prioritate suspendării </w:t>
            </w:r>
            <w:r>
              <w:rPr>
                <w:rFonts w:ascii="Times New Roman" w:eastAsia="Times New Roman" w:hAnsi="Times New Roman"/>
                <w:sz w:val="24"/>
                <w:szCs w:val="24"/>
                <w:lang w:val="ro-MD"/>
              </w:rPr>
              <w:t>angajamentelor. Plățile se suspendă numai în cazul în care se urmărește adoptarea unor măsuri imediate și în caz de neconformitate semnificativă. Suspendarea plăților se aplică cererilor de plată depuse pentru programele în cauză după data deciziei de susp</w:t>
            </w:r>
            <w:r>
              <w:rPr>
                <w:rFonts w:ascii="Times New Roman" w:eastAsia="Times New Roman" w:hAnsi="Times New Roman"/>
                <w:sz w:val="24"/>
                <w:szCs w:val="24"/>
                <w:lang w:val="ro-MD"/>
              </w:rPr>
              <w:t>endare.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(10)   O propunere de decizie a Comisiei privind suspendarea angajamentelor se consideră adoptată de Consiliu cu excepția cazului în care Consiliul decide, printr-un act de punere în aplicare, să respingă propunerea în cauză cu majoritate calificat</w:t>
            </w:r>
            <w:r>
              <w:rPr>
                <w:rFonts w:ascii="Times New Roman" w:eastAsia="Times New Roman" w:hAnsi="Times New Roman"/>
                <w:sz w:val="24"/>
                <w:szCs w:val="24"/>
                <w:lang w:val="ro-MD"/>
              </w:rPr>
              <w:t>ă în termen de o lună de la prezentarea ei de către Comisie.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Suspendarea angajamentelor se aplică angajamentelor din fonduri pentru statul membru în cauză, începând cu data de 1 ianuarie a anului următor adoptării deciziei de suspendare.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 baza unei propu</w:t>
            </w:r>
            <w:r>
              <w:rPr>
                <w:rFonts w:ascii="Times New Roman" w:eastAsia="Times New Roman" w:hAnsi="Times New Roman"/>
                <w:sz w:val="24"/>
                <w:szCs w:val="24"/>
                <w:lang w:val="ro-MD"/>
              </w:rPr>
              <w:t>neri a Comisiei menționate la alineatele (7) și (8), Consiliul adoptă, printr-un act de punere în aplicare, o decizie de suspendare a plăților.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(11)   Sfera de aplicare și nivelul suspendării care se aplică angajamentelor sau plății trebuie să fie proporți</w:t>
            </w:r>
            <w:r>
              <w:rPr>
                <w:rFonts w:ascii="Times New Roman" w:eastAsia="Times New Roman" w:hAnsi="Times New Roman"/>
                <w:sz w:val="24"/>
                <w:szCs w:val="24"/>
                <w:lang w:val="ro-MD"/>
              </w:rPr>
              <w:t>onale, să respecte egalitatea de tratament între statele membre și să țină cont de circumstanțele economice și sociale în care se află statul membru în cauză, în special de nivelul șomajului și de nivelul sărăciei și al excluziunii sociale din statul membr</w:t>
            </w:r>
            <w:r>
              <w:rPr>
                <w:rFonts w:ascii="Times New Roman" w:eastAsia="Times New Roman" w:hAnsi="Times New Roman"/>
                <w:sz w:val="24"/>
                <w:szCs w:val="24"/>
                <w:lang w:val="ro-MD"/>
              </w:rPr>
              <w:t>u în cauză comparativ cu media la nivelul Uniunii, precum și de impactul suspendării asupra economiei statului membru în cauză. Impactul suspendării asupra programelor de importanță critică pentru corectarea condițiilor economice sau sociale nefavorabile e</w:t>
            </w:r>
            <w:r>
              <w:rPr>
                <w:rFonts w:ascii="Times New Roman" w:eastAsia="Times New Roman" w:hAnsi="Times New Roman"/>
                <w:sz w:val="24"/>
                <w:szCs w:val="24"/>
                <w:lang w:val="ro-MD"/>
              </w:rPr>
              <w:t>ste un factor specific care se ia în seamă.</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(12)   Suspendarea care se aplică angajamentelor face obiectul unui plafon maxim de 25 % din angajamentele pentru fonduri aferente următorului an calendaristic sau de 0,25 % din PIB-ul nominal, reținându-se valoa</w:t>
            </w:r>
            <w:r>
              <w:rPr>
                <w:rFonts w:ascii="Times New Roman" w:eastAsia="Times New Roman" w:hAnsi="Times New Roman"/>
                <w:sz w:val="24"/>
                <w:szCs w:val="24"/>
                <w:lang w:val="ro-MD"/>
              </w:rPr>
              <w:t>rea cea mai mică, în oricare dintre următoarele cazuri: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la primul caz de nerespectare a unei proceduri de deficit excesiv, astfel cum se menționează la alineatul (7);</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la primul caz de nerespectare a unui plan de acțiuni corective din cadrul unei </w:t>
                  </w:r>
                  <w:r>
                    <w:rPr>
                      <w:rFonts w:ascii="Times New Roman" w:eastAsia="Times New Roman" w:hAnsi="Times New Roman"/>
                      <w:sz w:val="24"/>
                      <w:szCs w:val="24"/>
                      <w:lang w:val="ro-MD"/>
                    </w:rPr>
                    <w:t>proceduri de dezechilibru excesiv, astfel cum se menționează la alineatul (8) litera (a);</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caz de nerespectare a acțiunii corective recomandate în cadrul unei proceduri de dezechilibru excesiv, astfel cum se menționează la alineatul (8) litera (b);</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la primul caz de nerespectare, astfel cum se menționează la alineatul (8) literele (c) și (d).</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caz de nerespectare repetată, suspendarea angajamentelor poate să depășească procentele maxime stabilite la primul paragraf.</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(13)   Consiliul ridică </w:t>
            </w:r>
            <w:r>
              <w:rPr>
                <w:rFonts w:ascii="Times New Roman" w:eastAsia="Times New Roman" w:hAnsi="Times New Roman"/>
                <w:sz w:val="24"/>
                <w:szCs w:val="24"/>
                <w:lang w:val="ro-MD"/>
              </w:rPr>
              <w:t>suspendarea angajamentelor la propunerea Comisiei, în următoarele cazuri: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atunci când procedura de deficit excesiv este suspendată în conformitate cu articolul 9 din Regulamentul (CE) nr. 1467/97 sau atunci când Consiliul a decis, în conformitate cu ar</w:t>
                  </w:r>
                  <w:r>
                    <w:rPr>
                      <w:rFonts w:ascii="Times New Roman" w:eastAsia="Times New Roman" w:hAnsi="Times New Roman"/>
                      <w:sz w:val="24"/>
                      <w:szCs w:val="24"/>
                      <w:lang w:val="ro-MD"/>
                    </w:rPr>
                    <w:t>ticolul 126 alineatul (12) din TFUE, să abroge decizia privind existența unui deficit excesiv;</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atunci când Consiliul a aprobat planul de acțiuni corective prezentat de statul membru în cauză în conformitate cu articolul 8 alineatul (2) din </w:t>
                  </w:r>
                  <w:r>
                    <w:rPr>
                      <w:rFonts w:ascii="Times New Roman" w:eastAsia="Times New Roman" w:hAnsi="Times New Roman"/>
                      <w:sz w:val="24"/>
                      <w:szCs w:val="24"/>
                      <w:lang w:val="ro-MD"/>
                    </w:rPr>
                    <w:t xml:space="preserve">Regulamentul (UE) nr. 1176/2011 sau atunci când procedura de dezechilibru excesiv este suspendată în conformitate cu articolul 10 alineatul (5) din regulamentul respectiv sau atunci când Consiliul a închis procedura de dezechilibru excesiv în conformitate </w:t>
                  </w:r>
                  <w:r>
                    <w:rPr>
                      <w:rFonts w:ascii="Times New Roman" w:eastAsia="Times New Roman" w:hAnsi="Times New Roman"/>
                      <w:sz w:val="24"/>
                      <w:szCs w:val="24"/>
                      <w:lang w:val="ro-MD"/>
                    </w:rPr>
                    <w:t>cu articolul 11 din regulamentul respectiv;</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atunci când Comisia a concluzionat că statul membru în cauză a luat măsuri adecvate, astfel cum se menționează în Regulamentul (CE) nr. 332/2002;</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atunci când Comisia a concluzionat că statul membru în</w:t>
                  </w:r>
                  <w:r>
                    <w:rPr>
                      <w:rFonts w:ascii="Times New Roman" w:eastAsia="Times New Roman" w:hAnsi="Times New Roman"/>
                      <w:sz w:val="24"/>
                      <w:szCs w:val="24"/>
                      <w:lang w:val="ro-MD"/>
                    </w:rPr>
                    <w:t xml:space="preserve"> cauză a luat măsuri adecvate pentru implementarea programului de ajustare macroeconomică menționat la articolul 7 din Regulamentul (UE) nr. 472/2013 sau a măsurilor solicitate printr-o decizie a Consiliului adoptată în conformitate cu articolul 136 alinea</w:t>
                  </w:r>
                  <w:r>
                    <w:rPr>
                      <w:rFonts w:ascii="Times New Roman" w:eastAsia="Times New Roman" w:hAnsi="Times New Roman"/>
                      <w:sz w:val="24"/>
                      <w:szCs w:val="24"/>
                      <w:lang w:val="ro-MD"/>
                    </w:rPr>
                    <w:t>tul (1) din TFUE.</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După ce Consiliul a ridicat suspendarea angajamentelor, Comisia reînscrie în buget angajamentele suspendate în conformitate cu articolul 6 din Regulamentul (UE, Euratom) 2020/2093.</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Angajamentele suspendate nu pot fi reînscrise în buget </w:t>
            </w:r>
            <w:r>
              <w:rPr>
                <w:rFonts w:ascii="Times New Roman" w:eastAsia="Times New Roman" w:hAnsi="Times New Roman"/>
                <w:sz w:val="24"/>
                <w:szCs w:val="24"/>
                <w:lang w:val="ro-MD"/>
              </w:rPr>
              <w:t>ulterior anului 2027.</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Termenul pentru dezangajarea cuantumului reînscris în buget în conformitate cu articolul 105 începe să curgă din anul în care angajamentul suspendat a fost reînscris în buget.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Consiliul adoptă, pe baza unei propuneri a Comisiei, o dec</w:t>
            </w:r>
            <w:r>
              <w:rPr>
                <w:rFonts w:ascii="Times New Roman" w:eastAsia="Times New Roman" w:hAnsi="Times New Roman"/>
                <w:sz w:val="24"/>
                <w:szCs w:val="24"/>
                <w:lang w:val="ro-MD"/>
              </w:rPr>
              <w:t xml:space="preserve">izie privind ridicarea suspendării plăților atunci când sunt îndeplinite condițiile aplicabile prevăzute la primul paragraf. O propunere din partea Comisiei în vederea unei decizii de ridicare a suspendării angajamentelor se consideră ca fiind adoptată de </w:t>
            </w:r>
            <w:r>
              <w:rPr>
                <w:rFonts w:ascii="Times New Roman" w:eastAsia="Times New Roman" w:hAnsi="Times New Roman"/>
                <w:sz w:val="24"/>
                <w:szCs w:val="24"/>
                <w:lang w:val="ro-MD"/>
              </w:rPr>
              <w:t>către Consiliu, cu excepția cazului în care Consiliul decide, prin intermediul unui act de punere în aplicare, să respingă cu o majoritate calificată propunerea respectivă în termen de o lună de la prezentarea propunerii de către Comisie.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(14)   Comisia in</w:t>
            </w:r>
            <w:r>
              <w:rPr>
                <w:rFonts w:ascii="Times New Roman" w:eastAsia="Times New Roman" w:hAnsi="Times New Roman"/>
                <w:sz w:val="24"/>
                <w:szCs w:val="24"/>
                <w:lang w:val="ro-MD"/>
              </w:rPr>
              <w:t>formează Parlamentul European cu privire la punerea în aplicare a prezentului articol. În special, atunci când una dintre condițiile prevăzute la alineatul (6), (7) sau (8) este îndeplinită în privința unui stat membru, Comisia informează imediat Parlament</w:t>
            </w:r>
            <w:r>
              <w:rPr>
                <w:rFonts w:ascii="Times New Roman" w:eastAsia="Times New Roman" w:hAnsi="Times New Roman"/>
                <w:sz w:val="24"/>
                <w:szCs w:val="24"/>
                <w:lang w:val="ro-MD"/>
              </w:rPr>
              <w:t>ul European și furnizează detalii referitoare la fondurile și programele care ar putea face obiectul unei suspendări.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Parlamentul European poate invita Comisia la un dialog structurat privind aplicarea prezentului articol, ținând seama de informațiile tran</w:t>
            </w:r>
            <w:r>
              <w:rPr>
                <w:rFonts w:ascii="Times New Roman" w:eastAsia="Times New Roman" w:hAnsi="Times New Roman"/>
                <w:sz w:val="24"/>
                <w:szCs w:val="24"/>
                <w:lang w:val="ro-MD"/>
              </w:rPr>
              <w:t>smise în conformitate cu primul paragraf.</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Comisia transmite Parlamentului European și Consiliului propunerea de suspendare sau propunerea de ridicare a respectivei suspendări fără întârziere după adoptarea acesteia. Parlamentul European poate invita Comisi</w:t>
            </w:r>
            <w:r>
              <w:rPr>
                <w:rFonts w:ascii="Times New Roman" w:eastAsia="Times New Roman" w:hAnsi="Times New Roman"/>
                <w:sz w:val="24"/>
                <w:szCs w:val="24"/>
                <w:lang w:val="ro-MD"/>
              </w:rPr>
              <w:t>a să explice motivele care stau la baza propunerii sale.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(15)   Până la 31 decembrie 2025, Comisia evaluează aplicarea prezentului articol. În acest sens, Comisia elaborează un raport pe care îl transmite Parlamentului European și Consiliului, însoțit, dac</w:t>
            </w:r>
            <w:r>
              <w:rPr>
                <w:rFonts w:ascii="Times New Roman" w:eastAsia="Times New Roman" w:hAnsi="Times New Roman"/>
                <w:sz w:val="24"/>
                <w:szCs w:val="24"/>
                <w:lang w:val="ro-MD"/>
              </w:rPr>
              <w:t>ă este necesar, de o propunere legislativă.</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(16)   Dacă intervin modificări majore ale situației sociale și economice din Uniune, Comisia poate prezenta o propunere de reexaminare a aplicării prezentului articol sau Parlamentul European ori Consiliul, acți</w:t>
            </w:r>
            <w:r>
              <w:rPr>
                <w:rFonts w:ascii="Times New Roman" w:eastAsia="Times New Roman" w:hAnsi="Times New Roman"/>
                <w:sz w:val="24"/>
                <w:szCs w:val="24"/>
                <w:lang w:val="ro-MD"/>
              </w:rPr>
              <w:t>onând în conformitate cu articolul 225 sau, respectiv, cu articolul 241 din TFUE, poate cere Comisiei să prezinte o astfel de propunere.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(17)   Prezentul articol nu se aplică programelor FSE+, FAMI, FSI, IMFV sau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20</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Măsuri temporare</w:t>
            </w:r>
            <w:r>
              <w:rPr>
                <w:rFonts w:ascii="Times New Roman" w:eastAsia="Times New Roman" w:hAnsi="Times New Roman"/>
                <w:b/>
                <w:bCs/>
                <w:sz w:val="24"/>
                <w:szCs w:val="24"/>
                <w:lang w:val="ro-MD"/>
              </w:rPr>
              <w:t xml:space="preserve"> pentru utilizarea fondurilor ca răspuns la circumstanțe excepționale sau neobișnuite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(1)   În </w:t>
            </w:r>
            <w:r>
              <w:rPr>
                <w:rFonts w:ascii="Times New Roman" w:eastAsia="Times New Roman" w:hAnsi="Times New Roman"/>
                <w:sz w:val="24"/>
                <w:szCs w:val="24"/>
                <w:lang w:val="ro-MD"/>
              </w:rPr>
              <w:t>cazul în care, după 1 iulie 2021, Consiliul constată producerea unui eveniment neobișnuit aflat în afara controlului unuia sau mai multor state membre, care are un impact major asupra poziției financiare a administrației publice, sau existența unei recesiu</w:t>
            </w:r>
            <w:r>
              <w:rPr>
                <w:rFonts w:ascii="Times New Roman" w:eastAsia="Times New Roman" w:hAnsi="Times New Roman"/>
                <w:sz w:val="24"/>
                <w:szCs w:val="24"/>
                <w:lang w:val="ro-MD"/>
              </w:rPr>
              <w:t>ni economice grave în zona euro sau în întreaga Uniune, astfel cum se menționează la articolul 5 alineatul (1) al zecelea paragraf, la articolul 6 alineatul (3) al patrulea paragraf, la articolul 9 alineatul (1) al zecelea paragraf și la articolul 10 aline</w:t>
            </w:r>
            <w:r>
              <w:rPr>
                <w:rFonts w:ascii="Times New Roman" w:eastAsia="Times New Roman" w:hAnsi="Times New Roman"/>
                <w:sz w:val="24"/>
                <w:szCs w:val="24"/>
                <w:lang w:val="ro-MD"/>
              </w:rPr>
              <w:t>atul (3) al patrulea paragraf din Regulamentul (CE) nr. 1466/97 al Consiliului </w:t>
            </w:r>
            <w:hyperlink r:id="rId19"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45</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sau constată producerea unor eve</w:t>
            </w:r>
            <w:r>
              <w:rPr>
                <w:rFonts w:ascii="Times New Roman" w:eastAsia="Times New Roman" w:hAnsi="Times New Roman"/>
                <w:sz w:val="24"/>
                <w:szCs w:val="24"/>
                <w:lang w:val="ro-MD"/>
              </w:rPr>
              <w:t>nimente economice negative neprevăzute cu consecințe nefavorabile majore pentru finanțele publice, astfel cum se menționează la articolul 3 alineatul (5) și la articolul 5 alineatul (2) din Regulamentul (CE) nr. 1467/97, Comisia poate adopta, prin intermed</w:t>
            </w:r>
            <w:r>
              <w:rPr>
                <w:rFonts w:ascii="Times New Roman" w:eastAsia="Times New Roman" w:hAnsi="Times New Roman"/>
                <w:sz w:val="24"/>
                <w:szCs w:val="24"/>
                <w:lang w:val="ro-MD"/>
              </w:rPr>
              <w:t>iul unei decizii de punere în aplicare și pentru o perioadă de maximum 18 luni, una sau mai multe dintre măsurile următoare, cu condiția ca acestea să fie strict necesare pentru a reacționa în astfel de circumstanțe excepționale sau neobișnuite: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la cer</w:t>
                  </w:r>
                  <w:r>
                    <w:rPr>
                      <w:rFonts w:ascii="Times New Roman" w:eastAsia="Times New Roman" w:hAnsi="Times New Roman"/>
                      <w:sz w:val="24"/>
                      <w:szCs w:val="24"/>
                      <w:lang w:val="ro-MD"/>
                    </w:rPr>
                    <w:t>erea unuia sau a mai multor state membre interesate, să majoreze plățile intermediare cu 10 puncte procentuale peste rata de cofinanțare aplicabilă, fără a depăși 100 %, prin derogare de la articolul 112 alineatele (3) și (4) din prezentul regulament, prec</w:t>
                  </w:r>
                  <w:r>
                    <w:rPr>
                      <w:rFonts w:ascii="Times New Roman" w:eastAsia="Times New Roman" w:hAnsi="Times New Roman"/>
                      <w:sz w:val="24"/>
                      <w:szCs w:val="24"/>
                      <w:lang w:val="ro-MD"/>
                    </w:rPr>
                    <w:t>um și de la articolul 40 din Regulamentul FEAMPA, de la articolul 15 din Regulamentul FAMI, de la articolul 12 din Regulamentul FSI și de la articolul 12 din Regulamentul IMFV;</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să permită autorităților dintr-un stat membru să selecteze, în vederea ac</w:t>
                  </w:r>
                  <w:r>
                    <w:rPr>
                      <w:rFonts w:ascii="Times New Roman" w:eastAsia="Times New Roman" w:hAnsi="Times New Roman"/>
                      <w:sz w:val="24"/>
                      <w:szCs w:val="24"/>
                      <w:lang w:val="ro-MD"/>
                    </w:rPr>
                    <w:t>ordării de sprijin, operațiuni care au fost finalizate fizic sau implementate integral înainte ca cererea de finanțare în cadrul programului să fie prezentată în mod corespunzător autorității de management, prin derogare de la articolul 63 alineatul (6), c</w:t>
                  </w:r>
                  <w:r>
                    <w:rPr>
                      <w:rFonts w:ascii="Times New Roman" w:eastAsia="Times New Roman" w:hAnsi="Times New Roman"/>
                      <w:sz w:val="24"/>
                      <w:szCs w:val="24"/>
                      <w:lang w:val="ro-MD"/>
                    </w:rPr>
                    <w:t>u condiția ca operațiunea să fie întreprinsă ca răspuns la circumstanțele excepționale;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să prevadă posibilitatea ca cheltuielile aferente operațiunilor întreprinse ca răspuns la astfel de circumstanțe să fie eligibile de la data la care Consiliul a </w:t>
                  </w:r>
                  <w:r>
                    <w:rPr>
                      <w:rFonts w:ascii="Times New Roman" w:eastAsia="Times New Roman" w:hAnsi="Times New Roman"/>
                      <w:sz w:val="24"/>
                      <w:szCs w:val="24"/>
                      <w:lang w:val="ro-MD"/>
                    </w:rPr>
                    <w:t>recunoscut existența circumstanțelor respective, prin derogare de la articolul 63 alineatul (7);</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să prelungească termenele de depunere a documentelor și de transmitere a datelor către Comisie cu până la trei luni, prin derogare de la articolul 41 ali</w:t>
                  </w:r>
                  <w:r>
                    <w:rPr>
                      <w:rFonts w:ascii="Times New Roman" w:eastAsia="Times New Roman" w:hAnsi="Times New Roman"/>
                      <w:sz w:val="24"/>
                      <w:szCs w:val="24"/>
                      <w:lang w:val="ro-MD"/>
                    </w:rPr>
                    <w:t>neatul (6), articolul 42 alineatul (1), articolul 44 alineatul (2) și articolul 49 alineatul (3) primul paragraf.</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(2)   Comisia informează Parlamentul European și Consiliul cu privire la punerea în aplicare a prezentului articol. Atunci când este </w:t>
            </w:r>
            <w:r>
              <w:rPr>
                <w:rFonts w:ascii="Times New Roman" w:eastAsia="Times New Roman" w:hAnsi="Times New Roman"/>
                <w:sz w:val="24"/>
                <w:szCs w:val="24"/>
                <w:lang w:val="ro-MD"/>
              </w:rPr>
              <w:t>îndeplinită una dintre condițiile prevăzute la alineatul (1), Comisia informează imediat Parlamentul European și Consiliul cu privire la evaluarea situației și la măsurile subsecvente pe care le are în vedere.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Parlamentul European sau Consiliul pot i</w:t>
            </w:r>
            <w:r>
              <w:rPr>
                <w:rFonts w:ascii="Times New Roman" w:eastAsia="Times New Roman" w:hAnsi="Times New Roman"/>
                <w:sz w:val="24"/>
                <w:szCs w:val="24"/>
                <w:lang w:val="ro-MD"/>
              </w:rPr>
              <w:t>nvita Comisia la un dialog structurat privind aplicarea prezentului articol. Atunci când evaluează situația și are în vedere măsuri subsecvente, Comisia acordă atenția cuvenită pozițiilor adoptate și opiniilor exprimate în cadrul dialogului structurat.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w:t>
            </w:r>
            <w:r>
              <w:rPr>
                <w:rFonts w:ascii="Times New Roman" w:eastAsia="Times New Roman" w:hAnsi="Times New Roman"/>
                <w:sz w:val="24"/>
                <w:szCs w:val="24"/>
                <w:lang w:val="ro-MD"/>
              </w:rPr>
              <w:t>   În cazul în care, după perioada de maximum 18 luni menționată la alineatul (1), circumstanțele specifice care au condus la adoptarea acestor măsuri temporare persistă, Comisia reevaluează situația și prezintă, după caz, o propunere legislativă de modifi</w:t>
            </w:r>
            <w:r>
              <w:rPr>
                <w:rFonts w:ascii="Times New Roman" w:eastAsia="Times New Roman" w:hAnsi="Times New Roman"/>
                <w:sz w:val="24"/>
                <w:szCs w:val="24"/>
                <w:lang w:val="ro-MD"/>
              </w:rPr>
              <w:t>care a prezentului regulament, care să prevadă flexibilitatea necesară abordării acestor circumstanțe.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(5)   Comisia informează Parlamentul European și Consiliul cu privire la decizia de punere în aplicare adoptată în temeiul alineatului (1) fără întârzier</w:t>
            </w:r>
            <w:r>
              <w:rPr>
                <w:rFonts w:ascii="Times New Roman" w:eastAsia="Times New Roman" w:hAnsi="Times New Roman"/>
                <w:sz w:val="24"/>
                <w:szCs w:val="24"/>
                <w:lang w:val="ro-MD"/>
              </w:rPr>
              <w:t>e, în termen de două zile lucrătoare de la adoptarea acesteia.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TITLUL III</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PROGRAMARE</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Dispoziții generale privind fondurile</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21</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Pregătirea și prezentarea programelor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w:t>
            </w:r>
            <w:r>
              <w:rPr>
                <w:rFonts w:ascii="Times New Roman" w:eastAsia="Times New Roman" w:hAnsi="Times New Roman"/>
                <w:sz w:val="24"/>
                <w:szCs w:val="24"/>
                <w:lang w:val="ro-MD" w:eastAsia="ro-RO"/>
              </w:rPr>
              <w:t xml:space="preserve">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Statele membre pregătesc, în cooperare cu partenerii menționați la articolul 8 alineatul (1), programe de execuție a fondurilor pentru perioada cuprinsă între </w:t>
            </w:r>
            <w:r>
              <w:rPr>
                <w:rFonts w:ascii="Times New Roman" w:eastAsia="Times New Roman" w:hAnsi="Times New Roman"/>
                <w:sz w:val="24"/>
                <w:szCs w:val="24"/>
                <w:lang w:val="ro-MD"/>
              </w:rPr>
              <w:t>1 ianuarie 2021 și 31 decembrie 2027.</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Statele membre prezintă Comisiei programe în termen de trei luni de la prezentarea acordului de parteneriat. Pentru FAMI, FSI și IMFV, statele membre prezintă Comisiei programe în termen de trei luni de la data i</w:t>
            </w:r>
            <w:r>
              <w:rPr>
                <w:rFonts w:ascii="Times New Roman" w:eastAsia="Times New Roman" w:hAnsi="Times New Roman"/>
                <w:sz w:val="24"/>
                <w:szCs w:val="24"/>
                <w:lang w:val="ro-MD"/>
              </w:rPr>
              <w:t>ntrării în vigoare a prezentului regulament sau de la data intrării în vigoare a regulamentului specific fondului respectiv, oricare dintre aceste date survine ultima.</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Statele membre pregătesc programele în conformitate cu modelul de program prevăzut</w:t>
            </w:r>
            <w:r>
              <w:rPr>
                <w:rFonts w:ascii="Times New Roman" w:eastAsia="Times New Roman" w:hAnsi="Times New Roman"/>
                <w:sz w:val="24"/>
                <w:szCs w:val="24"/>
                <w:lang w:val="ro-MD"/>
              </w:rPr>
              <w:t xml:space="preserve"> în anexa V.</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FAMI, FSI și IMFV, statele membre pregătesc programele în conformitate cu modelul de program prevăzut în anexa VI.</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(4)   În cazul în care se elaborează un raport de mediu în conformitate cu Directiva 2001/42/CE a Parlamentului European </w:t>
            </w:r>
            <w:r>
              <w:rPr>
                <w:rFonts w:ascii="Times New Roman" w:eastAsia="Times New Roman" w:hAnsi="Times New Roman"/>
                <w:sz w:val="24"/>
                <w:szCs w:val="24"/>
                <w:lang w:val="ro-MD"/>
              </w:rPr>
              <w:t>și a Consiliului </w:t>
            </w:r>
            <w:hyperlink r:id="rId20"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46</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acesta se publică pe site-ul internet aferent programului, menționat la articolul 49 alineatul</w:t>
            </w:r>
            <w:r>
              <w:rPr>
                <w:rFonts w:ascii="Times New Roman" w:eastAsia="Times New Roman" w:hAnsi="Times New Roman"/>
                <w:sz w:val="24"/>
                <w:szCs w:val="24"/>
                <w:lang w:val="ro-MD"/>
              </w:rPr>
              <w:t xml:space="preserve"> (1) din prezentul regulament.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22</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Conținutul programelor</w:t>
            </w:r>
          </w:p>
          <w:p w:rsidR="002F15D7" w:rsidRDefault="002F15D7">
            <w:pPr>
              <w:spacing w:after="0"/>
              <w:rPr>
                <w:rFonts w:ascii="Times New Roman"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Fiecare program </w:t>
            </w:r>
            <w:r>
              <w:rPr>
                <w:rFonts w:ascii="Times New Roman" w:eastAsia="Times New Roman" w:hAnsi="Times New Roman"/>
                <w:sz w:val="24"/>
                <w:szCs w:val="24"/>
                <w:lang w:val="ro-MD"/>
              </w:rPr>
              <w:t>stabilește o strategie pentru contribuția programului la obiectivele de politică sau la obiectivul specific al FTJ și pentru comunicarea rezultatelor acestuia.</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Un program este format din una sau mai multe priorități. Fiecare prioritate corespunde unu</w:t>
            </w:r>
            <w:r>
              <w:rPr>
                <w:rFonts w:ascii="Times New Roman" w:eastAsia="Times New Roman" w:hAnsi="Times New Roman"/>
                <w:sz w:val="24"/>
                <w:szCs w:val="24"/>
                <w:lang w:val="ro-MD"/>
              </w:rPr>
              <w:t>i obiectiv de politică unic, obiectivului specific al FTJ sau asistenței tehnice implementate în temeiul articolului 36 alineatul (4) sau al articolului 37. O prioritate poate utiliza sprijin din unul sau mai multe fonduri, cu excepția cazului în care prim</w:t>
            </w:r>
            <w:r>
              <w:rPr>
                <w:rFonts w:ascii="Times New Roman" w:eastAsia="Times New Roman" w:hAnsi="Times New Roman"/>
                <w:sz w:val="24"/>
                <w:szCs w:val="24"/>
                <w:lang w:val="ro-MD"/>
              </w:rPr>
              <w:t>ește sprijin din FTJ sau se referă la asistența tehnică implementată în temeiul articolului 36 alineatul (4) sau al articolului 37. O prioritate care corespunde unui obiectiv de politică este formată din unul sau mai multe obiective specifice. Aceluiași ob</w:t>
            </w:r>
            <w:r>
              <w:rPr>
                <w:rFonts w:ascii="Times New Roman" w:eastAsia="Times New Roman" w:hAnsi="Times New Roman"/>
                <w:sz w:val="24"/>
                <w:szCs w:val="24"/>
                <w:lang w:val="ro-MD"/>
              </w:rPr>
              <w:t>iectiv de politică sau obiectivului specific al FTJ pot să-i corespundă mai multe priorități.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programele sprijinite din FAMI, FSI și de IMFV, un program beneficiază de sprijin dintr-un fond și este format din obiective specifice și din obiective spe</w:t>
            </w:r>
            <w:r>
              <w:rPr>
                <w:rFonts w:ascii="Times New Roman" w:eastAsia="Times New Roman" w:hAnsi="Times New Roman"/>
                <w:sz w:val="24"/>
                <w:szCs w:val="24"/>
                <w:lang w:val="ro-MD"/>
              </w:rPr>
              <w:t>cifice de asistență tehnică.</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Fiecare program stabilește: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un rezumat al principalelor provocări, ținând cont de:</w:t>
                  </w:r>
                </w:p>
                <w:tbl>
                  <w:tblPr>
                    <w:tblW w:w="5000" w:type="pct"/>
                    <w:tblCellMar>
                      <w:left w:w="10" w:type="dxa"/>
                      <w:right w:w="10" w:type="dxa"/>
                    </w:tblCellMar>
                    <w:tblLook w:val="04A0" w:firstRow="1" w:lastRow="0" w:firstColumn="1" w:lastColumn="0" w:noHBand="0" w:noVBand="1"/>
                  </w:tblPr>
                  <w:tblGrid>
                    <w:gridCol w:w="227"/>
                    <w:gridCol w:w="3334"/>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3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disparitățile și inegalitățile economice, sociale și teritoriale, cu excepția programelor sprijinite de FEAMPA;</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80"/>
                    <w:gridCol w:w="3181"/>
                  </w:tblGrid>
                  <w:tr w:rsidR="002F15D7">
                    <w:tblPrEx>
                      <w:tblCellMar>
                        <w:top w:w="0" w:type="dxa"/>
                        <w:bottom w:w="0" w:type="dxa"/>
                      </w:tblCellMar>
                    </w:tblPrEx>
                    <w:tc>
                      <w:tcPr>
                        <w:tcW w:w="3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1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disfuncțion</w:t>
                        </w:r>
                        <w:r>
                          <w:rPr>
                            <w:rFonts w:ascii="Times New Roman" w:eastAsia="Times New Roman" w:hAnsi="Times New Roman"/>
                            <w:sz w:val="24"/>
                            <w:szCs w:val="24"/>
                            <w:lang w:val="ro-MD"/>
                          </w:rPr>
                          <w:t>alitățile pieței;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201"/>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nevoile de investiții și complementaritatea și </w:t>
                        </w:r>
                        <w:proofErr w:type="spellStart"/>
                        <w:r>
                          <w:rPr>
                            <w:rFonts w:ascii="Times New Roman" w:eastAsia="Times New Roman" w:hAnsi="Times New Roman"/>
                            <w:sz w:val="24"/>
                            <w:szCs w:val="24"/>
                            <w:lang w:val="ro-MD"/>
                          </w:rPr>
                          <w:t>sinergiile</w:t>
                        </w:r>
                        <w:proofErr w:type="spellEnd"/>
                        <w:r>
                          <w:rPr>
                            <w:rFonts w:ascii="Times New Roman" w:eastAsia="Times New Roman" w:hAnsi="Times New Roman"/>
                            <w:sz w:val="24"/>
                            <w:szCs w:val="24"/>
                            <w:lang w:val="ro-MD"/>
                          </w:rPr>
                          <w:t xml:space="preserve"> cu alte forme de sprijin;</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14"/>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(iv)</w:t>
                        </w:r>
                      </w:p>
                    </w:tc>
                    <w:tc>
                      <w:tcPr>
                        <w:tcW w:w="32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provocările identificate în recomandările relevante specifice fiecărei țări, strategiile naționale sau regionale relevante ale statului </w:t>
                        </w:r>
                        <w:r>
                          <w:rPr>
                            <w:rFonts w:ascii="Times New Roman" w:eastAsia="Times New Roman" w:hAnsi="Times New Roman"/>
                            <w:sz w:val="24"/>
                            <w:szCs w:val="24"/>
                            <w:lang w:val="ro-MD"/>
                          </w:rPr>
                          <w:t>membru respectiv, inclusiv planul său național integrat privind energia și clima și în raport cu principiile Pilonului european al drepturilor sociale, precum și, pentru FAMI, FSI și IMFV, alte recomandări relevante ale Uniunii adresate statului membru;</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281"/>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w:t>
                        </w:r>
                      </w:p>
                    </w:tc>
                    <w:tc>
                      <w:tcPr>
                        <w:tcW w:w="32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provocările la nivelul capacității administrative și al guvernanței și măsurile de simplificare;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14"/>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w:t>
                        </w:r>
                      </w:p>
                    </w:tc>
                    <w:tc>
                      <w:tcPr>
                        <w:tcW w:w="32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acolo unde este cazul, o abordare integrată a provocărilor demografice;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14"/>
                    <w:gridCol w:w="3147"/>
                  </w:tblGrid>
                  <w:tr w:rsidR="002F15D7">
                    <w:tblPrEx>
                      <w:tblCellMar>
                        <w:top w:w="0" w:type="dxa"/>
                        <w:bottom w:w="0" w:type="dxa"/>
                      </w:tblCellMar>
                    </w:tblPrEx>
                    <w:tc>
                      <w:tcPr>
                        <w:tcW w:w="4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(vii)</w:t>
                        </w:r>
                      </w:p>
                    </w:tc>
                    <w:tc>
                      <w:tcPr>
                        <w:tcW w:w="31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învățămintele desprinse din experiența anterioară;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80"/>
                    <w:gridCol w:w="3081"/>
                  </w:tblGrid>
                  <w:tr w:rsidR="002F15D7">
                    <w:tblPrEx>
                      <w:tblCellMar>
                        <w:top w:w="0" w:type="dxa"/>
                        <w:bottom w:w="0" w:type="dxa"/>
                      </w:tblCellMar>
                    </w:tblPrEx>
                    <w:tc>
                      <w:tcPr>
                        <w:tcW w:w="4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(viii)</w:t>
                        </w:r>
                      </w:p>
                    </w:tc>
                    <w:tc>
                      <w:tcPr>
                        <w:tcW w:w="30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strategiile </w:t>
                        </w:r>
                        <w:proofErr w:type="spellStart"/>
                        <w:r>
                          <w:rPr>
                            <w:rFonts w:ascii="Times New Roman" w:eastAsia="Times New Roman" w:hAnsi="Times New Roman"/>
                            <w:sz w:val="24"/>
                            <w:szCs w:val="24"/>
                            <w:lang w:val="ro-MD"/>
                          </w:rPr>
                          <w:t>macroregionale</w:t>
                        </w:r>
                        <w:proofErr w:type="spellEnd"/>
                        <w:r>
                          <w:rPr>
                            <w:rFonts w:ascii="Times New Roman" w:eastAsia="Times New Roman" w:hAnsi="Times New Roman"/>
                            <w:sz w:val="24"/>
                            <w:szCs w:val="24"/>
                            <w:lang w:val="ro-MD"/>
                          </w:rPr>
                          <w:t xml:space="preserve"> și strategiile privind bazinele maritime, atunci când statele membre și regiunile iau parte la astfel de strategii;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14"/>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(ix)</w:t>
                        </w:r>
                      </w:p>
                    </w:tc>
                    <w:tc>
                      <w:tcPr>
                        <w:tcW w:w="32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programele sprijinite din FAMI, FSI și de IMFV, progresele în implementarea acquis-ului relevant al</w:t>
                        </w:r>
                        <w:r>
                          <w:rPr>
                            <w:rFonts w:ascii="Times New Roman" w:eastAsia="Times New Roman" w:hAnsi="Times New Roman"/>
                            <w:sz w:val="24"/>
                            <w:szCs w:val="24"/>
                            <w:lang w:val="ro-MD"/>
                          </w:rPr>
                          <w:t xml:space="preserve"> Uniunii și a planurilor de acțiune relevante și o justificare a alegerii obiectivelor specifice;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281"/>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(x)</w:t>
                        </w:r>
                      </w:p>
                    </w:tc>
                    <w:tc>
                      <w:tcPr>
                        <w:tcW w:w="32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programele sprijinite din FTJ, provocările legate de tranziție identificate în planurile teritoriale pentru o tranziție justă;</w:t>
                        </w:r>
                      </w:p>
                    </w:tc>
                  </w:tr>
                </w:tbl>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Punctele (i), </w:t>
                  </w:r>
                  <w:r>
                    <w:rPr>
                      <w:rFonts w:ascii="Times New Roman" w:eastAsia="Times New Roman" w:hAnsi="Times New Roman"/>
                      <w:sz w:val="24"/>
                      <w:szCs w:val="24"/>
                      <w:lang w:val="ro-MD"/>
                    </w:rPr>
                    <w:t>(ii) și (viii) nu se aplică programelor sprijinite din FAMI, FSI sau de IMFV.</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 justificare a obiectivelor de politică selectate, a priorităților corespunzătoare, a obiectivelor specifice și a formelor de sprijin;</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fiecare prioritate, cu </w:t>
                  </w:r>
                  <w:r>
                    <w:rPr>
                      <w:rFonts w:ascii="Times New Roman" w:eastAsia="Times New Roman" w:hAnsi="Times New Roman"/>
                      <w:sz w:val="24"/>
                      <w:szCs w:val="24"/>
                      <w:lang w:val="ro-MD"/>
                    </w:rPr>
                    <w:t>excepția asistenței tehnice, obiectivele specifice;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fiecare obiectiv specific:</w:t>
                  </w:r>
                </w:p>
                <w:tbl>
                  <w:tblPr>
                    <w:tblW w:w="5000" w:type="pct"/>
                    <w:tblCellMar>
                      <w:left w:w="10" w:type="dxa"/>
                      <w:right w:w="10" w:type="dxa"/>
                    </w:tblCellMar>
                    <w:tblLook w:val="04A0" w:firstRow="1" w:lastRow="0" w:firstColumn="1" w:lastColumn="0" w:noHBand="0" w:noVBand="1"/>
                  </w:tblPr>
                  <w:tblGrid>
                    <w:gridCol w:w="227"/>
                    <w:gridCol w:w="332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2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tipurile de acțiuni aferente și contribuția lor preconizată la obiectivele specifice respective, la strategiile </w:t>
                        </w:r>
                        <w:proofErr w:type="spellStart"/>
                        <w:r>
                          <w:rPr>
                            <w:rFonts w:ascii="Times New Roman" w:eastAsia="Times New Roman" w:hAnsi="Times New Roman"/>
                            <w:sz w:val="24"/>
                            <w:szCs w:val="24"/>
                            <w:lang w:val="ro-MD"/>
                          </w:rPr>
                          <w:t>macroregionale</w:t>
                        </w:r>
                        <w:proofErr w:type="spellEnd"/>
                        <w:r>
                          <w:rPr>
                            <w:rFonts w:ascii="Times New Roman" w:eastAsia="Times New Roman" w:hAnsi="Times New Roman"/>
                            <w:sz w:val="24"/>
                            <w:szCs w:val="24"/>
                            <w:lang w:val="ro-MD"/>
                          </w:rPr>
                          <w:t xml:space="preserve">, la strategiile privind bazinele </w:t>
                        </w:r>
                        <w:r>
                          <w:rPr>
                            <w:rFonts w:ascii="Times New Roman" w:eastAsia="Times New Roman" w:hAnsi="Times New Roman"/>
                            <w:sz w:val="24"/>
                            <w:szCs w:val="24"/>
                            <w:lang w:val="ro-MD"/>
                          </w:rPr>
                          <w:t>maritime și la planurile teritoriale pentru o tranziție justă, sprijinite din FTJ, după caz;</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54"/>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5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indicatorii de realizare și indicatorii de rezultat, cu obiectivele de etapă și țintele corespunzătoare;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51"/>
                    <w:gridCol w:w="3097"/>
                  </w:tblGrid>
                  <w:tr w:rsidR="002F15D7">
                    <w:tblPrEx>
                      <w:tblCellMar>
                        <w:top w:w="0" w:type="dxa"/>
                        <w:bottom w:w="0" w:type="dxa"/>
                      </w:tblCellMar>
                    </w:tblPrEx>
                    <w:tc>
                      <w:tcPr>
                        <w:tcW w:w="45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09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grupurile-țintă principale;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01"/>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(iv)</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acțiunile menite să garanteze egalitatea, incluziunea și nediscriminarea;</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26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w:t>
                        </w:r>
                      </w:p>
                    </w:tc>
                    <w:tc>
                      <w:tcPr>
                        <w:tcW w:w="326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indicarea teritoriilor specifice vizate, inclusiv utilizarea planificată a investițiilor teritoriale integrate, a dezvoltării locale plasate sub responsabilitatea comunității </w:t>
                        </w:r>
                        <w:r>
                          <w:rPr>
                            <w:rFonts w:ascii="Times New Roman" w:eastAsia="Times New Roman" w:hAnsi="Times New Roman"/>
                            <w:sz w:val="24"/>
                            <w:szCs w:val="24"/>
                            <w:lang w:val="ro-MD"/>
                          </w:rPr>
                          <w:t>sau a altor instrumente teritoriale;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01"/>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acțiunile interregionale, transfrontaliere și transnaționale ai căror beneficiari se află în cel puțin un alt stat membru sau în afara Uniunii, după caz;</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14"/>
                    <w:gridCol w:w="3134"/>
                  </w:tblGrid>
                  <w:tr w:rsidR="002F15D7">
                    <w:tblPrEx>
                      <w:tblCellMar>
                        <w:top w:w="0" w:type="dxa"/>
                        <w:bottom w:w="0" w:type="dxa"/>
                      </w:tblCellMar>
                    </w:tblPrEx>
                    <w:tc>
                      <w:tcPr>
                        <w:tcW w:w="4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(vii)</w:t>
                        </w:r>
                      </w:p>
                    </w:tc>
                    <w:tc>
                      <w:tcPr>
                        <w:tcW w:w="313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utilizarea planificată a instrumentelor </w:t>
                        </w:r>
                        <w:r>
                          <w:rPr>
                            <w:rFonts w:ascii="Times New Roman" w:eastAsia="Times New Roman" w:hAnsi="Times New Roman"/>
                            <w:sz w:val="24"/>
                            <w:szCs w:val="24"/>
                            <w:lang w:val="ro-MD"/>
                          </w:rPr>
                          <w:t>financiare;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80"/>
                    <w:gridCol w:w="3068"/>
                  </w:tblGrid>
                  <w:tr w:rsidR="002F15D7">
                    <w:tblPrEx>
                      <w:tblCellMar>
                        <w:top w:w="0" w:type="dxa"/>
                        <w:bottom w:w="0" w:type="dxa"/>
                      </w:tblCellMar>
                    </w:tblPrEx>
                    <w:tc>
                      <w:tcPr>
                        <w:tcW w:w="4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(viii)</w:t>
                        </w:r>
                      </w:p>
                    </w:tc>
                    <w:tc>
                      <w:tcPr>
                        <w:tcW w:w="306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tipurile de intervenții și o defalcare orientativă a resurselor programate, pe tip de intervenție;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01"/>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(ix)</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obiectivul specific al FTJ, justificarea tuturor cuantumurilor transferate din resursele FEDR și, respectiv, ale FSE+, în </w:t>
                        </w:r>
                        <w:r>
                          <w:rPr>
                            <w:rFonts w:ascii="Times New Roman" w:eastAsia="Times New Roman" w:hAnsi="Times New Roman"/>
                            <w:sz w:val="24"/>
                            <w:szCs w:val="24"/>
                            <w:lang w:val="ro-MD"/>
                          </w:rPr>
                          <w:t>conformitate cu articolul 27, precum și defalcarea acestora pe categorii de regiuni, reflectând tipurile de intervenții planificate în conformitate cu planurile teritoriale pentru o tranziție justă;</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fiecare prioritate privind asistența </w:t>
                  </w:r>
                  <w:r>
                    <w:rPr>
                      <w:rFonts w:ascii="Times New Roman" w:eastAsia="Times New Roman" w:hAnsi="Times New Roman"/>
                      <w:sz w:val="24"/>
                      <w:szCs w:val="24"/>
                      <w:lang w:val="ro-MD"/>
                    </w:rPr>
                    <w:t>tehnică implementată în temeiul articolului 36 alineatul (4):</w:t>
                  </w:r>
                </w:p>
                <w:tbl>
                  <w:tblPr>
                    <w:tblW w:w="5000" w:type="pct"/>
                    <w:tblCellMar>
                      <w:left w:w="10" w:type="dxa"/>
                      <w:right w:w="10" w:type="dxa"/>
                    </w:tblCellMar>
                    <w:tblLook w:val="04A0" w:firstRow="1" w:lastRow="0" w:firstColumn="1" w:lastColumn="0" w:noHBand="0" w:noVBand="1"/>
                  </w:tblPr>
                  <w:tblGrid>
                    <w:gridCol w:w="287"/>
                    <w:gridCol w:w="3274"/>
                  </w:tblGrid>
                  <w:tr w:rsidR="002F15D7">
                    <w:tblPrEx>
                      <w:tblCellMar>
                        <w:top w:w="0" w:type="dxa"/>
                        <w:bottom w:w="0" w:type="dxa"/>
                      </w:tblCellMar>
                    </w:tblPrEx>
                    <w:tc>
                      <w:tcPr>
                        <w:tcW w:w="28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27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tipurile de acțiuni aferente;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67"/>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indicatorii de realizare, cu obiectivele de etapă și țintele corespunzătoare;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53"/>
                    <w:gridCol w:w="3108"/>
                  </w:tblGrid>
                  <w:tr w:rsidR="002F15D7">
                    <w:tblPrEx>
                      <w:tblCellMar>
                        <w:top w:w="0" w:type="dxa"/>
                        <w:bottom w:w="0" w:type="dxa"/>
                      </w:tblCellMar>
                    </w:tblPrEx>
                    <w:tc>
                      <w:tcPr>
                        <w:tcW w:w="453"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10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grupurile-țintă principale;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14"/>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(iv)</w:t>
                        </w:r>
                      </w:p>
                    </w:tc>
                    <w:tc>
                      <w:tcPr>
                        <w:tcW w:w="32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tipurile de intervenții și o </w:t>
                        </w:r>
                        <w:r>
                          <w:rPr>
                            <w:rFonts w:ascii="Times New Roman" w:eastAsia="Times New Roman" w:hAnsi="Times New Roman"/>
                            <w:sz w:val="24"/>
                            <w:szCs w:val="24"/>
                            <w:lang w:val="ro-MD"/>
                          </w:rPr>
                          <w:t>defalcare orientativă a resurselor programate, pe tip de intervenție;</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utilizarea planificată a asistenței tehnice în temeiul articolului 37, după caz, și tipurile de intervenții relevante;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un plan de finanțare care să conțină:</w:t>
                  </w:r>
                </w:p>
                <w:tbl>
                  <w:tblPr>
                    <w:tblW w:w="5000" w:type="pct"/>
                    <w:tblCellMar>
                      <w:left w:w="10" w:type="dxa"/>
                      <w:right w:w="10" w:type="dxa"/>
                    </w:tblCellMar>
                    <w:tblLook w:val="04A0" w:firstRow="1" w:lastRow="0" w:firstColumn="1" w:lastColumn="0" w:noHBand="0" w:noVBand="1"/>
                  </w:tblPr>
                  <w:tblGrid>
                    <w:gridCol w:w="227"/>
                    <w:gridCol w:w="332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2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un tabel </w:t>
                        </w:r>
                        <w:r>
                          <w:rPr>
                            <w:rFonts w:ascii="Times New Roman" w:eastAsia="Times New Roman" w:hAnsi="Times New Roman"/>
                            <w:sz w:val="24"/>
                            <w:szCs w:val="24"/>
                            <w:lang w:val="ro-MD"/>
                          </w:rPr>
                          <w:t>care precizează alocările financiare totale pentru fiecare fond și, după caz, pentru fiecare categorie de regiuni, pentru întreaga perioadă de programare și pentru fiecare an, inclusiv orice cuantumuri transferate în temeiul articolului 26 sau 27;</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54"/>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5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w:t>
                        </w:r>
                        <w:r>
                          <w:rPr>
                            <w:rFonts w:ascii="Times New Roman" w:eastAsia="Times New Roman" w:hAnsi="Times New Roman"/>
                            <w:sz w:val="24"/>
                            <w:szCs w:val="24"/>
                            <w:lang w:val="ro-MD"/>
                          </w:rPr>
                          <w:t>entru programele sprijinite din FEDR, FSE+, Fondul de coeziune și FTJ, un tabel care precizează alocările financiare totale pentru fiecare prioritate defalcate, după caz, pe fonduri și pe categorii de regiuni, precum și contribuția națională, cu precizarea</w:t>
                        </w:r>
                        <w:r>
                          <w:rPr>
                            <w:rFonts w:ascii="Times New Roman" w:eastAsia="Times New Roman" w:hAnsi="Times New Roman"/>
                            <w:sz w:val="24"/>
                            <w:szCs w:val="24"/>
                            <w:lang w:val="ro-MD"/>
                          </w:rPr>
                          <w:t xml:space="preserve"> dacă aceasta este alcătuită din contribuții publice sau private, sau din ambele;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188"/>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1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programele sprijinite din FEAMPA, un tabel care precizează, pentru fiecare obiectiv specific, cuantumul alocărilor financiare totale ale sprijinului din fond ș</w:t>
                        </w:r>
                        <w:r>
                          <w:rPr>
                            <w:rFonts w:ascii="Times New Roman" w:eastAsia="Times New Roman" w:hAnsi="Times New Roman"/>
                            <w:sz w:val="24"/>
                            <w:szCs w:val="24"/>
                            <w:lang w:val="ro-MD"/>
                          </w:rPr>
                          <w:t>i contribuția națională;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01"/>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(iv)</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programele sprijinite din FAMI, FSI și de IMFV, un tabel care precizează, pentru fiecare obiectiv specific, alocările financiare totale pe tip de acțiune, precum și contribuția națională, cu precizarea dacă aceasta </w:t>
                        </w:r>
                        <w:r>
                          <w:rPr>
                            <w:rFonts w:ascii="Times New Roman" w:eastAsia="Times New Roman" w:hAnsi="Times New Roman"/>
                            <w:sz w:val="24"/>
                            <w:szCs w:val="24"/>
                            <w:lang w:val="ro-MD"/>
                          </w:rPr>
                          <w:t>este alcătuită din contribuții publice sau private, sau din ambele;</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(h)</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acțiunile întreprinse pentru a implica partenerii relevanți menționați la articolul 8 alineatul (1) în pregătirea programului și rolul acestor parteneri în implementarea, </w:t>
                  </w:r>
                  <w:r>
                    <w:rPr>
                      <w:rFonts w:ascii="Times New Roman" w:eastAsia="Times New Roman" w:hAnsi="Times New Roman"/>
                      <w:sz w:val="24"/>
                      <w:szCs w:val="24"/>
                      <w:lang w:val="ro-MD"/>
                    </w:rPr>
                    <w:t>monitorizarea și evaluarea programului;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fiecare condiție favorizantă legată de obiectivul specific selectat, stabilită în conformitate cu articolul 15 și cu anexele III și IV, o evaluare a îndeplinirii condiției favorizante la data prezentării</w:t>
                  </w:r>
                  <w:r>
                    <w:rPr>
                      <w:rFonts w:ascii="Times New Roman" w:eastAsia="Times New Roman" w:hAnsi="Times New Roman"/>
                      <w:sz w:val="24"/>
                      <w:szCs w:val="24"/>
                      <w:lang w:val="ro-MD"/>
                    </w:rPr>
                    <w:t xml:space="preserve"> programului;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(j)</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abordarea avută în vedere în ceea ce privește comunicarea și vizibilitatea programului, prin definirea obiectivelor, a publicului-țintă, a canalelor de comunicare, inclusiv a acoperirii la nivelul platformelor de comunicare socială, </w:t>
                  </w:r>
                  <w:r>
                    <w:rPr>
                      <w:rFonts w:ascii="Times New Roman" w:eastAsia="Times New Roman" w:hAnsi="Times New Roman"/>
                      <w:sz w:val="24"/>
                      <w:szCs w:val="24"/>
                      <w:lang w:val="ro-MD"/>
                    </w:rPr>
                    <w:t>dacă este cazul, a bugetului planificat și a indicatorilor relevanți pentru monitorizare și evaluare;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(k)</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autoritățile responsabile de program și organismul sau, în cazul asistenței tehnice în temeiul articolului 36 alineatul (5), acolo unde se aplică, o</w:t>
                  </w:r>
                  <w:r>
                    <w:rPr>
                      <w:rFonts w:ascii="Times New Roman" w:eastAsia="Times New Roman" w:hAnsi="Times New Roman"/>
                      <w:sz w:val="24"/>
                      <w:szCs w:val="24"/>
                      <w:lang w:val="ro-MD"/>
                    </w:rPr>
                    <w:t>rganismele care primesc plăți din partea Comisiei.</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Litera (a) punctele (i), (ii) și (viii) de la prezentul alineat nu se aplică programelor care se limitează la sprijinirea obiectivului specific prevăzut la articolul 4 alineatul (1) litera (m) din </w:t>
            </w:r>
            <w:r>
              <w:rPr>
                <w:rFonts w:ascii="Times New Roman" w:eastAsia="Times New Roman" w:hAnsi="Times New Roman"/>
                <w:sz w:val="24"/>
                <w:szCs w:val="24"/>
                <w:lang w:val="ro-MD"/>
              </w:rPr>
              <w:t>Regulamentul FSE+. Litera (d) de la prezentul alineat nu se aplică obiectivului specific prevăzut la articolul 4 alineatul (1) litera (m) din Regulamentul FSE+.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FEDR, Fondul de coeziune, FSE+, FTJ și FEAMPA, programul este însoțit, în scop informati</w:t>
            </w:r>
            <w:r>
              <w:rPr>
                <w:rFonts w:ascii="Times New Roman" w:eastAsia="Times New Roman" w:hAnsi="Times New Roman"/>
                <w:sz w:val="24"/>
                <w:szCs w:val="24"/>
                <w:lang w:val="ro-MD"/>
              </w:rPr>
              <w:t>v, de o listă a operațiunilor de importanță strategică planificate și de un calendar.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În cazul în care, în conformitate cu litera (k), sunt identificate mai multe organisme care urmează să primească plăți din partea Comisiei, statul membru stabilește cota </w:t>
            </w:r>
            <w:r>
              <w:rPr>
                <w:rFonts w:ascii="Times New Roman" w:eastAsia="Times New Roman" w:hAnsi="Times New Roman"/>
                <w:sz w:val="24"/>
                <w:szCs w:val="24"/>
                <w:lang w:val="ro-MD"/>
              </w:rPr>
              <w:t>cuantumurilor rambursate care revine fiecărui organism.</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Prin derogare de la alineatul (3) literele (b)-(e), pentru fiecare obiectiv specific al programelor sprijinite din FAMI, FSI și de IMFV se furnizează următoarele: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 descriere a situației ini</w:t>
                  </w:r>
                  <w:r>
                    <w:rPr>
                      <w:rFonts w:ascii="Times New Roman" w:eastAsia="Times New Roman" w:hAnsi="Times New Roman"/>
                      <w:sz w:val="24"/>
                      <w:szCs w:val="24"/>
                      <w:lang w:val="ro-MD"/>
                    </w:rPr>
                    <w:t>țiale, a provocărilor și a răspunsurilor sprijinite din fond;</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indicarea măsurilor de implementare;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 listă orientativă a acțiunilor și contribuția preconizată a acestora la obiectivele specifice;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după caz, o justificare a sprijinului </w:t>
                  </w:r>
                  <w:r>
                    <w:rPr>
                      <w:rFonts w:ascii="Times New Roman" w:eastAsia="Times New Roman" w:hAnsi="Times New Roman"/>
                      <w:sz w:val="24"/>
                      <w:szCs w:val="24"/>
                      <w:lang w:val="ro-MD"/>
                    </w:rPr>
                    <w:t>operațional, a acțiunilor specifice, a asistenței de urgență și a acțiunilor menționate la articolele 19 și 20 din Regulamentul FAMI;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indicatorii de realizare și de rezultat, cu obiectivele de etapă și țintele corespunzătoare;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defalcare </w:t>
                  </w:r>
                  <w:r>
                    <w:rPr>
                      <w:rFonts w:ascii="Times New Roman" w:eastAsia="Times New Roman" w:hAnsi="Times New Roman"/>
                      <w:sz w:val="24"/>
                      <w:szCs w:val="24"/>
                      <w:lang w:val="ro-MD"/>
                    </w:rPr>
                    <w:t>orientativă a resurselor programate, pe tip de intervenție.</w:t>
                  </w:r>
                </w:p>
              </w:tc>
            </w:tr>
          </w:tbl>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(5)   Tipurile de intervenții se bazează pe un nomenclator stabilit în anexa I. Pentru programele sprijinite din FEAMPA</w:t>
            </w:r>
            <w:r>
              <w:rPr>
                <w:rFonts w:ascii="Times New Roman" w:eastAsia="Times New Roman" w:hAnsi="Times New Roman"/>
                <w:i/>
                <w:iCs/>
                <w:sz w:val="24"/>
                <w:szCs w:val="24"/>
                <w:lang w:val="ro-MD"/>
              </w:rPr>
              <w:t>,</w:t>
            </w:r>
            <w:r>
              <w:rPr>
                <w:rFonts w:ascii="Times New Roman" w:eastAsia="Times New Roman" w:hAnsi="Times New Roman"/>
                <w:sz w:val="24"/>
                <w:szCs w:val="24"/>
                <w:lang w:val="ro-MD"/>
              </w:rPr>
              <w:t> FAMI, FSI și de IMFV, tipurile de intervenții se bazează pe un nomenclator</w:t>
            </w:r>
            <w:r>
              <w:rPr>
                <w:rFonts w:ascii="Times New Roman" w:eastAsia="Times New Roman" w:hAnsi="Times New Roman"/>
                <w:sz w:val="24"/>
                <w:szCs w:val="24"/>
                <w:lang w:val="ro-MD"/>
              </w:rPr>
              <w:t xml:space="preserve"> stabilit în regulamentele specifice fiecărui fond.</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(6)   Pentru programele FEDR, FSE+, ale Fondului de coeziune și ale FTJ, tabelul menționat la alineatul (3) litera (g) punctul (ii) conține cuantumurile pentru anii 2021-2027, inclusiv cuantumul de flexib</w:t>
            </w:r>
            <w:r>
              <w:rPr>
                <w:rFonts w:ascii="Times New Roman" w:eastAsia="Times New Roman" w:hAnsi="Times New Roman"/>
                <w:sz w:val="24"/>
                <w:szCs w:val="24"/>
                <w:lang w:val="ro-MD"/>
              </w:rPr>
              <w:t>ilitate.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(7)   Statul membru informează Comisia cu privire la orice modificare a informațiilor menționate la alineatul (3) primul paragraf litera (k), fără a fi necesară o modificare a programului.</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(8)   Pentru programele sprijinite de FTJ, statele membre </w:t>
            </w:r>
            <w:r>
              <w:rPr>
                <w:rFonts w:ascii="Times New Roman" w:eastAsia="Times New Roman" w:hAnsi="Times New Roman"/>
                <w:sz w:val="24"/>
                <w:szCs w:val="24"/>
                <w:lang w:val="ro-MD"/>
              </w:rPr>
              <w:t>prezintă Comisiei planurile teritoriale pentru o tranziție justă, ca parte a programului sau programelor ori a unei cereri de modificare.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23</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Aprobarea programelor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w:t>
            </w:r>
            <w:r>
              <w:rPr>
                <w:rFonts w:ascii="Times New Roman" w:eastAsia="Times New Roman" w:hAnsi="Times New Roman"/>
                <w:sz w:val="24"/>
                <w:szCs w:val="24"/>
                <w:lang w:val="ro-MD" w:eastAsia="ro-RO"/>
              </w:rPr>
              <w:t>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Comisia evaluează programul și conformitatea sa cu prezentul regulament și cu regulamentele specifice fiecărui fond, iar în cazul FEDR, FSE+, al Fondului de coeziune, </w:t>
            </w:r>
            <w:r>
              <w:rPr>
                <w:lang w:val="ro-MD"/>
              </w:rPr>
              <w:t>FTJ și al FEAMPA, inclusiv coerența programului cu acordul de parteneriat relevant. În evaluarea sa, Comisia ia în considerare, în special, recomandările relevante specifice fiecărei țări, provocările relevante identificate în planul național integrat priv</w:t>
            </w:r>
            <w:r>
              <w:rPr>
                <w:lang w:val="ro-MD"/>
              </w:rPr>
              <w:t>ind energia și clima și principiile Pilonului european al drepturilor sociale, precum și modul în care acestea sunt abordate.</w:t>
            </w:r>
          </w:p>
          <w:p w:rsidR="002F15D7" w:rsidRDefault="006C2DA4">
            <w:pPr>
              <w:pStyle w:val="oj-normal"/>
              <w:shd w:val="clear" w:color="auto" w:fill="FFFFFF"/>
              <w:spacing w:before="120" w:after="0"/>
              <w:jc w:val="both"/>
              <w:rPr>
                <w:lang w:val="ro-MD"/>
              </w:rPr>
            </w:pPr>
            <w:r>
              <w:rPr>
                <w:lang w:val="ro-MD"/>
              </w:rPr>
              <w:t>(2)   Comisia poate formula observații în termen de trei luni de la data prezentării programului de către statul membru.</w:t>
            </w:r>
          </w:p>
          <w:p w:rsidR="002F15D7" w:rsidRDefault="006C2DA4">
            <w:pPr>
              <w:pStyle w:val="oj-normal"/>
              <w:shd w:val="clear" w:color="auto" w:fill="FFFFFF"/>
              <w:spacing w:before="120" w:after="0"/>
              <w:jc w:val="both"/>
              <w:rPr>
                <w:lang w:val="ro-MD"/>
              </w:rPr>
            </w:pPr>
            <w:r>
              <w:rPr>
                <w:lang w:val="ro-MD"/>
              </w:rPr>
              <w:t>(3)   Sta</w:t>
            </w:r>
            <w:r>
              <w:rPr>
                <w:lang w:val="ro-MD"/>
              </w:rPr>
              <w:t>tul membru reexaminează programul, luând în considerare observațiile formulate de Comisie.</w:t>
            </w:r>
          </w:p>
          <w:p w:rsidR="002F15D7" w:rsidRDefault="006C2DA4">
            <w:pPr>
              <w:pStyle w:val="oj-normal"/>
              <w:shd w:val="clear" w:color="auto" w:fill="FFFFFF"/>
              <w:spacing w:before="120" w:after="0"/>
              <w:jc w:val="both"/>
              <w:rPr>
                <w:lang w:val="ro-MD"/>
              </w:rPr>
            </w:pPr>
            <w:r>
              <w:rPr>
                <w:lang w:val="ro-MD"/>
              </w:rPr>
              <w:t>(4)   Comisia adoptă o decizie prin intermediul unui act de punere în aplicare prin care aprobă programul, în termen de cinci luni de la data primei prezentări a pro</w:t>
            </w:r>
            <w:r>
              <w:rPr>
                <w:lang w:val="ro-MD"/>
              </w:rPr>
              <w:t>gramului de către statul membru.</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24</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Modificarea programelor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(1)   Statul membru poate</w:t>
            </w:r>
            <w:r>
              <w:rPr>
                <w:lang w:val="ro-MD"/>
              </w:rPr>
              <w:t xml:space="preserve"> prezenta o cerere motivată de modificare a unui program, împreună cu programul modificat, prezentând impactul preconizat al respectivei modificări asupra îndeplinirii obiectivelor.</w:t>
            </w:r>
          </w:p>
          <w:p w:rsidR="002F15D7" w:rsidRDefault="006C2DA4">
            <w:pPr>
              <w:pStyle w:val="oj-normal"/>
              <w:shd w:val="clear" w:color="auto" w:fill="FFFFFF"/>
              <w:spacing w:before="120" w:after="0"/>
              <w:jc w:val="both"/>
              <w:rPr>
                <w:lang w:val="ro-MD"/>
              </w:rPr>
            </w:pPr>
            <w:r>
              <w:rPr>
                <w:lang w:val="ro-MD"/>
              </w:rPr>
              <w:t>(2)   Comisia evaluează modificarea și conformitatea sa cu prezentul regul</w:t>
            </w:r>
            <w:r>
              <w:rPr>
                <w:lang w:val="ro-MD"/>
              </w:rPr>
              <w:t>ament și cu regulamentele specifice fiecărui fond, inclusiv cu cerințele de la nivel național, și poate formula observații în termen de două luni de la prezentarea programului modificat.</w:t>
            </w:r>
          </w:p>
          <w:p w:rsidR="002F15D7" w:rsidRDefault="006C2DA4">
            <w:pPr>
              <w:pStyle w:val="oj-normal"/>
              <w:shd w:val="clear" w:color="auto" w:fill="FFFFFF"/>
              <w:spacing w:before="120" w:after="0"/>
              <w:jc w:val="both"/>
              <w:rPr>
                <w:lang w:val="ro-MD"/>
              </w:rPr>
            </w:pPr>
            <w:r>
              <w:rPr>
                <w:lang w:val="ro-MD"/>
              </w:rPr>
              <w:t>(3)   Statul membru reexaminează programul modificat, luând în consid</w:t>
            </w:r>
            <w:r>
              <w:rPr>
                <w:lang w:val="ro-MD"/>
              </w:rPr>
              <w:t>erare observațiile formulate de Comisie.</w:t>
            </w:r>
          </w:p>
          <w:p w:rsidR="002F15D7" w:rsidRDefault="006C2DA4">
            <w:pPr>
              <w:pStyle w:val="oj-normal"/>
              <w:shd w:val="clear" w:color="auto" w:fill="FFFFFF"/>
              <w:spacing w:before="120" w:after="0"/>
              <w:jc w:val="both"/>
              <w:rPr>
                <w:lang w:val="ro-MD"/>
              </w:rPr>
            </w:pPr>
            <w:r>
              <w:rPr>
                <w:lang w:val="ro-MD"/>
              </w:rPr>
              <w:t>(4)   Comisia adoptă o decizie prin care aprobă modificarea unui program în termen de patru luni de la prezentarea acesteia de către statul membru.</w:t>
            </w:r>
          </w:p>
          <w:p w:rsidR="002F15D7" w:rsidRDefault="006C2DA4">
            <w:pPr>
              <w:pStyle w:val="oj-normal"/>
              <w:shd w:val="clear" w:color="auto" w:fill="FFFFFF"/>
              <w:spacing w:before="120" w:after="0"/>
              <w:jc w:val="both"/>
              <w:rPr>
                <w:lang w:val="ro-MD"/>
              </w:rPr>
            </w:pPr>
            <w:r>
              <w:rPr>
                <w:lang w:val="ro-MD"/>
              </w:rPr>
              <w:t>(5)   Pentru programele sprijinite din FEDR, FSE+, Fondul de coeziu</w:t>
            </w:r>
            <w:r>
              <w:rPr>
                <w:lang w:val="ro-MD"/>
              </w:rPr>
              <w:t>ne și FTJ, pe parcursul perioadei de programare, statul membru poate transfera un cuantum de maximum 8 % din alocarea inițială a unei priorități și nu mai mult de 4 % din bugetul programului către o altă prioritate a aceluiași fond sprijinind același progr</w:t>
            </w:r>
            <w:r>
              <w:rPr>
                <w:lang w:val="ro-MD"/>
              </w:rPr>
              <w:t>am. Pentru programele sprijinite din FEDR, FSE+ și FTJ, transferul vizează numai alocările pentru aceeași categorie de regiuni.</w:t>
            </w:r>
          </w:p>
          <w:p w:rsidR="002F15D7" w:rsidRDefault="006C2DA4">
            <w:pPr>
              <w:pStyle w:val="oj-normal"/>
              <w:shd w:val="clear" w:color="auto" w:fill="FFFFFF"/>
              <w:spacing w:before="120" w:after="0"/>
              <w:jc w:val="both"/>
              <w:rPr>
                <w:lang w:val="ro-MD"/>
              </w:rPr>
            </w:pPr>
            <w:r>
              <w:rPr>
                <w:lang w:val="ro-MD"/>
              </w:rPr>
              <w:t>Pentru programele sprijinite din FEAMPA, pe parcursul perioadei de programare statul membru poate transfera un cuantum de maximu</w:t>
            </w:r>
            <w:r>
              <w:rPr>
                <w:lang w:val="ro-MD"/>
              </w:rPr>
              <w:t>m 8 % din alocarea inițială a unui obiectiv specific către un alt obiectiv specific, inclusiv către asistența tehnică implementată în temeiul articolului 36 alineatul (4).</w:t>
            </w:r>
          </w:p>
          <w:p w:rsidR="002F15D7" w:rsidRDefault="006C2DA4">
            <w:pPr>
              <w:pStyle w:val="oj-normal"/>
              <w:shd w:val="clear" w:color="auto" w:fill="FFFFFF"/>
              <w:spacing w:before="120" w:after="0"/>
              <w:jc w:val="both"/>
              <w:rPr>
                <w:lang w:val="ro-MD"/>
              </w:rPr>
            </w:pPr>
            <w:r>
              <w:rPr>
                <w:lang w:val="ro-MD"/>
              </w:rPr>
              <w:t xml:space="preserve">Pentru programele sprijinite din FAMI, FSI și de IMFV, pe parcursul perioadei de </w:t>
            </w:r>
            <w:r>
              <w:rPr>
                <w:lang w:val="ro-MD"/>
              </w:rPr>
              <w:t>programare statul membru poate transfera alocările între tipuri de acțiuni în cadrul aceleiași priorități și, în plus, un cuantum de maximum 15 % din alocarea inițială a unei priorități către o altă prioritate a aceluiași fond.</w:t>
            </w:r>
          </w:p>
          <w:p w:rsidR="002F15D7" w:rsidRDefault="006C2DA4">
            <w:pPr>
              <w:pStyle w:val="oj-normal"/>
              <w:shd w:val="clear" w:color="auto" w:fill="FFFFFF"/>
              <w:spacing w:before="120" w:after="0"/>
              <w:jc w:val="both"/>
              <w:rPr>
                <w:lang w:val="ro-MD"/>
              </w:rPr>
            </w:pPr>
            <w:r>
              <w:rPr>
                <w:lang w:val="ro-MD"/>
              </w:rPr>
              <w:t>Aceste transferuri nu afecte</w:t>
            </w:r>
            <w:r>
              <w:rPr>
                <w:lang w:val="ro-MD"/>
              </w:rPr>
              <w:t>ază anii precedenți. Transferurile și modificările aferente sunt considerate a fi nesubstanțiale și nu necesită din partea Comisiei o decizie de aprobare a modificării programului. Cu toate acestea, transferurile respectă toate cerințele legale și se aprob</w:t>
            </w:r>
            <w:r>
              <w:rPr>
                <w:lang w:val="ro-MD"/>
              </w:rPr>
              <w:t>ă în prealabil de către comitetul de monitorizare în temeiul articolului 40 alineatul (2) litera (d). Statul membru prezintă Comisiei tabelul modificat menționat la articolul 22 alineatul (3) litera (g) punctul (ii), (iii) sau (iv), după caz, împreună cu t</w:t>
            </w:r>
            <w:r>
              <w:rPr>
                <w:lang w:val="ro-MD"/>
              </w:rPr>
              <w:t>oate modificările aferente programului.</w:t>
            </w:r>
          </w:p>
          <w:p w:rsidR="002F15D7" w:rsidRDefault="006C2DA4">
            <w:pPr>
              <w:pStyle w:val="oj-normal"/>
              <w:shd w:val="clear" w:color="auto" w:fill="FFFFFF"/>
              <w:spacing w:before="120" w:after="0"/>
              <w:jc w:val="both"/>
              <w:rPr>
                <w:lang w:val="ro-MD"/>
              </w:rPr>
            </w:pPr>
            <w:r>
              <w:rPr>
                <w:lang w:val="ro-MD"/>
              </w:rPr>
              <w:t>(6)   Aprobarea din partea Comisiei nu este necesară în cazul corecturilor de natură pur materială sau de redactare, care nu afectează implementarea programului. Statele membre informează Comisia cu privire la astfel</w:t>
            </w:r>
            <w:r>
              <w:rPr>
                <w:lang w:val="ro-MD"/>
              </w:rPr>
              <w:t xml:space="preserve"> de corecturi.</w:t>
            </w:r>
          </w:p>
          <w:p w:rsidR="002F15D7" w:rsidRDefault="006C2DA4">
            <w:pPr>
              <w:pStyle w:val="oj-normal"/>
              <w:shd w:val="clear" w:color="auto" w:fill="FFFFFF"/>
              <w:spacing w:before="120" w:after="0"/>
              <w:jc w:val="both"/>
              <w:rPr>
                <w:lang w:val="ro-MD"/>
              </w:rPr>
            </w:pPr>
            <w:r>
              <w:rPr>
                <w:lang w:val="ro-MD"/>
              </w:rPr>
              <w:t>(7)   Pentru programele sprijinite din FEAMPA, modificările programelor referitoare la introducerea de indicatori nu necesită aprobarea Comisiei.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25</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Sprijin comun din FEDR, din FSE+, din Fondul de coeziune și din FTJ</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w:t>
            </w:r>
            <w:r>
              <w:rPr>
                <w:rFonts w:ascii="Times New Roman" w:eastAsia="Times New Roman" w:hAnsi="Times New Roman"/>
                <w:b/>
                <w:bCs/>
                <w:sz w:val="24"/>
                <w:szCs w:val="24"/>
                <w:lang w:val="ro-MD" w:eastAsia="ro-RO"/>
              </w:rPr>
              <w:t xml:space="preserve">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FEDR, FSE+, Fondul de coeziune și FTJ pot oferi sprijin comun programelor din cadrul obiectivului </w:t>
            </w:r>
            <w:r>
              <w:rPr>
                <w:lang w:val="ro-MD"/>
              </w:rPr>
              <w:t>Investiții pentru ocuparea forței de muncă și creștere economică.</w:t>
            </w:r>
          </w:p>
          <w:p w:rsidR="002F15D7" w:rsidRDefault="006C2DA4">
            <w:pPr>
              <w:pStyle w:val="oj-normal"/>
              <w:shd w:val="clear" w:color="auto" w:fill="FFFFFF"/>
              <w:spacing w:before="120" w:after="0"/>
              <w:jc w:val="both"/>
              <w:rPr>
                <w:lang w:val="ro-MD"/>
              </w:rPr>
            </w:pPr>
            <w:r>
              <w:rPr>
                <w:lang w:val="ro-MD"/>
              </w:rPr>
              <w:t>(2)   FEDR și FSE+ pot finanța, în mod complementar și sub rezerva unei limite de 15 % din finanțarea provenită de la fondurile respective pentru fiecare prioritate a unui program, o parte s</w:t>
            </w:r>
            <w:r>
              <w:rPr>
                <w:lang w:val="ro-MD"/>
              </w:rPr>
              <w:t xml:space="preserve">au totalitatea unei operațiuni în cazul căreia cheltuielile sunt eligibile pentru sprijin din celălalt fond pe baza normelor de eligibilitate aplicate fondului respectiv, cu condiția ca acele costuri să fie necesare pentru implementare. Această opțiune nu </w:t>
            </w:r>
            <w:r>
              <w:rPr>
                <w:lang w:val="ro-MD"/>
              </w:rPr>
              <w:t>se aplică resurselor FEDR și FSE+ care sunt transferate către FTJ în conformitate cu articolul 27.</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26</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Transferul de resurse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Europeană, acestea se vor aplica direct și </w:t>
            </w:r>
            <w:r>
              <w:rPr>
                <w:rFonts w:ascii="Times New Roman" w:eastAsia="Times New Roman" w:hAnsi="Times New Roman"/>
                <w:sz w:val="24"/>
                <w:szCs w:val="24"/>
                <w:lang w:val="ro-MD" w:eastAsia="ro-RO"/>
              </w:rPr>
              <w:t>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(1)   Statele membre pot solicita, în acordul de parteneriat sau într-o cerere de modificare a unui program, cu acordul comitetului de monitorizare a programului în temeiul articolului 40 alineatul (2) litera (d), tra</w:t>
            </w:r>
            <w:r>
              <w:rPr>
                <w:lang w:val="ro-MD"/>
              </w:rPr>
              <w:t>nsferul a până la 5 % din alocarea națională inițială a fiecărui fond către orice alt instrument care face obiectul gestiunii directe sau indirecte, în cazul în care o astfel de posibilitate este prevăzută în actul de bază al unui astfel de instrument.</w:t>
            </w:r>
          </w:p>
          <w:p w:rsidR="002F15D7" w:rsidRDefault="006C2DA4">
            <w:pPr>
              <w:pStyle w:val="oj-normal"/>
              <w:shd w:val="clear" w:color="auto" w:fill="FFFFFF"/>
              <w:spacing w:before="120" w:after="0"/>
              <w:jc w:val="both"/>
              <w:rPr>
                <w:lang w:val="ro-MD"/>
              </w:rPr>
            </w:pPr>
            <w:r>
              <w:rPr>
                <w:lang w:val="ro-MD"/>
              </w:rPr>
              <w:t>Sum</w:t>
            </w:r>
            <w:r>
              <w:rPr>
                <w:lang w:val="ro-MD"/>
              </w:rPr>
              <w:t>a transferurilor menționate la primul paragraf de la prezentul alineat și contribuțiile în conformitate cu articolul 14 alineatul (1) primul paragraf nu depășesc 5 % din alocarea națională inițială a fiecărui fond.</w:t>
            </w:r>
          </w:p>
          <w:p w:rsidR="002F15D7" w:rsidRDefault="006C2DA4">
            <w:pPr>
              <w:pStyle w:val="oj-normal"/>
              <w:shd w:val="clear" w:color="auto" w:fill="FFFFFF"/>
              <w:spacing w:before="120" w:after="0"/>
              <w:jc w:val="both"/>
              <w:rPr>
                <w:lang w:val="ro-MD"/>
              </w:rPr>
            </w:pPr>
            <w:r>
              <w:rPr>
                <w:lang w:val="ro-MD"/>
              </w:rPr>
              <w:t>Statele membre pot solicita, de asemenea,</w:t>
            </w:r>
            <w:r>
              <w:rPr>
                <w:lang w:val="ro-MD"/>
              </w:rPr>
              <w:t xml:space="preserve"> în acordul de parteneriat sau în cererea de modificare a unui program, transferul a până la 5 % din alocarea națională inițială a fiecărui fond către un alt fond sau alte fonduri, cu excepția transferurilor prevăzute la al patrulea paragraf.</w:t>
            </w:r>
          </w:p>
          <w:p w:rsidR="002F15D7" w:rsidRDefault="006C2DA4">
            <w:pPr>
              <w:pStyle w:val="oj-normal"/>
              <w:shd w:val="clear" w:color="auto" w:fill="FFFFFF"/>
              <w:spacing w:before="120" w:after="0"/>
              <w:jc w:val="both"/>
              <w:rPr>
                <w:lang w:val="ro-MD"/>
              </w:rPr>
            </w:pPr>
            <w:r>
              <w:rPr>
                <w:lang w:val="ro-MD"/>
              </w:rPr>
              <w:t>Statele membr</w:t>
            </w:r>
            <w:r>
              <w:rPr>
                <w:lang w:val="ro-MD"/>
              </w:rPr>
              <w:t>e pot solicita, de asemenea, în acordul de parteneriat sau în cererea de modificare a unui program, un transfer suplimentar de maximum 20 % din alocarea națională inițială pentru fiecare fond între FEDR, FSE+ sau Fondul de coeziune, în limita resurselor gl</w:t>
            </w:r>
            <w:r>
              <w:rPr>
                <w:lang w:val="ro-MD"/>
              </w:rPr>
              <w:t>obale ale statului membru din cadrul obiectivului Investiții pentru ocuparea forței de muncă și creștere economică. Statele membre a căror rată medie totală a șomajului pentru perioada 2017-2019 este sub 3 % pot solicita un astfel de transfer suplimentar d</w:t>
            </w:r>
            <w:r>
              <w:rPr>
                <w:lang w:val="ro-MD"/>
              </w:rPr>
              <w:t>e maximum 25 % din alocarea națională inițială.</w:t>
            </w:r>
          </w:p>
          <w:p w:rsidR="002F15D7" w:rsidRDefault="006C2DA4">
            <w:pPr>
              <w:pStyle w:val="oj-normal"/>
              <w:shd w:val="clear" w:color="auto" w:fill="FFFFFF"/>
              <w:spacing w:before="120" w:after="0"/>
              <w:jc w:val="both"/>
              <w:rPr>
                <w:lang w:val="ro-MD"/>
              </w:rPr>
            </w:pPr>
            <w:r>
              <w:rPr>
                <w:lang w:val="ro-MD"/>
              </w:rPr>
              <w:t xml:space="preserve">(2)   Resursele transferate sunt executate în conformitate cu normele fondului sau ale instrumentului către care sunt transferate resursele și, în cazul transferurilor către instrumente care fac obiectul </w:t>
            </w:r>
            <w:r>
              <w:rPr>
                <w:lang w:val="ro-MD"/>
              </w:rPr>
              <w:t>gestiunii directe sau indirecte, în beneficiul statului membru în cauză.</w:t>
            </w:r>
          </w:p>
          <w:p w:rsidR="002F15D7" w:rsidRDefault="006C2DA4">
            <w:pPr>
              <w:pStyle w:val="oj-normal"/>
              <w:shd w:val="clear" w:color="auto" w:fill="FFFFFF"/>
              <w:spacing w:before="120" w:after="0"/>
              <w:jc w:val="both"/>
              <w:rPr>
                <w:lang w:val="ro-MD"/>
              </w:rPr>
            </w:pPr>
            <w:r>
              <w:rPr>
                <w:lang w:val="ro-MD"/>
              </w:rPr>
              <w:t>(3)   Cererile de modificare a unui program stabilesc cuantumul total transferat pentru fiecare an, defalcat pe fonduri și pe categorii de regiuni, după caz, sunt justificate în mod c</w:t>
            </w:r>
            <w:r>
              <w:rPr>
                <w:lang w:val="ro-MD"/>
              </w:rPr>
              <w:t xml:space="preserve">orespunzător, având în vedere </w:t>
            </w:r>
            <w:proofErr w:type="spellStart"/>
            <w:r>
              <w:rPr>
                <w:lang w:val="ro-MD"/>
              </w:rPr>
              <w:t>complementaritățile</w:t>
            </w:r>
            <w:proofErr w:type="spellEnd"/>
            <w:r>
              <w:rPr>
                <w:lang w:val="ro-MD"/>
              </w:rPr>
              <w:t xml:space="preserve"> și impactul care rezultă, și sunt însoțite de programul sau programele modificat(e) în conformitate cu articolul 24.</w:t>
            </w:r>
          </w:p>
          <w:p w:rsidR="002F15D7" w:rsidRDefault="006C2DA4">
            <w:pPr>
              <w:pStyle w:val="oj-normal"/>
              <w:shd w:val="clear" w:color="auto" w:fill="FFFFFF"/>
              <w:spacing w:before="120" w:after="0"/>
              <w:jc w:val="both"/>
              <w:rPr>
                <w:lang w:val="ro-MD"/>
              </w:rPr>
            </w:pPr>
            <w:r>
              <w:rPr>
                <w:lang w:val="ro-MD"/>
              </w:rPr>
              <w:t>(4)   După consultarea cu statul membru vizat, Comisia se opune unei cereri de transfer i</w:t>
            </w:r>
            <w:r>
              <w:rPr>
                <w:lang w:val="ro-MD"/>
              </w:rPr>
              <w:t>ncluse în modificarea aferentă a programului, atunci când un astfel de transfer ar compromite îndeplinirea obiectivelor programului de la care ar urma să fie transferate resursele.</w:t>
            </w:r>
          </w:p>
          <w:p w:rsidR="002F15D7" w:rsidRDefault="006C2DA4">
            <w:pPr>
              <w:pStyle w:val="oj-normal"/>
              <w:shd w:val="clear" w:color="auto" w:fill="FFFFFF"/>
              <w:spacing w:before="120" w:after="0"/>
              <w:jc w:val="both"/>
              <w:rPr>
                <w:lang w:val="ro-MD"/>
              </w:rPr>
            </w:pPr>
            <w:r>
              <w:rPr>
                <w:lang w:val="ro-MD"/>
              </w:rPr>
              <w:t xml:space="preserve">De asemenea, Comisia se opune cererii în cazul în care consideră că statul </w:t>
            </w:r>
            <w:r>
              <w:rPr>
                <w:lang w:val="ro-MD"/>
              </w:rPr>
              <w:t xml:space="preserve">membru nu a furnizat o justificare adecvată pentru transfer în ceea ce privește rezultatele care trebuie obținute sau contribuția care trebuie adusă la îndeplinirea obiectivelor fondului sau instrumentului aflat în gestiune directă sau indirectă căruia îi </w:t>
            </w:r>
            <w:r>
              <w:rPr>
                <w:lang w:val="ro-MD"/>
              </w:rPr>
              <w:t>este destinat transferul.</w:t>
            </w:r>
          </w:p>
          <w:p w:rsidR="002F15D7" w:rsidRDefault="006C2DA4">
            <w:pPr>
              <w:pStyle w:val="oj-normal"/>
              <w:shd w:val="clear" w:color="auto" w:fill="FFFFFF"/>
              <w:spacing w:before="120" w:after="0"/>
              <w:jc w:val="both"/>
              <w:rPr>
                <w:lang w:val="ro-MD"/>
              </w:rPr>
            </w:pPr>
            <w:r>
              <w:rPr>
                <w:lang w:val="ro-MD"/>
              </w:rPr>
              <w:t>(5)   În cazul în care cererea de transfer vizează modificarea unui program, pot fi transferate numai resurse aferente anilor calendaristici viitori.</w:t>
            </w:r>
          </w:p>
          <w:p w:rsidR="002F15D7" w:rsidRDefault="006C2DA4">
            <w:pPr>
              <w:pStyle w:val="oj-normal"/>
              <w:shd w:val="clear" w:color="auto" w:fill="FFFFFF"/>
              <w:spacing w:before="120" w:after="0"/>
              <w:jc w:val="both"/>
              <w:rPr>
                <w:lang w:val="ro-MD"/>
              </w:rPr>
            </w:pPr>
            <w:r>
              <w:rPr>
                <w:lang w:val="ro-MD"/>
              </w:rPr>
              <w:t>(6)   Resursele FTJ, inclusiv toate resursele transferate din FEDR și FSE+ în co</w:t>
            </w:r>
            <w:r>
              <w:rPr>
                <w:lang w:val="ro-MD"/>
              </w:rPr>
              <w:t>nformitate cu articolul 27, nu sunt transferabile către alte fonduri sau instrumente în temeiul alineatelor (1)-(5) de la prezentul articol.</w:t>
            </w:r>
          </w:p>
          <w:p w:rsidR="002F15D7" w:rsidRDefault="006C2DA4">
            <w:pPr>
              <w:pStyle w:val="oj-normal"/>
              <w:shd w:val="clear" w:color="auto" w:fill="FFFFFF"/>
              <w:spacing w:before="120" w:after="0"/>
              <w:jc w:val="both"/>
              <w:rPr>
                <w:lang w:val="ro-MD"/>
              </w:rPr>
            </w:pPr>
            <w:r>
              <w:rPr>
                <w:lang w:val="ro-MD"/>
              </w:rPr>
              <w:t>FTJ nu beneficiază de transferuri în temeiul alineatelor (1)-(5).</w:t>
            </w:r>
          </w:p>
          <w:p w:rsidR="002F15D7" w:rsidRDefault="006C2DA4">
            <w:pPr>
              <w:pStyle w:val="oj-normal"/>
              <w:shd w:val="clear" w:color="auto" w:fill="FFFFFF"/>
              <w:spacing w:before="120" w:after="0"/>
              <w:jc w:val="both"/>
              <w:rPr>
                <w:lang w:val="ro-MD"/>
              </w:rPr>
            </w:pPr>
            <w:r>
              <w:rPr>
                <w:lang w:val="ro-MD"/>
              </w:rPr>
              <w:t xml:space="preserve">(7)   În cazul în care Comisia nu și-a asumat un </w:t>
            </w:r>
            <w:r>
              <w:rPr>
                <w:lang w:val="ro-MD"/>
              </w:rPr>
              <w:t>angajament juridic în cadrul gestiunii directe sau indirecte pentru resursele transferate în conformitate cu alineatul (1), resursele neangajate corespunzătoare pot fi transferate înapoi către fondul din care au fost transferate inițial și alocate unuia sa</w:t>
            </w:r>
            <w:r>
              <w:rPr>
                <w:lang w:val="ro-MD"/>
              </w:rPr>
              <w:t>u mai multor programe.</w:t>
            </w:r>
          </w:p>
          <w:p w:rsidR="002F15D7" w:rsidRDefault="006C2DA4">
            <w:pPr>
              <w:pStyle w:val="oj-normal"/>
              <w:shd w:val="clear" w:color="auto" w:fill="FFFFFF"/>
              <w:spacing w:before="120" w:after="0"/>
              <w:jc w:val="both"/>
              <w:rPr>
                <w:lang w:val="ro-MD"/>
              </w:rPr>
            </w:pPr>
            <w:r>
              <w:rPr>
                <w:lang w:val="ro-MD"/>
              </w:rPr>
              <w:t>În acest scop, statul membru prezintă o cerere de modificare a programului în conformitate cu articolul 24 alineatul (1), cu cel puțin patru luni înainte de termenul pentru angajamente prevăzut la articolul 114 alineatul (2) primul p</w:t>
            </w:r>
            <w:r>
              <w:rPr>
                <w:lang w:val="ro-MD"/>
              </w:rPr>
              <w:t>aragraf din Regulamentul financiar.</w:t>
            </w:r>
          </w:p>
          <w:p w:rsidR="002F15D7" w:rsidRDefault="006C2DA4">
            <w:pPr>
              <w:pStyle w:val="oj-normal"/>
              <w:shd w:val="clear" w:color="auto" w:fill="FFFFFF"/>
              <w:spacing w:before="120" w:after="0"/>
              <w:jc w:val="both"/>
              <w:rPr>
                <w:lang w:val="ro-MD"/>
              </w:rPr>
            </w:pPr>
            <w:r>
              <w:rPr>
                <w:lang w:val="ro-MD"/>
              </w:rPr>
              <w:t>(8)   Resursele transferate înapoi către fondul din care au fost transferate inițial și alocate unuia sau mai multor programe se execută în conformitate cu normele stabilite în prezentul regulament și în regulamentele sp</w:t>
            </w:r>
            <w:r>
              <w:rPr>
                <w:lang w:val="ro-MD"/>
              </w:rPr>
              <w:t>ecifice fiecărui fond începând cu data depunerii cererii de modificare a programului.</w:t>
            </w:r>
          </w:p>
          <w:p w:rsidR="002F15D7" w:rsidRDefault="006C2DA4">
            <w:pPr>
              <w:pStyle w:val="oj-normal"/>
              <w:shd w:val="clear" w:color="auto" w:fill="FFFFFF"/>
              <w:spacing w:before="120" w:after="0"/>
              <w:jc w:val="both"/>
              <w:rPr>
                <w:lang w:val="ro-MD"/>
              </w:rPr>
            </w:pPr>
            <w:r>
              <w:rPr>
                <w:lang w:val="ro-MD"/>
              </w:rPr>
              <w:t>(9)   Pentru resursele transferate înapoi către fondul din care au fost transferate inițial și alocate unui program în conformitate cu alineatul (7) de la prezentul artic</w:t>
            </w:r>
            <w:r>
              <w:rPr>
                <w:lang w:val="ro-MD"/>
              </w:rPr>
              <w:t>ol, termenul de dezangajare prevăzut la articolul 105 alineatul (1) începe în anul în care sunt realizate angajamentele bugetare corespunzătoare.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27</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Transferul de resurse din FEDR și FSE+ către FTJ</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w:t>
            </w:r>
            <w:r>
              <w:rPr>
                <w:rFonts w:ascii="Times New Roman" w:eastAsia="Times New Roman" w:hAnsi="Times New Roman"/>
                <w:sz w:val="24"/>
                <w:szCs w:val="24"/>
                <w:lang w:val="ro-MD" w:eastAsia="ro-RO"/>
              </w:rPr>
              <w:t xml:space="preserve">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(1)   Statele membre pot solicita, în mod voluntar, completarea cuantumului resurselor disponibile pentru FTJ în cadrul obiectivului Investiții</w:t>
            </w:r>
            <w:r>
              <w:rPr>
                <w:lang w:val="ro-MD"/>
              </w:rPr>
              <w:t xml:space="preserve"> pentru ocuparea forței de muncă și creștere economică, în conformitate cu articolul 3 din Regulamentul FTJ, cu resurse din FEDR, FSE+ sau o combinație a acestora, aferente categoriei de regiuni în care se încadrează teritoriul în cauză. Totalul resurselor</w:t>
            </w:r>
            <w:r>
              <w:rPr>
                <w:lang w:val="ro-MD"/>
              </w:rPr>
              <w:t xml:space="preserve"> FEDR și FSE+ transferate către FTJ nu depășește de trei ori cuantumul alocat din FTJ, menționat la articolul 110 alineatul (1) litera (g). Resursele transferate fie din FEDR, fie din FSE+ nu depășesc 15 % din cuantumul alocat din FEDR și, respectiv, FSE+ </w:t>
            </w:r>
            <w:r>
              <w:rPr>
                <w:lang w:val="ro-MD"/>
              </w:rPr>
              <w:t>statului membru în cauză. În cadrul cererilor respective, statele membre stabilesc cuantumul total transferat pentru fiecare an, defalcat pe categorii de regiuni.</w:t>
            </w:r>
          </w:p>
          <w:p w:rsidR="002F15D7" w:rsidRDefault="006C2DA4">
            <w:pPr>
              <w:pStyle w:val="oj-normal"/>
              <w:shd w:val="clear" w:color="auto" w:fill="FFFFFF"/>
              <w:spacing w:before="120" w:after="0"/>
              <w:jc w:val="both"/>
              <w:rPr>
                <w:lang w:val="ro-MD"/>
              </w:rPr>
            </w:pPr>
            <w:r>
              <w:rPr>
                <w:lang w:val="ro-MD"/>
              </w:rPr>
              <w:t xml:space="preserve">(2)   Transferurile respective din resursele FEDR și FSE+ către prioritatea sau prioritățile </w:t>
            </w:r>
            <w:r>
              <w:rPr>
                <w:lang w:val="ro-MD"/>
              </w:rPr>
              <w:t>sprijinite de FTJ reflectă tipurile de intervenții în conformitate cu informațiile cuprinse în program în temeiul articolului 22 alineatul (3) litera (d) punctul (ix). Aceste transferuri se consideră definitive.</w:t>
            </w:r>
          </w:p>
          <w:p w:rsidR="002F15D7" w:rsidRDefault="006C2DA4">
            <w:pPr>
              <w:pStyle w:val="oj-normal"/>
              <w:shd w:val="clear" w:color="auto" w:fill="FFFFFF"/>
              <w:spacing w:before="120" w:after="0"/>
              <w:jc w:val="both"/>
              <w:rPr>
                <w:lang w:val="ro-MD"/>
              </w:rPr>
            </w:pPr>
            <w:r>
              <w:rPr>
                <w:lang w:val="ro-MD"/>
              </w:rPr>
              <w:t xml:space="preserve">(3)   Resursele FTJ, inclusiv resursele </w:t>
            </w:r>
            <w:r>
              <w:rPr>
                <w:lang w:val="ro-MD"/>
              </w:rPr>
              <w:t>transferate din FEDR și FSE+, se execută în conformitate cu normele stabilite în prezentul regulament și Regulamentul FTJ. Normele stabilite în Regulamentul FEDR și Fondul de coeziune și în Regulamentul FSE+ nu se aplică resurselor FEDR și FSE+ transferate</w:t>
            </w:r>
            <w:r>
              <w:rPr>
                <w:lang w:val="ro-MD"/>
              </w:rPr>
              <w:t xml:space="preserve"> în conformitate cu alineatul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Dezvoltarea teritorială</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28</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Dezvoltarea teritorială integrată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Europeană, acestea se vor aplica direct și obligatoriu în </w:t>
            </w:r>
            <w:r>
              <w:rPr>
                <w:rFonts w:ascii="Times New Roman" w:eastAsia="Times New Roman" w:hAnsi="Times New Roman"/>
                <w:sz w:val="24"/>
                <w:szCs w:val="24"/>
                <w:lang w:val="ro-MD" w:eastAsia="ro-RO"/>
              </w:rPr>
              <w:t>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Atunci când un stat membru sprijină dezvoltarea teritorială integrată, acest lucru se realizează prin strategii de dezvoltare teritorială sau locală în oricare dintre următoarele forme:</w:t>
            </w:r>
          </w:p>
          <w:tbl>
            <w:tblPr>
              <w:tblW w:w="5000" w:type="pct"/>
              <w:tblCellMar>
                <w:left w:w="10" w:type="dxa"/>
                <w:right w:w="10" w:type="dxa"/>
              </w:tblCellMar>
              <w:tblLook w:val="04A0" w:firstRow="1" w:lastRow="0" w:firstColumn="1" w:lastColumn="0" w:noHBand="0" w:noVBand="1"/>
            </w:tblPr>
            <w:tblGrid>
              <w:gridCol w:w="333"/>
              <w:gridCol w:w="3495"/>
            </w:tblGrid>
            <w:tr w:rsidR="002F15D7">
              <w:tblPrEx>
                <w:tblCellMar>
                  <w:top w:w="0" w:type="dxa"/>
                  <w:bottom w:w="0" w:type="dxa"/>
                </w:tblCellMar>
              </w:tblPrEx>
              <w:tc>
                <w:tcPr>
                  <w:tcW w:w="333"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495"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investiții teritoriale integrate;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dezvoltare locală plasată sub responsabilitatea comunității; sau</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un alt instrument teritorial de sprijinire a inițiativelor concepute de statul membru.</w:t>
                  </w:r>
                </w:p>
              </w:tc>
            </w:tr>
          </w:tbl>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Atunci când implementează strategii de dezvoltare teritorială sau locală în cadrul mai multor </w:t>
            </w:r>
            <w:r>
              <w:rPr>
                <w:rFonts w:ascii="Times New Roman" w:eastAsia="Times New Roman" w:hAnsi="Times New Roman"/>
                <w:sz w:val="24"/>
                <w:szCs w:val="24"/>
                <w:lang w:val="ro-MD"/>
              </w:rPr>
              <w:t>fonduri, statul membru asigură coerența și coordonarea între fondurile în cauză.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29</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Strategii teritoriale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 xml:space="preserve">Odată cu aderarea Republicii Moldova la Uniunea Europeană, acestea se vor aplica direct și obligatoriu în </w:t>
            </w:r>
            <w:r>
              <w:rPr>
                <w:rFonts w:ascii="Times New Roman" w:eastAsia="Times New Roman" w:hAnsi="Times New Roman"/>
                <w:sz w:val="24"/>
                <w:szCs w:val="24"/>
                <w:lang w:val="ro-MD" w:eastAsia="ro-RO"/>
              </w:rPr>
              <w:t>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Strategiile teritoriale implementate în temeiul articolului 28 litera (a) sau (c) conțin următoarele elemente:</w:t>
            </w: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zona geografică vizată de strategie;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analiză a nevoilor de dezvoltare și a potențialului zonei, </w:t>
                  </w:r>
                  <w:r>
                    <w:rPr>
                      <w:rFonts w:ascii="Times New Roman" w:eastAsia="Times New Roman" w:hAnsi="Times New Roman"/>
                      <w:sz w:val="24"/>
                      <w:szCs w:val="24"/>
                      <w:lang w:val="ro-MD"/>
                    </w:rPr>
                    <w:t>inclusiv a interconexiunilor economice, sociale și de mediu;</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 descriere a unei abordări integrate care răspunde nevoilor de dezvoltare identificate și potențialului zonei;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descriere a implicării partenerilor, în conformitate cu articolul 8, </w:t>
                  </w:r>
                  <w:r>
                    <w:rPr>
                      <w:rFonts w:ascii="Times New Roman" w:eastAsia="Times New Roman" w:hAnsi="Times New Roman"/>
                      <w:sz w:val="24"/>
                      <w:szCs w:val="24"/>
                      <w:lang w:val="ro-MD"/>
                    </w:rPr>
                    <w:t>în pregătirea și implementarea strategiei.</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Acestea pot să conțină, de asemenea, o listă a operațiunilor care urmează să fie sprijinite.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Strategiile teritoriale se află sub responsabilitatea autorităților sau organismelor teritoriale competente. Docu</w:t>
            </w:r>
            <w:r>
              <w:rPr>
                <w:rFonts w:ascii="Times New Roman" w:eastAsia="Times New Roman" w:hAnsi="Times New Roman"/>
                <w:sz w:val="24"/>
                <w:szCs w:val="24"/>
                <w:lang w:val="ro-MD"/>
              </w:rPr>
              <w:t>mentele strategice existente referitoare la zonele vizate pot fi utilizate pentru strategiile teritoriale.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Atunci când lista operațiunilor care urmează să fie sprijinite nu a fost inclusă în strategia teritorială, autoritățile sau organismele teritor</w:t>
            </w:r>
            <w:r>
              <w:rPr>
                <w:rFonts w:ascii="Times New Roman" w:eastAsia="Times New Roman" w:hAnsi="Times New Roman"/>
                <w:sz w:val="24"/>
                <w:szCs w:val="24"/>
                <w:lang w:val="ro-MD"/>
              </w:rPr>
              <w:t>iale competente selectează operațiunile sau sunt implicate în selectarea operațiunilor.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Atunci când pregătesc strategii teritoriale, autoritățile sau organismele menționate la alineatul (2) cooperează cu autoritățile de management competente pentru a</w:t>
            </w:r>
            <w:r>
              <w:rPr>
                <w:rFonts w:ascii="Times New Roman" w:eastAsia="Times New Roman" w:hAnsi="Times New Roman"/>
                <w:sz w:val="24"/>
                <w:szCs w:val="24"/>
                <w:lang w:val="ro-MD"/>
              </w:rPr>
              <w:t xml:space="preserve"> stabili sfera de aplicare a operațiunilor care urmează să fie sprijinite în cadrul programului relevant.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Operațiunile selectate respectă strategia teritorială.</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(5)   Atunci când o autoritate teritorială sau un organism teritorial îndeplinește sarcini care</w:t>
            </w:r>
            <w:r>
              <w:rPr>
                <w:rFonts w:ascii="Times New Roman" w:eastAsia="Times New Roman" w:hAnsi="Times New Roman"/>
                <w:sz w:val="24"/>
                <w:szCs w:val="24"/>
                <w:lang w:val="ro-MD"/>
              </w:rPr>
              <w:t xml:space="preserve"> intră în responsabilitatea autorității de management, altele decât selectarea operațiunilor, autoritatea respectivă este identificată de către autoritatea de management ca organism intermediar.</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(6)   Se poate acorda sprijin pentru pregătirea și elaborarea</w:t>
            </w:r>
            <w:r>
              <w:rPr>
                <w:rFonts w:ascii="Times New Roman" w:eastAsia="Times New Roman" w:hAnsi="Times New Roman"/>
                <w:sz w:val="24"/>
                <w:szCs w:val="24"/>
                <w:lang w:val="ro-MD"/>
              </w:rPr>
              <w:t xml:space="preserve"> strategiilor teritoriale.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30</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Investiții teritoriale integrate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1"/>
              </w:numPr>
              <w:spacing w:after="0"/>
              <w:jc w:val="center"/>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pPr>
            <w:r>
              <w:rPr>
                <w:rFonts w:ascii="Times New Roman" w:hAnsi="Times New Roman"/>
                <w:sz w:val="24"/>
                <w:szCs w:val="24"/>
                <w:shd w:val="clear" w:color="auto" w:fill="FFFFFF"/>
                <w:lang w:val="ro-MD"/>
              </w:rPr>
              <w:t xml:space="preserve">Atunci când o </w:t>
            </w:r>
            <w:r>
              <w:rPr>
                <w:rFonts w:ascii="Times New Roman" w:hAnsi="Times New Roman"/>
                <w:sz w:val="24"/>
                <w:szCs w:val="24"/>
                <w:shd w:val="clear" w:color="auto" w:fill="FFFFFF"/>
                <w:lang w:val="ro-MD"/>
              </w:rPr>
              <w:t xml:space="preserve">strategie teritorială menționată la articolul 29 implică investiții care beneficiază de sprijin din unul sau mai multe fonduri, din partea mai multor programe sau din partea mai multor priorități din cadrul aceluiași program, acțiunile pot fi realizate ca </w:t>
            </w:r>
            <w:r>
              <w:rPr>
                <w:rFonts w:ascii="Times New Roman" w:hAnsi="Times New Roman"/>
                <w:sz w:val="24"/>
                <w:szCs w:val="24"/>
                <w:shd w:val="clear" w:color="auto" w:fill="FFFFFF"/>
                <w:lang w:val="ro-MD"/>
              </w:rPr>
              <w:t>investiții teritoriale integrate.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spacing w:after="0"/>
              <w:rPr>
                <w:rFonts w:ascii="Times New Roman" w:eastAsia="Times New Roman" w:hAnsi="Times New Roman"/>
                <w:sz w:val="24"/>
                <w:szCs w:val="24"/>
                <w:lang w:val="ro-MD" w:eastAsia="en-GB"/>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eastAsia="Times New Roman" w:hAnsi="Times New Roman"/>
                <w:b/>
                <w:bCs/>
                <w:sz w:val="24"/>
                <w:szCs w:val="24"/>
                <w:lang w:val="ro-MD" w:eastAsia="ro-RO"/>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Times New Roman" w:hAnsi="Times New Roman"/>
                <w:sz w:val="24"/>
                <w:szCs w:val="24"/>
                <w:lang w:val="ro-MD" w:eastAsia="ro-RO"/>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center"/>
              <w:rPr>
                <w:rFonts w:ascii="Times New Roman" w:eastAsia="Times New Roman" w:hAnsi="Times New Roman"/>
                <w:i/>
                <w:iCs/>
                <w:sz w:val="24"/>
                <w:szCs w:val="24"/>
                <w:lang w:val="ro-MD" w:eastAsia="ro-RO"/>
              </w:rPr>
            </w:pPr>
            <w:r>
              <w:rPr>
                <w:rFonts w:ascii="Times New Roman" w:eastAsia="Times New Roman" w:hAnsi="Times New Roman"/>
                <w:i/>
                <w:iCs/>
                <w:sz w:val="24"/>
                <w:szCs w:val="24"/>
                <w:lang w:val="ro-MD" w:eastAsia="ro-RO"/>
              </w:rPr>
              <w:t>Articolul 31</w:t>
            </w:r>
          </w:p>
          <w:p w:rsidR="002F15D7" w:rsidRDefault="006C2DA4">
            <w:pPr>
              <w:shd w:val="clear" w:color="auto" w:fill="FFFFFF"/>
              <w:spacing w:after="0"/>
              <w:jc w:val="center"/>
            </w:pPr>
            <w:r>
              <w:rPr>
                <w:rFonts w:ascii="Times New Roman" w:hAnsi="Times New Roman"/>
                <w:b/>
                <w:bCs/>
                <w:sz w:val="24"/>
                <w:szCs w:val="24"/>
                <w:lang w:val="ro-MD"/>
              </w:rPr>
              <w:t>Dezvoltarea locală plasată sub responsabilitatea comunității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60"/>
                <w:tab w:val="left" w:pos="1134"/>
              </w:tabs>
              <w:spacing w:after="0"/>
              <w:jc w:val="center"/>
            </w:pPr>
            <w:r>
              <w:rPr>
                <w:rFonts w:ascii="Times New Roman" w:hAnsi="Times New Roman"/>
                <w:b/>
                <w:iCs/>
                <w:sz w:val="24"/>
                <w:szCs w:val="24"/>
                <w:lang w:val="ro-MD"/>
              </w:rPr>
              <w:t>Articolul 4</w:t>
            </w:r>
            <w:r>
              <w:rPr>
                <w:rFonts w:ascii="Times New Roman" w:hAnsi="Times New Roman"/>
                <w:b/>
                <w:iCs/>
                <w:sz w:val="24"/>
                <w:szCs w:val="24"/>
                <w:vertAlign w:val="superscript"/>
                <w:lang w:val="ro-MD"/>
              </w:rPr>
              <w:t>2</w:t>
            </w:r>
          </w:p>
          <w:p w:rsidR="002F15D7" w:rsidRDefault="006C2DA4">
            <w:pPr>
              <w:shd w:val="clear" w:color="auto" w:fill="FFFFFF"/>
              <w:tabs>
                <w:tab w:val="left" w:pos="360"/>
                <w:tab w:val="left" w:pos="1134"/>
              </w:tabs>
              <w:jc w:val="center"/>
            </w:pPr>
            <w:r>
              <w:rPr>
                <w:rFonts w:ascii="Times New Roman" w:hAnsi="Times New Roman"/>
                <w:bCs/>
                <w:iCs/>
                <w:sz w:val="24"/>
                <w:szCs w:val="24"/>
                <w:lang w:val="ro-MD"/>
              </w:rPr>
              <w:t>Dezvoltarea locală plasată sub responsabilitatea comunității</w:t>
            </w:r>
          </w:p>
          <w:p w:rsidR="002F15D7" w:rsidRDefault="002F15D7">
            <w:pPr>
              <w:spacing w:after="0"/>
              <w:jc w:val="center"/>
              <w:rPr>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2"/>
              </w:numPr>
              <w:spacing w:after="0"/>
              <w:jc w:val="center"/>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(1)  În cazul în care un stat membru consideră că acest </w:t>
            </w:r>
            <w:r>
              <w:rPr>
                <w:rFonts w:ascii="Times New Roman" w:eastAsia="Arial Unicode MS" w:hAnsi="Times New Roman"/>
                <w:sz w:val="24"/>
                <w:szCs w:val="24"/>
                <w:lang w:val="ro-MD"/>
              </w:rPr>
              <w:t>lucru este adecvat în temeiul articolului 28, FEDR, FSE+, FTJ și FEAMPA sprijină dezvoltarea locală plasată sub responsabilitatea comunității.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lang w:val="ro-MD"/>
              </w:rPr>
            </w:pPr>
            <w:r>
              <w:rPr>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w:t>
            </w:r>
            <w:r>
              <w:rPr>
                <w:rFonts w:ascii="Times New Roman" w:eastAsia="Times New Roman" w:hAnsi="Times New Roman"/>
                <w:sz w:val="24"/>
                <w:szCs w:val="24"/>
                <w:lang w:val="ro-MD" w:eastAsia="ro-RO"/>
              </w:rPr>
              <w:t>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Statul membru se asigură că dezvoltarea locală plasată sub responsabilitatea comunității:</w:t>
            </w:r>
          </w:p>
          <w:p w:rsidR="002F15D7" w:rsidRDefault="002F15D7">
            <w:pPr>
              <w:shd w:val="clear" w:color="auto" w:fill="FFFFFF"/>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3"/>
              </w:numPr>
              <w:shd w:val="clear" w:color="auto" w:fill="FFFFFF"/>
              <w:tabs>
                <w:tab w:val="left" w:pos="160"/>
                <w:tab w:val="left" w:pos="250"/>
                <w:tab w:val="left" w:pos="341"/>
              </w:tabs>
              <w:suppressAutoHyphens w:val="0"/>
              <w:ind w:left="-43" w:firstLine="0"/>
              <w:jc w:val="both"/>
            </w:pPr>
            <w:r>
              <w:rPr>
                <w:rFonts w:ascii="Times New Roman" w:hAnsi="Times New Roman"/>
                <w:bCs/>
                <w:iCs/>
                <w:sz w:val="24"/>
                <w:szCs w:val="24"/>
                <w:lang w:val="ro-MD"/>
              </w:rPr>
              <w:t xml:space="preserve"> Organul central de specialitate se asigură că dezvoltarea locală plasată sub responsabilitatea comunității: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Textul</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„Statul membru”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se substituie</w:t>
            </w:r>
          </w:p>
          <w:p w:rsidR="002F15D7" w:rsidRDefault="006C2DA4">
            <w:pPr>
              <w:spacing w:after="0"/>
              <w:jc w:val="both"/>
            </w:pPr>
            <w:r>
              <w:rPr>
                <w:rFonts w:ascii="Times New Roman" w:hAnsi="Times New Roman"/>
                <w:sz w:val="24"/>
                <w:szCs w:val="24"/>
                <w:lang w:val="ro-MD"/>
              </w:rPr>
              <w:t>cu textul „organul central de specialitate”.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 se axează pe zone subregionale;</w:t>
            </w:r>
          </w:p>
          <w:p w:rsidR="002F15D7" w:rsidRDefault="002F15D7">
            <w:pPr>
              <w:shd w:val="clear" w:color="auto" w:fill="FFFFFF"/>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4"/>
              </w:numPr>
              <w:shd w:val="clear" w:color="auto" w:fill="FFFFFF"/>
              <w:tabs>
                <w:tab w:val="left" w:pos="360"/>
                <w:tab w:val="left" w:pos="1134"/>
              </w:tabs>
              <w:suppressAutoHyphens w:val="0"/>
              <w:spacing w:after="0"/>
              <w:ind w:left="251" w:hanging="271"/>
              <w:jc w:val="both"/>
            </w:pPr>
            <w:r>
              <w:rPr>
                <w:rFonts w:ascii="Times New Roman" w:hAnsi="Times New Roman"/>
                <w:bCs/>
                <w:iCs/>
                <w:sz w:val="24"/>
                <w:szCs w:val="24"/>
                <w:lang w:val="ro-MD"/>
              </w:rPr>
              <w:t>se axează pe zone rurale învecinate;</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Textul</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„zone subregionale”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 xml:space="preserve">„zone rurale </w:t>
            </w:r>
            <w:r>
              <w:rPr>
                <w:rFonts w:ascii="Times New Roman" w:hAnsi="Times New Roman"/>
                <w:sz w:val="24"/>
                <w:szCs w:val="24"/>
                <w:lang w:val="ro-MD"/>
              </w:rPr>
              <w:t>învecinate;”.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(b) este plasată sub responsabilitatea unor grupuri de acțiune locală formate din reprezentanți ai intereselor socioeconomice locale ale sectoarelor public și privat, în care niciun grup individual de interese nu controlează procesul </w:t>
            </w:r>
            <w:r>
              <w:rPr>
                <w:rFonts w:ascii="Times New Roman" w:eastAsia="Arial Unicode MS" w:hAnsi="Times New Roman"/>
                <w:sz w:val="24"/>
                <w:szCs w:val="24"/>
                <w:lang w:val="ro-MD"/>
              </w:rPr>
              <w:t>decizional;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shd w:val="clear" w:color="auto" w:fill="FFFFFF"/>
              <w:tabs>
                <w:tab w:val="left" w:pos="250"/>
                <w:tab w:val="left" w:pos="1134"/>
              </w:tabs>
              <w:suppressAutoHyphens w:val="0"/>
              <w:spacing w:after="0"/>
              <w:ind w:left="0"/>
              <w:jc w:val="both"/>
              <w:rPr>
                <w:rFonts w:ascii="Times New Roman" w:hAnsi="Times New Roman"/>
                <w:bCs/>
                <w:iCs/>
                <w:sz w:val="24"/>
                <w:szCs w:val="24"/>
                <w:lang w:val="ro-MD"/>
              </w:rPr>
            </w:pPr>
            <w:r>
              <w:rPr>
                <w:rFonts w:ascii="Times New Roman" w:hAnsi="Times New Roman"/>
                <w:bCs/>
                <w:iCs/>
                <w:sz w:val="24"/>
                <w:szCs w:val="24"/>
                <w:lang w:val="ro-MD"/>
              </w:rPr>
              <w:t>b) este plasată sub responsabilitatea unor GAL-uri formate din reprezentanți ai intereselor socioeconomice locale ale sectoarelor public, antreprenorial și civic, în care niciun grup individual de interese nu controlează procesul decizional;</w:t>
            </w:r>
          </w:p>
          <w:p w:rsidR="002F15D7" w:rsidRDefault="002F15D7">
            <w:pPr>
              <w:shd w:val="clear" w:color="auto" w:fill="FFFFFF"/>
              <w:tabs>
                <w:tab w:val="left" w:pos="360"/>
                <w:tab w:val="left" w:pos="1134"/>
              </w:tabs>
              <w:suppressAutoHyphens w:val="0"/>
              <w:spacing w:after="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„ale sectoarelor public și privat” 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„ale sectoarelor public, antreprenorial și civic,”.</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(c) este realizată prin strategii în conformitate cu articolul 32;</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s>
              <w:spacing w:after="0"/>
              <w:ind w:left="-110"/>
              <w:jc w:val="both"/>
            </w:pPr>
            <w:r>
              <w:rPr>
                <w:rFonts w:ascii="Times New Roman" w:hAnsi="Times New Roman"/>
                <w:bCs/>
                <w:iCs/>
                <w:sz w:val="24"/>
                <w:szCs w:val="24"/>
                <w:lang w:val="ro-MD"/>
              </w:rPr>
              <w:t xml:space="preserve">c) este realizată prin strategii de dezvoltare locală, </w:t>
            </w:r>
            <w:r>
              <w:rPr>
                <w:rFonts w:ascii="Times New Roman" w:hAnsi="Times New Roman"/>
                <w:bCs/>
                <w:iCs/>
                <w:sz w:val="24"/>
                <w:szCs w:val="24"/>
                <w:lang w:val="ro-MD"/>
              </w:rPr>
              <w:t>elaborate în conformitate cu articolul 4</w:t>
            </w:r>
            <w:r>
              <w:rPr>
                <w:rFonts w:ascii="Times New Roman" w:hAnsi="Times New Roman"/>
                <w:bCs/>
                <w:iCs/>
                <w:sz w:val="24"/>
                <w:szCs w:val="24"/>
                <w:vertAlign w:val="superscript"/>
                <w:lang w:val="ro-MD"/>
              </w:rPr>
              <w:t>1</w:t>
            </w:r>
            <w:r>
              <w:rPr>
                <w:rFonts w:ascii="Times New Roman" w:hAnsi="Times New Roman"/>
                <w:bCs/>
                <w:iCs/>
                <w:sz w:val="24"/>
                <w:szCs w:val="24"/>
                <w:lang w:val="ro-MD"/>
              </w:rPr>
              <w:t>;</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„prin strategii în conformitate cu articolul 32”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„prin strategii de dezvoltare locală, elaborate în conformitate cu articolul 4</w:t>
            </w:r>
            <w:r>
              <w:rPr>
                <w:rFonts w:ascii="Times New Roman" w:hAnsi="Times New Roman"/>
                <w:sz w:val="24"/>
                <w:szCs w:val="24"/>
                <w:vertAlign w:val="superscript"/>
                <w:lang w:val="ro-MD"/>
              </w:rPr>
              <w:t>1</w:t>
            </w:r>
            <w:r>
              <w:rPr>
                <w:rFonts w:ascii="Times New Roman" w:hAnsi="Times New Roman"/>
                <w:sz w:val="24"/>
                <w:szCs w:val="24"/>
                <w:lang w:val="ro-MD"/>
              </w:rPr>
              <w:t>.”.</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(d) sprijină colaborarea în </w:t>
            </w:r>
            <w:r>
              <w:rPr>
                <w:rFonts w:ascii="Times New Roman" w:eastAsia="Arial Unicode MS" w:hAnsi="Times New Roman"/>
                <w:sz w:val="24"/>
                <w:szCs w:val="24"/>
                <w:lang w:val="ro-MD"/>
              </w:rPr>
              <w:t>rețea, accesibilitatea, caracteristicile inovatoare în context local și, după caz, cooperarea cu alți actori de nivel teritorial.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19"/>
                <w:tab w:val="left" w:pos="161"/>
                <w:tab w:val="left" w:pos="341"/>
              </w:tabs>
              <w:spacing w:after="0"/>
              <w:ind w:left="-19"/>
              <w:jc w:val="both"/>
              <w:rPr>
                <w:rFonts w:ascii="Times New Roman" w:hAnsi="Times New Roman"/>
                <w:bCs/>
                <w:iCs/>
                <w:sz w:val="24"/>
                <w:szCs w:val="24"/>
                <w:lang w:val="ro-MD"/>
              </w:rPr>
            </w:pPr>
            <w:r>
              <w:rPr>
                <w:rFonts w:ascii="Times New Roman" w:hAnsi="Times New Roman"/>
                <w:bCs/>
                <w:iCs/>
                <w:sz w:val="24"/>
                <w:szCs w:val="24"/>
                <w:lang w:val="ro-MD"/>
              </w:rPr>
              <w:t>d)</w:t>
            </w:r>
            <w:r>
              <w:rPr>
                <w:rFonts w:ascii="Times New Roman" w:hAnsi="Times New Roman"/>
                <w:bCs/>
                <w:iCs/>
                <w:sz w:val="24"/>
                <w:szCs w:val="24"/>
                <w:lang w:val="ro-MD"/>
              </w:rPr>
              <w:tab/>
              <w:t xml:space="preserve">sprijină cooperarea cu alți actori de nivel teritorial, național sau internațional, asigură accesul la finanțare pentru </w:t>
            </w:r>
            <w:r>
              <w:rPr>
                <w:rFonts w:ascii="Times New Roman" w:hAnsi="Times New Roman"/>
                <w:bCs/>
                <w:iCs/>
                <w:sz w:val="24"/>
                <w:szCs w:val="24"/>
                <w:lang w:val="ro-MD"/>
              </w:rPr>
              <w:t>toate sectoarele și stimulează implementarea abordărilor inovative și inteligente în teritoriul GAL-ului.</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„sprijină colaborarea în rețea, accesibilitatea, caracteristicile inovatoare în context local și, după caz, cooperarea cu alți ac</w:t>
            </w:r>
            <w:r>
              <w:rPr>
                <w:rFonts w:ascii="Times New Roman" w:hAnsi="Times New Roman"/>
                <w:sz w:val="24"/>
                <w:szCs w:val="24"/>
                <w:lang w:val="ro-MD"/>
              </w:rPr>
              <w:t xml:space="preserve">tori de nivel teritorial.”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„sprijină cooperarea cu alți actori de nivel teritorial, național sau internațional, asigură accesul la finanțare pentru toate sectoarele și stimulează implementarea abordărilor inovative și inteligente</w:t>
            </w:r>
            <w:r>
              <w:rPr>
                <w:rFonts w:ascii="Times New Roman" w:hAnsi="Times New Roman"/>
                <w:sz w:val="24"/>
                <w:szCs w:val="24"/>
                <w:lang w:val="ro-MD"/>
              </w:rPr>
              <w:t xml:space="preserve"> în teritoriul GAL-ului.”</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(3) Atunci când sprijinul acordat strategiilor menționate la alineatul (2) litera (c) este disponibil din mai multe fonduri, autoritățile de management competente organizează o cerere comună pentru selectarea acestor strategii și</w:t>
            </w:r>
            <w:r>
              <w:rPr>
                <w:rFonts w:ascii="Times New Roman" w:eastAsia="Arial Unicode MS" w:hAnsi="Times New Roman"/>
                <w:sz w:val="24"/>
                <w:szCs w:val="24"/>
                <w:lang w:val="ro-MD"/>
              </w:rPr>
              <w:t xml:space="preserve"> înființează un comitet mixt pentru toate fondurile în cauză, pentru a monitoriza implementarea strategiilor respective.</w:t>
            </w:r>
            <w:r>
              <w:rPr>
                <w:rFonts w:ascii="Arial Unicode MS" w:eastAsia="Arial Unicode MS" w:hAnsi="Arial Unicode MS" w:cs="Arial Unicode MS"/>
                <w:sz w:val="21"/>
                <w:szCs w:val="21"/>
                <w:lang w:val="ro-MD"/>
              </w:rPr>
              <w:t xml:space="preserve"> </w:t>
            </w:r>
            <w:r>
              <w:rPr>
                <w:rFonts w:ascii="Times New Roman" w:eastAsia="Arial Unicode MS" w:hAnsi="Times New Roman"/>
                <w:sz w:val="24"/>
                <w:szCs w:val="24"/>
                <w:lang w:val="ro-MD"/>
              </w:rPr>
              <w:t>Autoritățile de management competente pot alege unul dintre fondurile în cauză pentru a sprijini toate costurile de pregătire, gestiune</w:t>
            </w:r>
            <w:r>
              <w:rPr>
                <w:rFonts w:ascii="Times New Roman" w:eastAsia="Arial Unicode MS" w:hAnsi="Times New Roman"/>
                <w:sz w:val="24"/>
                <w:szCs w:val="24"/>
                <w:lang w:val="ro-MD"/>
              </w:rPr>
              <w:t xml:space="preserve"> și animare menționate la</w:t>
            </w:r>
            <w:r>
              <w:rPr>
                <w:rFonts w:ascii="Arial Unicode MS" w:eastAsia="Arial Unicode MS" w:hAnsi="Arial Unicode MS" w:cs="Arial Unicode MS"/>
                <w:sz w:val="21"/>
                <w:szCs w:val="21"/>
                <w:lang w:val="ro-MD"/>
              </w:rPr>
              <w:t xml:space="preserve"> </w:t>
            </w:r>
            <w:r>
              <w:rPr>
                <w:rFonts w:ascii="Times New Roman" w:eastAsia="Arial Unicode MS" w:hAnsi="Times New Roman"/>
                <w:sz w:val="24"/>
                <w:szCs w:val="24"/>
                <w:lang w:val="ro-MD"/>
              </w:rPr>
              <w:t>articolul 34 alineatul (1) literele (a) și (c), în legătură cu aceste strategii.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shd w:val="clear" w:color="auto" w:fill="FFFFFF"/>
              <w:tabs>
                <w:tab w:val="left" w:pos="360"/>
                <w:tab w:val="left" w:pos="709"/>
              </w:tabs>
              <w:suppressAutoHyphens w:val="0"/>
              <w:spacing w:after="0"/>
              <w:ind w:left="-20"/>
              <w:jc w:val="center"/>
              <w:rPr>
                <w:rFonts w:ascii="Times New Roman" w:hAnsi="Times New Roman"/>
                <w:sz w:val="24"/>
                <w:szCs w:val="24"/>
                <w:lang w:val="ro-MD"/>
              </w:rPr>
            </w:pPr>
            <w:r>
              <w:rPr>
                <w:rFonts w:ascii="Times New Roman" w:hAnsi="Times New Roman"/>
                <w:sz w:val="24"/>
                <w:szCs w:val="24"/>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w:t>
            </w:r>
            <w:r>
              <w:rPr>
                <w:rFonts w:ascii="Times New Roman" w:eastAsia="Times New Roman" w:hAnsi="Times New Roman"/>
                <w:sz w:val="24"/>
                <w:szCs w:val="24"/>
                <w:lang w:val="ro-MD" w:eastAsia="ro-RO"/>
              </w:rPr>
              <w:t>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Atunci când implementarea unei astfel de strategii implică sprijin din mai multe fonduri, autoritățile de management competente pot alege unul dintre fondurile în cauză ca fond principal.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5"/>
              </w:numPr>
              <w:tabs>
                <w:tab w:val="left" w:pos="340"/>
              </w:tabs>
              <w:spacing w:after="0"/>
              <w:ind w:left="-20" w:firstLine="0"/>
              <w:jc w:val="both"/>
            </w:pPr>
            <w:r>
              <w:rPr>
                <w:rFonts w:ascii="Times New Roman" w:hAnsi="Times New Roman"/>
                <w:bCs/>
                <w:iCs/>
                <w:sz w:val="24"/>
                <w:szCs w:val="24"/>
                <w:lang w:val="ro-MD"/>
              </w:rPr>
              <w:t xml:space="preserve">Organul central de specialitate se asigură că </w:t>
            </w:r>
            <w:r>
              <w:rPr>
                <w:rFonts w:ascii="Times New Roman" w:hAnsi="Times New Roman"/>
                <w:bCs/>
                <w:iCs/>
                <w:sz w:val="24"/>
                <w:szCs w:val="24"/>
                <w:lang w:val="ro-MD"/>
              </w:rPr>
              <w:t>operațiunile sunt finanțate dintr-un singur fond și nu sunt supuse dublei finanțări.</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Parțial compatibil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„Atunci când implementarea unei astfel de strategii implică sprijin din mai multe fonduri, autoritățile de management competente pot alege unu</w:t>
            </w:r>
            <w:r>
              <w:rPr>
                <w:rFonts w:ascii="Times New Roman" w:hAnsi="Times New Roman"/>
                <w:sz w:val="24"/>
                <w:szCs w:val="24"/>
                <w:lang w:val="ro-MD"/>
              </w:rPr>
              <w:t xml:space="preserve">l dintre fondurile în cauză ca fond principal”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„(2)</w:t>
            </w:r>
            <w:r>
              <w:rPr>
                <w:rFonts w:ascii="Times New Roman" w:hAnsi="Times New Roman"/>
                <w:sz w:val="24"/>
                <w:szCs w:val="24"/>
                <w:lang w:val="ro-MD"/>
              </w:rPr>
              <w:tab/>
              <w:t>Organul central de specialitate se asigură că operațiunile sunt finanțate dintr-un singur fond și nu sunt supuse dublei finanțări.”</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(5)  În cazul respectivei strategii se </w:t>
            </w:r>
            <w:r>
              <w:rPr>
                <w:rFonts w:ascii="Times New Roman" w:eastAsia="Arial Unicode MS" w:hAnsi="Times New Roman"/>
                <w:sz w:val="24"/>
                <w:szCs w:val="24"/>
                <w:lang w:val="ro-MD"/>
              </w:rPr>
              <w:t>aplică normele fondului principal, respectându-se totodată domeniul de aplicare și normele de eligibilitate ale fiecărui fond implicat în susținerea strategiei. Autoritățile celorlalte fonduri se bazează pe deciziile și pe controalele de gestiune efectuate</w:t>
            </w:r>
            <w:r>
              <w:rPr>
                <w:rFonts w:ascii="Times New Roman" w:eastAsia="Arial Unicode MS" w:hAnsi="Times New Roman"/>
                <w:sz w:val="24"/>
                <w:szCs w:val="24"/>
                <w:lang w:val="ro-MD"/>
              </w:rPr>
              <w:t xml:space="preserve"> de autoritatea competentă a fondului principal.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340"/>
              </w:tabs>
              <w:spacing w:after="0"/>
              <w:ind w:left="-20"/>
              <w:jc w:val="center"/>
            </w:pPr>
            <w:r>
              <w:rPr>
                <w:rFonts w:ascii="Times New Roman" w:hAnsi="Times New Roman"/>
                <w:b/>
                <w:bCs/>
                <w:iCs/>
                <w:sz w:val="24"/>
                <w:szCs w:val="24"/>
                <w:lang w:val="ro-MD"/>
              </w:rPr>
              <w:t>Articolul 31.</w:t>
            </w:r>
            <w:r>
              <w:rPr>
                <w:rFonts w:ascii="Times New Roman" w:hAnsi="Times New Roman"/>
                <w:bCs/>
                <w:iCs/>
                <w:sz w:val="24"/>
                <w:szCs w:val="24"/>
                <w:lang w:val="ro-MD"/>
              </w:rPr>
              <w:t> Sursele de finanțare</w:t>
            </w:r>
          </w:p>
          <w:p w:rsidR="002F15D7" w:rsidRDefault="002F15D7">
            <w:pPr>
              <w:pStyle w:val="Listparagraf"/>
              <w:tabs>
                <w:tab w:val="left" w:pos="340"/>
              </w:tabs>
              <w:spacing w:after="0"/>
              <w:ind w:left="-20"/>
              <w:jc w:val="both"/>
              <w:rPr>
                <w:rFonts w:ascii="Times New Roman" w:hAnsi="Times New Roman"/>
                <w:bCs/>
                <w:iCs/>
                <w:sz w:val="24"/>
                <w:szCs w:val="24"/>
                <w:lang w:val="ro-MD"/>
              </w:rPr>
            </w:pPr>
          </w:p>
          <w:p w:rsidR="002F15D7" w:rsidRDefault="006C2DA4">
            <w:pPr>
              <w:pStyle w:val="Listparagraf"/>
              <w:numPr>
                <w:ilvl w:val="0"/>
                <w:numId w:val="5"/>
              </w:numPr>
              <w:tabs>
                <w:tab w:val="left" w:pos="340"/>
              </w:tabs>
              <w:spacing w:after="0"/>
              <w:ind w:left="-20" w:firstLine="0"/>
              <w:jc w:val="both"/>
              <w:rPr>
                <w:rFonts w:ascii="Times New Roman" w:hAnsi="Times New Roman"/>
                <w:bCs/>
                <w:iCs/>
                <w:sz w:val="24"/>
                <w:szCs w:val="24"/>
                <w:lang w:val="ro-MD"/>
              </w:rPr>
            </w:pPr>
            <w:r>
              <w:rPr>
                <w:rFonts w:ascii="Times New Roman" w:hAnsi="Times New Roman"/>
                <w:bCs/>
                <w:iCs/>
                <w:sz w:val="24"/>
                <w:szCs w:val="24"/>
                <w:lang w:val="ro-MD"/>
              </w:rPr>
              <w:t>Fondul național de dezvoltare a agriculturii și mediului rural constituie sursă principală de finanțare a GAL-urilor și implementarea strategiilor de dezvoltare locală.</w:t>
            </w:r>
          </w:p>
          <w:p w:rsidR="002F15D7" w:rsidRDefault="002F15D7">
            <w:pPr>
              <w:pStyle w:val="Listparagraf"/>
              <w:tabs>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Parțial compatibil</w:t>
            </w:r>
          </w:p>
          <w:p w:rsidR="002F15D7" w:rsidRDefault="002F15D7">
            <w:pPr>
              <w:spacing w:after="0"/>
              <w:jc w:val="center"/>
              <w:rPr>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Textul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„În cazul respectivei strategii se aplică normele fondului principal, respectându-se totodată domeniul de aplicare și normele de eligibilitate ale fiecărui fond implicat în susținerea strategiei. Autoritățile celorlalte fonduri </w:t>
            </w:r>
            <w:r>
              <w:rPr>
                <w:rFonts w:ascii="Times New Roman" w:eastAsia="Arial Unicode MS" w:hAnsi="Times New Roman"/>
                <w:sz w:val="24"/>
                <w:szCs w:val="24"/>
                <w:lang w:val="ro-MD"/>
              </w:rPr>
              <w:t xml:space="preserve">se bazează pe deciziile și pe controalele de gestiune efectuate de autoritatea competentă a fondului principal.”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se substituie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 textul</w:t>
            </w:r>
          </w:p>
          <w:p w:rsidR="002F15D7" w:rsidRDefault="006C2DA4">
            <w:pPr>
              <w:spacing w:after="0"/>
              <w:jc w:val="both"/>
            </w:pPr>
            <w:r>
              <w:rPr>
                <w:rFonts w:ascii="Times New Roman" w:hAnsi="Times New Roman"/>
                <w:i/>
                <w:iCs/>
                <w:sz w:val="24"/>
                <w:szCs w:val="24"/>
                <w:lang w:val="ro-MD"/>
              </w:rPr>
              <w:t xml:space="preserve"> </w:t>
            </w:r>
            <w:r>
              <w:rPr>
                <w:rFonts w:ascii="Times New Roman" w:hAnsi="Times New Roman"/>
                <w:sz w:val="24"/>
                <w:szCs w:val="24"/>
                <w:lang w:val="ro-MD"/>
              </w:rPr>
              <w:t>„Fondul național de dezvoltare a agriculturii și mediului rural constituie sursă principală de finanțare a GAL-urilo</w:t>
            </w:r>
            <w:r>
              <w:rPr>
                <w:rFonts w:ascii="Times New Roman" w:hAnsi="Times New Roman"/>
                <w:sz w:val="24"/>
                <w:szCs w:val="24"/>
                <w:lang w:val="ro-MD"/>
              </w:rPr>
              <w:t>r și implementarea strategiilor de dezvoltare locală.”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(6)  Autoritatea fondului principal furnizează autorităților celorlalte fonduri informațiile necesare pentru a monitoriza și efectua plăți în conformitate cu normele stabilite în regulamentele specifi</w:t>
            </w:r>
            <w:r>
              <w:rPr>
                <w:rFonts w:ascii="Times New Roman" w:eastAsia="Arial Unicode MS" w:hAnsi="Times New Roman"/>
                <w:sz w:val="24"/>
                <w:szCs w:val="24"/>
                <w:lang w:val="ro-MD"/>
              </w:rPr>
              <w:t>ce fondului.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lang w:val="ro-MD"/>
              </w:rPr>
            </w:pPr>
            <w:r>
              <w:rPr>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Times New Roman" w:hAnsi="Times New Roman"/>
                <w:sz w:val="24"/>
                <w:szCs w:val="24"/>
                <w:lang w:val="ro-MD" w:eastAsia="ro-RO"/>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ti-art"/>
              <w:shd w:val="clear" w:color="auto" w:fill="FFFFFF"/>
              <w:spacing w:before="0" w:after="0"/>
              <w:jc w:val="center"/>
              <w:rPr>
                <w:i/>
                <w:iCs/>
                <w:lang w:val="ro-MD"/>
              </w:rPr>
            </w:pPr>
            <w:r>
              <w:rPr>
                <w:i/>
                <w:iCs/>
                <w:lang w:val="ro-MD"/>
              </w:rPr>
              <w:t>Articolul 32</w:t>
            </w:r>
          </w:p>
          <w:p w:rsidR="002F15D7" w:rsidRDefault="006C2DA4">
            <w:pPr>
              <w:pStyle w:val="oj-sti-art"/>
              <w:shd w:val="clear" w:color="auto" w:fill="FFFFFF"/>
              <w:spacing w:before="0" w:after="0"/>
              <w:jc w:val="center"/>
            </w:pPr>
            <w:r>
              <w:rPr>
                <w:b/>
                <w:bCs/>
                <w:lang w:val="ro-MD"/>
              </w:rPr>
              <w:t xml:space="preserve">Strategiile de dezvoltare locală plasate sub responsabilitatea </w:t>
            </w:r>
            <w:r>
              <w:rPr>
                <w:b/>
                <w:bCs/>
                <w:lang w:val="ro-MD"/>
              </w:rPr>
              <w:t>comunității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center"/>
            </w:pPr>
            <w:r>
              <w:rPr>
                <w:rFonts w:ascii="Times New Roman" w:hAnsi="Times New Roman"/>
                <w:b/>
                <w:iCs/>
                <w:sz w:val="24"/>
                <w:szCs w:val="24"/>
                <w:lang w:val="ro-MD"/>
              </w:rPr>
              <w:t>Articolul 4</w:t>
            </w:r>
            <w:r>
              <w:rPr>
                <w:rFonts w:ascii="Times New Roman" w:hAnsi="Times New Roman"/>
                <w:b/>
                <w:iCs/>
                <w:sz w:val="24"/>
                <w:szCs w:val="24"/>
                <w:vertAlign w:val="superscript"/>
                <w:lang w:val="ro-MD"/>
              </w:rPr>
              <w:t>1</w:t>
            </w:r>
          </w:p>
          <w:p w:rsidR="002F15D7" w:rsidRDefault="006C2DA4">
            <w:pPr>
              <w:shd w:val="clear" w:color="auto" w:fill="FFFFFF"/>
              <w:spacing w:after="0"/>
              <w:jc w:val="center"/>
            </w:pPr>
            <w:r>
              <w:rPr>
                <w:rFonts w:ascii="Times New Roman" w:hAnsi="Times New Roman"/>
                <w:bCs/>
                <w:iCs/>
                <w:sz w:val="24"/>
                <w:szCs w:val="24"/>
                <w:lang w:val="ro-MD"/>
              </w:rPr>
              <w:t>Strategia de dezvoltare locală plasată sub responsabilitatea comunității</w:t>
            </w:r>
          </w:p>
          <w:p w:rsidR="002F15D7" w:rsidRDefault="002F15D7">
            <w:pPr>
              <w:spacing w:after="0"/>
              <w:jc w:val="center"/>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Cuvântul „Strategiile”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cu cuvântul „Strategia”</w:t>
            </w:r>
          </w:p>
          <w:p w:rsidR="002F15D7" w:rsidRDefault="002F15D7">
            <w:pPr>
              <w:spacing w:after="0"/>
              <w:jc w:val="both"/>
              <w:rPr>
                <w:rFonts w:ascii="Times New Roman" w:hAnsi="Times New Roman"/>
                <w:sz w:val="24"/>
                <w:szCs w:val="24"/>
                <w:lang w:val="ro-MD"/>
              </w:rPr>
            </w:pP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cuvântul „plasate”</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 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cu cuvântul „plasată”.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Autoritățile de </w:t>
            </w:r>
            <w:r>
              <w:rPr>
                <w:rFonts w:ascii="Times New Roman" w:eastAsia="Arial Unicode MS" w:hAnsi="Times New Roman"/>
                <w:sz w:val="24"/>
                <w:szCs w:val="24"/>
                <w:lang w:val="ro-MD"/>
              </w:rPr>
              <w:t>management competente se asigură că fiecare strategie menționată la articolul 31 alineatul (2) litera (c) prevede următoarele elemente:</w:t>
            </w:r>
          </w:p>
          <w:p w:rsidR="002F15D7" w:rsidRDefault="002F15D7">
            <w:pPr>
              <w:shd w:val="clear" w:color="auto" w:fill="FFFFFF"/>
              <w:spacing w:after="0"/>
              <w:jc w:val="both"/>
              <w:rPr>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6"/>
              </w:numPr>
              <w:shd w:val="clear" w:color="auto" w:fill="FFFFFF"/>
              <w:tabs>
                <w:tab w:val="left" w:pos="360"/>
                <w:tab w:val="left" w:pos="1134"/>
              </w:tabs>
              <w:suppressAutoHyphens w:val="0"/>
              <w:spacing w:after="0"/>
              <w:ind w:left="-20" w:firstLine="0"/>
              <w:jc w:val="both"/>
            </w:pPr>
            <w:r>
              <w:rPr>
                <w:rFonts w:ascii="Times New Roman" w:hAnsi="Times New Roman"/>
                <w:bCs/>
                <w:iCs/>
                <w:sz w:val="24"/>
                <w:szCs w:val="24"/>
                <w:lang w:val="ro-MD"/>
              </w:rPr>
              <w:t xml:space="preserve">Strategia </w:t>
            </w:r>
            <w:bookmarkStart w:id="1" w:name="_Hlk190954732"/>
            <w:r>
              <w:rPr>
                <w:rFonts w:ascii="Times New Roman" w:hAnsi="Times New Roman"/>
                <w:bCs/>
                <w:iCs/>
                <w:sz w:val="24"/>
                <w:szCs w:val="24"/>
                <w:lang w:val="ro-MD"/>
              </w:rPr>
              <w:t xml:space="preserve">de dezvoltare locală </w:t>
            </w:r>
            <w:bookmarkEnd w:id="1"/>
            <w:r>
              <w:rPr>
                <w:rFonts w:ascii="Times New Roman" w:hAnsi="Times New Roman"/>
                <w:bCs/>
                <w:iCs/>
                <w:sz w:val="24"/>
                <w:szCs w:val="24"/>
                <w:lang w:val="ro-MD"/>
              </w:rPr>
              <w:t>conține următoarele elemente:</w:t>
            </w:r>
          </w:p>
          <w:p w:rsidR="002F15D7" w:rsidRDefault="002F15D7">
            <w:pPr>
              <w:pStyle w:val="Listparagraf"/>
              <w:shd w:val="clear" w:color="auto" w:fill="FFFFFF"/>
              <w:tabs>
                <w:tab w:val="left" w:pos="360"/>
              </w:tabs>
              <w:suppressAutoHyphens w:val="0"/>
              <w:spacing w:after="0"/>
              <w:ind w:left="0"/>
              <w:jc w:val="both"/>
              <w:rPr>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Parțial</w:t>
            </w:r>
          </w:p>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pPr>
            <w:r>
              <w:rPr>
                <w:rFonts w:ascii="Times New Roman" w:hAnsi="Times New Roman"/>
                <w:sz w:val="24"/>
                <w:szCs w:val="24"/>
                <w:lang w:val="ro-MD"/>
              </w:rPr>
              <w:t>„</w:t>
            </w:r>
            <w:r>
              <w:rPr>
                <w:rFonts w:ascii="Times New Roman" w:eastAsia="Arial Unicode MS" w:hAnsi="Times New Roman"/>
                <w:sz w:val="24"/>
                <w:szCs w:val="24"/>
                <w:lang w:val="ro-MD"/>
              </w:rPr>
              <w:t xml:space="preserve">Autoritățile de management </w:t>
            </w:r>
            <w:r>
              <w:rPr>
                <w:rFonts w:ascii="Times New Roman" w:eastAsia="Arial Unicode MS" w:hAnsi="Times New Roman"/>
                <w:sz w:val="24"/>
                <w:szCs w:val="24"/>
                <w:lang w:val="ro-MD"/>
              </w:rPr>
              <w:t>competente se asigură că fiecare strategie menționată la articolul 31 alineatul (2) litera (c) prevede următoarele elemente:</w:t>
            </w:r>
            <w:r>
              <w:rPr>
                <w:rFonts w:ascii="Times New Roman" w:hAnsi="Times New Roman"/>
                <w:sz w:val="24"/>
                <w:szCs w:val="24"/>
                <w:lang w:val="ro-MD"/>
              </w:rPr>
              <w:t xml:space="preserv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cu textul</w:t>
            </w:r>
          </w:p>
          <w:p w:rsidR="002F15D7" w:rsidRDefault="006C2DA4">
            <w:pPr>
              <w:spacing w:after="0"/>
              <w:jc w:val="both"/>
            </w:pPr>
            <w:r>
              <w:rPr>
                <w:rFonts w:ascii="Times New Roman" w:hAnsi="Times New Roman"/>
                <w:sz w:val="24"/>
                <w:szCs w:val="24"/>
                <w:lang w:val="ro-MD"/>
              </w:rPr>
              <w:t xml:space="preserve"> „Strategia de dezvoltare locală conține următoarele elemente:.”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(a) zona geografică și populația care </w:t>
            </w:r>
            <w:r>
              <w:rPr>
                <w:rFonts w:ascii="Times New Roman" w:eastAsia="Arial Unicode MS" w:hAnsi="Times New Roman"/>
                <w:sz w:val="24"/>
                <w:szCs w:val="24"/>
                <w:lang w:val="ro-MD"/>
              </w:rPr>
              <w:t>fac obiectul strategiei;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60"/>
                <w:tab w:val="left" w:pos="1134"/>
              </w:tabs>
              <w:suppressAutoHyphens w:val="0"/>
              <w:spacing w:after="0"/>
              <w:jc w:val="both"/>
              <w:rPr>
                <w:rFonts w:ascii="Times New Roman" w:hAnsi="Times New Roman"/>
                <w:bCs/>
                <w:iCs/>
                <w:sz w:val="24"/>
                <w:szCs w:val="24"/>
                <w:lang w:val="ro-MD"/>
              </w:rPr>
            </w:pPr>
            <w:r>
              <w:rPr>
                <w:rFonts w:ascii="Times New Roman" w:hAnsi="Times New Roman"/>
                <w:bCs/>
                <w:iCs/>
                <w:sz w:val="24"/>
                <w:szCs w:val="24"/>
                <w:lang w:val="ro-MD"/>
              </w:rPr>
              <w:t>a) descrierea zonei geografice și a populației care fac obiectul strategiei de dezvoltare locală;</w:t>
            </w:r>
          </w:p>
          <w:p w:rsidR="002F15D7" w:rsidRDefault="002F15D7">
            <w:pPr>
              <w:pStyle w:val="Listparagraf"/>
              <w:shd w:val="clear" w:color="auto" w:fill="FFFFFF"/>
              <w:tabs>
                <w:tab w:val="left" w:pos="360"/>
                <w:tab w:val="left" w:pos="1134"/>
              </w:tabs>
              <w:suppressAutoHyphens w:val="0"/>
              <w:spacing w:after="0"/>
              <w:ind w:left="-20"/>
              <w:jc w:val="both"/>
              <w:rPr>
                <w:rFonts w:ascii="Times New Roman" w:hAnsi="Times New Roman"/>
                <w:bCs/>
                <w:iCs/>
                <w:sz w:val="24"/>
                <w:szCs w:val="24"/>
                <w:lang w:val="ro-MD"/>
              </w:rPr>
            </w:pPr>
          </w:p>
          <w:p w:rsidR="002F15D7" w:rsidRDefault="002F15D7">
            <w:pPr>
              <w:pStyle w:val="Listparagraf"/>
              <w:shd w:val="clear" w:color="auto" w:fill="FFFFFF"/>
              <w:tabs>
                <w:tab w:val="left" w:pos="360"/>
                <w:tab w:val="left" w:pos="1134"/>
              </w:tabs>
              <w:suppressAutoHyphens w:val="0"/>
              <w:spacing w:after="0"/>
              <w:ind w:left="-20"/>
              <w:jc w:val="both"/>
              <w:rPr>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„obiectul strategiei”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se substituie</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 cu textul „obiectul strategiei de dezvoltare locală”.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(b) procesul de </w:t>
            </w:r>
            <w:r>
              <w:rPr>
                <w:rFonts w:ascii="Times New Roman" w:eastAsia="Arial Unicode MS" w:hAnsi="Times New Roman"/>
                <w:sz w:val="24"/>
                <w:szCs w:val="24"/>
                <w:lang w:val="ro-MD"/>
              </w:rPr>
              <w:t>implicare a comunității în dezvoltarea strategiei respective;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4"/>
              </w:numPr>
              <w:shd w:val="clear" w:color="auto" w:fill="FFFFFF"/>
              <w:tabs>
                <w:tab w:val="left" w:pos="340"/>
              </w:tabs>
              <w:suppressAutoHyphens w:val="0"/>
              <w:spacing w:after="0"/>
              <w:ind w:left="0" w:hanging="43"/>
              <w:jc w:val="both"/>
            </w:pPr>
            <w:r>
              <w:rPr>
                <w:rFonts w:ascii="Times New Roman" w:hAnsi="Times New Roman"/>
                <w:bCs/>
                <w:iCs/>
                <w:sz w:val="24"/>
                <w:szCs w:val="24"/>
                <w:lang w:val="ro-MD"/>
              </w:rPr>
              <w:t>procesul de implicare a comunității în dezvoltarea strategiei de dezvoltare locală;</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„dezvoltarea strategiei respective”</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cu textul</w:t>
            </w:r>
          </w:p>
          <w:p w:rsidR="002F15D7" w:rsidRDefault="006C2DA4">
            <w:pPr>
              <w:spacing w:after="0"/>
              <w:jc w:val="both"/>
            </w:pPr>
            <w:r>
              <w:rPr>
                <w:rFonts w:ascii="Times New Roman" w:hAnsi="Times New Roman"/>
                <w:sz w:val="24"/>
                <w:szCs w:val="24"/>
                <w:lang w:val="ro-MD"/>
              </w:rPr>
              <w:t xml:space="preserve">„dezvoltarea strategiei de </w:t>
            </w:r>
            <w:r>
              <w:rPr>
                <w:rFonts w:ascii="Times New Roman" w:hAnsi="Times New Roman"/>
                <w:sz w:val="24"/>
                <w:szCs w:val="24"/>
                <w:lang w:val="ro-MD"/>
              </w:rPr>
              <w:t>dezvoltare locală”.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40"/>
              </w:tabs>
              <w:suppressAutoHyphens w:val="0"/>
              <w:spacing w:after="0"/>
              <w:jc w:val="both"/>
            </w:pPr>
            <w:r>
              <w:rPr>
                <w:rFonts w:ascii="Times New Roman" w:hAnsi="Times New Roman"/>
                <w:bCs/>
                <w:iCs/>
                <w:sz w:val="24"/>
                <w:szCs w:val="24"/>
                <w:lang w:val="ro-MD"/>
              </w:rPr>
              <w:t>© o analiză a nevoilor de dezvoltare și a potențialului zonei;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40"/>
              </w:tabs>
              <w:suppressAutoHyphens w:val="0"/>
              <w:spacing w:after="0"/>
              <w:jc w:val="both"/>
              <w:rPr>
                <w:rFonts w:ascii="Times New Roman" w:hAnsi="Times New Roman"/>
                <w:bCs/>
                <w:iCs/>
                <w:sz w:val="24"/>
                <w:szCs w:val="24"/>
                <w:lang w:val="ro-MD"/>
              </w:rPr>
            </w:pPr>
            <w:r>
              <w:rPr>
                <w:rFonts w:ascii="Times New Roman" w:hAnsi="Times New Roman"/>
                <w:bCs/>
                <w:iCs/>
                <w:sz w:val="24"/>
                <w:szCs w:val="24"/>
                <w:lang w:val="ro-MD"/>
              </w:rPr>
              <w:t>c) analiza a nevoilor de dezvoltare și a potențialului zonei;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7"/>
              </w:numPr>
              <w:spacing w:after="0"/>
              <w:jc w:val="center"/>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(d) obiectivele strategiei, inclusiv ținte măsurabile pentru rezultate, precum și acțiunile </w:t>
            </w:r>
            <w:r>
              <w:rPr>
                <w:rFonts w:ascii="Times New Roman" w:eastAsia="Arial Unicode MS" w:hAnsi="Times New Roman"/>
                <w:sz w:val="24"/>
                <w:szCs w:val="24"/>
                <w:lang w:val="ro-MD"/>
              </w:rPr>
              <w:t>conexe planificate;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160"/>
              </w:tabs>
              <w:suppressAutoHyphens w:val="0"/>
              <w:spacing w:after="0"/>
              <w:jc w:val="both"/>
              <w:rPr>
                <w:rFonts w:ascii="Times New Roman" w:hAnsi="Times New Roman"/>
                <w:bCs/>
                <w:iCs/>
                <w:sz w:val="24"/>
                <w:szCs w:val="24"/>
                <w:lang w:val="ro-MD"/>
              </w:rPr>
            </w:pPr>
            <w:r>
              <w:rPr>
                <w:rFonts w:ascii="Times New Roman" w:hAnsi="Times New Roman"/>
                <w:bCs/>
                <w:iCs/>
                <w:sz w:val="24"/>
                <w:szCs w:val="24"/>
                <w:lang w:val="ro-MD"/>
              </w:rPr>
              <w:t>d) obiectivele, inclusiv ținte măsurabile pentru rezultate, precum și acțiunile conexe planificate;</w:t>
            </w:r>
          </w:p>
          <w:p w:rsidR="002F15D7" w:rsidRDefault="002F15D7">
            <w:pPr>
              <w:shd w:val="clear" w:color="auto" w:fill="FFFFFF"/>
              <w:tabs>
                <w:tab w:val="left" w:pos="340"/>
              </w:tabs>
              <w:suppressAutoHyphens w:val="0"/>
              <w:spacing w:after="0"/>
              <w:ind w:hanging="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rPr>
                <w:rFonts w:ascii="Times New Roman" w:hAnsi="Times New Roman"/>
                <w:sz w:val="24"/>
                <w:szCs w:val="24"/>
                <w:lang w:val="ro-MD"/>
              </w:rPr>
            </w:pPr>
            <w:r>
              <w:rPr>
                <w:rFonts w:ascii="Times New Roman" w:hAnsi="Times New Roman"/>
                <w:sz w:val="24"/>
                <w:szCs w:val="24"/>
                <w:lang w:val="ro-MD"/>
              </w:rPr>
              <w:t>Cuvântul „strategiei„, exclus.</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(e) modalitățile de gestiune, monitorizare și evaluare, prin care se demonstrează </w:t>
            </w:r>
            <w:r>
              <w:rPr>
                <w:rFonts w:ascii="Times New Roman" w:eastAsia="Arial Unicode MS" w:hAnsi="Times New Roman"/>
                <w:sz w:val="24"/>
                <w:szCs w:val="24"/>
                <w:lang w:val="ro-MD"/>
              </w:rPr>
              <w:t>capacitatea grupului de acțiune locală de a implementa strategia;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40"/>
              </w:tabs>
              <w:suppressAutoHyphens w:val="0"/>
              <w:spacing w:after="0"/>
              <w:jc w:val="both"/>
            </w:pPr>
            <w:r>
              <w:rPr>
                <w:rFonts w:ascii="Times New Roman" w:hAnsi="Times New Roman"/>
                <w:bCs/>
                <w:iCs/>
                <w:sz w:val="24"/>
                <w:szCs w:val="24"/>
                <w:lang w:val="ro-MD"/>
              </w:rPr>
              <w:t>e) modalitățile de gestiune, monitorizare și evaluare, prin care se</w:t>
            </w:r>
            <w:r>
              <w:rPr>
                <w:rFonts w:ascii="Times New Roman" w:hAnsi="Times New Roman"/>
                <w:b/>
                <w:iCs/>
                <w:sz w:val="24"/>
                <w:szCs w:val="24"/>
                <w:lang w:val="ro-MD"/>
              </w:rPr>
              <w:t xml:space="preserve"> </w:t>
            </w:r>
            <w:r>
              <w:rPr>
                <w:rFonts w:ascii="Times New Roman" w:hAnsi="Times New Roman"/>
                <w:bCs/>
                <w:iCs/>
                <w:sz w:val="24"/>
                <w:szCs w:val="24"/>
                <w:lang w:val="ro-MD"/>
              </w:rPr>
              <w:t>demonstrează capacitatea GAL-ului de a implementa strategia de dezvoltare locală;</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40"/>
              </w:tabs>
              <w:suppressAutoHyphens w:val="0"/>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hd w:val="clear" w:color="auto" w:fill="FFFFFF"/>
              <w:tabs>
                <w:tab w:val="left" w:pos="340"/>
              </w:tabs>
              <w:suppressAutoHyphens w:val="0"/>
              <w:spacing w:after="0"/>
              <w:jc w:val="both"/>
            </w:pPr>
            <w:r>
              <w:rPr>
                <w:rFonts w:ascii="Times New Roman" w:hAnsi="Times New Roman"/>
                <w:sz w:val="24"/>
                <w:szCs w:val="24"/>
                <w:lang w:val="ro-MD"/>
              </w:rPr>
              <w:t xml:space="preserve">„capacitatea </w:t>
            </w:r>
            <w:r>
              <w:rPr>
                <w:rFonts w:ascii="Times New Roman" w:eastAsia="Arial Unicode MS" w:hAnsi="Times New Roman"/>
                <w:sz w:val="24"/>
                <w:szCs w:val="24"/>
                <w:lang w:val="ro-MD"/>
              </w:rPr>
              <w:t>grupului de acțiune locală de a implementa strategia” se substituie</w:t>
            </w:r>
          </w:p>
          <w:p w:rsidR="002F15D7" w:rsidRDefault="006C2DA4">
            <w:pPr>
              <w:shd w:val="clear" w:color="auto" w:fill="FFFFFF"/>
              <w:tabs>
                <w:tab w:val="left" w:pos="340"/>
              </w:tabs>
              <w:suppressAutoHyphens w:val="0"/>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 cu textul </w:t>
            </w:r>
          </w:p>
          <w:p w:rsidR="002F15D7" w:rsidRDefault="006C2DA4">
            <w:pPr>
              <w:shd w:val="clear" w:color="auto" w:fill="FFFFFF"/>
              <w:tabs>
                <w:tab w:val="left" w:pos="340"/>
              </w:tabs>
              <w:suppressAutoHyphens w:val="0"/>
              <w:spacing w:after="0"/>
              <w:jc w:val="both"/>
            </w:pPr>
            <w:r>
              <w:rPr>
                <w:rFonts w:ascii="Times New Roman" w:eastAsia="Arial Unicode MS" w:hAnsi="Times New Roman"/>
                <w:sz w:val="24"/>
                <w:szCs w:val="24"/>
                <w:lang w:val="ro-MD"/>
              </w:rPr>
              <w:t>„</w:t>
            </w:r>
            <w:r>
              <w:rPr>
                <w:rFonts w:ascii="Times New Roman" w:hAnsi="Times New Roman"/>
                <w:bCs/>
                <w:sz w:val="24"/>
                <w:szCs w:val="24"/>
                <w:lang w:val="ro-MD"/>
              </w:rPr>
              <w:t>capacitatea GAL-ului de a implementa strategia de dezvoltare locală;”.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(f) un plan financiar, inclusiv alocarea planificată din fiecare fond, precum și, dacă este cazul, aloc</w:t>
            </w:r>
            <w:r>
              <w:rPr>
                <w:rFonts w:ascii="Times New Roman" w:eastAsia="Arial Unicode MS" w:hAnsi="Times New Roman"/>
                <w:sz w:val="24"/>
                <w:szCs w:val="24"/>
                <w:lang w:val="ro-MD"/>
              </w:rPr>
              <w:t>area planificată din FEADR și din partea fiecărui program în cauză.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shd w:val="clear" w:color="auto" w:fill="FFFFFF"/>
              <w:tabs>
                <w:tab w:val="left" w:pos="340"/>
              </w:tabs>
              <w:suppressAutoHyphens w:val="0"/>
              <w:spacing w:after="0"/>
              <w:ind w:left="0"/>
              <w:jc w:val="both"/>
            </w:pPr>
            <w:r>
              <w:rPr>
                <w:rFonts w:ascii="Times New Roman" w:hAnsi="Times New Roman"/>
                <w:bCs/>
                <w:iCs/>
                <w:sz w:val="24"/>
                <w:szCs w:val="24"/>
                <w:lang w:val="ro-MD"/>
              </w:rPr>
              <w:t xml:space="preserve">f) un plan financiar, cu alocarea planificată din Fondul </w:t>
            </w:r>
            <w:proofErr w:type="spellStart"/>
            <w:r>
              <w:rPr>
                <w:rFonts w:ascii="Times New Roman" w:hAnsi="Times New Roman"/>
                <w:bCs/>
                <w:iCs/>
                <w:sz w:val="24"/>
                <w:szCs w:val="24"/>
                <w:lang w:val="ro-MD"/>
              </w:rPr>
              <w:t>naţional</w:t>
            </w:r>
            <w:proofErr w:type="spellEnd"/>
            <w:r>
              <w:rPr>
                <w:rFonts w:ascii="Times New Roman" w:hAnsi="Times New Roman"/>
                <w:bCs/>
                <w:iCs/>
                <w:sz w:val="24"/>
                <w:szCs w:val="24"/>
                <w:lang w:val="ro-MD"/>
              </w:rPr>
              <w:t xml:space="preserve"> de dezvoltare a agriculturii </w:t>
            </w:r>
            <w:proofErr w:type="spellStart"/>
            <w:r>
              <w:rPr>
                <w:rFonts w:ascii="Times New Roman" w:hAnsi="Times New Roman"/>
                <w:bCs/>
                <w:iCs/>
                <w:sz w:val="24"/>
                <w:szCs w:val="24"/>
                <w:lang w:val="ro-MD"/>
              </w:rPr>
              <w:t>şi</w:t>
            </w:r>
            <w:proofErr w:type="spellEnd"/>
            <w:r>
              <w:rPr>
                <w:rFonts w:ascii="Times New Roman" w:hAnsi="Times New Roman"/>
                <w:bCs/>
                <w:iCs/>
                <w:sz w:val="24"/>
                <w:szCs w:val="24"/>
                <w:lang w:val="ro-MD"/>
              </w:rPr>
              <w:t xml:space="preserve"> mediului rural, ca sursă financiară principală, inclusiv alocarea planificată din alte fon</w:t>
            </w:r>
            <w:r>
              <w:rPr>
                <w:rFonts w:ascii="Times New Roman" w:hAnsi="Times New Roman"/>
                <w:bCs/>
                <w:iCs/>
                <w:sz w:val="24"/>
                <w:szCs w:val="24"/>
                <w:lang w:val="ro-MD"/>
              </w:rPr>
              <w:t>duri, care vizează întreaga perioadă de implementare și include informații referitoare la realizarea indicatorilor planificați pentru  fiecare an.</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pPr>
            <w:r>
              <w:rPr>
                <w:rFonts w:ascii="Times New Roman" w:hAnsi="Times New Roman"/>
                <w:sz w:val="24"/>
                <w:szCs w:val="24"/>
                <w:lang w:val="ro-MD"/>
              </w:rPr>
              <w:t>„</w:t>
            </w:r>
            <w:r>
              <w:rPr>
                <w:rFonts w:ascii="Times New Roman" w:eastAsia="Arial Unicode MS" w:hAnsi="Times New Roman"/>
                <w:sz w:val="24"/>
                <w:szCs w:val="24"/>
                <w:lang w:val="ro-MD"/>
              </w:rPr>
              <w:t xml:space="preserve">inclusiv alocarea planificată din fiecare fond, precum și, dacă este cazul, alocarea </w:t>
            </w:r>
            <w:r>
              <w:rPr>
                <w:rFonts w:ascii="Times New Roman" w:eastAsia="Arial Unicode MS" w:hAnsi="Times New Roman"/>
                <w:sz w:val="24"/>
                <w:szCs w:val="24"/>
                <w:lang w:val="ro-MD"/>
              </w:rPr>
              <w:t xml:space="preserve">planificată din FEADR și din partea fiecărui program în cauză.”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se substituie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 textul </w:t>
            </w:r>
          </w:p>
          <w:p w:rsidR="002F15D7" w:rsidRDefault="006C2DA4">
            <w:pPr>
              <w:spacing w:after="0"/>
              <w:jc w:val="both"/>
            </w:pPr>
            <w:r>
              <w:rPr>
                <w:rFonts w:ascii="Times New Roman" w:eastAsia="Arial Unicode MS" w:hAnsi="Times New Roman"/>
                <w:sz w:val="24"/>
                <w:szCs w:val="24"/>
                <w:lang w:val="ro-MD"/>
              </w:rPr>
              <w:t>„</w:t>
            </w:r>
            <w:r>
              <w:rPr>
                <w:rFonts w:ascii="Times New Roman" w:hAnsi="Times New Roman"/>
                <w:bCs/>
                <w:sz w:val="24"/>
                <w:szCs w:val="24"/>
                <w:lang w:val="ro-MD"/>
              </w:rPr>
              <w:t xml:space="preserve">cu alocarea planificată din Fondul </w:t>
            </w:r>
            <w:proofErr w:type="spellStart"/>
            <w:r>
              <w:rPr>
                <w:rFonts w:ascii="Times New Roman" w:hAnsi="Times New Roman"/>
                <w:bCs/>
                <w:sz w:val="24"/>
                <w:szCs w:val="24"/>
                <w:lang w:val="ro-MD"/>
              </w:rPr>
              <w:t>naţional</w:t>
            </w:r>
            <w:proofErr w:type="spellEnd"/>
            <w:r>
              <w:rPr>
                <w:rFonts w:ascii="Times New Roman" w:hAnsi="Times New Roman"/>
                <w:bCs/>
                <w:sz w:val="24"/>
                <w:szCs w:val="24"/>
                <w:lang w:val="ro-MD"/>
              </w:rPr>
              <w:t xml:space="preserve"> de dezvoltare a agriculturii </w:t>
            </w:r>
            <w:proofErr w:type="spellStart"/>
            <w:r>
              <w:rPr>
                <w:rFonts w:ascii="Times New Roman" w:hAnsi="Times New Roman"/>
                <w:bCs/>
                <w:sz w:val="24"/>
                <w:szCs w:val="24"/>
                <w:lang w:val="ro-MD"/>
              </w:rPr>
              <w:t>şi</w:t>
            </w:r>
            <w:proofErr w:type="spellEnd"/>
            <w:r>
              <w:rPr>
                <w:rFonts w:ascii="Times New Roman" w:hAnsi="Times New Roman"/>
                <w:bCs/>
                <w:sz w:val="24"/>
                <w:szCs w:val="24"/>
                <w:lang w:val="ro-MD"/>
              </w:rPr>
              <w:t xml:space="preserve"> mediului rural, ca sursă financiară principală, inclusiv alocarea planificată din alte f</w:t>
            </w:r>
            <w:r>
              <w:rPr>
                <w:rFonts w:ascii="Times New Roman" w:hAnsi="Times New Roman"/>
                <w:bCs/>
                <w:sz w:val="24"/>
                <w:szCs w:val="24"/>
                <w:lang w:val="ro-MD"/>
              </w:rPr>
              <w:t>onduri, care vizează întreaga perioadă de implementare și include informații referitoare la realizarea indicatorilor planificați pentru fiecare an;”.</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Fiecare strategie poate să conțină, de asemenea, tipuri de măsuri și de operațiuni care urmează să fie fi</w:t>
            </w:r>
            <w:r>
              <w:rPr>
                <w:rFonts w:ascii="Times New Roman" w:eastAsia="Arial Unicode MS" w:hAnsi="Times New Roman"/>
                <w:sz w:val="24"/>
                <w:szCs w:val="24"/>
                <w:lang w:val="ro-MD"/>
              </w:rPr>
              <w:t>nanțate din fiecare fond implicat.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6"/>
              </w:numPr>
              <w:tabs>
                <w:tab w:val="left" w:pos="340"/>
              </w:tabs>
              <w:spacing w:after="0"/>
              <w:ind w:left="-20" w:firstLine="0"/>
              <w:jc w:val="both"/>
            </w:pPr>
            <w:r>
              <w:rPr>
                <w:rFonts w:ascii="Times New Roman" w:hAnsi="Times New Roman"/>
                <w:bCs/>
                <w:iCs/>
                <w:sz w:val="24"/>
                <w:szCs w:val="24"/>
                <w:lang w:val="ro-MD"/>
              </w:rPr>
              <w:t>Strategia de dezvoltare locală conține, de asemenea, tipuri de măsuri și de operațiuni care urmează să fie finanțate din fiecare fond implicat.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pPr>
            <w:r>
              <w:rPr>
                <w:rFonts w:ascii="Times New Roman" w:hAnsi="Times New Roman"/>
                <w:sz w:val="24"/>
                <w:szCs w:val="24"/>
                <w:lang w:val="ro-MD"/>
              </w:rPr>
              <w:t>„</w:t>
            </w:r>
            <w:r>
              <w:rPr>
                <w:rFonts w:ascii="Times New Roman" w:eastAsia="Arial Unicode MS" w:hAnsi="Times New Roman"/>
                <w:sz w:val="24"/>
                <w:szCs w:val="24"/>
                <w:lang w:val="ro-MD"/>
              </w:rPr>
              <w:t xml:space="preserve">Fiecare strategie poate să conțină, de asemenea, tipuri </w:t>
            </w:r>
            <w:r>
              <w:rPr>
                <w:rFonts w:ascii="Times New Roman" w:eastAsia="Arial Unicode MS" w:hAnsi="Times New Roman"/>
                <w:sz w:val="24"/>
                <w:szCs w:val="24"/>
                <w:lang w:val="ro-MD"/>
              </w:rPr>
              <w:t xml:space="preserve">de măsuri și de operațiuni care urmează să fie finanțate din fiecare fond implicat.”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 substituie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 textul </w:t>
            </w:r>
          </w:p>
          <w:p w:rsidR="002F15D7" w:rsidRDefault="006C2DA4">
            <w:pPr>
              <w:spacing w:after="0"/>
              <w:jc w:val="both"/>
            </w:pPr>
            <w:r>
              <w:rPr>
                <w:rFonts w:ascii="Times New Roman" w:eastAsia="Arial Unicode MS" w:hAnsi="Times New Roman"/>
                <w:sz w:val="24"/>
                <w:szCs w:val="24"/>
                <w:lang w:val="ro-MD"/>
              </w:rPr>
              <w:t>„S</w:t>
            </w:r>
            <w:r>
              <w:rPr>
                <w:rFonts w:ascii="Times New Roman" w:hAnsi="Times New Roman"/>
                <w:bCs/>
                <w:sz w:val="24"/>
                <w:szCs w:val="24"/>
                <w:lang w:val="ro-MD"/>
              </w:rPr>
              <w:t>trategia de dezvoltare locală conține, de asemenea, tipuri de măsuri și de operațiuni care urmează să fie finanțate din fiecare fond implicat.”</w:t>
            </w:r>
            <w:r>
              <w:rPr>
                <w:rFonts w:ascii="Times New Roman" w:hAnsi="Times New Roman"/>
                <w:bCs/>
                <w:sz w:val="24"/>
                <w:szCs w:val="24"/>
                <w:lang w:val="ro-MD"/>
              </w:rPr>
              <w:t>.</w:t>
            </w:r>
            <w:r>
              <w:rPr>
                <w:rFonts w:ascii="Times New Roman" w:eastAsia="Arial Unicode MS" w:hAnsi="Times New Roman"/>
                <w:sz w:val="24"/>
                <w:szCs w:val="24"/>
                <w:lang w:val="ro-MD"/>
              </w:rPr>
              <w:t xml:space="preserve"> </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hd w:val="clear" w:color="auto" w:fill="FFFFFF"/>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6"/>
              </w:numPr>
              <w:tabs>
                <w:tab w:val="left" w:pos="340"/>
              </w:tabs>
              <w:ind w:left="-20" w:firstLine="0"/>
              <w:jc w:val="both"/>
              <w:rPr>
                <w:rFonts w:ascii="Times New Roman" w:hAnsi="Times New Roman"/>
                <w:bCs/>
                <w:iCs/>
                <w:sz w:val="24"/>
                <w:szCs w:val="24"/>
                <w:lang w:val="ro-MD"/>
              </w:rPr>
            </w:pPr>
            <w:r>
              <w:rPr>
                <w:rFonts w:ascii="Times New Roman" w:hAnsi="Times New Roman"/>
                <w:bCs/>
                <w:iCs/>
                <w:sz w:val="24"/>
                <w:szCs w:val="24"/>
                <w:lang w:val="ro-MD"/>
              </w:rPr>
              <w:t>Strategia de dezvoltare locală se implementează în zona geografică  prevăzută la alin. (1) lit. a), care trebuie să respecte principiului prevăzut la art. 7 lit. a).</w:t>
            </w:r>
          </w:p>
          <w:p w:rsidR="002F15D7" w:rsidRDefault="002F15D7">
            <w:pPr>
              <w:pStyle w:val="Listparagraf"/>
              <w:shd w:val="clear" w:color="auto" w:fill="FFFFFF"/>
              <w:tabs>
                <w:tab w:val="left" w:pos="1134"/>
              </w:tabs>
              <w:suppressAutoHyphens w:val="0"/>
              <w:spacing w:after="0"/>
              <w:ind w:left="0"/>
              <w:jc w:val="both"/>
              <w:rPr>
                <w:rFonts w:ascii="Times New Roman" w:hAnsi="Times New Roman"/>
                <w:bCs/>
                <w:iCs/>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Specific</w:t>
            </w:r>
          </w:p>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național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7"/>
              </w:numPr>
              <w:shd w:val="clear" w:color="auto" w:fill="FFFFFF"/>
              <w:tabs>
                <w:tab w:val="left" w:pos="360"/>
                <w:tab w:val="left" w:pos="1134"/>
              </w:tabs>
              <w:suppressAutoHyphens w:val="0"/>
              <w:spacing w:after="0"/>
              <w:jc w:val="center"/>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(2)  Autoritățile de management competente definesc criteriile </w:t>
            </w:r>
            <w:r>
              <w:rPr>
                <w:rFonts w:ascii="Times New Roman" w:eastAsia="Arial Unicode MS" w:hAnsi="Times New Roman"/>
                <w:sz w:val="24"/>
                <w:szCs w:val="24"/>
                <w:lang w:val="ro-MD"/>
              </w:rPr>
              <w:t>de selecție a strategiilor respective, înființează un comitet care să efectueze selecția și aprobă strategiile selectate de comitetul respectiv.</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60"/>
                <w:tab w:val="left" w:pos="1134"/>
              </w:tabs>
              <w:suppressAutoHyphens w:val="0"/>
              <w:spacing w:after="0"/>
              <w:jc w:val="both"/>
            </w:pPr>
            <w:r>
              <w:rPr>
                <w:rFonts w:ascii="Times New Roman" w:hAnsi="Times New Roman"/>
                <w:bCs/>
                <w:iCs/>
                <w:sz w:val="24"/>
                <w:szCs w:val="24"/>
                <w:lang w:val="ro-MD"/>
              </w:rPr>
              <w:t>(4) Strategia de dezvoltare locală poate fi susținută financiar din Programul LEADER, dacă îndeplinește criteri</w:t>
            </w:r>
            <w:r>
              <w:rPr>
                <w:rFonts w:ascii="Times New Roman" w:hAnsi="Times New Roman"/>
                <w:bCs/>
                <w:iCs/>
                <w:sz w:val="24"/>
                <w:szCs w:val="24"/>
                <w:lang w:val="ro-MD"/>
              </w:rPr>
              <w:t>ile de selectare stabilite de organul central de specialitate.</w:t>
            </w:r>
          </w:p>
          <w:p w:rsidR="002F15D7" w:rsidRDefault="002F15D7">
            <w:pPr>
              <w:shd w:val="clear" w:color="auto" w:fill="FFFFFF"/>
              <w:tabs>
                <w:tab w:val="left" w:pos="360"/>
                <w:tab w:val="left" w:pos="1134"/>
              </w:tabs>
              <w:suppressAutoHyphens w:val="0"/>
              <w:spacing w:after="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60"/>
                <w:tab w:val="left" w:pos="1134"/>
              </w:tabs>
              <w:suppressAutoHyphens w:val="0"/>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hd w:val="clear" w:color="auto" w:fill="FFFFFF"/>
              <w:tabs>
                <w:tab w:val="left" w:pos="360"/>
                <w:tab w:val="left" w:pos="1134"/>
              </w:tabs>
              <w:suppressAutoHyphens w:val="0"/>
              <w:spacing w:after="0"/>
              <w:jc w:val="both"/>
            </w:pPr>
            <w:r>
              <w:rPr>
                <w:rFonts w:ascii="Times New Roman" w:hAnsi="Times New Roman"/>
                <w:sz w:val="24"/>
                <w:szCs w:val="24"/>
                <w:lang w:val="ro-MD"/>
              </w:rPr>
              <w:t>„</w:t>
            </w:r>
            <w:r>
              <w:rPr>
                <w:rFonts w:ascii="Times New Roman" w:eastAsia="Arial Unicode MS" w:hAnsi="Times New Roman"/>
                <w:sz w:val="24"/>
                <w:szCs w:val="24"/>
                <w:lang w:val="ro-MD"/>
              </w:rPr>
              <w:t xml:space="preserve">Autoritățile de management competente definesc criteriile de selecție a strategiilor respective, înființează un comitet care să efectueze selecția și aprobă strategiile </w:t>
            </w:r>
            <w:r>
              <w:rPr>
                <w:rFonts w:ascii="Times New Roman" w:eastAsia="Arial Unicode MS" w:hAnsi="Times New Roman"/>
                <w:sz w:val="24"/>
                <w:szCs w:val="24"/>
                <w:lang w:val="ro-MD"/>
              </w:rPr>
              <w:t xml:space="preserve">selectate de comitetul respectiv.” </w:t>
            </w:r>
          </w:p>
          <w:p w:rsidR="002F15D7" w:rsidRDefault="006C2DA4">
            <w:pPr>
              <w:shd w:val="clear" w:color="auto" w:fill="FFFFFF"/>
              <w:tabs>
                <w:tab w:val="left" w:pos="360"/>
                <w:tab w:val="left" w:pos="1134"/>
              </w:tabs>
              <w:suppressAutoHyphens w:val="0"/>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 substituie</w:t>
            </w:r>
          </w:p>
          <w:p w:rsidR="002F15D7" w:rsidRDefault="006C2DA4">
            <w:pPr>
              <w:shd w:val="clear" w:color="auto" w:fill="FFFFFF"/>
              <w:tabs>
                <w:tab w:val="left" w:pos="360"/>
                <w:tab w:val="left" w:pos="1134"/>
              </w:tabs>
              <w:suppressAutoHyphens w:val="0"/>
              <w:spacing w:after="0"/>
              <w:jc w:val="both"/>
            </w:pPr>
            <w:r>
              <w:rPr>
                <w:rFonts w:ascii="Times New Roman" w:eastAsia="Arial Unicode MS" w:hAnsi="Times New Roman"/>
                <w:sz w:val="24"/>
                <w:szCs w:val="24"/>
                <w:lang w:val="ro-MD"/>
              </w:rPr>
              <w:t>cu textul „</w:t>
            </w:r>
            <w:r>
              <w:rPr>
                <w:rFonts w:ascii="Times New Roman" w:hAnsi="Times New Roman"/>
                <w:bCs/>
                <w:iCs/>
                <w:sz w:val="24"/>
                <w:szCs w:val="24"/>
                <w:lang w:val="ro-MD"/>
              </w:rPr>
              <w:t>Strategia de dezvoltare locală poate fi susținută financiar din Programul LEADER, dacă îndeplinește criteriile de selectare stabilite de organul central de specialitate</w:t>
            </w:r>
            <w:r>
              <w:rPr>
                <w:rFonts w:ascii="Times New Roman" w:hAnsi="Times New Roman"/>
                <w:bCs/>
                <w:sz w:val="24"/>
                <w:szCs w:val="24"/>
                <w:lang w:val="ro-MD"/>
              </w:rPr>
              <w:t>.”.</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tabs>
                <w:tab w:val="left" w:pos="360"/>
                <w:tab w:val="left" w:pos="1134"/>
              </w:tabs>
              <w:suppressAutoHyphens w:val="0"/>
              <w:spacing w:after="0"/>
              <w:jc w:val="both"/>
            </w:pPr>
            <w:r>
              <w:rPr>
                <w:rFonts w:ascii="Times New Roman" w:hAnsi="Times New Roman"/>
                <w:sz w:val="24"/>
                <w:szCs w:val="24"/>
                <w:lang w:val="ro-MD"/>
              </w:rPr>
              <w:t xml:space="preserve">(5) </w:t>
            </w:r>
            <w:r>
              <w:rPr>
                <w:rFonts w:ascii="Times New Roman" w:hAnsi="Times New Roman"/>
                <w:bCs/>
                <w:iCs/>
                <w:sz w:val="24"/>
                <w:szCs w:val="24"/>
                <w:lang w:val="ro-MD"/>
              </w:rPr>
              <w:t xml:space="preserve">Organul central </w:t>
            </w:r>
            <w:r>
              <w:rPr>
                <w:rFonts w:ascii="Times New Roman" w:hAnsi="Times New Roman"/>
                <w:bCs/>
                <w:iCs/>
                <w:sz w:val="24"/>
                <w:szCs w:val="24"/>
                <w:lang w:val="ro-MD"/>
              </w:rPr>
              <w:t xml:space="preserve">de specialitate elaborează </w:t>
            </w:r>
            <w:proofErr w:type="spellStart"/>
            <w:r>
              <w:rPr>
                <w:rFonts w:ascii="Times New Roman" w:hAnsi="Times New Roman"/>
                <w:bCs/>
                <w:iCs/>
                <w:sz w:val="24"/>
                <w:szCs w:val="24"/>
                <w:lang w:val="ro-MD"/>
              </w:rPr>
              <w:t>şi</w:t>
            </w:r>
            <w:proofErr w:type="spellEnd"/>
            <w:r>
              <w:rPr>
                <w:rFonts w:ascii="Times New Roman" w:hAnsi="Times New Roman"/>
                <w:bCs/>
                <w:iCs/>
                <w:sz w:val="24"/>
                <w:szCs w:val="24"/>
                <w:lang w:val="ro-MD"/>
              </w:rPr>
              <w:t xml:space="preserve"> aprobă ghidul privind implementarea strategiei de dezvoltare locală.</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lang w:val="ro-MD" w:eastAsia="ro-RO"/>
              </w:rPr>
              <w:t>Specific național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7"/>
              </w:numPr>
              <w:spacing w:after="0"/>
              <w:jc w:val="center"/>
              <w:rPr>
                <w:rFonts w:ascii="Times New Roman" w:eastAsia="Times New Roman" w:hAnsi="Times New Roman"/>
                <w:sz w:val="24"/>
                <w:szCs w:val="24"/>
                <w:shd w:val="clear" w:color="auto" w:fill="FFFF00"/>
                <w:lang w:val="ro-MD" w:eastAsia="ro-RO"/>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(3)  Autoritățile de management competente finalizează prima rundă de selecție a strategiilor și se asigură că grupurile de acțiune local</w:t>
            </w:r>
            <w:r>
              <w:rPr>
                <w:rFonts w:ascii="Times New Roman" w:eastAsia="Arial Unicode MS" w:hAnsi="Times New Roman"/>
                <w:sz w:val="24"/>
                <w:szCs w:val="24"/>
                <w:lang w:val="ro-MD"/>
              </w:rPr>
              <w:t>ă selectate își pot îndeplini sarcinile stabilite la articolul 33 alineatul (3) în termen de 12 luni de la data deciziei prin care se aprobă programul sau, în cazul</w:t>
            </w:r>
            <w:r>
              <w:rPr>
                <w:rFonts w:ascii="Arial Unicode MS" w:eastAsia="Arial Unicode MS" w:hAnsi="Arial Unicode MS" w:cs="Arial Unicode MS"/>
                <w:sz w:val="21"/>
                <w:szCs w:val="21"/>
                <w:lang w:val="ro-MD"/>
              </w:rPr>
              <w:t xml:space="preserve"> </w:t>
            </w:r>
            <w:r>
              <w:rPr>
                <w:rFonts w:ascii="Times New Roman" w:eastAsia="Arial Unicode MS" w:hAnsi="Times New Roman"/>
                <w:sz w:val="24"/>
                <w:szCs w:val="24"/>
                <w:lang w:val="ro-MD"/>
              </w:rPr>
              <w:t>strategiilor sprijinite de mai multe fonduri, în termen de 12 luni de la data deciziei prin</w:t>
            </w:r>
            <w:r>
              <w:rPr>
                <w:rFonts w:ascii="Times New Roman" w:eastAsia="Arial Unicode MS" w:hAnsi="Times New Roman"/>
                <w:sz w:val="24"/>
                <w:szCs w:val="24"/>
                <w:lang w:val="ro-MD"/>
              </w:rPr>
              <w:t xml:space="preserve"> care se aprobă ultimul program în cauză.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sz w:val="24"/>
                <w:szCs w:val="24"/>
                <w:lang w:val="ro-MD"/>
              </w:rPr>
            </w:pPr>
            <w:r>
              <w:rPr>
                <w:rFonts w:ascii="Times New Roman" w:hAnsi="Times New Roman"/>
                <w:sz w:val="24"/>
                <w:szCs w:val="24"/>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15D7" w:rsidRDefault="006C2DA4">
            <w:pPr>
              <w:jc w:val="center"/>
              <w:rPr>
                <w:rFonts w:ascii="Times New Roman" w:hAnsi="Times New Roman"/>
                <w:b/>
                <w:bCs/>
                <w:sz w:val="24"/>
                <w:szCs w:val="24"/>
                <w:lang w:val="ro-MD"/>
              </w:rPr>
            </w:pPr>
            <w:r>
              <w:rPr>
                <w:rFonts w:ascii="Times New Roman" w:hAnsi="Times New Roman"/>
                <w:b/>
                <w:bCs/>
                <w:sz w:val="24"/>
                <w:szCs w:val="24"/>
                <w:lang w:val="ro-MD"/>
              </w:rPr>
              <w:t>Prevederi UE neaplicabile</w:t>
            </w:r>
          </w:p>
          <w:p w:rsidR="002F15D7" w:rsidRDefault="002F15D7">
            <w:pPr>
              <w:rPr>
                <w:rFonts w:ascii="Times New Roman" w:hAnsi="Times New Roman"/>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15D7" w:rsidRDefault="006C2DA4">
            <w:pPr>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 xml:space="preserve">(4)  Decizia de aprobare a unei strategii stabilește </w:t>
            </w:r>
            <w:r>
              <w:rPr>
                <w:rFonts w:ascii="Times New Roman" w:eastAsia="Arial Unicode MS" w:hAnsi="Times New Roman"/>
                <w:sz w:val="24"/>
                <w:szCs w:val="24"/>
                <w:lang w:val="ro-MD"/>
              </w:rPr>
              <w:t>alocarea aferentă fiecărui fond și program în cauză și prevede responsabilitățile în ceea ce privește sarcinile de gestiune și control din cadrul programului sau al programelor.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sz w:val="24"/>
                <w:szCs w:val="24"/>
                <w:lang w:val="ro-MD"/>
              </w:rPr>
            </w:pPr>
            <w:r>
              <w:rPr>
                <w:rFonts w:ascii="Times New Roman" w:hAnsi="Times New Roman"/>
                <w:sz w:val="24"/>
                <w:szCs w:val="24"/>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15D7" w:rsidRDefault="006C2DA4">
            <w:pPr>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15D7" w:rsidRDefault="006C2DA4">
            <w:pPr>
              <w:jc w:val="both"/>
              <w:rPr>
                <w:rFonts w:ascii="Times New Roman" w:hAnsi="Times New Roman"/>
                <w:sz w:val="24"/>
                <w:szCs w:val="24"/>
                <w:lang w:val="ro-MD"/>
              </w:rPr>
            </w:pPr>
            <w:r>
              <w:rPr>
                <w:rFonts w:ascii="Times New Roman" w:hAnsi="Times New Roman"/>
                <w:sz w:val="24"/>
                <w:szCs w:val="24"/>
                <w:lang w:val="ro-MD"/>
              </w:rPr>
              <w:t>Odată cu aderarea Republicii Moldova la Uniunea E</w:t>
            </w:r>
            <w:r>
              <w:rPr>
                <w:rFonts w:ascii="Times New Roman" w:hAnsi="Times New Roman"/>
                <w:sz w:val="24"/>
                <w:szCs w:val="24"/>
                <w:lang w:val="ro-MD"/>
              </w:rPr>
              <w:t>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ti-art"/>
              <w:shd w:val="clear" w:color="auto" w:fill="FFFFFF"/>
              <w:spacing w:before="0" w:after="0"/>
              <w:jc w:val="center"/>
              <w:rPr>
                <w:i/>
                <w:iCs/>
                <w:lang w:val="ro-MD"/>
              </w:rPr>
            </w:pPr>
            <w:r>
              <w:rPr>
                <w:i/>
                <w:iCs/>
                <w:lang w:val="ro-MD"/>
              </w:rPr>
              <w:t>Articolul 33</w:t>
            </w:r>
          </w:p>
          <w:p w:rsidR="002F15D7" w:rsidRDefault="006C2DA4">
            <w:pPr>
              <w:pStyle w:val="oj-sti-art"/>
              <w:shd w:val="clear" w:color="auto" w:fill="FFFFFF"/>
              <w:spacing w:before="0" w:after="0"/>
              <w:jc w:val="center"/>
            </w:pPr>
            <w:r>
              <w:rPr>
                <w:b/>
                <w:bCs/>
                <w:lang w:val="ro-MD"/>
              </w:rPr>
              <w:t>Grupuri de acțiune locală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eastAsia="Times New Roman" w:hAnsi="Times New Roman"/>
                <w:b/>
                <w:bCs/>
                <w:sz w:val="24"/>
                <w:szCs w:val="24"/>
                <w:shd w:val="clear" w:color="auto" w:fill="FFFFFF"/>
                <w:lang w:val="ro-MD" w:eastAsia="ru-RU"/>
              </w:rPr>
              <w:t xml:space="preserve">Articolul </w:t>
            </w:r>
            <w:r>
              <w:rPr>
                <w:rFonts w:ascii="Times New Roman" w:eastAsia="Times New Roman" w:hAnsi="Times New Roman"/>
                <w:b/>
                <w:bCs/>
                <w:iCs/>
                <w:sz w:val="24"/>
                <w:szCs w:val="24"/>
                <w:shd w:val="clear" w:color="auto" w:fill="FFFFFF"/>
                <w:lang w:val="ro-MD" w:eastAsia="ru-RU"/>
              </w:rPr>
              <w:t>4.</w:t>
            </w:r>
          </w:p>
          <w:p w:rsidR="002F15D7" w:rsidRDefault="006C2DA4">
            <w:pPr>
              <w:spacing w:after="0"/>
              <w:jc w:val="center"/>
              <w:rPr>
                <w:rFonts w:ascii="Times New Roman" w:hAnsi="Times New Roman"/>
                <w:sz w:val="24"/>
                <w:szCs w:val="24"/>
                <w:lang w:val="ro-MD"/>
              </w:rPr>
            </w:pPr>
            <w:r>
              <w:rPr>
                <w:rFonts w:ascii="Times New Roman" w:hAnsi="Times New Roman"/>
                <w:sz w:val="24"/>
                <w:szCs w:val="24"/>
                <w:lang w:val="ro-MD"/>
              </w:rPr>
              <w:t>Scopul și sarcinile GAL-ului</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(1)  Grupurile de acțiune locală elaborează și implementează strategiile </w:t>
            </w:r>
            <w:r>
              <w:rPr>
                <w:rFonts w:ascii="Times New Roman" w:eastAsia="Arial Unicode MS" w:hAnsi="Times New Roman"/>
                <w:sz w:val="24"/>
                <w:szCs w:val="24"/>
                <w:lang w:val="ro-MD"/>
              </w:rPr>
              <w:t>menționate la articolul 31 alineatul (2) litera (c).</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bCs/>
                <w:iCs/>
                <w:sz w:val="24"/>
                <w:szCs w:val="24"/>
                <w:lang w:val="ro-MD"/>
              </w:rPr>
              <w:t>(2)</w:t>
            </w:r>
            <w:r>
              <w:rPr>
                <w:rFonts w:ascii="Times New Roman" w:eastAsia="Times New Roman" w:hAnsi="Times New Roman"/>
                <w:bCs/>
                <w:iCs/>
                <w:sz w:val="28"/>
                <w:szCs w:val="28"/>
                <w:shd w:val="clear" w:color="auto" w:fill="FFFFFF"/>
                <w:lang w:val="ro-MD" w:eastAsia="ru-RU"/>
              </w:rPr>
              <w:t xml:space="preserve"> </w:t>
            </w:r>
            <w:r>
              <w:rPr>
                <w:rFonts w:ascii="Times New Roman" w:eastAsia="Times New Roman" w:hAnsi="Times New Roman"/>
                <w:bCs/>
                <w:iCs/>
                <w:sz w:val="24"/>
                <w:szCs w:val="24"/>
                <w:shd w:val="clear" w:color="auto" w:fill="FFFFFF"/>
                <w:lang w:val="ro-MD" w:eastAsia="ru-RU"/>
              </w:rPr>
              <w:t>GAL îndeplinește urm</w:t>
            </w:r>
            <w:r>
              <w:rPr>
                <w:rFonts w:ascii="Times New Roman" w:hAnsi="Times New Roman"/>
                <w:bCs/>
                <w:iCs/>
                <w:sz w:val="24"/>
                <w:szCs w:val="24"/>
                <w:lang w:val="ro-MD"/>
              </w:rPr>
              <w:t>ătoarele sarcini :</w:t>
            </w:r>
          </w:p>
          <w:p w:rsidR="002F15D7" w:rsidRDefault="006C2DA4">
            <w:pPr>
              <w:tabs>
                <w:tab w:val="left" w:pos="340"/>
              </w:tabs>
              <w:spacing w:after="0"/>
              <w:jc w:val="both"/>
            </w:pPr>
            <w:r>
              <w:rPr>
                <w:rFonts w:ascii="Times New Roman" w:hAnsi="Times New Roman"/>
                <w:bCs/>
                <w:iCs/>
                <w:sz w:val="24"/>
                <w:szCs w:val="24"/>
                <w:lang w:val="ro-MD"/>
              </w:rPr>
              <w:t>(b)</w:t>
            </w:r>
            <w:r>
              <w:rPr>
                <w:rFonts w:ascii="Times New Roman" w:hAnsi="Times New Roman"/>
                <w:bCs/>
                <w:iCs/>
                <w:sz w:val="24"/>
                <w:szCs w:val="24"/>
                <w:lang w:val="ro-MD"/>
              </w:rPr>
              <w:tab/>
              <w:t>elaborează sau dezvoltă strategia de dezvoltare locală, conform elementelor prevăzute la art. 4</w:t>
            </w:r>
            <w:r>
              <w:rPr>
                <w:rFonts w:ascii="Times New Roman" w:hAnsi="Times New Roman"/>
                <w:bCs/>
                <w:iCs/>
                <w:sz w:val="24"/>
                <w:szCs w:val="24"/>
                <w:vertAlign w:val="superscript"/>
                <w:lang w:val="ro-MD"/>
              </w:rPr>
              <w:t>1</w:t>
            </w:r>
            <w:r>
              <w:rPr>
                <w:rFonts w:ascii="Times New Roman" w:hAnsi="Times New Roman"/>
                <w:bCs/>
                <w:iCs/>
                <w:sz w:val="24"/>
                <w:szCs w:val="24"/>
                <w:lang w:val="ro-MD"/>
              </w:rPr>
              <w:t xml:space="preserve"> și asigură implementarea acesteia, inclusiv desfășurarea </w:t>
            </w:r>
            <w:r>
              <w:rPr>
                <w:rFonts w:ascii="Times New Roman" w:hAnsi="Times New Roman"/>
                <w:bCs/>
                <w:iCs/>
                <w:sz w:val="24"/>
                <w:szCs w:val="24"/>
                <w:lang w:val="ro-MD"/>
              </w:rPr>
              <w:t>acțiunilor de animare a comunităților locale;</w:t>
            </w:r>
          </w:p>
          <w:p w:rsidR="002F15D7" w:rsidRDefault="002F15D7">
            <w:pPr>
              <w:spacing w:after="0"/>
              <w:jc w:val="both"/>
              <w:rPr>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Parțial</w:t>
            </w:r>
          </w:p>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pPr>
            <w:r>
              <w:rPr>
                <w:rFonts w:ascii="Times New Roman" w:hAnsi="Times New Roman"/>
                <w:sz w:val="24"/>
                <w:szCs w:val="24"/>
                <w:lang w:val="ro-MD"/>
              </w:rPr>
              <w:t xml:space="preserve">„Grupurile de acțiune locală elaborează și implementează strategiile menționate la articolul 31 alineatul (2) litera (c)”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w:t>
            </w:r>
            <w:r>
              <w:rPr>
                <w:rFonts w:ascii="Times New Roman" w:hAnsi="Times New Roman"/>
                <w:bCs/>
                <w:sz w:val="24"/>
                <w:szCs w:val="24"/>
                <w:lang w:val="ro-MD"/>
              </w:rPr>
              <w:t>(b) elaborează sau dezvoltă stra</w:t>
            </w:r>
            <w:r>
              <w:rPr>
                <w:rFonts w:ascii="Times New Roman" w:hAnsi="Times New Roman"/>
                <w:bCs/>
                <w:sz w:val="24"/>
                <w:szCs w:val="24"/>
                <w:lang w:val="ro-MD"/>
              </w:rPr>
              <w:t>tegia de dezvoltare locală conform elementelor prevăzute la art. 4</w:t>
            </w:r>
            <w:r>
              <w:rPr>
                <w:rFonts w:ascii="Times New Roman" w:hAnsi="Times New Roman"/>
                <w:bCs/>
                <w:sz w:val="24"/>
                <w:szCs w:val="24"/>
                <w:vertAlign w:val="superscript"/>
                <w:lang w:val="ro-MD"/>
              </w:rPr>
              <w:t>1</w:t>
            </w:r>
            <w:r>
              <w:rPr>
                <w:rFonts w:ascii="Times New Roman" w:hAnsi="Times New Roman"/>
                <w:bCs/>
                <w:sz w:val="24"/>
                <w:szCs w:val="24"/>
                <w:lang w:val="ro-MD"/>
              </w:rPr>
              <w:t xml:space="preserve"> și asigură implementarea acesteia, inclusiv desfășurarea acțiunilor de animare a comunităților locale;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(2)  Autoritățile de management se asigură că grupurile de acțiune locală sunt </w:t>
            </w:r>
            <w:r>
              <w:rPr>
                <w:rFonts w:ascii="Times New Roman" w:eastAsia="Arial Unicode MS" w:hAnsi="Times New Roman"/>
                <w:sz w:val="24"/>
                <w:szCs w:val="24"/>
                <w:lang w:val="ro-MD"/>
              </w:rPr>
              <w:t>deschise unei participări largi și fie aleg un partener din cadrul grupului în calitate de partener principal pentru aspectele administrative și financiare, fie se reunesc în cadrul unei structuri comune legal constituite.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sz w:val="24"/>
                <w:szCs w:val="24"/>
                <w:lang w:val="ro-MD"/>
              </w:rPr>
            </w:pPr>
            <w:r>
              <w:rPr>
                <w:rFonts w:ascii="Times New Roman" w:hAnsi="Times New Roman"/>
                <w:sz w:val="24"/>
                <w:szCs w:val="24"/>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jc w:val="both"/>
              <w:rPr>
                <w:rFonts w:ascii="Times New Roman" w:hAnsi="Times New Roman"/>
                <w:sz w:val="24"/>
                <w:szCs w:val="24"/>
                <w:lang w:val="ro-MD"/>
              </w:rPr>
            </w:pPr>
            <w:r>
              <w:rPr>
                <w:rFonts w:ascii="Times New Roman" w:hAnsi="Times New Roman"/>
                <w:sz w:val="24"/>
                <w:szCs w:val="24"/>
                <w:lang w:val="ro-MD"/>
              </w:rPr>
              <w:t>Odat</w:t>
            </w:r>
            <w:r>
              <w:rPr>
                <w:rFonts w:ascii="Times New Roman" w:hAnsi="Times New Roman"/>
                <w:sz w:val="24"/>
                <w:szCs w:val="24"/>
                <w:lang w:val="ro-MD"/>
              </w:rPr>
              <w: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(3)  Următoarele sarcini sunt îndeplinite în mod exclusiv de către grupurile de acțiune locală: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993"/>
              </w:tabs>
              <w:ind w:left="0" w:hanging="20"/>
              <w:jc w:val="both"/>
            </w:pPr>
            <w:r>
              <w:rPr>
                <w:rFonts w:ascii="Times New Roman" w:eastAsia="Times New Roman" w:hAnsi="Times New Roman"/>
                <w:bCs/>
                <w:iCs/>
                <w:sz w:val="24"/>
                <w:szCs w:val="24"/>
                <w:shd w:val="clear" w:color="auto" w:fill="FFFFFF"/>
                <w:lang w:val="ro-MD" w:eastAsia="ru-RU"/>
              </w:rPr>
              <w:t xml:space="preserve">(2) GAL îndeplinește următoarele </w:t>
            </w:r>
            <w:r>
              <w:rPr>
                <w:rFonts w:ascii="Times New Roman" w:eastAsia="Times New Roman" w:hAnsi="Times New Roman"/>
                <w:bCs/>
                <w:iCs/>
                <w:sz w:val="24"/>
                <w:szCs w:val="24"/>
                <w:shd w:val="clear" w:color="auto" w:fill="FFFFFF"/>
                <w:lang w:val="ro-MD" w:eastAsia="ru-RU"/>
              </w:rPr>
              <w:t>sarcini:</w:t>
            </w:r>
          </w:p>
          <w:p w:rsidR="002F15D7" w:rsidRDefault="002F15D7">
            <w:pPr>
              <w:pStyle w:val="Listparagraf"/>
              <w:tabs>
                <w:tab w:val="left" w:pos="993"/>
              </w:tabs>
              <w:ind w:left="0" w:hanging="20"/>
              <w:jc w:val="both"/>
              <w:rPr>
                <w:rFonts w:ascii="Times New Roman" w:eastAsia="Times New Roman" w:hAnsi="Times New Roman"/>
                <w:bCs/>
                <w:iCs/>
                <w:sz w:val="24"/>
                <w:szCs w:val="24"/>
                <w:shd w:val="clear" w:color="auto" w:fill="FFFFFF"/>
                <w:lang w:val="ro-MD" w:eastAsia="ru-RU"/>
              </w:rPr>
            </w:pPr>
          </w:p>
          <w:p w:rsidR="002F15D7" w:rsidRDefault="002F15D7">
            <w:pPr>
              <w:pStyle w:val="Listparagraf"/>
              <w:tabs>
                <w:tab w:val="left" w:pos="993"/>
              </w:tabs>
              <w:ind w:left="0" w:hanging="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993"/>
              </w:tabs>
              <w:ind w:left="0" w:hanging="20"/>
              <w:jc w:val="both"/>
            </w:pPr>
            <w:r>
              <w:rPr>
                <w:rFonts w:ascii="Times New Roman" w:hAnsi="Times New Roman"/>
                <w:sz w:val="24"/>
                <w:szCs w:val="24"/>
                <w:lang w:val="ro-MD"/>
              </w:rPr>
              <w:t>Textul „</w:t>
            </w:r>
            <w:r>
              <w:rPr>
                <w:rFonts w:ascii="Times New Roman" w:eastAsia="Arial Unicode MS" w:hAnsi="Times New Roman"/>
                <w:sz w:val="24"/>
                <w:szCs w:val="24"/>
                <w:lang w:val="ro-MD"/>
              </w:rPr>
              <w:t>Următoarele sarcini sunt îndeplinite în mod exclusiv de către grupurile de acțiune locală:” se substituie cu textul „</w:t>
            </w:r>
            <w:r>
              <w:rPr>
                <w:rFonts w:ascii="Times New Roman" w:eastAsia="Times New Roman" w:hAnsi="Times New Roman"/>
                <w:bCs/>
                <w:iCs/>
                <w:sz w:val="24"/>
                <w:szCs w:val="24"/>
                <w:shd w:val="clear" w:color="auto" w:fill="FFFFFF"/>
                <w:lang w:val="ro-MD" w:eastAsia="ru-RU"/>
              </w:rPr>
              <w:t>GAL îndeplinește următoarele sarcini:”</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(a) consolidarea capacității actorilor locali de a dezvolta și </w:t>
            </w:r>
            <w:r>
              <w:rPr>
                <w:rFonts w:ascii="Times New Roman" w:eastAsia="Arial Unicode MS" w:hAnsi="Times New Roman"/>
                <w:sz w:val="24"/>
                <w:szCs w:val="24"/>
                <w:lang w:val="ro-MD"/>
              </w:rPr>
              <w:t>implementa operațiuni;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8"/>
              </w:numPr>
              <w:tabs>
                <w:tab w:val="left" w:pos="250"/>
              </w:tabs>
              <w:suppressAutoHyphens w:val="0"/>
              <w:spacing w:after="0"/>
              <w:ind w:left="0" w:firstLine="0"/>
              <w:jc w:val="both"/>
            </w:pPr>
            <w:r>
              <w:rPr>
                <w:rFonts w:ascii="Times New Roman" w:eastAsia="Times New Roman" w:hAnsi="Times New Roman"/>
                <w:bCs/>
                <w:iCs/>
                <w:sz w:val="24"/>
                <w:szCs w:val="24"/>
                <w:shd w:val="clear" w:color="auto" w:fill="FFFFFF"/>
                <w:lang w:val="ro-MD" w:eastAsia="ru-RU"/>
              </w:rPr>
              <w:t>consolidează capacitățile actorilor locali de a dezvolta și implementa proiecte de dezvoltare rurală;</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pPr>
            <w:r>
              <w:rPr>
                <w:rFonts w:ascii="Times New Roman" w:hAnsi="Times New Roman"/>
                <w:sz w:val="24"/>
                <w:szCs w:val="24"/>
                <w:lang w:val="ro-MD"/>
              </w:rPr>
              <w:t>„</w:t>
            </w:r>
            <w:r>
              <w:rPr>
                <w:rFonts w:ascii="Times New Roman" w:eastAsia="Arial Unicode MS" w:hAnsi="Times New Roman"/>
                <w:sz w:val="24"/>
                <w:szCs w:val="24"/>
                <w:lang w:val="ro-MD"/>
              </w:rPr>
              <w:t>ș</w:t>
            </w:r>
            <w:r>
              <w:rPr>
                <w:rFonts w:ascii="Times New Roman" w:eastAsia="Arial Unicode MS" w:hAnsi="Times New Roman"/>
                <w:sz w:val="24"/>
                <w:szCs w:val="24"/>
                <w:lang w:val="ro-MD"/>
              </w:rPr>
              <w:t xml:space="preserve">i implementa operațiuni;”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se substituie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 textul </w:t>
            </w:r>
          </w:p>
          <w:p w:rsidR="002F15D7" w:rsidRDefault="006C2DA4">
            <w:pPr>
              <w:spacing w:after="0"/>
              <w:jc w:val="both"/>
            </w:pPr>
            <w:r>
              <w:rPr>
                <w:rFonts w:ascii="Times New Roman" w:eastAsia="Arial Unicode MS" w:hAnsi="Times New Roman"/>
                <w:sz w:val="24"/>
                <w:szCs w:val="24"/>
                <w:lang w:val="ro-MD"/>
              </w:rPr>
              <w:t>„și implementa proiecte de dezvoltare rurală;”.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(b) elaborarea unei proceduri și a unor criterii de selecție nediscriminatorii și transparente, care să evite conflictele de interese și să garanteze că niciun grup individual de interese nu controlează deciziile de selecție;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tabs>
                <w:tab w:val="left" w:pos="993"/>
              </w:tabs>
              <w:suppressAutoHyphens w:val="0"/>
              <w:spacing w:after="0"/>
              <w:jc w:val="both"/>
            </w:pPr>
            <w:r>
              <w:rPr>
                <w:rFonts w:ascii="Times New Roman" w:eastAsia="Times New Roman" w:hAnsi="Times New Roman"/>
                <w:bCs/>
                <w:iCs/>
                <w:sz w:val="24"/>
                <w:szCs w:val="24"/>
                <w:shd w:val="clear" w:color="auto" w:fill="FFFFFF"/>
                <w:lang w:val="ro-MD" w:eastAsia="ru-RU"/>
              </w:rPr>
              <w:t>c)</w:t>
            </w:r>
            <w:r>
              <w:rPr>
                <w:rFonts w:ascii="Times New Roman" w:eastAsia="Times New Roman" w:hAnsi="Times New Roman"/>
                <w:bCs/>
                <w:iCs/>
                <w:sz w:val="28"/>
                <w:szCs w:val="28"/>
                <w:shd w:val="clear" w:color="auto" w:fill="FFFFFF"/>
                <w:lang w:val="ro-MD" w:eastAsia="ru-RU"/>
              </w:rPr>
              <w:t xml:space="preserve"> </w:t>
            </w:r>
            <w:r>
              <w:rPr>
                <w:rFonts w:ascii="Times New Roman" w:eastAsia="Times New Roman" w:hAnsi="Times New Roman"/>
                <w:bCs/>
                <w:iCs/>
                <w:sz w:val="24"/>
                <w:szCs w:val="24"/>
                <w:shd w:val="clear" w:color="auto" w:fill="FFFFFF"/>
                <w:lang w:val="ro-MD" w:eastAsia="ru-RU"/>
              </w:rPr>
              <w:t>elaborează proceduri și cri</w:t>
            </w:r>
            <w:r>
              <w:rPr>
                <w:rFonts w:ascii="Times New Roman" w:eastAsia="Times New Roman" w:hAnsi="Times New Roman"/>
                <w:bCs/>
                <w:iCs/>
                <w:sz w:val="24"/>
                <w:szCs w:val="24"/>
                <w:shd w:val="clear" w:color="auto" w:fill="FFFFFF"/>
                <w:lang w:val="ro-MD" w:eastAsia="ru-RU"/>
              </w:rPr>
              <w:t xml:space="preserve">terii de selectare nediscriminatorii și transparente a proiectelor, care să evite conflictele de interese și să garanteze că niciun grup individual de interese nu controlează deciziile de selectare;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„unei proceduri și a unor criterii de</w:t>
            </w:r>
            <w:r>
              <w:rPr>
                <w:rFonts w:ascii="Times New Roman" w:hAnsi="Times New Roman"/>
                <w:sz w:val="24"/>
                <w:szCs w:val="24"/>
                <w:lang w:val="ro-MD"/>
              </w:rPr>
              <w:t xml:space="preserve"> selecție” 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”proceduri și criterii de selectare”.</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„deciziile de selecție” 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”deciziile de selectare”.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(c) pregătirea și publicarea cererilor de propuneri;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tabs>
                <w:tab w:val="left" w:pos="993"/>
              </w:tabs>
              <w:suppressAutoHyphens w:val="0"/>
              <w:spacing w:after="0"/>
              <w:jc w:val="both"/>
            </w:pPr>
            <w:r>
              <w:rPr>
                <w:rFonts w:ascii="Times New Roman" w:eastAsia="Times New Roman" w:hAnsi="Times New Roman"/>
                <w:bCs/>
                <w:iCs/>
                <w:sz w:val="24"/>
                <w:szCs w:val="24"/>
                <w:shd w:val="clear" w:color="auto" w:fill="FFFFFF"/>
                <w:lang w:val="ro-MD" w:eastAsia="ru-RU"/>
              </w:rPr>
              <w:t xml:space="preserve">d) pregătește și publică apelurile de </w:t>
            </w:r>
            <w:r>
              <w:rPr>
                <w:rFonts w:ascii="Times New Roman" w:eastAsia="Times New Roman" w:hAnsi="Times New Roman"/>
                <w:bCs/>
                <w:iCs/>
                <w:sz w:val="24"/>
                <w:szCs w:val="24"/>
                <w:shd w:val="clear" w:color="auto" w:fill="FFFFFF"/>
                <w:lang w:val="ro-MD" w:eastAsia="ru-RU"/>
              </w:rPr>
              <w:t>propuneri de proiecte de dezvoltare a zonei rurale;</w:t>
            </w:r>
          </w:p>
          <w:p w:rsidR="002F15D7" w:rsidRDefault="002F15D7">
            <w:pPr>
              <w:tabs>
                <w:tab w:val="left" w:pos="993"/>
              </w:tabs>
              <w:suppressAutoHyphens w:val="0"/>
              <w:spacing w:after="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Textul</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„cererilor de propuneri”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„apelurilor de propuneri de proiecte de dezvoltare a zonei rurale”.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(d) selectarea operațiunilor, stabilirea cuantumului sprijinului</w:t>
            </w:r>
            <w:r>
              <w:rPr>
                <w:rFonts w:ascii="Times New Roman" w:eastAsia="Arial Unicode MS" w:hAnsi="Times New Roman"/>
                <w:sz w:val="24"/>
                <w:szCs w:val="24"/>
                <w:lang w:val="ro-MD"/>
              </w:rPr>
              <w:t xml:space="preserve"> și prezentarea propunerilor către organismul responsabil pentru verificarea finală a eligibilității înainte de aprobare;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tabs>
                <w:tab w:val="left" w:pos="250"/>
              </w:tabs>
              <w:spacing w:after="0"/>
              <w:jc w:val="both"/>
            </w:pPr>
            <w:r>
              <w:rPr>
                <w:rFonts w:ascii="Times New Roman" w:hAnsi="Times New Roman"/>
                <w:bCs/>
                <w:iCs/>
                <w:sz w:val="24"/>
                <w:szCs w:val="24"/>
                <w:lang w:val="ro-MD"/>
              </w:rPr>
              <w:t>e) selectează operațiunile, stabilește cuantumul sprijinului și prezentă propuneri către Agenția de Intervenție și Plăți pentru Agricu</w:t>
            </w:r>
            <w:r>
              <w:rPr>
                <w:rFonts w:ascii="Times New Roman" w:hAnsi="Times New Roman"/>
                <w:bCs/>
                <w:iCs/>
                <w:sz w:val="24"/>
                <w:szCs w:val="24"/>
                <w:lang w:val="ro-MD"/>
              </w:rPr>
              <w:t>ltură pentru finanțare din Fondul național de dezvoltare a agriculturii și mediului rural;</w:t>
            </w:r>
          </w:p>
          <w:p w:rsidR="002F15D7" w:rsidRDefault="002F15D7">
            <w:pPr>
              <w:tabs>
                <w:tab w:val="left" w:pos="250"/>
              </w:tabs>
              <w:spacing w:after="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Parțial compatibil </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tabs>
                <w:tab w:val="left" w:pos="250"/>
              </w:tabs>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tabs>
                <w:tab w:val="left" w:pos="250"/>
              </w:tabs>
              <w:spacing w:after="0"/>
              <w:jc w:val="both"/>
            </w:pPr>
            <w:r>
              <w:rPr>
                <w:rFonts w:ascii="Times New Roman" w:hAnsi="Times New Roman"/>
                <w:sz w:val="24"/>
                <w:szCs w:val="24"/>
                <w:lang w:val="ro-MD"/>
              </w:rPr>
              <w:t>„</w:t>
            </w:r>
            <w:r>
              <w:rPr>
                <w:rFonts w:ascii="Times New Roman" w:eastAsia="Arial Unicode MS" w:hAnsi="Times New Roman"/>
                <w:sz w:val="24"/>
                <w:szCs w:val="24"/>
                <w:lang w:val="ro-MD"/>
              </w:rPr>
              <w:t xml:space="preserve">selectarea operațiunilor, stabilirea cuantumului sprijinului și prezentarea propunerilor către organismul responsabil pentru </w:t>
            </w:r>
            <w:r>
              <w:rPr>
                <w:rFonts w:ascii="Times New Roman" w:eastAsia="Arial Unicode MS" w:hAnsi="Times New Roman"/>
                <w:sz w:val="24"/>
                <w:szCs w:val="24"/>
                <w:lang w:val="ro-MD"/>
              </w:rPr>
              <w:t>verificarea finală a eligibilității înainte de aprobare;”</w:t>
            </w:r>
          </w:p>
          <w:p w:rsidR="002F15D7" w:rsidRDefault="006C2DA4">
            <w:pPr>
              <w:tabs>
                <w:tab w:val="left" w:pos="250"/>
              </w:tabs>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se substituie </w:t>
            </w:r>
          </w:p>
          <w:p w:rsidR="002F15D7" w:rsidRDefault="006C2DA4">
            <w:pPr>
              <w:tabs>
                <w:tab w:val="left" w:pos="250"/>
              </w:tabs>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 textul </w:t>
            </w:r>
          </w:p>
          <w:p w:rsidR="002F15D7" w:rsidRDefault="006C2DA4">
            <w:pPr>
              <w:tabs>
                <w:tab w:val="left" w:pos="250"/>
              </w:tabs>
              <w:spacing w:after="0"/>
              <w:jc w:val="both"/>
            </w:pPr>
            <w:r>
              <w:rPr>
                <w:rFonts w:ascii="Times New Roman" w:eastAsia="Arial Unicode MS" w:hAnsi="Times New Roman"/>
                <w:sz w:val="24"/>
                <w:szCs w:val="24"/>
                <w:lang w:val="ro-MD"/>
              </w:rPr>
              <w:t xml:space="preserve">„e)selectează operațiunile, stabilește cuantumul sprijinului și prezentă propuneri către Agenția de Intervenție și Plăți pentru Agricultură pentru finanțare din Fondul </w:t>
            </w:r>
            <w:r>
              <w:rPr>
                <w:rFonts w:ascii="Times New Roman" w:eastAsia="Arial Unicode MS" w:hAnsi="Times New Roman"/>
                <w:sz w:val="24"/>
                <w:szCs w:val="24"/>
                <w:lang w:val="ro-MD"/>
              </w:rPr>
              <w:t>național de dezvoltare a agriculturii și mediului rural;</w:t>
            </w:r>
            <w:r>
              <w:rPr>
                <w:rFonts w:ascii="Times New Roman" w:hAnsi="Times New Roman"/>
                <w:bCs/>
                <w:sz w:val="24"/>
                <w:szCs w:val="24"/>
                <w:lang w:val="ro-MD"/>
              </w:rPr>
              <w:t>”.</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(e) monitorizarea progreselor înregistrate în direcția atingerii obiectivelor strategiei;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tabs>
                <w:tab w:val="left" w:pos="160"/>
                <w:tab w:val="left" w:pos="250"/>
              </w:tabs>
              <w:spacing w:after="0"/>
              <w:ind w:left="-20"/>
            </w:pPr>
            <w:r>
              <w:rPr>
                <w:rFonts w:ascii="Times New Roman" w:hAnsi="Times New Roman"/>
                <w:bCs/>
                <w:iCs/>
                <w:sz w:val="24"/>
                <w:szCs w:val="24"/>
                <w:lang w:val="ro-MD"/>
              </w:rPr>
              <w:t>f) monitorizează indicatorii obiectivelor strategiei de dezvoltare locală;</w:t>
            </w:r>
          </w:p>
          <w:p w:rsidR="002F15D7" w:rsidRDefault="002F15D7">
            <w:pPr>
              <w:tabs>
                <w:tab w:val="left" w:pos="160"/>
                <w:tab w:val="left" w:pos="250"/>
              </w:tabs>
              <w:spacing w:after="0"/>
              <w:ind w:left="-2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pPr>
            <w:r>
              <w:rPr>
                <w:rFonts w:ascii="Times New Roman" w:hAnsi="Times New Roman"/>
                <w:sz w:val="24"/>
                <w:szCs w:val="24"/>
                <w:lang w:val="ro-MD"/>
              </w:rPr>
              <w:t>Textul „</w:t>
            </w:r>
            <w:r>
              <w:rPr>
                <w:rFonts w:ascii="Times New Roman" w:eastAsia="Arial Unicode MS" w:hAnsi="Times New Roman"/>
                <w:sz w:val="24"/>
                <w:szCs w:val="24"/>
                <w:lang w:val="ro-MD"/>
              </w:rPr>
              <w:t>monitorizarea progreselor înregistrate în direcția atingerii obiectivelor strategiei;”</w:t>
            </w:r>
          </w:p>
          <w:p w:rsidR="002F15D7" w:rsidRDefault="006C2DA4">
            <w:pPr>
              <w:spacing w:after="0"/>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tabs>
                <w:tab w:val="left" w:pos="160"/>
                <w:tab w:val="left" w:pos="250"/>
              </w:tabs>
              <w:spacing w:after="0"/>
              <w:ind w:left="-20"/>
            </w:pPr>
            <w:r>
              <w:rPr>
                <w:rFonts w:ascii="Times New Roman" w:hAnsi="Times New Roman"/>
                <w:sz w:val="24"/>
                <w:szCs w:val="24"/>
                <w:lang w:val="ro-MD"/>
              </w:rPr>
              <w:t>„</w:t>
            </w:r>
            <w:r>
              <w:rPr>
                <w:rFonts w:ascii="Times New Roman" w:hAnsi="Times New Roman"/>
                <w:bCs/>
                <w:iCs/>
                <w:sz w:val="24"/>
                <w:szCs w:val="24"/>
                <w:lang w:val="ro-MD"/>
              </w:rPr>
              <w:t>monitorizează indicatorii obiectivelor strategiei de dezvoltare locală;”.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(f) evaluarea implementării strategiei.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tabs>
                <w:tab w:val="left" w:pos="993"/>
              </w:tabs>
              <w:suppressAutoHyphens w:val="0"/>
              <w:spacing w:after="0"/>
              <w:jc w:val="both"/>
            </w:pPr>
            <w:r>
              <w:rPr>
                <w:rFonts w:ascii="Times New Roman" w:hAnsi="Times New Roman"/>
                <w:bCs/>
                <w:iCs/>
                <w:sz w:val="24"/>
                <w:szCs w:val="24"/>
                <w:lang w:val="ro-MD"/>
              </w:rPr>
              <w:t xml:space="preserve">g) </w:t>
            </w:r>
            <w:r>
              <w:rPr>
                <w:rFonts w:ascii="Times New Roman" w:eastAsia="Times New Roman" w:hAnsi="Times New Roman"/>
                <w:bCs/>
                <w:iCs/>
                <w:sz w:val="24"/>
                <w:szCs w:val="24"/>
                <w:shd w:val="clear" w:color="auto" w:fill="FFFFFF"/>
                <w:lang w:val="ro-MD" w:eastAsia="ru-RU"/>
              </w:rPr>
              <w:t xml:space="preserve">evaluează și raportează </w:t>
            </w:r>
            <w:r>
              <w:rPr>
                <w:rFonts w:ascii="Times New Roman" w:eastAsia="Times New Roman" w:hAnsi="Times New Roman"/>
                <w:bCs/>
                <w:iCs/>
                <w:sz w:val="24"/>
                <w:szCs w:val="24"/>
                <w:shd w:val="clear" w:color="auto" w:fill="FFFFFF"/>
                <w:lang w:val="ro-MD" w:eastAsia="ru-RU"/>
              </w:rPr>
              <w:t>implementarea strategiei de dezvoltare locală și a activității GAL-ului, organului central de specialitate.</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„evaluarea implementării strategiei”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w:t>
            </w:r>
            <w:r>
              <w:rPr>
                <w:rFonts w:ascii="Times New Roman" w:eastAsia="Times New Roman" w:hAnsi="Times New Roman"/>
                <w:bCs/>
                <w:iCs/>
                <w:sz w:val="24"/>
                <w:szCs w:val="24"/>
                <w:shd w:val="clear" w:color="auto" w:fill="FFFFFF"/>
                <w:lang w:val="ro-MD" w:eastAsia="ru-RU"/>
              </w:rPr>
              <w:t xml:space="preserve">evaluează și raportează implementarea strategiei de dezvoltare </w:t>
            </w:r>
            <w:r>
              <w:rPr>
                <w:rFonts w:ascii="Times New Roman" w:eastAsia="Times New Roman" w:hAnsi="Times New Roman"/>
                <w:bCs/>
                <w:iCs/>
                <w:sz w:val="24"/>
                <w:szCs w:val="24"/>
                <w:shd w:val="clear" w:color="auto" w:fill="FFFFFF"/>
                <w:lang w:val="ro-MD" w:eastAsia="ru-RU"/>
              </w:rPr>
              <w:t>locală și a activității GAL-ului, organului central de specialitate.”.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(4)  Atunci când grupurile de acțiune locală îndeplinesc sarcini care nu sunt prevăzute la alineatul (3) și care intră în responsabilitatea autorității de management sau a agenției de </w:t>
            </w:r>
            <w:r>
              <w:rPr>
                <w:rFonts w:ascii="Times New Roman" w:eastAsia="Arial Unicode MS" w:hAnsi="Times New Roman"/>
                <w:sz w:val="24"/>
                <w:szCs w:val="24"/>
                <w:lang w:val="ro-MD"/>
              </w:rPr>
              <w:t>plăți în cazul în care FEADR este selectat ca fond principal, respectivele grupuri de acțiune locală sunt identificate de autoritatea de management drept organisme intermediare în conformitate cu normele specifice fiecărui fond.</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sz w:val="24"/>
                <w:szCs w:val="24"/>
                <w:lang w:val="ro-MD"/>
              </w:rPr>
            </w:pPr>
            <w:r>
              <w:rPr>
                <w:rFonts w:ascii="Times New Roman" w:hAnsi="Times New Roman"/>
                <w:sz w:val="24"/>
                <w:szCs w:val="24"/>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jc w:val="center"/>
              <w:rPr>
                <w:rFonts w:ascii="Times New Roman" w:hAnsi="Times New Roman"/>
                <w:b/>
                <w:bCs/>
                <w:sz w:val="24"/>
                <w:szCs w:val="24"/>
                <w:lang w:val="ro-MD"/>
              </w:rPr>
            </w:pPr>
            <w:r>
              <w:rPr>
                <w:rFonts w:ascii="Times New Roman" w:hAnsi="Times New Roman"/>
                <w:b/>
                <w:bCs/>
                <w:sz w:val="24"/>
                <w:szCs w:val="24"/>
                <w:lang w:val="ro-MD"/>
              </w:rPr>
              <w:t>Prevederi UE neaplicabil</w:t>
            </w:r>
            <w:r>
              <w:rPr>
                <w:rFonts w:ascii="Times New Roman" w:hAnsi="Times New Roman"/>
                <w:b/>
                <w:bCs/>
                <w:sz w:val="24"/>
                <w:szCs w:val="24"/>
                <w:lang w:val="ro-MD"/>
              </w:rPr>
              <w:t>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(5)  Grupul de acțiune locală poate avea statut de beneficiar și poate implementa operațiuni în conformitate cu strategia, c</w:t>
            </w:r>
            <w:r>
              <w:rPr>
                <w:rFonts w:ascii="Times New Roman" w:eastAsia="Arial Unicode MS" w:hAnsi="Times New Roman"/>
                <w:sz w:val="24"/>
                <w:szCs w:val="24"/>
                <w:lang w:val="ro-MD"/>
              </w:rPr>
              <w:t>u condiția ca grupul de acțiune locală să se asigure că principiul separării funcțiilor este respectat.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sz w:val="24"/>
                <w:szCs w:val="24"/>
                <w:lang w:val="ro-MD"/>
              </w:rPr>
            </w:pPr>
            <w:r>
              <w:rPr>
                <w:rFonts w:ascii="Times New Roman" w:hAnsi="Times New Roman"/>
                <w:sz w:val="24"/>
                <w:szCs w:val="24"/>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obligatoriu în toate elementele </w:t>
            </w:r>
            <w:r>
              <w:rPr>
                <w:rFonts w:ascii="Times New Roman" w:hAnsi="Times New Roman"/>
                <w:sz w:val="24"/>
                <w:szCs w:val="24"/>
                <w:lang w:val="ro-MD"/>
              </w:rPr>
              <w:t>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ti-art"/>
              <w:shd w:val="clear" w:color="auto" w:fill="FFFFFF"/>
              <w:spacing w:before="0" w:after="0"/>
              <w:jc w:val="center"/>
              <w:rPr>
                <w:i/>
                <w:iCs/>
                <w:lang w:val="ro-MD"/>
              </w:rPr>
            </w:pPr>
            <w:r>
              <w:rPr>
                <w:i/>
                <w:iCs/>
                <w:lang w:val="ro-MD"/>
              </w:rPr>
              <w:t>Articolul 34</w:t>
            </w:r>
          </w:p>
          <w:p w:rsidR="002F15D7" w:rsidRDefault="006C2DA4">
            <w:pPr>
              <w:pStyle w:val="oj-sti-art"/>
              <w:shd w:val="clear" w:color="auto" w:fill="FFFFFF"/>
              <w:spacing w:before="0" w:after="0"/>
              <w:jc w:val="center"/>
            </w:pPr>
            <w:r>
              <w:rPr>
                <w:b/>
                <w:bCs/>
                <w:lang w:val="ro-MD"/>
              </w:rPr>
              <w:t>Sprijin din fondurile pentru dezvoltarea locală plasată sub responsabilitatea comunității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900"/>
                <w:tab w:val="left" w:pos="993"/>
                <w:tab w:val="left" w:pos="1170"/>
              </w:tabs>
              <w:ind w:left="0"/>
              <w:jc w:val="center"/>
              <w:rPr>
                <w:rFonts w:ascii="Times New Roman" w:eastAsia="Times New Roman" w:hAnsi="Times New Roman"/>
                <w:b/>
                <w:bCs/>
                <w:sz w:val="24"/>
                <w:szCs w:val="24"/>
                <w:shd w:val="clear" w:color="auto" w:fill="FFFFFF"/>
                <w:lang w:val="ro-MD" w:eastAsia="ru-RU"/>
              </w:rPr>
            </w:pPr>
          </w:p>
          <w:p w:rsidR="002F15D7" w:rsidRDefault="006C2DA4">
            <w:pPr>
              <w:pStyle w:val="Listparagraf"/>
              <w:tabs>
                <w:tab w:val="left" w:pos="900"/>
                <w:tab w:val="left" w:pos="993"/>
                <w:tab w:val="left" w:pos="1170"/>
              </w:tabs>
              <w:ind w:left="0"/>
              <w:jc w:val="center"/>
            </w:pPr>
            <w:r>
              <w:rPr>
                <w:rFonts w:ascii="Times New Roman" w:eastAsia="Times New Roman" w:hAnsi="Times New Roman"/>
                <w:b/>
                <w:bCs/>
                <w:sz w:val="24"/>
                <w:szCs w:val="24"/>
                <w:shd w:val="clear" w:color="auto" w:fill="FFFFFF"/>
                <w:lang w:val="ro-MD" w:eastAsia="ru-RU"/>
              </w:rPr>
              <w:t>Articolul 31</w:t>
            </w:r>
            <w:r>
              <w:rPr>
                <w:rFonts w:ascii="Times New Roman" w:eastAsia="Times New Roman" w:hAnsi="Times New Roman"/>
                <w:b/>
                <w:bCs/>
                <w:sz w:val="24"/>
                <w:szCs w:val="24"/>
                <w:shd w:val="clear" w:color="auto" w:fill="FFFFFF"/>
                <w:vertAlign w:val="superscript"/>
                <w:lang w:val="ro-MD" w:eastAsia="ru-RU"/>
              </w:rPr>
              <w:t>1</w:t>
            </w:r>
            <w:r>
              <w:rPr>
                <w:rFonts w:ascii="Times New Roman" w:eastAsia="Times New Roman" w:hAnsi="Times New Roman"/>
                <w:b/>
                <w:bCs/>
                <w:sz w:val="24"/>
                <w:szCs w:val="24"/>
                <w:shd w:val="clear" w:color="auto" w:fill="FFFFFF"/>
                <w:lang w:val="ro-MD" w:eastAsia="ru-RU"/>
              </w:rPr>
              <w:t>.</w:t>
            </w:r>
          </w:p>
          <w:p w:rsidR="002F15D7" w:rsidRDefault="006C2DA4">
            <w:pPr>
              <w:pStyle w:val="Listparagraf"/>
              <w:tabs>
                <w:tab w:val="left" w:pos="900"/>
                <w:tab w:val="left" w:pos="993"/>
                <w:tab w:val="left" w:pos="1170"/>
              </w:tabs>
              <w:ind w:left="0"/>
              <w:jc w:val="center"/>
            </w:pPr>
            <w:r>
              <w:rPr>
                <w:rFonts w:ascii="Times New Roman" w:eastAsia="Times New Roman" w:hAnsi="Times New Roman"/>
                <w:sz w:val="24"/>
                <w:szCs w:val="24"/>
                <w:shd w:val="clear" w:color="auto" w:fill="FFFFFF"/>
                <w:lang w:val="ro-MD" w:eastAsia="ru-RU"/>
              </w:rPr>
              <w:t>Sprijin financiar pentru dezvoltarea locală plasată sub responsabilitatea comunității.</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 parțial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„Sprijin din </w:t>
            </w:r>
            <w:r>
              <w:rPr>
                <w:rFonts w:ascii="Times New Roman" w:hAnsi="Times New Roman"/>
                <w:sz w:val="24"/>
                <w:szCs w:val="24"/>
                <w:lang w:val="ro-MD"/>
              </w:rPr>
              <w:t xml:space="preserve">fondurile pentru dezvoltarea locală plasată sub responsabilitatea comunității”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„Sprijin financiar pentru dezvoltarea locală plasată sub responsabilitatea comunității”.</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Statele membre se asigură că există sprijin din </w:t>
            </w:r>
            <w:r>
              <w:rPr>
                <w:rFonts w:ascii="Times New Roman" w:eastAsia="Arial Unicode MS" w:hAnsi="Times New Roman"/>
                <w:sz w:val="24"/>
                <w:szCs w:val="24"/>
                <w:lang w:val="ro-MD"/>
              </w:rPr>
              <w:t>fondurile pentru dezvoltarea locală plasată sub responsabilitatea comunității pentru:</w:t>
            </w:r>
          </w:p>
          <w:p w:rsidR="002F15D7" w:rsidRDefault="006C2DA4">
            <w:pPr>
              <w:shd w:val="clear" w:color="auto" w:fill="FFFFFF"/>
              <w:spacing w:after="0"/>
              <w:jc w:val="both"/>
            </w:pPr>
            <w:r>
              <w:rPr>
                <w:rFonts w:ascii="Times New Roman" w:eastAsia="Arial Unicode MS" w:hAnsi="Times New Roman"/>
                <w:sz w:val="24"/>
                <w:szCs w:val="24"/>
                <w:lang w:val="ro-MD"/>
              </w:rPr>
              <w:t>(a) consolidarea capacităților și acțiuni pregătitoare în sprijinul elaborării și al viitoarei implementări a strategiei;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9"/>
              </w:numPr>
              <w:tabs>
                <w:tab w:val="left" w:pos="340"/>
                <w:tab w:val="left" w:pos="993"/>
                <w:tab w:val="left" w:pos="1080"/>
                <w:tab w:val="left" w:pos="1170"/>
                <w:tab w:val="left" w:pos="1260"/>
              </w:tabs>
              <w:suppressAutoHyphens w:val="0"/>
              <w:spacing w:after="0"/>
              <w:ind w:left="0" w:hanging="20"/>
              <w:jc w:val="both"/>
              <w:rPr>
                <w:rFonts w:ascii="Times New Roman" w:eastAsia="Times New Roman" w:hAnsi="Times New Roman"/>
                <w:sz w:val="24"/>
                <w:szCs w:val="24"/>
                <w:shd w:val="clear" w:color="auto" w:fill="FFFFFF"/>
                <w:lang w:val="ro-MD" w:eastAsia="ru-RU"/>
              </w:rPr>
            </w:pPr>
            <w:r>
              <w:rPr>
                <w:rFonts w:ascii="Times New Roman" w:eastAsia="Times New Roman" w:hAnsi="Times New Roman"/>
                <w:sz w:val="24"/>
                <w:szCs w:val="24"/>
                <w:shd w:val="clear" w:color="auto" w:fill="FFFFFF"/>
                <w:lang w:val="ro-MD" w:eastAsia="ru-RU"/>
              </w:rPr>
              <w:t>Organul central de specialitate se asigură că sp</w:t>
            </w:r>
            <w:r>
              <w:rPr>
                <w:rFonts w:ascii="Times New Roman" w:eastAsia="Times New Roman" w:hAnsi="Times New Roman"/>
                <w:sz w:val="24"/>
                <w:szCs w:val="24"/>
                <w:shd w:val="clear" w:color="auto" w:fill="FFFFFF"/>
                <w:lang w:val="ro-MD" w:eastAsia="ru-RU"/>
              </w:rPr>
              <w:t xml:space="preserve">rijinul financiar din Fondul național de dezvoltare a agriculturii </w:t>
            </w:r>
            <w:proofErr w:type="spellStart"/>
            <w:r>
              <w:rPr>
                <w:rFonts w:ascii="Times New Roman" w:eastAsia="Times New Roman" w:hAnsi="Times New Roman"/>
                <w:sz w:val="24"/>
                <w:szCs w:val="24"/>
                <w:shd w:val="clear" w:color="auto" w:fill="FFFFFF"/>
                <w:lang w:val="ro-MD" w:eastAsia="ru-RU"/>
              </w:rPr>
              <w:t>şi</w:t>
            </w:r>
            <w:proofErr w:type="spellEnd"/>
            <w:r>
              <w:rPr>
                <w:rFonts w:ascii="Times New Roman" w:eastAsia="Times New Roman" w:hAnsi="Times New Roman"/>
                <w:sz w:val="24"/>
                <w:szCs w:val="24"/>
                <w:shd w:val="clear" w:color="auto" w:fill="FFFFFF"/>
                <w:lang w:val="ro-MD" w:eastAsia="ru-RU"/>
              </w:rPr>
              <w:t xml:space="preserve"> mediului rural pentru dezvoltarea locală plasată sub responsabilitatea comunității se acordă pentru:</w:t>
            </w:r>
          </w:p>
          <w:p w:rsidR="002F15D7" w:rsidRDefault="006C2DA4">
            <w:pPr>
              <w:pStyle w:val="Listparagraf"/>
              <w:numPr>
                <w:ilvl w:val="0"/>
                <w:numId w:val="10"/>
              </w:numPr>
              <w:tabs>
                <w:tab w:val="left" w:pos="250"/>
                <w:tab w:val="left" w:pos="1260"/>
              </w:tabs>
              <w:suppressAutoHyphens w:val="0"/>
              <w:spacing w:after="0"/>
              <w:ind w:left="0" w:hanging="20"/>
              <w:jc w:val="both"/>
            </w:pPr>
            <w:r>
              <w:rPr>
                <w:rFonts w:ascii="Times New Roman" w:eastAsia="Times New Roman" w:hAnsi="Times New Roman"/>
                <w:sz w:val="24"/>
                <w:szCs w:val="24"/>
                <w:shd w:val="clear" w:color="auto" w:fill="FFFFFF"/>
                <w:lang w:val="ro-MD" w:eastAsia="ru-RU"/>
              </w:rPr>
              <w:t>consolidarea capacităților și acțiuni pregătitoare în sprijinul elaborării și impleme</w:t>
            </w:r>
            <w:r>
              <w:rPr>
                <w:rFonts w:ascii="Times New Roman" w:eastAsia="Times New Roman" w:hAnsi="Times New Roman"/>
                <w:sz w:val="24"/>
                <w:szCs w:val="24"/>
                <w:shd w:val="clear" w:color="auto" w:fill="FFFFFF"/>
                <w:lang w:val="ro-MD" w:eastAsia="ru-RU"/>
              </w:rPr>
              <w:t>ntării strategiei de dezvoltare locală;</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Textul</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„Statul membru”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se substituie</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cu textul „organul central de specialitate”;</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„există sprijin din fondurile pentru dezvoltarea locală plasată sub responsabilitatea comunității pentru”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w:t>
            </w:r>
            <w:r>
              <w:rPr>
                <w:rFonts w:ascii="Times New Roman" w:hAnsi="Times New Roman"/>
                <w:sz w:val="24"/>
                <w:szCs w:val="24"/>
                <w:lang w:val="ro-MD"/>
              </w:rPr>
              <w:t xml:space="preserve">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 xml:space="preserve">„sprijinul financiar din Fondul național de dezvoltare a agriculturii și mediului rural pentru dezvoltarea locală plasată sub responsabilitatea comunității, se acordă pentru ”. </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(b) implementarea operațiunilor selectate în cadrul </w:t>
            </w:r>
            <w:r>
              <w:rPr>
                <w:rFonts w:ascii="Times New Roman" w:eastAsia="Arial Unicode MS" w:hAnsi="Times New Roman"/>
                <w:sz w:val="24"/>
                <w:szCs w:val="24"/>
                <w:lang w:val="ro-MD"/>
              </w:rPr>
              <w:t>strategiei, incluzând activitățile de cooperare și pregătirea acestora;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10"/>
              </w:numPr>
              <w:tabs>
                <w:tab w:val="left" w:pos="250"/>
              </w:tabs>
              <w:spacing w:after="0"/>
              <w:ind w:left="-20" w:firstLine="0"/>
              <w:jc w:val="both"/>
              <w:rPr>
                <w:rFonts w:ascii="Times New Roman" w:hAnsi="Times New Roman"/>
                <w:sz w:val="24"/>
                <w:szCs w:val="24"/>
                <w:lang w:val="ro-MD"/>
              </w:rPr>
            </w:pPr>
            <w:r>
              <w:rPr>
                <w:rFonts w:ascii="Times New Roman" w:hAnsi="Times New Roman"/>
                <w:sz w:val="24"/>
                <w:szCs w:val="24"/>
                <w:lang w:val="ro-MD"/>
              </w:rPr>
              <w:t>implementarea operațiunilor selectate în cadrul strategiei de dezvoltare locală, incluzând activitățile de cooperare și pregătirea acestora;</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Cuvântul „strategiei” se substi</w:t>
            </w:r>
            <w:r>
              <w:rPr>
                <w:rFonts w:ascii="Times New Roman" w:hAnsi="Times New Roman"/>
                <w:sz w:val="24"/>
                <w:szCs w:val="24"/>
                <w:lang w:val="ro-MD"/>
              </w:rPr>
              <w:t>tuie cu textul „strategiei de dezvoltare locală”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(c) gestionarea, monitorizarea și evaluarea strategiei, precum și animarea acesteia, inclusiv facilitarea schimburilor între părțile interesate;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10"/>
              </w:numPr>
              <w:tabs>
                <w:tab w:val="left" w:pos="250"/>
              </w:tabs>
              <w:spacing w:after="0"/>
              <w:ind w:left="-20" w:firstLine="0"/>
              <w:jc w:val="both"/>
              <w:rPr>
                <w:rFonts w:ascii="Times New Roman" w:hAnsi="Times New Roman"/>
                <w:sz w:val="24"/>
                <w:szCs w:val="24"/>
                <w:lang w:val="ro-MD"/>
              </w:rPr>
            </w:pPr>
            <w:r>
              <w:rPr>
                <w:rFonts w:ascii="Times New Roman" w:hAnsi="Times New Roman"/>
                <w:sz w:val="24"/>
                <w:szCs w:val="24"/>
                <w:lang w:val="ro-MD"/>
              </w:rPr>
              <w:t xml:space="preserve">gestionarea, monitorizarea și evaluarea strategiei de </w:t>
            </w:r>
            <w:r>
              <w:rPr>
                <w:rFonts w:ascii="Times New Roman" w:hAnsi="Times New Roman"/>
                <w:sz w:val="24"/>
                <w:szCs w:val="24"/>
                <w:lang w:val="ro-MD"/>
              </w:rPr>
              <w:t>dezvoltare locală, precum și animarea acesteia, inclusiv facilitarea schimburilor între părțile interesate.</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rPr>
                <w:rFonts w:ascii="Times New Roman" w:hAnsi="Times New Roman"/>
                <w:sz w:val="24"/>
                <w:szCs w:val="24"/>
                <w:lang w:val="ro-MD"/>
              </w:rPr>
            </w:pPr>
            <w:r>
              <w:rPr>
                <w:rFonts w:ascii="Times New Roman" w:hAnsi="Times New Roman"/>
                <w:sz w:val="24"/>
                <w:szCs w:val="24"/>
                <w:lang w:val="ro-MD"/>
              </w:rPr>
              <w:t>Cuvântul „strategiei” se substituie cu textul „strategiei de dezvoltare locală”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pacing w:after="0"/>
              <w:jc w:val="both"/>
            </w:pPr>
            <w:r>
              <w:rPr>
                <w:rFonts w:ascii="Times New Roman" w:eastAsia="Arial Unicode MS" w:hAnsi="Times New Roman"/>
                <w:sz w:val="24"/>
                <w:szCs w:val="24"/>
                <w:lang w:val="ro-MD"/>
              </w:rPr>
              <w:t xml:space="preserve">(2)  Sprijinul menționat la alineatul (1) litera (a) </w:t>
            </w:r>
            <w:r>
              <w:rPr>
                <w:rFonts w:ascii="Times New Roman" w:eastAsia="Arial Unicode MS" w:hAnsi="Times New Roman"/>
                <w:sz w:val="24"/>
                <w:szCs w:val="24"/>
                <w:lang w:val="ro-MD"/>
              </w:rPr>
              <w:t>este eligibil indiferent dacă strategia este selectată ulterior pentru finanțare.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0"/>
              <w:jc w:val="center"/>
              <w:rPr>
                <w:rFonts w:ascii="Times New Roman" w:hAnsi="Times New Roman"/>
                <w:sz w:val="24"/>
                <w:szCs w:val="24"/>
                <w:lang w:val="ro-MD"/>
              </w:rPr>
            </w:pPr>
            <w:r>
              <w:rPr>
                <w:rFonts w:ascii="Times New Roman" w:hAnsi="Times New Roman"/>
                <w:sz w:val="24"/>
                <w:szCs w:val="24"/>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Sprijinul menți</w:t>
            </w:r>
            <w:r>
              <w:rPr>
                <w:rFonts w:ascii="Times New Roman" w:eastAsia="Arial Unicode MS" w:hAnsi="Times New Roman"/>
                <w:sz w:val="24"/>
                <w:szCs w:val="24"/>
                <w:lang w:val="ro-MD"/>
              </w:rPr>
              <w:t>onat la alineatul (1) litera (c) nu depășește 25 % din contribuția publică totală la strategie.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numPr>
                <w:ilvl w:val="0"/>
                <w:numId w:val="9"/>
              </w:numPr>
              <w:tabs>
                <w:tab w:val="left" w:pos="250"/>
                <w:tab w:val="left" w:pos="340"/>
              </w:tabs>
              <w:spacing w:after="0"/>
              <w:ind w:left="-20" w:firstLine="0"/>
              <w:jc w:val="both"/>
              <w:rPr>
                <w:rFonts w:ascii="Times New Roman" w:hAnsi="Times New Roman"/>
                <w:sz w:val="24"/>
                <w:szCs w:val="24"/>
                <w:lang w:val="ro-MD"/>
              </w:rPr>
            </w:pPr>
            <w:r>
              <w:rPr>
                <w:rFonts w:ascii="Times New Roman" w:hAnsi="Times New Roman"/>
                <w:sz w:val="24"/>
                <w:szCs w:val="24"/>
                <w:lang w:val="ro-MD"/>
              </w:rPr>
              <w:t>Sprijinul menționat la alin. (1) lit. c) nu depășește 20 % din contribuția publică totală pentru implementarea strategiei de dezvoltare locală.”.</w:t>
            </w:r>
          </w:p>
          <w:p w:rsidR="002F15D7" w:rsidRDefault="002F15D7">
            <w:pPr>
              <w:spacing w:after="0"/>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Parțial</w:t>
            </w:r>
          </w:p>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compatibil</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Textul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„25 % din contribuția publică totală la strategie”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se substituie </w:t>
            </w:r>
          </w:p>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cu textul </w:t>
            </w:r>
          </w:p>
          <w:p w:rsidR="002F15D7" w:rsidRDefault="006C2DA4">
            <w:pPr>
              <w:spacing w:after="0"/>
              <w:jc w:val="both"/>
            </w:pPr>
            <w:r>
              <w:rPr>
                <w:rFonts w:ascii="Times New Roman" w:hAnsi="Times New Roman"/>
                <w:sz w:val="24"/>
                <w:szCs w:val="24"/>
                <w:lang w:val="ro-MD"/>
              </w:rPr>
              <w:t>”20 % din contribuția publică totală pentru implementarea strategiei de dezvoltare locală.”.</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III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Asistența tehnică</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35</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Asistența tehnică la</w:t>
            </w:r>
            <w:r>
              <w:rPr>
                <w:rFonts w:ascii="Times New Roman" w:eastAsia="Times New Roman" w:hAnsi="Times New Roman"/>
                <w:b/>
                <w:bCs/>
                <w:sz w:val="24"/>
                <w:szCs w:val="24"/>
                <w:lang w:val="ro-MD"/>
              </w:rPr>
              <w:t xml:space="preserve"> inițiativa Comisiei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 xml:space="preserve">- </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La inițiativa Comisiei, fondurile pot sprijini acțiunile de pregătire,</w:t>
            </w:r>
            <w:r>
              <w:rPr>
                <w:rFonts w:ascii="Times New Roman" w:eastAsia="Times New Roman" w:hAnsi="Times New Roman"/>
                <w:sz w:val="24"/>
                <w:szCs w:val="24"/>
                <w:lang w:val="ro-MD"/>
              </w:rPr>
              <w:t xml:space="preserve"> monitorizare, control, audit, evaluare, comunicare, inclusiv comunicare instituțională privind prioritățile politice ale Uniunii, vizibilitate și toate acțiunile vizând acordarea de asistență tehnică și administrativă necesare pentru punerea în aplicare a</w:t>
            </w:r>
            <w:r>
              <w:rPr>
                <w:rFonts w:ascii="Times New Roman" w:eastAsia="Times New Roman" w:hAnsi="Times New Roman"/>
                <w:sz w:val="24"/>
                <w:szCs w:val="24"/>
                <w:lang w:val="ro-MD"/>
              </w:rPr>
              <w:t xml:space="preserve"> prezentului regulament și, după caz, cu țări terțe.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Acțiunile menționate la alineatul (1) pot include, în special:</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asistență pentru pregătirea și evaluarea proiectelor;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sprijin pentru consolidare instituțională și consolidarea capacității </w:t>
                  </w:r>
                  <w:r>
                    <w:rPr>
                      <w:rFonts w:ascii="Times New Roman" w:eastAsia="Times New Roman" w:hAnsi="Times New Roman"/>
                      <w:sz w:val="24"/>
                      <w:szCs w:val="24"/>
                      <w:lang w:val="ro-MD"/>
                    </w:rPr>
                    <w:t>administrative, în vederea unei gestionări eficace a fondurilor;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studii în legătură cu rapoartele Comisiei privind fondurile și corelate cu raportul privind coeziunea;</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măsuri în legătură cu analiza, gestionarea, monitorizarea și execuția </w:t>
                  </w:r>
                  <w:r>
                    <w:rPr>
                      <w:rFonts w:ascii="Times New Roman" w:eastAsia="Times New Roman" w:hAnsi="Times New Roman"/>
                      <w:sz w:val="24"/>
                      <w:szCs w:val="24"/>
                      <w:lang w:val="ro-MD"/>
                    </w:rPr>
                    <w:t>fondurilor și cu schimbul de informații în cadrul fondurilor, precum și măsuri în legătură cu implementarea sistemelor de control și a asistenței tehnice și administrative;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evaluări, rapoarte de expertiză, statistici și studii, inclusiv de natură gen</w:t>
                  </w:r>
                  <w:r>
                    <w:rPr>
                      <w:rFonts w:ascii="Times New Roman" w:eastAsia="Times New Roman" w:hAnsi="Times New Roman"/>
                      <w:sz w:val="24"/>
                      <w:szCs w:val="24"/>
                      <w:lang w:val="ro-MD"/>
                    </w:rPr>
                    <w:t>erală, privind funcționarea actuală și viitoare a fondurilor;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acțiuni care vizează diseminarea informațiilor, susținerea colaborării în rețea, după caz, derularea de activități de comunicare cu accent deosebit pe rezultate și pe valoarea adăugată a </w:t>
                  </w:r>
                  <w:r>
                    <w:rPr>
                      <w:rFonts w:ascii="Times New Roman" w:eastAsia="Times New Roman" w:hAnsi="Times New Roman"/>
                      <w:sz w:val="24"/>
                      <w:szCs w:val="24"/>
                      <w:lang w:val="ro-MD"/>
                    </w:rPr>
                    <w:t>sprijinului din fonduri, precum și sporirea gradului de informare și promovarea cooperării și a schimbului de experiență, inclusiv cu țări terțe;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instalarea, funcționarea și interconectarea sistemelor informatice de gestionare, monitorizare, audit, c</w:t>
                  </w:r>
                  <w:r>
                    <w:rPr>
                      <w:rFonts w:ascii="Times New Roman" w:eastAsia="Times New Roman" w:hAnsi="Times New Roman"/>
                      <w:sz w:val="24"/>
                      <w:szCs w:val="24"/>
                      <w:lang w:val="ro-MD"/>
                    </w:rPr>
                    <w:t>ontrol și evaluare;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(h)</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acțiuni vizând îmbunătățirea metodelor de evaluare și a schimbului de informații privind practicile de evaluare;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acțiuni în legătură cu activitatea de audit;</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(j)</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consolidarea capacității naționale și regionale în legătură </w:t>
                  </w:r>
                  <w:r>
                    <w:rPr>
                      <w:rFonts w:ascii="Times New Roman" w:eastAsia="Times New Roman" w:hAnsi="Times New Roman"/>
                      <w:sz w:val="24"/>
                      <w:szCs w:val="24"/>
                      <w:lang w:val="ro-MD"/>
                    </w:rPr>
                    <w:t>cu planificarea investițiilor, necesitățile de finanțare, pregătirea, elaborarea și execuția instrumentelor financiare, precum și cu pregătirea, elaborarea și implementarea planurilor de acțiune comune și a proiectelor majore;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(k)</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difuzarea bunelor </w:t>
                  </w:r>
                  <w:r>
                    <w:rPr>
                      <w:rFonts w:ascii="Times New Roman" w:eastAsia="Times New Roman" w:hAnsi="Times New Roman"/>
                      <w:sz w:val="24"/>
                      <w:szCs w:val="24"/>
                      <w:lang w:val="ro-MD"/>
                    </w:rPr>
                    <w:t>practici pentru a ajuta statele membre să consolideze capacitatea partenerilor relevanți menționați la articolul 8 alineatul (1) și a organizațiilor-umbrelă ale acestora.</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Comisia alocă cel puțin 15 % din resurse pentru asistența tehnică la inițiativ</w:t>
            </w:r>
            <w:r>
              <w:rPr>
                <w:rFonts w:ascii="Times New Roman" w:eastAsia="Times New Roman" w:hAnsi="Times New Roman"/>
                <w:sz w:val="24"/>
                <w:szCs w:val="24"/>
                <w:lang w:val="ro-MD"/>
              </w:rPr>
              <w:t xml:space="preserve">a Comisiei pentru realizarea unei eficiențe sporite în comunicarea către public, cât și </w:t>
            </w:r>
            <w:proofErr w:type="spellStart"/>
            <w:r>
              <w:rPr>
                <w:rFonts w:ascii="Times New Roman" w:eastAsia="Times New Roman" w:hAnsi="Times New Roman"/>
                <w:sz w:val="24"/>
                <w:szCs w:val="24"/>
                <w:lang w:val="ro-MD"/>
              </w:rPr>
              <w:t>sinergiile</w:t>
            </w:r>
            <w:proofErr w:type="spellEnd"/>
            <w:r>
              <w:rPr>
                <w:rFonts w:ascii="Times New Roman" w:eastAsia="Times New Roman" w:hAnsi="Times New Roman"/>
                <w:sz w:val="24"/>
                <w:szCs w:val="24"/>
                <w:lang w:val="ro-MD"/>
              </w:rPr>
              <w:t xml:space="preserve"> dintre activitățile de comunicare întreprinse la inițiativa Comisiei, prin extinderea bazei de informații privind rezultatele, în special printr-o colectare </w:t>
            </w:r>
            <w:r>
              <w:rPr>
                <w:rFonts w:ascii="Times New Roman" w:eastAsia="Times New Roman" w:hAnsi="Times New Roman"/>
                <w:sz w:val="24"/>
                <w:szCs w:val="24"/>
                <w:lang w:val="ro-MD"/>
              </w:rPr>
              <w:t>și difuzare mai eficace a datelor, prin evaluări și rapoarte și, în special, prin evidențierea contribuției fondurilor la îmbunătățirea condițiilor de viață ale cetățenilor, prin sporirea vizibilității sprijinului din fonduri și prin sensibilizarea publicu</w:t>
            </w:r>
            <w:r>
              <w:rPr>
                <w:rFonts w:ascii="Times New Roman" w:eastAsia="Times New Roman" w:hAnsi="Times New Roman"/>
                <w:sz w:val="24"/>
                <w:szCs w:val="24"/>
                <w:lang w:val="ro-MD"/>
              </w:rPr>
              <w:t>lui cu privire la rezultatele și la valoarea adăugată a sprijinului respectiv. Măsurile de informare, de comunicare și de asigurare a vizibilității privind rezultatele și valoarea adăugată a sprijinului din fonduri, cu accent deosebit pe operațiuni, sunt c</w:t>
            </w:r>
            <w:r>
              <w:rPr>
                <w:rFonts w:ascii="Times New Roman" w:eastAsia="Times New Roman" w:hAnsi="Times New Roman"/>
                <w:sz w:val="24"/>
                <w:szCs w:val="24"/>
                <w:lang w:val="ro-MD"/>
              </w:rPr>
              <w:t>ontinuate după încheierea programelor, acolo unde este cazul. Aceste măsuri contribuie, de asemenea, la comunicarea instituțională a priorităților politice ale Uniunii, în măsura în care acestea au legătură cu obiectivele generale ale prezentului regulamen</w:t>
            </w:r>
            <w:r>
              <w:rPr>
                <w:rFonts w:ascii="Times New Roman" w:eastAsia="Times New Roman" w:hAnsi="Times New Roman"/>
                <w:sz w:val="24"/>
                <w:szCs w:val="24"/>
                <w:lang w:val="ro-MD"/>
              </w:rPr>
              <w:t>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Acțiunile menționate la alineatul (1) pot acoperi perioadele de programare precedente și ulterioare.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(5)   Comisia își stabilește planurile atunci când este avută în vedere o contribuție din fonduri în conformitate cu articolul 110 din </w:t>
            </w:r>
            <w:r>
              <w:rPr>
                <w:rFonts w:ascii="Times New Roman" w:eastAsia="Times New Roman" w:hAnsi="Times New Roman"/>
                <w:sz w:val="24"/>
                <w:szCs w:val="24"/>
                <w:lang w:val="ro-MD"/>
              </w:rPr>
              <w:t>Regulamentul financiar.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(6)   În funcție de scopul lor, acțiunile menționate la prezentul articol pot fi finanțate fie cu titlul de cheltuieli operaționale, fie cu titlul de cheltuieli administrative.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(7)   În conformitate cu articolul 193 alineatul (2) al</w:t>
            </w:r>
            <w:r>
              <w:rPr>
                <w:rFonts w:ascii="Times New Roman" w:eastAsia="Times New Roman" w:hAnsi="Times New Roman"/>
                <w:sz w:val="24"/>
                <w:szCs w:val="24"/>
                <w:lang w:val="ro-MD"/>
              </w:rPr>
              <w:t xml:space="preserve"> doilea paragraf litera (a) din Regulamentul financiar, în cazurile justificate în mod corespunzător precizate în decizia de finanțare și pentru o perioadă limitată, acțiunile de asistență tehnică la inițiativa Comisiei sprijinite în temeiul prezentului re</w:t>
            </w:r>
            <w:r>
              <w:rPr>
                <w:rFonts w:ascii="Times New Roman" w:eastAsia="Times New Roman" w:hAnsi="Times New Roman"/>
                <w:sz w:val="24"/>
                <w:szCs w:val="24"/>
                <w:lang w:val="ro-MD"/>
              </w:rPr>
              <w:t>gulament în cadrul gestiunii directe și costurile aferente pot fi considerate ca fiind eligibile începând cu 1 ianuarie 2021, chiar dacă aceste acțiuni au fost puse în aplicare și au fost suportate înainte de depunerea cererii de grant.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36</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Asistența tehnică acordată statelor membre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La inițiativa unui stat membru, fondurile pot </w:t>
            </w:r>
            <w:r>
              <w:rPr>
                <w:rFonts w:ascii="Times New Roman" w:eastAsia="Times New Roman" w:hAnsi="Times New Roman"/>
                <w:sz w:val="24"/>
                <w:szCs w:val="24"/>
                <w:lang w:val="ro-MD"/>
              </w:rPr>
              <w:t>sprijini acțiuni care pot viza perioade de programare precedente și ulterioare și care sunt necesare pentru administrarea și utilizarea eficace a respectivelor fonduri, inclusiv pentru consolidarea capacităților partenerilor menționați la articolul 8 aline</w:t>
            </w:r>
            <w:r>
              <w:rPr>
                <w:rFonts w:ascii="Times New Roman" w:eastAsia="Times New Roman" w:hAnsi="Times New Roman"/>
                <w:sz w:val="24"/>
                <w:szCs w:val="24"/>
                <w:lang w:val="ro-MD"/>
              </w:rPr>
              <w:t>atul (1), precum și pentru a oferi finanțare în vederea îndeplinirii, printre altele, a unor funcții precum pregătirea, instruirea, gestionarea, monitorizarea, evaluarea, asigurarea vizibilității și comunicarea.</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Cuantumurile pentru asistența tehnică prevăz</w:t>
            </w:r>
            <w:r>
              <w:rPr>
                <w:rFonts w:ascii="Times New Roman" w:eastAsia="Times New Roman" w:hAnsi="Times New Roman"/>
                <w:sz w:val="24"/>
                <w:szCs w:val="24"/>
                <w:lang w:val="ro-MD"/>
              </w:rPr>
              <w:t>ută la prezentul articol și la articolul 37 nu sunt luate în considerare în scopul concentrării tematice în conformitate cu normele specifice fiecărui fond.</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Fiecare fond poate sprijini acțiuni de asistență tehnică care sunt eligibile în cadrul oricăr</w:t>
            </w:r>
            <w:r>
              <w:rPr>
                <w:rFonts w:ascii="Times New Roman" w:eastAsia="Times New Roman" w:hAnsi="Times New Roman"/>
                <w:sz w:val="24"/>
                <w:szCs w:val="24"/>
                <w:lang w:val="ro-MD"/>
              </w:rPr>
              <w:t>uia dintre celelalte fonduri.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Contribuția Uniunii pentru asistența tehnică într-un stat membru se efectuează în temeiul articolului 51 litera (b) sau (e), după caz.</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Statul membru își exprimă opțiunea cu privire la forma contribuției Uniunii pentru as</w:t>
            </w:r>
            <w:r>
              <w:rPr>
                <w:rFonts w:ascii="Times New Roman" w:eastAsia="Times New Roman" w:hAnsi="Times New Roman"/>
                <w:sz w:val="24"/>
                <w:szCs w:val="24"/>
                <w:lang w:val="ro-MD"/>
              </w:rPr>
              <w:t>istența tehnică în acordul de parteneriat, în conformitate cu anexa II. Respectiva opțiune se aplică tuturor programelor din statul membru în cauză pentru întreaga perioadă de programare și nu poate fi modificată ulterior.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programele sprijinite din </w:t>
            </w:r>
            <w:r>
              <w:rPr>
                <w:rFonts w:ascii="Times New Roman" w:eastAsia="Times New Roman" w:hAnsi="Times New Roman"/>
                <w:sz w:val="24"/>
                <w:szCs w:val="24"/>
                <w:lang w:val="ro-MD"/>
              </w:rPr>
              <w:t xml:space="preserve">FAMI, FSI și de IMFV și pentru programele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 contribuția Uniunii pentru asistența tehnică se efectuează numai în temeiul articolului 51 litera (e).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În cazul în care contribuția Uniunii pentru asistența tehnică într-un stat membru este rambursa</w:t>
            </w:r>
            <w:r>
              <w:rPr>
                <w:rFonts w:ascii="Times New Roman" w:eastAsia="Times New Roman" w:hAnsi="Times New Roman"/>
                <w:sz w:val="24"/>
                <w:szCs w:val="24"/>
                <w:lang w:val="ro-MD"/>
              </w:rPr>
              <w:t>tă în temeiul articolului 51 litera (b), se aplică următoarele elemente: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asistența tehnică ia forma unei priorități în legătură cu un singur fond în cadrul unuia sau mai multor programe sau forma unui program specific sau a unei combinații a acestora;</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cuantumul fondurilor alocate pentru asistență tehnică se limitează la următoarele:</w:t>
                  </w:r>
                </w:p>
                <w:tbl>
                  <w:tblPr>
                    <w:tblW w:w="5000" w:type="pct"/>
                    <w:tblCellMar>
                      <w:left w:w="10" w:type="dxa"/>
                      <w:right w:w="10" w:type="dxa"/>
                    </w:tblCellMar>
                    <w:tblLook w:val="04A0" w:firstRow="1" w:lastRow="0" w:firstColumn="1" w:lastColumn="0" w:noHBand="0" w:noVBand="1"/>
                  </w:tblPr>
                  <w:tblGrid>
                    <w:gridCol w:w="227"/>
                    <w:gridCol w:w="332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2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sprijinul din FEDR în cadrul obiectivului Investiții pentru ocuparea forței de muncă și creștere economică: 3,5 %;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54"/>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5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sprijinul din Fondul de </w:t>
                        </w:r>
                        <w:r>
                          <w:rPr>
                            <w:rFonts w:ascii="Times New Roman" w:eastAsia="Times New Roman" w:hAnsi="Times New Roman"/>
                            <w:sz w:val="24"/>
                            <w:szCs w:val="24"/>
                            <w:lang w:val="ro-MD"/>
                          </w:rPr>
                          <w:t>coeziune: 2,5 %;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188"/>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1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sprijinul din FSE+: 4 %, iar pentru programele prevăzute la articolul 4 alineatul (1) litera (m) din Regulamentul FSE+: 5 %;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85"/>
                    <w:gridCol w:w="3163"/>
                  </w:tblGrid>
                  <w:tr w:rsidR="002F15D7">
                    <w:tblPrEx>
                      <w:tblCellMar>
                        <w:top w:w="0" w:type="dxa"/>
                        <w:bottom w:w="0" w:type="dxa"/>
                      </w:tblCellMar>
                    </w:tblPrEx>
                    <w:tc>
                      <w:tcPr>
                        <w:tcW w:w="385"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(iv)</w:t>
                        </w:r>
                      </w:p>
                    </w:tc>
                    <w:tc>
                      <w:tcPr>
                        <w:tcW w:w="3163"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sprijinul din FTJ: 4 %;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26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w:t>
                        </w:r>
                      </w:p>
                    </w:tc>
                    <w:tc>
                      <w:tcPr>
                        <w:tcW w:w="326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FEDR, FSE+ și Fondul de coeziune, în cazul în </w:t>
                        </w:r>
                        <w:r>
                          <w:rPr>
                            <w:rFonts w:ascii="Times New Roman" w:eastAsia="Times New Roman" w:hAnsi="Times New Roman"/>
                            <w:sz w:val="24"/>
                            <w:szCs w:val="24"/>
                            <w:lang w:val="ro-MD"/>
                          </w:rPr>
                          <w:t>care cuantumul total alocat unui stat membru în cadrul obiectivului Investiții pentru ocuparea forței de muncă și creștere economică nu depășește 1 miliard EUR: 6 %;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01"/>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sprijinul din FEAMPA: 6 %;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14"/>
                    <w:gridCol w:w="3134"/>
                  </w:tblGrid>
                  <w:tr w:rsidR="002F15D7">
                    <w:tblPrEx>
                      <w:tblCellMar>
                        <w:top w:w="0" w:type="dxa"/>
                        <w:bottom w:w="0" w:type="dxa"/>
                      </w:tblCellMar>
                    </w:tblPrEx>
                    <w:tc>
                      <w:tcPr>
                        <w:tcW w:w="4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(vii)</w:t>
                        </w:r>
                      </w:p>
                    </w:tc>
                    <w:tc>
                      <w:tcPr>
                        <w:tcW w:w="313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programele din cadrul obiectivului</w:t>
                        </w:r>
                        <w:r>
                          <w:rPr>
                            <w:rFonts w:ascii="Times New Roman" w:eastAsia="Times New Roman" w:hAnsi="Times New Roman"/>
                            <w:sz w:val="24"/>
                            <w:szCs w:val="24"/>
                            <w:lang w:val="ro-MD"/>
                          </w:rPr>
                          <w:t xml:space="preserve"> Investiții pentru ocuparea forței de muncă și creștere economică care se referă numai la regiunile </w:t>
                        </w:r>
                        <w:proofErr w:type="spellStart"/>
                        <w:r>
                          <w:rPr>
                            <w:rFonts w:ascii="Times New Roman" w:eastAsia="Times New Roman" w:hAnsi="Times New Roman"/>
                            <w:sz w:val="24"/>
                            <w:szCs w:val="24"/>
                            <w:lang w:val="ro-MD"/>
                          </w:rPr>
                          <w:t>ultraperiferice</w:t>
                        </w:r>
                        <w:proofErr w:type="spellEnd"/>
                        <w:r>
                          <w:rPr>
                            <w:rFonts w:ascii="Times New Roman" w:eastAsia="Times New Roman" w:hAnsi="Times New Roman"/>
                            <w:sz w:val="24"/>
                            <w:szCs w:val="24"/>
                            <w:lang w:val="ro-MD"/>
                          </w:rPr>
                          <w:t>, procentajul se majorează cu un punct procentual.</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(5)   În cazul în care contribuția Uniunii pentru asistența tehnică este rambursată în </w:t>
            </w:r>
            <w:r>
              <w:rPr>
                <w:rFonts w:ascii="Times New Roman" w:eastAsia="Times New Roman" w:hAnsi="Times New Roman"/>
                <w:sz w:val="24"/>
                <w:szCs w:val="24"/>
                <w:lang w:val="ro-MD"/>
              </w:rPr>
              <w:t>temeiul articolului 51 litera (e), se aplică următoarele elemente: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cuantumul fondurilor alocate pentru asistență tehnică se identifică ca parte a alocărilor financiare ale fiecărei priorități a programului în conformitate cu articolul 22 alineatul (3) </w:t>
                  </w:r>
                  <w:r>
                    <w:rPr>
                      <w:rFonts w:ascii="Times New Roman" w:eastAsia="Times New Roman" w:hAnsi="Times New Roman"/>
                      <w:sz w:val="24"/>
                      <w:szCs w:val="24"/>
                      <w:lang w:val="ro-MD"/>
                    </w:rPr>
                    <w:t>litera (g) punctul (ii), iar pentru FEAMPA, ale fiecărui obiectiv specific în conformitate cu litera (g) punctul (iii) de la respectivul alineat; acesta nu ia forma unei priorități separate sau a unui program specific, cu excepția programelor sprijinite di</w:t>
                  </w:r>
                  <w:r>
                    <w:rPr>
                      <w:rFonts w:ascii="Times New Roman" w:eastAsia="Times New Roman" w:hAnsi="Times New Roman"/>
                      <w:sz w:val="24"/>
                      <w:szCs w:val="24"/>
                      <w:lang w:val="ro-MD"/>
                    </w:rPr>
                    <w:t>n FAMI, FSI sau de IMFV, pentru care ia forma unui obiectiv specific;</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rambursarea se efectuează prin aplicarea procentelor prevăzute la punctele (i)-(vii) în cazul cheltuielilor eligibile incluse în fiecare cerere de plată în temeiul articolului 91 </w:t>
                  </w:r>
                  <w:r>
                    <w:rPr>
                      <w:rFonts w:ascii="Times New Roman" w:eastAsia="Times New Roman" w:hAnsi="Times New Roman"/>
                      <w:sz w:val="24"/>
                      <w:szCs w:val="24"/>
                      <w:lang w:val="ro-MD"/>
                    </w:rPr>
                    <w:t>alineatul (3) litera (a) sau (c), după caz, și de la același fond la care se rambursează cheltuielile eligibile, către unul sau mai multe organisme care primesc plăți de la Comisie în conformitate cu articolul 22 alineatul (3) litera (k);</w:t>
                  </w:r>
                </w:p>
                <w:tbl>
                  <w:tblPr>
                    <w:tblW w:w="5000" w:type="pct"/>
                    <w:tblCellMar>
                      <w:left w:w="10" w:type="dxa"/>
                      <w:right w:w="10" w:type="dxa"/>
                    </w:tblCellMar>
                    <w:tblLook w:val="04A0" w:firstRow="1" w:lastRow="0" w:firstColumn="1" w:lastColumn="0" w:noHBand="0" w:noVBand="1"/>
                  </w:tblPr>
                  <w:tblGrid>
                    <w:gridCol w:w="227"/>
                    <w:gridCol w:w="332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2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spriji</w:t>
                        </w:r>
                        <w:r>
                          <w:rPr>
                            <w:rFonts w:ascii="Times New Roman" w:eastAsia="Times New Roman" w:hAnsi="Times New Roman"/>
                            <w:sz w:val="24"/>
                            <w:szCs w:val="24"/>
                            <w:lang w:val="ro-MD"/>
                          </w:rPr>
                          <w:t>nul din FEDR în cadrul obiectivului Investiții pentru ocuparea forței de muncă și creștere economică: 3,5 %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54"/>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5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sprijinul din Fondul de coeziune: 2,5 %;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188"/>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1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sprijinul din FSE+: 4 %, iar pentru programele prevăzute la articolul 4 </w:t>
                        </w:r>
                        <w:r>
                          <w:rPr>
                            <w:rFonts w:ascii="Times New Roman" w:eastAsia="Times New Roman" w:hAnsi="Times New Roman"/>
                            <w:sz w:val="24"/>
                            <w:szCs w:val="24"/>
                            <w:lang w:val="ro-MD"/>
                          </w:rPr>
                          <w:t>alineatul (1) litera (m) din Regulamentul FSE+: 5 %;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85"/>
                    <w:gridCol w:w="3163"/>
                  </w:tblGrid>
                  <w:tr w:rsidR="002F15D7">
                    <w:tblPrEx>
                      <w:tblCellMar>
                        <w:top w:w="0" w:type="dxa"/>
                        <w:bottom w:w="0" w:type="dxa"/>
                      </w:tblCellMar>
                    </w:tblPrEx>
                    <w:tc>
                      <w:tcPr>
                        <w:tcW w:w="385"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(iv)</w:t>
                        </w:r>
                      </w:p>
                    </w:tc>
                    <w:tc>
                      <w:tcPr>
                        <w:tcW w:w="3163"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sprijinul din FTJ: 4 %;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26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w:t>
                        </w:r>
                      </w:p>
                    </w:tc>
                    <w:tc>
                      <w:tcPr>
                        <w:tcW w:w="326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FEDR, FSE+ și Fondul de coeziune, în cazul în care cuantumul total alocat unui stat membru în cadrul obiectivului Investiții pentru ocuparea forței de </w:t>
                        </w:r>
                        <w:r>
                          <w:rPr>
                            <w:rFonts w:ascii="Times New Roman" w:eastAsia="Times New Roman" w:hAnsi="Times New Roman"/>
                            <w:sz w:val="24"/>
                            <w:szCs w:val="24"/>
                            <w:lang w:val="ro-MD"/>
                          </w:rPr>
                          <w:t>muncă și creștere economică nu depășește 1 miliard EUR, procentajul rambursat pentru asistență tehnică este de: 6 %;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01"/>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sprijinul din FEAMPA, FAMI, FSI și IMFV: 6 %;</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14"/>
                    <w:gridCol w:w="3134"/>
                  </w:tblGrid>
                  <w:tr w:rsidR="002F15D7">
                    <w:tblPrEx>
                      <w:tblCellMar>
                        <w:top w:w="0" w:type="dxa"/>
                        <w:bottom w:w="0" w:type="dxa"/>
                      </w:tblCellMar>
                    </w:tblPrEx>
                    <w:tc>
                      <w:tcPr>
                        <w:tcW w:w="4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(vii)</w:t>
                        </w:r>
                      </w:p>
                    </w:tc>
                    <w:tc>
                      <w:tcPr>
                        <w:tcW w:w="313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programele din cadrul obiectivului Investiții pentru ocuparea </w:t>
                        </w:r>
                        <w:r>
                          <w:rPr>
                            <w:rFonts w:ascii="Times New Roman" w:eastAsia="Times New Roman" w:hAnsi="Times New Roman"/>
                            <w:sz w:val="24"/>
                            <w:szCs w:val="24"/>
                            <w:lang w:val="ro-MD"/>
                          </w:rPr>
                          <w:t xml:space="preserve">forței de muncă și creștere economică care se referă numai la regiunile </w:t>
                        </w:r>
                        <w:proofErr w:type="spellStart"/>
                        <w:r>
                          <w:rPr>
                            <w:rFonts w:ascii="Times New Roman" w:eastAsia="Times New Roman" w:hAnsi="Times New Roman"/>
                            <w:sz w:val="24"/>
                            <w:szCs w:val="24"/>
                            <w:lang w:val="ro-MD"/>
                          </w:rPr>
                          <w:t>ultraperiferice</w:t>
                        </w:r>
                        <w:proofErr w:type="spellEnd"/>
                        <w:r>
                          <w:rPr>
                            <w:rFonts w:ascii="Times New Roman" w:eastAsia="Times New Roman" w:hAnsi="Times New Roman"/>
                            <w:sz w:val="24"/>
                            <w:szCs w:val="24"/>
                            <w:lang w:val="ro-MD"/>
                          </w:rPr>
                          <w:t>, procentajul se majorează cu un punct procentual;</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cuantumurile alocate pentru asistență tehnică identificate în program corespund procentelor prevăzute la </w:t>
                  </w:r>
                  <w:r>
                    <w:rPr>
                      <w:rFonts w:ascii="Times New Roman" w:eastAsia="Times New Roman" w:hAnsi="Times New Roman"/>
                      <w:sz w:val="24"/>
                      <w:szCs w:val="24"/>
                      <w:lang w:val="ro-MD"/>
                    </w:rPr>
                    <w:t>litera (b) punctele (i)-(vi) pentru fiecare prioritate și fond.</w:t>
                  </w:r>
                </w:p>
              </w:tc>
            </w:tr>
          </w:tbl>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(6)   Normele specifice privind asistența tehnică pentru programele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 xml:space="preserve"> sunt stabilite în Regulamentul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37</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 xml:space="preserve">Finanțare nelegată de costuri pentru asistența tehnică </w:t>
            </w:r>
            <w:r>
              <w:rPr>
                <w:rFonts w:ascii="Times New Roman" w:eastAsia="Times New Roman" w:hAnsi="Times New Roman"/>
                <w:b/>
                <w:bCs/>
                <w:sz w:val="24"/>
                <w:szCs w:val="24"/>
                <w:lang w:val="ro-MD"/>
              </w:rPr>
              <w:t>acordată statelor membre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În plus față de articolul 36, statul membru poate propune să întreprindă </w:t>
            </w:r>
            <w:r>
              <w:rPr>
                <w:lang w:val="ro-MD"/>
              </w:rPr>
              <w:t>acțiuni de asistență tehnică suplimentare, în vederea consolidării capacității și eficienței autorităților și organismelor publice, ale beneficiarilor și ale partenerilor relevanți, necesare pentru administrarea și utilizarea eficace a fondurilor.</w:t>
            </w:r>
          </w:p>
          <w:p w:rsidR="002F15D7" w:rsidRDefault="006C2DA4">
            <w:pPr>
              <w:pStyle w:val="oj-normal"/>
              <w:shd w:val="clear" w:color="auto" w:fill="FFFFFF"/>
              <w:spacing w:before="120" w:after="0"/>
              <w:jc w:val="both"/>
              <w:rPr>
                <w:lang w:val="ro-MD"/>
              </w:rPr>
            </w:pPr>
            <w:r>
              <w:rPr>
                <w:lang w:val="ro-MD"/>
              </w:rPr>
              <w:t>Sprijinu</w:t>
            </w:r>
            <w:r>
              <w:rPr>
                <w:lang w:val="ro-MD"/>
              </w:rPr>
              <w:t>l pentru aceste acțiuni este implementat prin finanțări nelegate de costuri în conformitate cu articolul 95. Acest sprijin poate lua, de asemenea, forma unui program specific.</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TITLUL IV</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MONITORIZARE, EVALUARE, COMUNICARE ȘI VIZIBILITATE</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Monitorizare</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38</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Comitetul de monitorizare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Fiecare stat membru înființează un </w:t>
            </w:r>
            <w:r>
              <w:rPr>
                <w:lang w:val="ro-MD"/>
              </w:rPr>
              <w:t>comitet de monitorizare a implementării programului („comitetul de monitorizare”), după consultarea autorității de management, în termen de trei luni de la data notificării statului membru în cauză cu privire la decizia de aprobare a programului.</w:t>
            </w:r>
          </w:p>
          <w:p w:rsidR="002F15D7" w:rsidRDefault="006C2DA4">
            <w:pPr>
              <w:pStyle w:val="oj-normal"/>
              <w:shd w:val="clear" w:color="auto" w:fill="FFFFFF"/>
              <w:spacing w:before="120" w:after="0"/>
              <w:jc w:val="both"/>
              <w:rPr>
                <w:lang w:val="ro-MD"/>
              </w:rPr>
            </w:pPr>
            <w:r>
              <w:rPr>
                <w:lang w:val="ro-MD"/>
              </w:rPr>
              <w:t>Statul me</w:t>
            </w:r>
            <w:r>
              <w:rPr>
                <w:lang w:val="ro-MD"/>
              </w:rPr>
              <w:t>mbru poate înființa un singur comitet de monitorizare pentru a monitoriza mai multe programe.</w:t>
            </w:r>
          </w:p>
          <w:p w:rsidR="002F15D7" w:rsidRDefault="006C2DA4">
            <w:pPr>
              <w:pStyle w:val="oj-normal"/>
              <w:shd w:val="clear" w:color="auto" w:fill="FFFFFF"/>
              <w:spacing w:before="120" w:after="0"/>
              <w:jc w:val="both"/>
              <w:rPr>
                <w:lang w:val="ro-MD"/>
              </w:rPr>
            </w:pPr>
            <w:r>
              <w:rPr>
                <w:lang w:val="ro-MD"/>
              </w:rPr>
              <w:t>(2)   Fiecare comitet de monitorizare își adoptă propriul regulament de procedură, inclusiv dispoziții privind prevenirea oricărui conflict de interese și aplicar</w:t>
            </w:r>
            <w:r>
              <w:rPr>
                <w:lang w:val="ro-MD"/>
              </w:rPr>
              <w:t>ea principiului transparenței.</w:t>
            </w:r>
          </w:p>
          <w:p w:rsidR="002F15D7" w:rsidRDefault="006C2DA4">
            <w:pPr>
              <w:pStyle w:val="oj-normal"/>
              <w:shd w:val="clear" w:color="auto" w:fill="FFFFFF"/>
              <w:spacing w:before="120" w:after="0"/>
              <w:jc w:val="both"/>
              <w:rPr>
                <w:lang w:val="ro-MD"/>
              </w:rPr>
            </w:pPr>
            <w:r>
              <w:rPr>
                <w:lang w:val="ro-MD"/>
              </w:rPr>
              <w:t>(3)   Comitetul de monitorizare se reunește cel puțin o dată pe an și examinează toate chestiunile care afectează progresele făcute de program în realizarea obiectivelor sale.</w:t>
            </w:r>
          </w:p>
          <w:p w:rsidR="002F15D7" w:rsidRDefault="006C2DA4">
            <w:pPr>
              <w:pStyle w:val="oj-normal"/>
              <w:shd w:val="clear" w:color="auto" w:fill="FFFFFF"/>
              <w:spacing w:before="120" w:after="0"/>
              <w:jc w:val="both"/>
              <w:rPr>
                <w:lang w:val="ro-MD"/>
              </w:rPr>
            </w:pPr>
            <w:r>
              <w:rPr>
                <w:lang w:val="ro-MD"/>
              </w:rPr>
              <w:t>(4)   Regulamentul de procedură al comitetului de</w:t>
            </w:r>
            <w:r>
              <w:rPr>
                <w:lang w:val="ro-MD"/>
              </w:rPr>
              <w:t xml:space="preserve"> monitorizare, precum și datele și informațiile partajate cu comitetul de monitorizare se publică pe site-ul internet menționat la articolul 49 alineatul (1), fără a se aduce atingere articolului 69 alineatul (5).</w:t>
            </w:r>
          </w:p>
          <w:p w:rsidR="002F15D7" w:rsidRDefault="006C2DA4">
            <w:pPr>
              <w:pStyle w:val="oj-normal"/>
              <w:shd w:val="clear" w:color="auto" w:fill="FFFFFF"/>
              <w:spacing w:before="120" w:after="0"/>
              <w:jc w:val="both"/>
              <w:rPr>
                <w:lang w:val="ro-MD"/>
              </w:rPr>
            </w:pPr>
            <w:r>
              <w:rPr>
                <w:lang w:val="ro-MD"/>
              </w:rPr>
              <w:t>(5)   Alineatele (1)-(4) de la prezentul a</w:t>
            </w:r>
            <w:r>
              <w:rPr>
                <w:lang w:val="ro-MD"/>
              </w:rPr>
              <w:t>rticol nu se aplică programelor care se limitează la obiectivul specific prevăzut la articolul 4 alineatul (1) litera (m) din Regulamentul FSE+ și asistenței tehnice conexe.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39</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Componența comitetului de monitorizare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(1)   Fiecare stat membru stabilește componența comitetului de monitorizare și asigură o reprezentare echilibrată</w:t>
            </w:r>
            <w:r>
              <w:rPr>
                <w:lang w:val="ro-MD"/>
              </w:rPr>
              <w:t xml:space="preserve"> a autorităților și organismelor intermediare relevante ale statului membru și a reprezentanților partenerilor menționați la articolul 8 alineatul (1), printr-un proces transparent.</w:t>
            </w:r>
          </w:p>
          <w:p w:rsidR="002F15D7" w:rsidRDefault="006C2DA4">
            <w:pPr>
              <w:pStyle w:val="oj-normal"/>
              <w:shd w:val="clear" w:color="auto" w:fill="FFFFFF"/>
              <w:spacing w:before="120" w:after="0"/>
              <w:jc w:val="both"/>
              <w:rPr>
                <w:lang w:val="ro-MD"/>
              </w:rPr>
            </w:pPr>
            <w:r>
              <w:rPr>
                <w:lang w:val="ro-MD"/>
              </w:rPr>
              <w:t>Fiecare membru al comitetului de monitorizare dispune de un vot. Regulamen</w:t>
            </w:r>
            <w:r>
              <w:rPr>
                <w:lang w:val="ro-MD"/>
              </w:rPr>
              <w:t>tul de procedură reglementează exercitarea dreptului de vot și detaliile privind procedura în cadrul comitetului de monitorizare în conformitate cu cadrul instituțional, juridic și financiar al statului membru în cauză.</w:t>
            </w:r>
          </w:p>
          <w:p w:rsidR="002F15D7" w:rsidRDefault="006C2DA4">
            <w:pPr>
              <w:pStyle w:val="oj-normal"/>
              <w:shd w:val="clear" w:color="auto" w:fill="FFFFFF"/>
              <w:spacing w:before="120" w:after="0"/>
              <w:jc w:val="both"/>
              <w:rPr>
                <w:lang w:val="ro-MD"/>
              </w:rPr>
            </w:pPr>
            <w:r>
              <w:rPr>
                <w:lang w:val="ro-MD"/>
              </w:rPr>
              <w:t>Regulamentul de procedură poate perm</w:t>
            </w:r>
            <w:r>
              <w:rPr>
                <w:lang w:val="ro-MD"/>
              </w:rPr>
              <w:t>ite terților, inclusiv BEI, să participe la lucrările comitetului de monitorizare.</w:t>
            </w:r>
          </w:p>
          <w:p w:rsidR="002F15D7" w:rsidRDefault="006C2DA4">
            <w:pPr>
              <w:pStyle w:val="oj-normal"/>
              <w:shd w:val="clear" w:color="auto" w:fill="FFFFFF"/>
              <w:spacing w:before="120" w:after="0"/>
              <w:jc w:val="both"/>
              <w:rPr>
                <w:lang w:val="ro-MD"/>
              </w:rPr>
            </w:pPr>
            <w:r>
              <w:rPr>
                <w:lang w:val="ro-MD"/>
              </w:rPr>
              <w:t>Comitetul de monitorizare este prezidat de un reprezentant al statului membru sau al autorității de management.</w:t>
            </w:r>
          </w:p>
          <w:p w:rsidR="002F15D7" w:rsidRDefault="006C2DA4">
            <w:pPr>
              <w:pStyle w:val="oj-normal"/>
              <w:shd w:val="clear" w:color="auto" w:fill="FFFFFF"/>
              <w:spacing w:before="120" w:after="0"/>
              <w:jc w:val="both"/>
              <w:rPr>
                <w:lang w:val="ro-MD"/>
              </w:rPr>
            </w:pPr>
            <w:r>
              <w:rPr>
                <w:lang w:val="ro-MD"/>
              </w:rPr>
              <w:t>Lista membrilor comitetului de monitorizare se publică pe sit</w:t>
            </w:r>
            <w:r>
              <w:rPr>
                <w:lang w:val="ro-MD"/>
              </w:rPr>
              <w:t>e-ul internet menționat la articolul 49 alineatul (1).</w:t>
            </w:r>
          </w:p>
          <w:p w:rsidR="002F15D7" w:rsidRDefault="006C2DA4">
            <w:pPr>
              <w:pStyle w:val="oj-normal"/>
              <w:shd w:val="clear" w:color="auto" w:fill="FFFFFF"/>
              <w:spacing w:before="120" w:after="0"/>
              <w:jc w:val="both"/>
              <w:rPr>
                <w:lang w:val="ro-MD"/>
              </w:rPr>
            </w:pPr>
            <w:r>
              <w:rPr>
                <w:lang w:val="ro-MD"/>
              </w:rPr>
              <w:t>(2)   Reprezentanții Comisiei participă la lucrările comitetului de monitorizare, cu rol de monitorizare și consultativ.</w:t>
            </w:r>
          </w:p>
          <w:p w:rsidR="002F15D7" w:rsidRDefault="006C2DA4">
            <w:pPr>
              <w:pStyle w:val="oj-normal"/>
              <w:shd w:val="clear" w:color="auto" w:fill="FFFFFF"/>
              <w:spacing w:before="120" w:after="0"/>
              <w:jc w:val="both"/>
              <w:rPr>
                <w:lang w:val="ro-MD"/>
              </w:rPr>
            </w:pPr>
            <w:r>
              <w:rPr>
                <w:lang w:val="ro-MD"/>
              </w:rPr>
              <w:t xml:space="preserve">(3)   În cazul FAMI, al FSI și al IMFV, agențiile descentralizate relevante pot </w:t>
            </w:r>
            <w:r>
              <w:rPr>
                <w:lang w:val="ro-MD"/>
              </w:rPr>
              <w:t>participa la lucrările comitetului de monitorizare.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40</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Funcțiile comitetului de monitorizare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obligatoriu în toate </w:t>
            </w:r>
            <w:r>
              <w:rPr>
                <w:rFonts w:ascii="Times New Roman" w:hAnsi="Times New Roman"/>
                <w:sz w:val="24"/>
                <w:szCs w:val="24"/>
                <w:lang w:val="ro-MD"/>
              </w:rPr>
              <w:t>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Comitetul de monitorizare examinează:</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progresele înregistrate în ceea ce privește implementarea programului și realizarea obiectivelor de etapă și a țintelor;</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orice probleme care influențează performanța programului și </w:t>
                  </w:r>
                  <w:r>
                    <w:rPr>
                      <w:rFonts w:ascii="Times New Roman" w:eastAsia="Times New Roman" w:hAnsi="Times New Roman"/>
                      <w:sz w:val="24"/>
                      <w:szCs w:val="24"/>
                      <w:lang w:val="ro-MD"/>
                    </w:rPr>
                    <w:t>măsurile luate pentru a le remedia;</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contribuția programului la abordarea provocărilor identificate în recomandările relevante specifice fiecărei țări, care au legătură cu implementarea programului;</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elementele evaluării </w:t>
                  </w:r>
                  <w:r>
                    <w:rPr>
                      <w:rFonts w:ascii="Times New Roman" w:eastAsia="Times New Roman" w:hAnsi="Times New Roman"/>
                      <w:i/>
                      <w:iCs/>
                      <w:sz w:val="24"/>
                      <w:szCs w:val="24"/>
                      <w:lang w:val="ro-MD"/>
                    </w:rPr>
                    <w:t>ex ante</w:t>
                  </w:r>
                  <w:r>
                    <w:rPr>
                      <w:rFonts w:ascii="Times New Roman" w:eastAsia="Times New Roman" w:hAnsi="Times New Roman"/>
                      <w:sz w:val="24"/>
                      <w:szCs w:val="24"/>
                      <w:lang w:val="ro-MD"/>
                    </w:rPr>
                    <w:t xml:space="preserve"> enumerate la </w:t>
                  </w:r>
                  <w:r>
                    <w:rPr>
                      <w:rFonts w:ascii="Times New Roman" w:eastAsia="Times New Roman" w:hAnsi="Times New Roman"/>
                      <w:sz w:val="24"/>
                      <w:szCs w:val="24"/>
                      <w:lang w:val="ro-MD"/>
                    </w:rPr>
                    <w:t>articolul 58 alineatul (3) și în documentul de strategie menționat la articolul 59 alineatul (1);</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progresele înregistrate cu privire la efectuarea evaluărilor, la sinteza evaluărilor și la orice acțiuni ulterioare constatărilor;</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punerea în </w:t>
                  </w:r>
                  <w:r>
                    <w:rPr>
                      <w:rFonts w:ascii="Times New Roman" w:eastAsia="Times New Roman" w:hAnsi="Times New Roman"/>
                      <w:sz w:val="24"/>
                      <w:szCs w:val="24"/>
                      <w:lang w:val="ro-MD"/>
                    </w:rPr>
                    <w:t>aplicare a acțiunilor în legătură cu comunicarea și vizibilitatea;</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progresele înregistrate în implementarea operațiunilor de importanță strategică, dacă este cazul;</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(h)</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îndeplinirea condițiilor favorizante și aplicarea acestora pe întreg parcursul </w:t>
                  </w:r>
                  <w:r>
                    <w:rPr>
                      <w:rFonts w:ascii="Times New Roman" w:eastAsia="Times New Roman" w:hAnsi="Times New Roman"/>
                      <w:sz w:val="24"/>
                      <w:szCs w:val="24"/>
                      <w:lang w:val="ro-MD"/>
                    </w:rPr>
                    <w:t>perioadei de programare;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progresele înregistrate în ceea ce privește consolidarea capacității administrative pentru instituțiile publice, parteneri și beneficiari, dacă este cazul;</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(j)</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informații privind implementarea contribuției programului la </w:t>
                  </w:r>
                  <w:r>
                    <w:rPr>
                      <w:rFonts w:ascii="Times New Roman" w:eastAsia="Times New Roman" w:hAnsi="Times New Roman"/>
                      <w:sz w:val="24"/>
                      <w:szCs w:val="24"/>
                      <w:lang w:val="ro-MD"/>
                    </w:rPr>
                    <w:t xml:space="preserve">Programul </w:t>
                  </w:r>
                  <w:proofErr w:type="spellStart"/>
                  <w:r>
                    <w:rPr>
                      <w:rFonts w:ascii="Times New Roman" w:eastAsia="Times New Roman" w:hAnsi="Times New Roman"/>
                      <w:sz w:val="24"/>
                      <w:szCs w:val="24"/>
                      <w:lang w:val="ro-MD"/>
                    </w:rPr>
                    <w:t>InvestEU</w:t>
                  </w:r>
                  <w:proofErr w:type="spellEnd"/>
                  <w:r>
                    <w:rPr>
                      <w:rFonts w:ascii="Times New Roman" w:eastAsia="Times New Roman" w:hAnsi="Times New Roman"/>
                      <w:sz w:val="24"/>
                      <w:szCs w:val="24"/>
                      <w:lang w:val="ro-MD"/>
                    </w:rPr>
                    <w:t xml:space="preserve"> în conformitate cu articolul 14 sau a resurselor transferate în conformitate cu articolul 26, după caz.</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ceea ce privește programele sprijinite de FEAMPA, comitetul de monitorizare este consultat și, dacă consideră că este cazul, emit</w:t>
            </w:r>
            <w:r>
              <w:rPr>
                <w:rFonts w:ascii="Times New Roman" w:eastAsia="Times New Roman" w:hAnsi="Times New Roman"/>
                <w:sz w:val="24"/>
                <w:szCs w:val="24"/>
                <w:lang w:val="ro-MD"/>
              </w:rPr>
              <w:t>e un aviz cu privire la orice modificare a programului propusă de autoritatea de management.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Comitetul de monitorizare aprobă:</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metodologia și criteriile folosite pentru selectarea operațiunilor, inclusiv orice modificări ale acestora, fără a aduc</w:t>
                  </w:r>
                  <w:r>
                    <w:rPr>
                      <w:rFonts w:ascii="Times New Roman" w:eastAsia="Times New Roman" w:hAnsi="Times New Roman"/>
                      <w:sz w:val="24"/>
                      <w:szCs w:val="24"/>
                      <w:lang w:val="ro-MD"/>
                    </w:rPr>
                    <w:t xml:space="preserve">e atingere articolului 33 alineatul (3) literele (b), (c) și (d); la cererea Comisiei, metodologia și criteriile folosite pentru selectarea operațiunilor, inclusiv orice modificări ale acestora, se transmit Comisiei cu cel puțin 15 zile lucrătoare înainte </w:t>
                  </w:r>
                  <w:r>
                    <w:rPr>
                      <w:rFonts w:ascii="Times New Roman" w:eastAsia="Times New Roman" w:hAnsi="Times New Roman"/>
                      <w:sz w:val="24"/>
                      <w:szCs w:val="24"/>
                      <w:lang w:val="ro-MD"/>
                    </w:rPr>
                    <w:t>de a fi prezentate comitetului de monitorizare;</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rapoartele anuale privind performanța pentru programele sprijinite din FAMI, FSI și de IMFV și raportul final privind performanța pentru programele sprijinite din FEDR, FSE+, Fondul de coeziune, FTJ și </w:t>
                  </w:r>
                  <w:r>
                    <w:rPr>
                      <w:rFonts w:ascii="Times New Roman" w:eastAsia="Times New Roman" w:hAnsi="Times New Roman"/>
                      <w:sz w:val="24"/>
                      <w:szCs w:val="24"/>
                      <w:lang w:val="ro-MD"/>
                    </w:rPr>
                    <w:t>FEAMPA;</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planul de evaluare și orice modificare a acestuia;</w:t>
                  </w:r>
                </w:p>
              </w:tc>
            </w:tr>
          </w:tbl>
          <w:p w:rsidR="002F15D7" w:rsidRDefault="002F15D7">
            <w:pPr>
              <w:shd w:val="clear" w:color="auto" w:fill="FFFFFF"/>
              <w:suppressAutoHyphens w:val="0"/>
              <w:spacing w:after="0"/>
              <w:rPr>
                <w:rFonts w:ascii="Times New Roman" w:eastAsia="Times New Roman" w:hAnsi="Times New Roman"/>
                <w:vanish/>
                <w:sz w:val="27"/>
                <w:szCs w:val="27"/>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orice propunere de modificare a unui program, formulată de autoritatea de management, inclusiv cu privire la transferuri, în conformitate cu articolul 24 alineatul (5) și cu </w:t>
                  </w:r>
                  <w:r>
                    <w:rPr>
                      <w:rFonts w:ascii="Times New Roman" w:eastAsia="Times New Roman" w:hAnsi="Times New Roman"/>
                      <w:sz w:val="24"/>
                      <w:szCs w:val="24"/>
                      <w:lang w:val="ro-MD"/>
                    </w:rPr>
                    <w:t>articolul 26, cu excepția programelor sprijinite din FEAMPA.</w:t>
                  </w:r>
                </w:p>
              </w:tc>
            </w:tr>
          </w:tbl>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(3)   Comitetul de monitorizare poate adresa recomandări autorității de management, inclusiv cu privire la măsurile de reducere a sarcinii administrative pentru beneficiari.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41</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Evaluarea anuală a performanței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Anual, se organizează reuniuni de evaluare între Comisie și </w:t>
            </w:r>
            <w:r>
              <w:rPr>
                <w:lang w:val="ro-MD"/>
              </w:rPr>
              <w:t>fiecare stat membru, pentru analizarea performanței fiecărui program. Autoritățile de management competente participă la reuniunile de evaluare.</w:t>
            </w:r>
          </w:p>
          <w:p w:rsidR="002F15D7" w:rsidRDefault="006C2DA4">
            <w:pPr>
              <w:pStyle w:val="oj-normal"/>
              <w:shd w:val="clear" w:color="auto" w:fill="FFFFFF"/>
              <w:spacing w:before="120" w:after="0"/>
              <w:jc w:val="both"/>
              <w:rPr>
                <w:lang w:val="ro-MD"/>
              </w:rPr>
            </w:pPr>
            <w:r>
              <w:rPr>
                <w:lang w:val="ro-MD"/>
              </w:rPr>
              <w:t>Reuniunea de evaluare poate viza mai multe programe.</w:t>
            </w:r>
          </w:p>
          <w:p w:rsidR="002F15D7" w:rsidRDefault="006C2DA4">
            <w:pPr>
              <w:pStyle w:val="oj-normal"/>
              <w:shd w:val="clear" w:color="auto" w:fill="FFFFFF"/>
              <w:spacing w:before="120" w:after="0"/>
              <w:jc w:val="both"/>
              <w:rPr>
                <w:lang w:val="ro-MD"/>
              </w:rPr>
            </w:pPr>
            <w:r>
              <w:rPr>
                <w:lang w:val="ro-MD"/>
              </w:rPr>
              <w:t>Reuniunea de evaluare este prezidată de Comisie sau, la ce</w:t>
            </w:r>
            <w:r>
              <w:rPr>
                <w:lang w:val="ro-MD"/>
              </w:rPr>
              <w:t xml:space="preserve">rerea statului membru, </w:t>
            </w:r>
            <w:proofErr w:type="spellStart"/>
            <w:r>
              <w:rPr>
                <w:lang w:val="ro-MD"/>
              </w:rPr>
              <w:t>coprezidată</w:t>
            </w:r>
            <w:proofErr w:type="spellEnd"/>
            <w:r>
              <w:rPr>
                <w:lang w:val="ro-MD"/>
              </w:rPr>
              <w:t xml:space="preserve"> de statul membru și de Comisie.</w:t>
            </w:r>
          </w:p>
          <w:p w:rsidR="002F15D7" w:rsidRDefault="006C2DA4">
            <w:pPr>
              <w:pStyle w:val="oj-normal"/>
              <w:shd w:val="clear" w:color="auto" w:fill="FFFFFF"/>
              <w:spacing w:before="120" w:after="0"/>
              <w:jc w:val="both"/>
              <w:rPr>
                <w:lang w:val="ro-MD"/>
              </w:rPr>
            </w:pPr>
            <w:r>
              <w:rPr>
                <w:lang w:val="ro-MD"/>
              </w:rPr>
              <w:t>(2)   Prin derogare de la alineatul (1) primul paragraf, pentru programele sprijinite din FAMI, FSI și de IMFV, reuniunile de evaluare se organizează cel puțin de două ori pe parcursul peri</w:t>
            </w:r>
            <w:r>
              <w:rPr>
                <w:lang w:val="ro-MD"/>
              </w:rPr>
              <w:t>oadei de programare.</w:t>
            </w:r>
          </w:p>
          <w:p w:rsidR="002F15D7" w:rsidRDefault="006C2DA4">
            <w:pPr>
              <w:pStyle w:val="oj-normal"/>
              <w:shd w:val="clear" w:color="auto" w:fill="FFFFFF"/>
              <w:spacing w:before="120" w:after="0"/>
              <w:jc w:val="both"/>
              <w:rPr>
                <w:lang w:val="ro-MD"/>
              </w:rPr>
            </w:pPr>
            <w:r>
              <w:rPr>
                <w:lang w:val="ro-MD"/>
              </w:rPr>
              <w:t>(3)   Pentru programele sprijinite din FEDR, FSE+, Fondul de coeziune, FTJ și FEAMPA, statul membru pune la dispoziția Comisiei, cu cel puțin o lună înainte de reuniunea de evaluare, informații concise cu privire la elementele enumerat</w:t>
            </w:r>
            <w:r>
              <w:rPr>
                <w:lang w:val="ro-MD"/>
              </w:rPr>
              <w:t>e la articolul 40 alineatul (1). Respectivele informații se bazează pe cele mai recente date aflate la dispoziția statului membru.</w:t>
            </w:r>
          </w:p>
          <w:p w:rsidR="002F15D7" w:rsidRDefault="006C2DA4">
            <w:pPr>
              <w:pStyle w:val="oj-normal"/>
              <w:shd w:val="clear" w:color="auto" w:fill="FFFFFF"/>
              <w:spacing w:before="120" w:after="0"/>
              <w:jc w:val="both"/>
              <w:rPr>
                <w:lang w:val="ro-MD"/>
              </w:rPr>
            </w:pPr>
            <w:r>
              <w:rPr>
                <w:lang w:val="ro-MD"/>
              </w:rPr>
              <w:t>Pentru programele limitate la obiectivul specific prevăzut la articolul 4 alineatul (1) litera (m) din Regulamentul FSE+, inf</w:t>
            </w:r>
            <w:r>
              <w:rPr>
                <w:lang w:val="ro-MD"/>
              </w:rPr>
              <w:t>ormațiile care trebuie furnizate, pe baza celor mai recente date disponibile, se limitează la articolul 40 alineatul (1) literele (a), (b), (e), (f) și (h) din prezentul regulament.</w:t>
            </w:r>
          </w:p>
          <w:p w:rsidR="002F15D7" w:rsidRDefault="006C2DA4">
            <w:pPr>
              <w:pStyle w:val="oj-normal"/>
              <w:shd w:val="clear" w:color="auto" w:fill="FFFFFF"/>
              <w:spacing w:before="120" w:after="0"/>
              <w:jc w:val="both"/>
              <w:rPr>
                <w:lang w:val="ro-MD"/>
              </w:rPr>
            </w:pPr>
            <w:r>
              <w:rPr>
                <w:lang w:val="ro-MD"/>
              </w:rPr>
              <w:t xml:space="preserve">(4)   Statul membru și Comisia pot conveni să nu organizeze o reuniune de </w:t>
            </w:r>
            <w:r>
              <w:rPr>
                <w:lang w:val="ro-MD"/>
              </w:rPr>
              <w:t>evaluare. În acest caz, evaluarea se poate efectua în scris.</w:t>
            </w:r>
          </w:p>
          <w:p w:rsidR="002F15D7" w:rsidRDefault="006C2DA4">
            <w:pPr>
              <w:pStyle w:val="oj-normal"/>
              <w:shd w:val="clear" w:color="auto" w:fill="FFFFFF"/>
              <w:spacing w:before="120" w:after="0"/>
              <w:jc w:val="both"/>
              <w:rPr>
                <w:lang w:val="ro-MD"/>
              </w:rPr>
            </w:pPr>
            <w:r>
              <w:rPr>
                <w:lang w:val="ro-MD"/>
              </w:rPr>
              <w:t>(5)   Rezultatele reuniunii de evaluare se consemnează într-un proces-verbal convenit.</w:t>
            </w:r>
          </w:p>
          <w:p w:rsidR="002F15D7" w:rsidRDefault="006C2DA4">
            <w:pPr>
              <w:pStyle w:val="oj-normal"/>
              <w:shd w:val="clear" w:color="auto" w:fill="FFFFFF"/>
              <w:spacing w:before="120" w:after="0"/>
              <w:jc w:val="both"/>
              <w:rPr>
                <w:lang w:val="ro-MD"/>
              </w:rPr>
            </w:pPr>
            <w:r>
              <w:rPr>
                <w:lang w:val="ro-MD"/>
              </w:rPr>
              <w:t>(6)   Statul membru ia măsuri pentru a soluționa problemele ridicate în cadrul reuniunii de evaluare, care a</w:t>
            </w:r>
            <w:r>
              <w:rPr>
                <w:lang w:val="ro-MD"/>
              </w:rPr>
              <w:t>fectează implementarea programului, și informează Comisia în termen de trei luni în legătură cu măsurile întreprinse.</w:t>
            </w:r>
          </w:p>
          <w:p w:rsidR="002F15D7" w:rsidRDefault="006C2DA4">
            <w:pPr>
              <w:pStyle w:val="oj-normal"/>
              <w:shd w:val="clear" w:color="auto" w:fill="FFFFFF"/>
              <w:spacing w:before="120" w:after="0"/>
              <w:jc w:val="both"/>
              <w:rPr>
                <w:lang w:val="ro-MD"/>
              </w:rPr>
            </w:pPr>
            <w:r>
              <w:rPr>
                <w:lang w:val="ro-MD"/>
              </w:rPr>
              <w:t>(7)   Pentru programele sprijinite din FAMI, FSI și de IMFV, statul membru prezintă un raport anual privind performanța, în conformitate c</w:t>
            </w:r>
            <w:r>
              <w:rPr>
                <w:lang w:val="ro-MD"/>
              </w:rPr>
              <w:t>u regulamentele specifice fiecărui fond.</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42</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Transmiterea datelor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Statul membru</w:t>
            </w:r>
            <w:r>
              <w:rPr>
                <w:rFonts w:ascii="Times New Roman" w:eastAsia="Times New Roman" w:hAnsi="Times New Roman"/>
                <w:sz w:val="24"/>
                <w:szCs w:val="24"/>
                <w:lang w:val="ro-MD"/>
              </w:rPr>
              <w:t xml:space="preserve"> sau autoritatea de management transmite Comisiei, în format electronic, date cumulative pentru fiecare program până la 31 ianuarie, 30 aprilie, 31 iulie, 30 septembrie și 30 noiembrie în fiecare an, cu excepția datelor prevăzute la alineatul (2) litera (b</w:t>
            </w:r>
            <w:r>
              <w:rPr>
                <w:rFonts w:ascii="Times New Roman" w:eastAsia="Times New Roman" w:hAnsi="Times New Roman"/>
                <w:sz w:val="24"/>
                <w:szCs w:val="24"/>
                <w:lang w:val="ro-MD"/>
              </w:rPr>
              <w:t>) și la alineatul (3), care se transmit în format electronic până la 31 ianuarie și 31 iulie în fiecare an, în conformitate cu modelul prevăzut în anexa VII.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Prima transmitere a datelor trebuie efectuată până la 31 ianuarie 2022, iar ultima până la </w:t>
            </w:r>
            <w:r>
              <w:rPr>
                <w:rFonts w:ascii="Times New Roman" w:eastAsia="Times New Roman" w:hAnsi="Times New Roman"/>
                <w:sz w:val="24"/>
                <w:szCs w:val="24"/>
                <w:lang w:val="ro-MD"/>
              </w:rPr>
              <w:t>31 ianuarie 2030.</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Pentru prioritățile care sprijină obiectivul specific prevăzut la articolul 4 alineatul (1) litera (m) din Regulamentul FSE+, datele se transmit anual până la 31 ianuarie.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Regulamentul FSE+ poate stabili norme specifice pentru frecvența c</w:t>
            </w:r>
            <w:r>
              <w:rPr>
                <w:rFonts w:ascii="Times New Roman" w:eastAsia="Times New Roman" w:hAnsi="Times New Roman"/>
                <w:sz w:val="24"/>
                <w:szCs w:val="24"/>
                <w:lang w:val="ro-MD"/>
              </w:rPr>
              <w:t>olectării și transmiterii indicatorilor de rezultat pe termen mai lung.</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Datele sunt defalcate pentru fiecare prioritate pe obiective specifice și, după caz, pe categorii de regiuni și se referă la:</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numărul de operațiuni selectate, costurile total</w:t>
                  </w:r>
                  <w:r>
                    <w:rPr>
                      <w:rFonts w:ascii="Times New Roman" w:eastAsia="Times New Roman" w:hAnsi="Times New Roman"/>
                      <w:sz w:val="24"/>
                      <w:szCs w:val="24"/>
                      <w:lang w:val="ro-MD"/>
                    </w:rPr>
                    <w:t>e eligibile ale acestora, contribuția din fonduri și cheltuielile totale eligibile declarate de beneficiari către autoritatea de management, toate defalcate în funcție de tipul de intervenție;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valorile indicatorilor de realizare și de rezultat pentru</w:t>
                  </w:r>
                  <w:r>
                    <w:rPr>
                      <w:rFonts w:ascii="Times New Roman" w:eastAsia="Times New Roman" w:hAnsi="Times New Roman"/>
                      <w:sz w:val="24"/>
                      <w:szCs w:val="24"/>
                      <w:lang w:val="ro-MD"/>
                    </w:rPr>
                    <w:t xml:space="preserve"> operațiunile selectate și valorile obținute pe operațiuni.</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Pentru instrumentele financiare se furnizează, de asemenea, date cu privire la următoarele: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cheltuielile eligibile, pe tip de produs financiar;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cuantumul costurilor și </w:t>
                  </w:r>
                  <w:r>
                    <w:rPr>
                      <w:rFonts w:ascii="Times New Roman" w:eastAsia="Times New Roman" w:hAnsi="Times New Roman"/>
                      <w:sz w:val="24"/>
                      <w:szCs w:val="24"/>
                      <w:lang w:val="ro-MD"/>
                    </w:rPr>
                    <w:t>comisioanelor de gestiune declarate drept cheltuieli eligibile;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cuantumul resurselor publice și private mobilizate, pe lângă fonduri, pe tip de produs financiar;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dobânzi și alte câștiguri generate de sprijinul din fonduri pentru instrumentele </w:t>
                  </w:r>
                  <w:r>
                    <w:rPr>
                      <w:rFonts w:ascii="Times New Roman" w:eastAsia="Times New Roman" w:hAnsi="Times New Roman"/>
                      <w:sz w:val="24"/>
                      <w:szCs w:val="24"/>
                      <w:lang w:val="ro-MD"/>
                    </w:rPr>
                    <w:t>financiare menționate la articolul 60 și resursele restituite care pot fi atribuite sprijinului din fonduri, astfel cum se prevede la articolul 62;</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valoarea totală a împrumuturilor și a investițiilor de capital sau </w:t>
                  </w:r>
                  <w:proofErr w:type="spellStart"/>
                  <w:r>
                    <w:rPr>
                      <w:rFonts w:ascii="Times New Roman" w:eastAsia="Times New Roman" w:hAnsi="Times New Roman"/>
                      <w:sz w:val="24"/>
                      <w:szCs w:val="24"/>
                      <w:lang w:val="ro-MD"/>
                    </w:rPr>
                    <w:t>cvasicapital</w:t>
                  </w:r>
                  <w:proofErr w:type="spellEnd"/>
                  <w:r>
                    <w:rPr>
                      <w:rFonts w:ascii="Times New Roman" w:eastAsia="Times New Roman" w:hAnsi="Times New Roman"/>
                      <w:sz w:val="24"/>
                      <w:szCs w:val="24"/>
                      <w:lang w:val="ro-MD"/>
                    </w:rPr>
                    <w:t xml:space="preserve"> în favoarea destinatar</w:t>
                  </w:r>
                  <w:r>
                    <w:rPr>
                      <w:rFonts w:ascii="Times New Roman" w:eastAsia="Times New Roman" w:hAnsi="Times New Roman"/>
                      <w:sz w:val="24"/>
                      <w:szCs w:val="24"/>
                      <w:lang w:val="ro-MD"/>
                    </w:rPr>
                    <w:t>ilor finali, care au fost garantate cu resurse din programe și care au fost plătite efectiv destinatarilor finali.</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(4)   Datele transmise în conformitate cu prezentul articol sunt fiabile și reflectă datele stocate în format electronic potrivit </w:t>
            </w:r>
            <w:r>
              <w:rPr>
                <w:rFonts w:ascii="Times New Roman" w:eastAsia="Times New Roman" w:hAnsi="Times New Roman"/>
                <w:sz w:val="24"/>
                <w:szCs w:val="24"/>
                <w:lang w:val="ro-MD"/>
              </w:rPr>
              <w:t>articolului 72 alineatul (1) litera (e), începând cu sfârșitul lunii anterioare celei în care sunt transmise.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(5)   Statul membru sau autoritatea de management publică sau furnizează un link către toate datele transmise Comisiei, pe portalul de internet me</w:t>
            </w:r>
            <w:r>
              <w:rPr>
                <w:rFonts w:ascii="Times New Roman" w:eastAsia="Times New Roman" w:hAnsi="Times New Roman"/>
                <w:sz w:val="24"/>
                <w:szCs w:val="24"/>
                <w:lang w:val="ro-MD"/>
              </w:rPr>
              <w:t>nționat la articolul 46 litera (b) sau pe site-ul de internet menționat la articolul 49 alineatul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43</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Raportul final privind performanța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w:t>
            </w:r>
            <w:r>
              <w:rPr>
                <w:rFonts w:ascii="Times New Roman" w:hAnsi="Times New Roman"/>
                <w:sz w:val="24"/>
                <w:szCs w:val="24"/>
                <w:lang w:val="ro-MD"/>
              </w:rPr>
              <w:t xml:space="preserve">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Pentru programele sprijinite din FEDR, FSE+, Fondul de coeziune, FTJ și FEAMPA, fiecare autoritate de management transmite Comisiei, până la 15 februarie 2031, un raport final privind </w:t>
            </w:r>
            <w:r>
              <w:rPr>
                <w:lang w:val="ro-MD"/>
              </w:rPr>
              <w:t>performanța programului.</w:t>
            </w:r>
          </w:p>
          <w:p w:rsidR="002F15D7" w:rsidRDefault="006C2DA4">
            <w:pPr>
              <w:pStyle w:val="oj-normal"/>
              <w:shd w:val="clear" w:color="auto" w:fill="FFFFFF"/>
              <w:spacing w:before="120" w:after="0"/>
              <w:jc w:val="both"/>
              <w:rPr>
                <w:lang w:val="ro-MD"/>
              </w:rPr>
            </w:pPr>
            <w:r>
              <w:rPr>
                <w:lang w:val="ro-MD"/>
              </w:rPr>
              <w:t>(2)   Raportul final privind performanța evaluează realizarea obiectivelor programului pe baza elementelor enumerate la articolul 40 alineatul (1), cu excepția informațiilor prevăzute la litera (d) de la respectivul alineat.</w:t>
            </w:r>
          </w:p>
          <w:p w:rsidR="002F15D7" w:rsidRDefault="006C2DA4">
            <w:pPr>
              <w:pStyle w:val="oj-normal"/>
              <w:shd w:val="clear" w:color="auto" w:fill="FFFFFF"/>
              <w:spacing w:before="120" w:after="0"/>
              <w:jc w:val="both"/>
              <w:rPr>
                <w:lang w:val="ro-MD"/>
              </w:rPr>
            </w:pPr>
            <w:r>
              <w:rPr>
                <w:lang w:val="ro-MD"/>
              </w:rPr>
              <w:t>(3)   </w:t>
            </w:r>
            <w:r>
              <w:rPr>
                <w:lang w:val="ro-MD"/>
              </w:rPr>
              <w:t>Comisia examinează raportul final privind performanța și informează autoritatea de management cu privire la eventualele observații în termen de cinci luni de la data primirii raportului. Atunci când se formulează astfel de observații, autoritatea de manage</w:t>
            </w:r>
            <w:r>
              <w:rPr>
                <w:lang w:val="ro-MD"/>
              </w:rPr>
              <w:t>ment furnizează toate informațiile necesare cu privire la aceste observații și, dacă este cazul, informează Comisia în termen de trei luni în legătură cu măsurile luate. Comisia informează autoritatea de management cu privire la acceptarea raportului, în t</w:t>
            </w:r>
            <w:r>
              <w:rPr>
                <w:lang w:val="ro-MD"/>
              </w:rPr>
              <w:t>ermen de două luni de la primirea tuturor informațiilor necesare. În cazul în care Comisia nu informează autoritatea de management în aceste termene, raportul este considerat ca fiind acceptat.</w:t>
            </w:r>
          </w:p>
          <w:p w:rsidR="002F15D7" w:rsidRDefault="006C2DA4">
            <w:pPr>
              <w:pStyle w:val="oj-normal"/>
              <w:shd w:val="clear" w:color="auto" w:fill="FFFFFF"/>
              <w:spacing w:before="120" w:after="0"/>
              <w:jc w:val="both"/>
              <w:rPr>
                <w:lang w:val="ro-MD"/>
              </w:rPr>
            </w:pPr>
            <w:r>
              <w:rPr>
                <w:lang w:val="ro-MD"/>
              </w:rPr>
              <w:t>(4)   Autoritatea de management publică rapoartele finale priv</w:t>
            </w:r>
            <w:r>
              <w:rPr>
                <w:lang w:val="ro-MD"/>
              </w:rPr>
              <w:t>ind performanța pe site-ul de internet menționat la articolul 49 alineatul (1).</w:t>
            </w:r>
          </w:p>
          <w:p w:rsidR="002F15D7" w:rsidRDefault="006C2DA4">
            <w:pPr>
              <w:pStyle w:val="oj-normal"/>
              <w:shd w:val="clear" w:color="auto" w:fill="FFFFFF"/>
              <w:spacing w:before="120" w:after="0"/>
              <w:jc w:val="both"/>
              <w:rPr>
                <w:lang w:val="ro-MD"/>
              </w:rPr>
            </w:pPr>
            <w:r>
              <w:rPr>
                <w:lang w:val="ro-MD"/>
              </w:rPr>
              <w:t xml:space="preserve">(5)   În vederea asigurării unor condiții uniforme pentru punerea în aplicare a prezentului articol, Comisia adoptă un act de punere în aplicare care stabilește modelul pentru </w:t>
            </w:r>
            <w:r>
              <w:rPr>
                <w:lang w:val="ro-MD"/>
              </w:rPr>
              <w:t>raportul final privind performanța. Actul de punere în aplicare respectiv se adoptă în conformitate cu procedura de consultare menționată la articolul 115 alineatul (2).</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Evaluare</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44</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Evaluări efectuate de statul membru</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w:t>
            </w:r>
            <w:r>
              <w:rPr>
                <w:rFonts w:ascii="Times New Roman" w:hAnsi="Times New Roman"/>
                <w:b/>
                <w:bCs/>
                <w:sz w:val="24"/>
                <w:szCs w:val="24"/>
                <w:lang w:val="ro-MD"/>
              </w:rPr>
              <w:t xml:space="preserve">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Statul membru sau autoritatea de management efectuează evaluări ale programelor din perspectiva unuia </w:t>
            </w:r>
            <w:r>
              <w:rPr>
                <w:lang w:val="ro-MD"/>
              </w:rPr>
              <w:t>sau a mai multor dintre următoarele criterii: eficacitate, eficiență, relevanță, coerență și valoarea adăugată pentru Uniune, cu scopul de a îmbunătăți nivelul de calitate al elaborării și implementării programelor. Evaluările pot viza și alte criterii rel</w:t>
            </w:r>
            <w:r>
              <w:rPr>
                <w:lang w:val="ro-MD"/>
              </w:rPr>
              <w:t>evante, cum ar fi caracterul inclusiv, nediscriminarea și vizibilitatea; de asemenea, ele pot viza mai multe programe.</w:t>
            </w:r>
          </w:p>
          <w:p w:rsidR="002F15D7" w:rsidRDefault="006C2DA4">
            <w:pPr>
              <w:pStyle w:val="oj-normal"/>
              <w:shd w:val="clear" w:color="auto" w:fill="FFFFFF"/>
              <w:spacing w:before="120" w:after="0"/>
              <w:jc w:val="both"/>
              <w:rPr>
                <w:lang w:val="ro-MD"/>
              </w:rPr>
            </w:pPr>
            <w:r>
              <w:rPr>
                <w:lang w:val="ro-MD"/>
              </w:rPr>
              <w:t>(2)   În plus, până la 30 iunie 2029, se efectuează o evaluare care analizează impactul fiecărui program.</w:t>
            </w:r>
          </w:p>
          <w:p w:rsidR="002F15D7" w:rsidRDefault="006C2DA4">
            <w:pPr>
              <w:pStyle w:val="oj-normal"/>
              <w:shd w:val="clear" w:color="auto" w:fill="FFFFFF"/>
              <w:spacing w:before="120" w:after="0"/>
              <w:jc w:val="both"/>
              <w:rPr>
                <w:lang w:val="ro-MD"/>
              </w:rPr>
            </w:pPr>
            <w:r>
              <w:rPr>
                <w:lang w:val="ro-MD"/>
              </w:rPr>
              <w:t xml:space="preserve">(3)   Evaluările se </w:t>
            </w:r>
            <w:r>
              <w:rPr>
                <w:lang w:val="ro-MD"/>
              </w:rPr>
              <w:t>încredințează unor experți interni sau externi care sunt independenți din punct de vedere operațional.</w:t>
            </w:r>
          </w:p>
          <w:p w:rsidR="002F15D7" w:rsidRDefault="006C2DA4">
            <w:pPr>
              <w:pStyle w:val="oj-normal"/>
              <w:shd w:val="clear" w:color="auto" w:fill="FFFFFF"/>
              <w:spacing w:before="120" w:after="0"/>
              <w:jc w:val="both"/>
              <w:rPr>
                <w:lang w:val="ro-MD"/>
              </w:rPr>
            </w:pPr>
            <w:r>
              <w:rPr>
                <w:lang w:val="ro-MD"/>
              </w:rPr>
              <w:t>(4)   Statul membru sau autoritatea de management se asigură că sunt stabilite procedurile necesare pentru generarea și colectarea datelor necesare în sc</w:t>
            </w:r>
            <w:r>
              <w:rPr>
                <w:lang w:val="ro-MD"/>
              </w:rPr>
              <w:t>opul evaluărilor.</w:t>
            </w:r>
          </w:p>
          <w:p w:rsidR="002F15D7" w:rsidRDefault="006C2DA4">
            <w:pPr>
              <w:pStyle w:val="oj-normal"/>
              <w:shd w:val="clear" w:color="auto" w:fill="FFFFFF"/>
              <w:spacing w:before="120" w:after="0"/>
              <w:jc w:val="both"/>
              <w:rPr>
                <w:lang w:val="ro-MD"/>
              </w:rPr>
            </w:pPr>
            <w:r>
              <w:rPr>
                <w:lang w:val="ro-MD"/>
              </w:rPr>
              <w:t>(5)   Statul membru sau autoritatea de management elaborează un plan de evaluare care poate viza mai multe programe. Pentru FAMI, FSI și IMFV, planul respectiv include o evaluare intermediară, care se finalizează până la 31 martie 2024.</w:t>
            </w:r>
          </w:p>
          <w:p w:rsidR="002F15D7" w:rsidRDefault="006C2DA4">
            <w:pPr>
              <w:pStyle w:val="oj-normal"/>
              <w:shd w:val="clear" w:color="auto" w:fill="FFFFFF"/>
              <w:spacing w:before="120" w:after="0"/>
              <w:jc w:val="both"/>
              <w:rPr>
                <w:lang w:val="ro-MD"/>
              </w:rPr>
            </w:pPr>
            <w:r>
              <w:rPr>
                <w:lang w:val="ro-MD"/>
              </w:rPr>
              <w:t>(</w:t>
            </w:r>
            <w:r>
              <w:rPr>
                <w:lang w:val="ro-MD"/>
              </w:rPr>
              <w:t>6)   Statul membru sau autoritatea de management prezintă planul de evaluare comitetului de monitorizare în termen de un an de la decizia prin care se aprobă programul.</w:t>
            </w:r>
          </w:p>
          <w:p w:rsidR="002F15D7" w:rsidRDefault="006C2DA4">
            <w:pPr>
              <w:pStyle w:val="oj-normal"/>
              <w:shd w:val="clear" w:color="auto" w:fill="FFFFFF"/>
              <w:spacing w:before="120" w:after="0"/>
              <w:jc w:val="both"/>
              <w:rPr>
                <w:lang w:val="ro-MD"/>
              </w:rPr>
            </w:pPr>
            <w:r>
              <w:rPr>
                <w:lang w:val="ro-MD"/>
              </w:rPr>
              <w:t>(7)   Toate evaluările se publică pe site-ul internet menționat la articolul 49 alineat</w:t>
            </w:r>
            <w:r>
              <w:rPr>
                <w:lang w:val="ro-MD"/>
              </w:rPr>
              <w: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45</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Evaluarea de către Comisie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Comisia efectuează, până la sfârșitul </w:t>
            </w:r>
            <w:r>
              <w:rPr>
                <w:lang w:val="ro-MD"/>
              </w:rPr>
              <w:t>anului 2024, o evaluare intermediară pentru a analiza fiecare fond din perspectiva eficacității, a eficienței, a relevanței, a coerenței și a valorii adăugate pentru Uniune. Comisia poate utiliza toate informațiile relevante disponibile deja în conformitat</w:t>
            </w:r>
            <w:r>
              <w:rPr>
                <w:lang w:val="ro-MD"/>
              </w:rPr>
              <w:t>e cu articolul 128 din Regulamentul financiar.</w:t>
            </w:r>
          </w:p>
          <w:p w:rsidR="002F15D7" w:rsidRDefault="006C2DA4">
            <w:pPr>
              <w:pStyle w:val="oj-normal"/>
              <w:shd w:val="clear" w:color="auto" w:fill="FFFFFF"/>
              <w:spacing w:before="120" w:after="0"/>
              <w:jc w:val="both"/>
              <w:rPr>
                <w:lang w:val="ro-MD"/>
              </w:rPr>
            </w:pPr>
            <w:r>
              <w:rPr>
                <w:lang w:val="ro-MD"/>
              </w:rPr>
              <w:t>(2)   Comisia efectuează, până la 31 decembrie 2031, o evaluare retrospectivă pentru a analiza fiecare fond din perspectiva eficacității, a eficienței, a relevanței, a coerenței și a valorii adăugate pentru Un</w:t>
            </w:r>
            <w:r>
              <w:rPr>
                <w:lang w:val="ro-MD"/>
              </w:rPr>
              <w:t>iune. În cazul FEDR, FSE+, Fondului de coeziune și FEAMPA, respectiva evaluare se axează în special pe impactul social, economic și teritorial al acestor fonduri în raport cu obiectivele de politică menționate la articolul 5 alineatul (1).</w:t>
            </w:r>
          </w:p>
          <w:p w:rsidR="002F15D7" w:rsidRDefault="006C2DA4">
            <w:pPr>
              <w:pStyle w:val="oj-normal"/>
              <w:shd w:val="clear" w:color="auto" w:fill="FFFFFF"/>
              <w:spacing w:before="120" w:after="0"/>
              <w:jc w:val="both"/>
              <w:rPr>
                <w:lang w:val="ro-MD"/>
              </w:rPr>
            </w:pPr>
            <w:r>
              <w:rPr>
                <w:lang w:val="ro-MD"/>
              </w:rPr>
              <w:t>(3)   Comisia pu</w:t>
            </w:r>
            <w:r>
              <w:rPr>
                <w:lang w:val="ro-MD"/>
              </w:rPr>
              <w:t>blică rezultatele evaluării retrospective pe site-ul său de internet și le comunică Parlamentului European, Consiliului, Comitetului Economic și Social European și Comitetului Regiunilor.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III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Vizibilitate, transparență și comunicare</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Secțiunea</w:t>
            </w:r>
            <w:r>
              <w:rPr>
                <w:rFonts w:ascii="Times New Roman" w:eastAsia="Times New Roman" w:hAnsi="Times New Roman"/>
                <w:b/>
                <w:bCs/>
                <w:sz w:val="24"/>
                <w:szCs w:val="24"/>
                <w:lang w:val="ro-MD"/>
              </w:rPr>
              <w:t xml:space="preserve"> I</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Vizibilitatea sprijinului din fonduri</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46</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Vizibilitate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Fiecare stat membru asigură:</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vizibilitatea sprijinului în toate activitățile care privesc operațiunile sprijinite de fonduri, acordând o atenție deosebită operațiunilor de importanță strategică;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informarea cetățenilor Uniunii cu privire la rolul și realizările fondurilor </w:t>
                  </w:r>
                  <w:r>
                    <w:rPr>
                      <w:rFonts w:ascii="Times New Roman" w:eastAsia="Times New Roman" w:hAnsi="Times New Roman"/>
                      <w:sz w:val="24"/>
                      <w:szCs w:val="24"/>
                      <w:lang w:val="ro-MD"/>
                    </w:rPr>
                    <w:t>prin intermediul unui portal unic de internet care oferă acces la toate programele care implică statul membru respectiv.</w:t>
                  </w:r>
                </w:p>
              </w:tc>
            </w:tr>
          </w:tbl>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360"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47</w:t>
            </w:r>
          </w:p>
          <w:p w:rsidR="002F15D7" w:rsidRDefault="006C2DA4">
            <w:pPr>
              <w:shd w:val="clear" w:color="auto" w:fill="FFFFFF"/>
              <w:suppressAutoHyphens w:val="0"/>
              <w:spacing w:before="60" w:after="0"/>
              <w:jc w:val="center"/>
            </w:pPr>
            <w:r>
              <w:rPr>
                <w:rFonts w:ascii="Times New Roman" w:eastAsia="Times New Roman" w:hAnsi="Times New Roman"/>
                <w:b/>
                <w:bCs/>
                <w:sz w:val="24"/>
                <w:szCs w:val="24"/>
                <w:lang w:val="ro-MD"/>
              </w:rPr>
              <w:t>Emblema Uniunii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w:t>
            </w:r>
            <w:r>
              <w:rPr>
                <w:rFonts w:ascii="Times New Roman" w:hAnsi="Times New Roman"/>
                <w:sz w:val="24"/>
                <w:szCs w:val="24"/>
                <w:lang w:val="ro-MD"/>
              </w:rPr>
              <w:t>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Statele membre, autoritățile de management și beneficiarii utilizează emblema Uniunii în conformitate cu anexa IX atunci când desfășoară activități de vizibilitate, transparență și comunicare.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48</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Responsabili cu comunicarea și rețele de comunicare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Fiecare stat membru </w:t>
            </w:r>
            <w:r>
              <w:rPr>
                <w:rFonts w:ascii="Times New Roman" w:eastAsia="Times New Roman" w:hAnsi="Times New Roman"/>
                <w:sz w:val="24"/>
                <w:szCs w:val="24"/>
                <w:lang w:val="ro-MD"/>
              </w:rPr>
              <w:t>desemnează un coordonator pentru comunicare pentru activitățile de vizibilitate, transparență și comunicare în legătură cu sprijinul din fonduri, inclusiv pentru programele din cadrul obiectivului Cooperare teritorială europeană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 în cazul în car</w:t>
            </w:r>
            <w:r>
              <w:rPr>
                <w:rFonts w:ascii="Times New Roman" w:eastAsia="Times New Roman" w:hAnsi="Times New Roman"/>
                <w:sz w:val="24"/>
                <w:szCs w:val="24"/>
                <w:lang w:val="ro-MD"/>
              </w:rPr>
              <w:t>e statul membru respectiv găzduiește autoritatea de management. Coordonatorul pentru comunicare poate fi numit la nivelul organismului definit la articolul 71 alineatul (6) și coordonează măsurile de comunicare și vizibilitate între programe.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Coordonatorul</w:t>
            </w:r>
            <w:r>
              <w:rPr>
                <w:rFonts w:ascii="Times New Roman" w:eastAsia="Times New Roman" w:hAnsi="Times New Roman"/>
                <w:sz w:val="24"/>
                <w:szCs w:val="24"/>
                <w:lang w:val="ro-MD"/>
              </w:rPr>
              <w:t xml:space="preserve"> pentru comunicare implică în activitățile de vizibilitate, transparență și comunicare următoarele organisme: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reprezentanțele Comisiei Europene și birourile de legătură ale Parlamentului European din statele membre, precum și centrele de informare </w:t>
                  </w:r>
                  <w:r>
                    <w:rPr>
                      <w:rFonts w:ascii="Times New Roman" w:eastAsia="Times New Roman" w:hAnsi="Times New Roman"/>
                      <w:sz w:val="24"/>
                      <w:szCs w:val="24"/>
                      <w:lang w:val="ro-MD"/>
                    </w:rPr>
                    <w:t>Europe Direct și alte rețele, instituții de învățământ și organizații de cercetare relevante;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alți parteneri relevanți, astfel cum se menționează la articolul 8 alineatul (1).</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(2)   Fiecare autoritate de management desemnează un responsabil cu </w:t>
            </w:r>
            <w:r>
              <w:rPr>
                <w:rFonts w:ascii="Times New Roman" w:eastAsia="Times New Roman" w:hAnsi="Times New Roman"/>
                <w:sz w:val="24"/>
                <w:szCs w:val="24"/>
                <w:lang w:val="ro-MD"/>
              </w:rPr>
              <w:t>comunicarea pentru fiecare program. Un responsabil cu comunicarea poate răspunde de mai multe programe.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(3)   Comisia menține rețeaua compusă din coordonatorii pentru comunicare, responsabilii cu comunicarea și reprezentanți ai Comisiei pentru a face schim</w:t>
            </w:r>
            <w:r>
              <w:rPr>
                <w:rFonts w:ascii="Times New Roman" w:eastAsia="Times New Roman" w:hAnsi="Times New Roman"/>
                <w:sz w:val="24"/>
                <w:szCs w:val="24"/>
                <w:lang w:val="ro-MD"/>
              </w:rPr>
              <w:t>b de informații privind activitățile de vizibilitate, transparență și comunicare.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Secțiunea II</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Transparența execuției fondurilor și comunicarea cu privire la programe</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49</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Responsabilitățile autorității de management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Autoritatea de management se asigură că, în termen de șase luni de la decizia prin care se aprobă programul, </w:t>
            </w:r>
            <w:r>
              <w:rPr>
                <w:rFonts w:ascii="Times New Roman" w:eastAsia="Times New Roman" w:hAnsi="Times New Roman"/>
                <w:sz w:val="24"/>
                <w:szCs w:val="24"/>
                <w:lang w:val="ro-MD"/>
              </w:rPr>
              <w:t>informațiile privind programele aflate sub responsabilitatea sa sunt puse la dispoziție pe un site de internet, care prezintă inclusiv obiectivele, activitățile, posibilitățile de finanțare disponibile și realizările programelor.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(2)   Autoritatea de </w:t>
            </w:r>
            <w:r>
              <w:rPr>
                <w:rFonts w:ascii="Times New Roman" w:eastAsia="Times New Roman" w:hAnsi="Times New Roman"/>
                <w:sz w:val="24"/>
                <w:szCs w:val="24"/>
                <w:lang w:val="ro-MD"/>
              </w:rPr>
              <w:t xml:space="preserve">management se asigură că pe site-ul internet menționat la alineatul (1) sau pe portalul unic de internet menționat la articolul 46 litera (b) este publicat un calendar al cererilor de propuneri planificate, care este actualizat de cel puțin trei ori pe an </w:t>
            </w:r>
            <w:r>
              <w:rPr>
                <w:rFonts w:ascii="Times New Roman" w:eastAsia="Times New Roman" w:hAnsi="Times New Roman"/>
                <w:sz w:val="24"/>
                <w:szCs w:val="24"/>
                <w:lang w:val="ro-MD"/>
              </w:rPr>
              <w:t>și conține următoarele date orientative: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zona geografică vizată de cererea de propuneri;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obiectivul de politică sau obiectivul specific vizat;</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56"/>
              <w:gridCol w:w="3472"/>
            </w:tblGrid>
            <w:tr w:rsidR="002F15D7">
              <w:tblPrEx>
                <w:tblCellMar>
                  <w:top w:w="0" w:type="dxa"/>
                  <w:bottom w:w="0" w:type="dxa"/>
                </w:tblCellMar>
              </w:tblPrEx>
              <w:tc>
                <w:tcPr>
                  <w:tcW w:w="356"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472"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tipul de solicitanți eligibili;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cuantumul total al sprijinului pentru cererea de propuneri;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data de începere și de încheiere a cererii de propuneri.</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(3)   Autoritatea de management publică pe site-ul de internet lista operațiunilor selectate pentru sprijin din fonduri în cel puțin una dintre limbile oficiale ale instituțiilor Uniunii și </w:t>
            </w:r>
            <w:r>
              <w:rPr>
                <w:rFonts w:ascii="Times New Roman" w:eastAsia="Times New Roman" w:hAnsi="Times New Roman"/>
                <w:sz w:val="24"/>
                <w:szCs w:val="24"/>
                <w:lang w:val="ro-MD"/>
              </w:rPr>
              <w:t>actualizează lista respectivă cel puțin la fiecare patru luni. Fiecare operațiune are un cod unic. Lista conține următoarele date: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cazul persoanelor juridice, denumirea beneficiarului și, în cazul unei achiziții publice, denumirea contractantului;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cazul în care beneficiarul este o persoană fizică, prenumele și numele;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 xml:space="preserve">pentru operațiuni FEAMPA în legătură cu o navă de pescuit, numărul de identificare din registrul flotei de pescuit a Uniunii, astfel cum se prevede în Regulamentul de </w:t>
                  </w:r>
                  <w:r>
                    <w:rPr>
                      <w:rFonts w:ascii="Times New Roman" w:eastAsia="Times New Roman" w:hAnsi="Times New Roman"/>
                      <w:sz w:val="24"/>
                      <w:szCs w:val="24"/>
                      <w:lang w:val="ro-MD"/>
                    </w:rPr>
                    <w:t>punere în aplicare (UE) 2017/218 al Comisiei </w:t>
                  </w:r>
                  <w:hyperlink r:id="rId21"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47</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36"/>
              <w:gridCol w:w="3392"/>
            </w:tblGrid>
            <w:tr w:rsidR="002F15D7">
              <w:tblPrEx>
                <w:tblCellMar>
                  <w:top w:w="0" w:type="dxa"/>
                  <w:bottom w:w="0" w:type="dxa"/>
                </w:tblCellMar>
              </w:tblPrEx>
              <w:tc>
                <w:tcPr>
                  <w:tcW w:w="436"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392"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denumirea operațiunii;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scopul operațiunii și </w:t>
                  </w:r>
                  <w:r>
                    <w:rPr>
                      <w:rFonts w:ascii="Times New Roman" w:eastAsia="Times New Roman" w:hAnsi="Times New Roman"/>
                      <w:sz w:val="24"/>
                      <w:szCs w:val="24"/>
                      <w:lang w:val="ro-MD"/>
                    </w:rPr>
                    <w:t>realizările preconizate sau efective ale acesteia;</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3"/>
              <w:gridCol w:w="3535"/>
            </w:tblGrid>
            <w:tr w:rsidR="002F15D7">
              <w:tblPrEx>
                <w:tblCellMar>
                  <w:top w:w="0" w:type="dxa"/>
                  <w:bottom w:w="0" w:type="dxa"/>
                </w:tblCellMar>
              </w:tblPrEx>
              <w:tc>
                <w:tcPr>
                  <w:tcW w:w="293"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35"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data de începere a operațiunii;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data preconizată sau efectivă de încheiere a operațiunii;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91"/>
              <w:gridCol w:w="3437"/>
            </w:tblGrid>
            <w:tr w:rsidR="002F15D7">
              <w:tblPrEx>
                <w:tblCellMar>
                  <w:top w:w="0" w:type="dxa"/>
                  <w:bottom w:w="0" w:type="dxa"/>
                </w:tblCellMar>
              </w:tblPrEx>
              <w:tc>
                <w:tcPr>
                  <w:tcW w:w="39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(h)</w:t>
                  </w:r>
                </w:p>
              </w:tc>
              <w:tc>
                <w:tcPr>
                  <w:tcW w:w="343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costul total al operațiunii;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601"/>
              <w:gridCol w:w="3227"/>
            </w:tblGrid>
            <w:tr w:rsidR="002F15D7">
              <w:tblPrEx>
                <w:tblCellMar>
                  <w:top w:w="0" w:type="dxa"/>
                  <w:bottom w:w="0" w:type="dxa"/>
                </w:tblCellMar>
              </w:tblPrEx>
              <w:tc>
                <w:tcPr>
                  <w:tcW w:w="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fondul vizat;</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36"/>
              <w:gridCol w:w="3492"/>
            </w:tblGrid>
            <w:tr w:rsidR="002F15D7">
              <w:tblPrEx>
                <w:tblCellMar>
                  <w:top w:w="0" w:type="dxa"/>
                  <w:bottom w:w="0" w:type="dxa"/>
                </w:tblCellMar>
              </w:tblPrEx>
              <w:tc>
                <w:tcPr>
                  <w:tcW w:w="336"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(j)</w:t>
                  </w:r>
                </w:p>
              </w:tc>
              <w:tc>
                <w:tcPr>
                  <w:tcW w:w="3492"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obiectivul specific vizat;</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481"/>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(k)</w:t>
                  </w:r>
                </w:p>
              </w:tc>
              <w:tc>
                <w:tcPr>
                  <w:tcW w:w="34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rata de </w:t>
                  </w:r>
                  <w:r>
                    <w:rPr>
                      <w:rFonts w:ascii="Times New Roman" w:eastAsia="Times New Roman" w:hAnsi="Times New Roman"/>
                      <w:sz w:val="24"/>
                      <w:szCs w:val="24"/>
                      <w:lang w:val="ro-MD"/>
                    </w:rPr>
                    <w:t>cofinanțare a Uniunii;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(l)</w:t>
                  </w:r>
                </w:p>
              </w:tc>
              <w:tc>
                <w:tcPr>
                  <w:tcW w:w="36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indicatorul de localizare sau datele de </w:t>
                  </w:r>
                  <w:proofErr w:type="spellStart"/>
                  <w:r>
                    <w:rPr>
                      <w:rFonts w:ascii="Times New Roman" w:eastAsia="Times New Roman" w:hAnsi="Times New Roman"/>
                      <w:sz w:val="24"/>
                      <w:szCs w:val="24"/>
                      <w:lang w:val="ro-MD"/>
                    </w:rPr>
                    <w:t>geolocalizare</w:t>
                  </w:r>
                  <w:proofErr w:type="spellEnd"/>
                  <w:r>
                    <w:rPr>
                      <w:rFonts w:ascii="Times New Roman" w:eastAsia="Times New Roman" w:hAnsi="Times New Roman"/>
                      <w:sz w:val="24"/>
                      <w:szCs w:val="24"/>
                      <w:lang w:val="ro-MD"/>
                    </w:rPr>
                    <w:t xml:space="preserve"> pentru operațiunea și țara în cauză;</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481"/>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(m)</w:t>
                  </w:r>
                </w:p>
              </w:tc>
              <w:tc>
                <w:tcPr>
                  <w:tcW w:w="34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pentru operațiuni mobile sau operațiuni care acoperă mai multe locuri, localizarea beneficiarului, atunci când acesta este o </w:t>
                  </w:r>
                  <w:r>
                    <w:rPr>
                      <w:rFonts w:ascii="Times New Roman" w:eastAsia="Times New Roman" w:hAnsi="Times New Roman"/>
                      <w:sz w:val="24"/>
                      <w:szCs w:val="24"/>
                      <w:lang w:val="ro-MD"/>
                    </w:rPr>
                    <w:t>persoană juridică, sau nivelul de regiune NUTS 2, atunci când beneficiarul este o persoană fizică;</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(n)</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tipul de intervenție pentru operațiune, în conformitate cu articolul 73 alineatul (2) litera (g).</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Datele menționate la primul paragraf literele (b) și</w:t>
            </w:r>
            <w:r>
              <w:rPr>
                <w:rFonts w:ascii="Times New Roman" w:eastAsia="Times New Roman" w:hAnsi="Times New Roman"/>
                <w:sz w:val="24"/>
                <w:szCs w:val="24"/>
                <w:lang w:val="ro-MD"/>
              </w:rPr>
              <w:t xml:space="preserve"> (c) se șterg după doi ani de la data publicării inițiale pe site-ul internet.</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(4)   Datele menționate la alineatele (2) și (3) de la prezentul articol se publică pe site-ul internet menționat la alineatul (1) sau pe portalul unic de internet menționat la </w:t>
            </w:r>
            <w:r>
              <w:rPr>
                <w:rFonts w:ascii="Times New Roman" w:eastAsia="Times New Roman" w:hAnsi="Times New Roman"/>
                <w:sz w:val="24"/>
                <w:szCs w:val="24"/>
                <w:lang w:val="ro-MD"/>
              </w:rPr>
              <w:t>articolul 46 litera (b) din prezentul regulament, în formate deschise și prelucrabile automat, potrivit articolului 5 alineatul (1) din Directiva (UE) 2019/1024 a Parlamentului European și a Consiliului </w:t>
            </w:r>
            <w:hyperlink r:id="rId22"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48</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care permit sortarea, căutarea, extragerea, compararea și reutilizarea datelor.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(5)   Înainte de publicarea datelor în conformitate cu prezentul articol, </w:t>
            </w:r>
            <w:r>
              <w:rPr>
                <w:rFonts w:ascii="Times New Roman" w:eastAsia="Times New Roman" w:hAnsi="Times New Roman"/>
                <w:sz w:val="24"/>
                <w:szCs w:val="24"/>
                <w:lang w:val="ro-MD"/>
              </w:rPr>
              <w:t>autoritatea de management informează beneficiarii că datele vor fi publicate.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(6)   Autoritatea de management se asigură că materialele de comunicare și vizibilitate, inclusiv cele de la nivelul beneficiarilor, sunt puse la dispoziția instituțiilor, organe</w:t>
            </w:r>
            <w:r>
              <w:rPr>
                <w:rFonts w:ascii="Times New Roman" w:eastAsia="Times New Roman" w:hAnsi="Times New Roman"/>
                <w:sz w:val="24"/>
                <w:szCs w:val="24"/>
                <w:lang w:val="ro-MD"/>
              </w:rPr>
              <w:t>lor, oficiilor sau agențiilor Uniunii, la cererea acestora, și că se acordă Uniunii o licență fără redevențe, neexclusivă și irevocabilă pentru utilizarea acestor materiale și a oricăror drepturi preexistente aferente acestora, în conformitate cu anexa IX.</w:t>
            </w:r>
            <w:r>
              <w:rPr>
                <w:rFonts w:ascii="Times New Roman" w:eastAsia="Times New Roman" w:hAnsi="Times New Roman"/>
                <w:sz w:val="24"/>
                <w:szCs w:val="24"/>
                <w:lang w:val="ro-MD"/>
              </w:rPr>
              <w:t xml:space="preserve"> Acest lucru nu implică costuri suplimentare semnificative și nici o sarcină administrativă semnificativă pentru beneficiari sau pentru autoritatea de management.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50</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Responsabilitățile beneficiarilor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w:t>
            </w:r>
            <w:r>
              <w:rPr>
                <w:rFonts w:ascii="Times New Roman" w:hAnsi="Times New Roman"/>
                <w:sz w:val="24"/>
                <w:szCs w:val="24"/>
                <w:lang w:val="ro-MD"/>
              </w:rPr>
              <w:t>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Beneficiarii și organismele care execută instrumentele financiare menționează sprijinul din partea fondurilor pentru operațiune, </w:t>
            </w:r>
            <w:r>
              <w:rPr>
                <w:rFonts w:ascii="Times New Roman" w:eastAsia="Times New Roman" w:hAnsi="Times New Roman"/>
                <w:sz w:val="24"/>
                <w:szCs w:val="24"/>
                <w:lang w:val="ro-MD"/>
              </w:rPr>
              <w:t>inclusiv resursele reutilizate în conformitate cu articolul 62, prin:</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afișarea pe site-ul oficial de internet, dacă există, și pe paginile de comunicare socială ale beneficiarului a unei scurte descrieri a operațiunii, proporțională cu nivelul sprijinu</w:t>
                  </w:r>
                  <w:r>
                    <w:rPr>
                      <w:rFonts w:ascii="Times New Roman" w:eastAsia="Times New Roman" w:hAnsi="Times New Roman"/>
                      <w:sz w:val="24"/>
                      <w:szCs w:val="24"/>
                      <w:lang w:val="ro-MD"/>
                    </w:rPr>
                    <w:t>lui, inclusiv a scopurilor și rezultatelor acesteia, evidențiind sprijinul financiar din partea Uniunii;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includerea unei mențiuni care subliniază sprijinul din partea Uniunii într-un mod vizibil în documentele și în materialele de comunicare referito</w:t>
                  </w:r>
                  <w:r>
                    <w:rPr>
                      <w:rFonts w:ascii="Times New Roman" w:eastAsia="Times New Roman" w:hAnsi="Times New Roman"/>
                      <w:sz w:val="24"/>
                      <w:szCs w:val="24"/>
                      <w:lang w:val="ro-MD"/>
                    </w:rPr>
                    <w:t>are la implementarea operațiunii care sunt destinate publicului sau participanților;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expunerea, de la începerea implementării fizice a operațiunilor care implică investiții fizice sau de la instalarea echipamentelor achiziționate, a unor plăci sau </w:t>
                  </w:r>
                  <w:r>
                    <w:rPr>
                      <w:rFonts w:ascii="Times New Roman" w:eastAsia="Times New Roman" w:hAnsi="Times New Roman"/>
                      <w:sz w:val="24"/>
                      <w:szCs w:val="24"/>
                      <w:lang w:val="ro-MD"/>
                    </w:rPr>
                    <w:t>panouri rezistente, clar vizibile publicului, care conțin emblema Uniunii în conformitate cu caracteristicile tehnice stabilite în anexa IX și informații cu privire la:</w:t>
                  </w:r>
                </w:p>
                <w:tbl>
                  <w:tblPr>
                    <w:tblW w:w="5000" w:type="pct"/>
                    <w:tblCellMar>
                      <w:left w:w="10" w:type="dxa"/>
                      <w:right w:w="10" w:type="dxa"/>
                    </w:tblCellMar>
                    <w:tblLook w:val="04A0" w:firstRow="1" w:lastRow="0" w:firstColumn="1" w:lastColumn="0" w:noHBand="0" w:noVBand="1"/>
                  </w:tblPr>
                  <w:tblGrid>
                    <w:gridCol w:w="227"/>
                    <w:gridCol w:w="3334"/>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3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operațiunile sprijinite din FEDR și Fondul de coeziune al căror cost total depășeșt</w:t>
                        </w:r>
                        <w:r>
                          <w:rPr>
                            <w:rFonts w:ascii="Times New Roman" w:eastAsia="Times New Roman" w:hAnsi="Times New Roman"/>
                            <w:sz w:val="24"/>
                            <w:szCs w:val="24"/>
                            <w:lang w:val="ro-MD"/>
                          </w:rPr>
                          <w:t>e 500 000 EUR;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67"/>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operațiunile sprijinite din FSE+, FTJ, FEAMPA, FAMI, FSI sau de IMFV al căror cost total depășește 100 000 EUR;</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cazul operațiunilor care nu se încadrează la litera (c), prin expunerea într-un loc ușor vizibil publicului cel</w:t>
                  </w:r>
                  <w:r>
                    <w:rPr>
                      <w:rFonts w:ascii="Times New Roman" w:eastAsia="Times New Roman" w:hAnsi="Times New Roman"/>
                      <w:sz w:val="24"/>
                      <w:szCs w:val="24"/>
                      <w:lang w:val="ro-MD"/>
                    </w:rPr>
                    <w:t xml:space="preserve"> puțin a unui afiș cu dimensiunea minimă A3 sau a unui afișaj electronic echivalent conținând informații despre operațiune care evidențiază sprijinul din partea fondurilor; în cazul în care beneficiarul este o persoană fizică, acesta se asigură, în măsura </w:t>
                  </w:r>
                  <w:r>
                    <w:rPr>
                      <w:rFonts w:ascii="Times New Roman" w:eastAsia="Times New Roman" w:hAnsi="Times New Roman"/>
                      <w:sz w:val="24"/>
                      <w:szCs w:val="24"/>
                      <w:lang w:val="ro-MD"/>
                    </w:rPr>
                    <w:t>posibilului, că sunt disponibile informații adecvate care evidențiază sprijinul din partea fondurilor, într-un loc vizibil publicului sau prin intermediul unui afișaj electronic;</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în cazul operațiunilor de importanță strategică și al operațiunilor al </w:t>
                  </w:r>
                  <w:r>
                    <w:rPr>
                      <w:rFonts w:ascii="Times New Roman" w:eastAsia="Times New Roman" w:hAnsi="Times New Roman"/>
                      <w:sz w:val="24"/>
                      <w:szCs w:val="24"/>
                      <w:lang w:val="ro-MD"/>
                    </w:rPr>
                    <w:t>căror cost total depășește 10 000 000 EUR, prin organizarea unui eveniment sau a unei activități de comunicare, după caz, cu implicarea Comisiei și a autorității de management competente în timp util.</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cazul în care un beneficiar al FSE+ este o persoană</w:t>
            </w:r>
            <w:r>
              <w:rPr>
                <w:rFonts w:ascii="Times New Roman" w:eastAsia="Times New Roman" w:hAnsi="Times New Roman"/>
                <w:sz w:val="24"/>
                <w:szCs w:val="24"/>
                <w:lang w:val="ro-MD"/>
              </w:rPr>
              <w:t xml:space="preserve"> fizică sau pentru operațiunile sprijinite în cadrul obiectivului specific prevăzut la articolul 4 alineatul (1) litera (m) din Regulamentul FSE+, cerința prevăzută la litera (d) de la primul paragraf nu se aplică.</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Prin derogare de la primul paragraf liter</w:t>
            </w:r>
            <w:r>
              <w:rPr>
                <w:rFonts w:ascii="Times New Roman" w:eastAsia="Times New Roman" w:hAnsi="Times New Roman"/>
                <w:sz w:val="24"/>
                <w:szCs w:val="24"/>
                <w:lang w:val="ro-MD"/>
              </w:rPr>
              <w:t>ele (c) și (d), pentru operațiunile sprijinite din FAMI, FSI și de IMFV, documentul care stabilește condițiile de acordare a sprijinului poate stabili cerințe specifice pentru afișarea publică a informațiilor privind sprijinul din partea fondurilor, în caz</w:t>
            </w:r>
            <w:r>
              <w:rPr>
                <w:rFonts w:ascii="Times New Roman" w:eastAsia="Times New Roman" w:hAnsi="Times New Roman"/>
                <w:sz w:val="24"/>
                <w:szCs w:val="24"/>
                <w:lang w:val="ro-MD"/>
              </w:rPr>
              <w:t>ul în care acest lucru este justificat de motive de securitate și de ordine publică în conformitate cu articolul 69 alineatul (5).</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În cazul fondurilor pentru proiecte mici, beneficiarul respectă obligațiile prevăzute la articolul 36 alineatul (5) din</w:t>
            </w:r>
            <w:r>
              <w:rPr>
                <w:rFonts w:ascii="Times New Roman" w:eastAsia="Times New Roman" w:hAnsi="Times New Roman"/>
                <w:sz w:val="24"/>
                <w:szCs w:val="24"/>
                <w:lang w:val="ro-MD"/>
              </w:rPr>
              <w:t xml:space="preserve"> Regulamentul </w:t>
            </w:r>
            <w:proofErr w:type="spellStart"/>
            <w:r>
              <w:rPr>
                <w:rFonts w:ascii="Times New Roman" w:eastAsia="Times New Roman" w:hAnsi="Times New Roman"/>
                <w:sz w:val="24"/>
                <w:szCs w:val="24"/>
                <w:lang w:val="ro-MD"/>
              </w:rPr>
              <w:t>Interreg</w:t>
            </w:r>
            <w:proofErr w:type="spellEnd"/>
            <w:r>
              <w:rPr>
                <w:rFonts w:ascii="Times New Roman" w:eastAsia="Times New Roman" w:hAnsi="Times New Roman"/>
                <w:sz w:val="24"/>
                <w:szCs w:val="24"/>
                <w:lang w:val="ro-MD"/>
              </w:rPr>
              <w: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cazul instrumentelor financiare, beneficiarul se asigură, prin intermediul condițiilor contractuale, că destinatarii finali respectă cerințele prevăzute la alineatul (1) litera (c).</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(3)   În cazul în care beneficiarul nu își resp</w:t>
            </w:r>
            <w:r>
              <w:rPr>
                <w:rFonts w:ascii="Times New Roman" w:eastAsia="Times New Roman" w:hAnsi="Times New Roman"/>
                <w:sz w:val="24"/>
                <w:szCs w:val="24"/>
                <w:lang w:val="ro-MD"/>
              </w:rPr>
              <w:t>ectă obligațiile ce îi revin în temeiul articolului 47 sau al alineatelor (1) și (2) de la prezentul articol și în cazul în care nu se iau măsuri de remediere, autoritatea de management aplică măsuri, cu luarea în considerare a principiului proporționalită</w:t>
            </w:r>
            <w:r>
              <w:rPr>
                <w:rFonts w:ascii="Times New Roman" w:eastAsia="Times New Roman" w:hAnsi="Times New Roman"/>
                <w:sz w:val="24"/>
                <w:szCs w:val="24"/>
                <w:lang w:val="ro-MD"/>
              </w:rPr>
              <w:t>ții, anulând până la 3 % din sprijinul din partea fondurilor pentru operațiunea în cauză.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TITLUL V</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SPRIJINUL FINANCIAR DIN FONDURI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CAPITOLUL I</w:t>
            </w:r>
          </w:p>
          <w:p w:rsidR="002F15D7" w:rsidRDefault="006C2DA4">
            <w:pPr>
              <w:shd w:val="clear" w:color="auto" w:fill="FFFFFF"/>
              <w:suppressAutoHyphens w:val="0"/>
              <w:spacing w:after="120"/>
              <w:jc w:val="center"/>
            </w:pPr>
            <w:r>
              <w:rPr>
                <w:rFonts w:ascii="Times New Roman" w:eastAsia="Times New Roman" w:hAnsi="Times New Roman"/>
                <w:b/>
                <w:bCs/>
                <w:i/>
                <w:iCs/>
                <w:sz w:val="24"/>
                <w:szCs w:val="24"/>
                <w:lang w:val="ro-MD"/>
              </w:rPr>
              <w:t>Formele contribuției Uniunii</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51</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Formele contribuției Uniunii la programe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Contribuția Uniunii poate lua oricare dintre următoarele forme: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finanțare nelegată de costurile operațiunilor</w:t>
                  </w:r>
                  <w:r>
                    <w:rPr>
                      <w:rFonts w:ascii="Times New Roman" w:eastAsia="Times New Roman" w:hAnsi="Times New Roman"/>
                      <w:sz w:val="24"/>
                      <w:szCs w:val="24"/>
                      <w:lang w:val="ro-MD"/>
                    </w:rPr>
                    <w:t xml:space="preserve"> relevante, în conformitate cu articolul 95, și bazată pe oricare dintre următoarele:</w:t>
                  </w:r>
                </w:p>
                <w:tbl>
                  <w:tblPr>
                    <w:tblW w:w="5000" w:type="pct"/>
                    <w:tblCellMar>
                      <w:left w:w="10" w:type="dxa"/>
                      <w:right w:w="10" w:type="dxa"/>
                    </w:tblCellMar>
                    <w:tblLook w:val="04A0" w:firstRow="1" w:lastRow="0" w:firstColumn="1" w:lastColumn="0" w:noHBand="0" w:noVBand="1"/>
                  </w:tblPr>
                  <w:tblGrid>
                    <w:gridCol w:w="296"/>
                    <w:gridCol w:w="3265"/>
                  </w:tblGrid>
                  <w:tr w:rsidR="002F15D7">
                    <w:tblPrEx>
                      <w:tblCellMar>
                        <w:top w:w="0" w:type="dxa"/>
                        <w:bottom w:w="0" w:type="dxa"/>
                      </w:tblCellMar>
                    </w:tblPrEx>
                    <w:tc>
                      <w:tcPr>
                        <w:tcW w:w="296"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265"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îndeplinirea unor condiții;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99"/>
                    <w:gridCol w:w="3162"/>
                  </w:tblGrid>
                  <w:tr w:rsidR="002F15D7">
                    <w:tblPrEx>
                      <w:tblCellMar>
                        <w:top w:w="0" w:type="dxa"/>
                        <w:bottom w:w="0" w:type="dxa"/>
                      </w:tblCellMar>
                    </w:tblPrEx>
                    <w:tc>
                      <w:tcPr>
                        <w:tcW w:w="399"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162"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atingerea unor rezultate;</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rambursarea sprijinului acordat beneficiarilor în conformitate cu capitolele II și III din </w:t>
                  </w:r>
                  <w:r>
                    <w:rPr>
                      <w:rFonts w:ascii="Times New Roman" w:eastAsia="Times New Roman" w:hAnsi="Times New Roman"/>
                      <w:sz w:val="24"/>
                      <w:szCs w:val="24"/>
                      <w:lang w:val="ro-MD"/>
                    </w:rPr>
                    <w:t>prezentul titlu;</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costuri unitare în conformitate cu articolul 94, care includ toate sau anumite categorii specifice de costuri eligibile, clar identificate în prealabil printr-o trimitere la un cuantum pe unitate;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sume forfetare în conformitate</w:t>
                  </w:r>
                  <w:r>
                    <w:rPr>
                      <w:rFonts w:ascii="Times New Roman" w:eastAsia="Times New Roman" w:hAnsi="Times New Roman"/>
                      <w:sz w:val="24"/>
                      <w:szCs w:val="24"/>
                      <w:lang w:val="ro-MD"/>
                    </w:rPr>
                    <w:t xml:space="preserve"> cu articolul 94, care includ, în mod global, toate sau anumite categorii specifice de costuri eligibile, clar identificate în prealabil;</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finanțare la rate forfetare în conformitate cu articolul 94 sau cu articolul 36 alineatul (5), care include cate</w:t>
                  </w:r>
                  <w:r>
                    <w:rPr>
                      <w:rFonts w:ascii="Times New Roman" w:eastAsia="Times New Roman" w:hAnsi="Times New Roman"/>
                      <w:sz w:val="24"/>
                      <w:szCs w:val="24"/>
                      <w:lang w:val="ro-MD"/>
                    </w:rPr>
                    <w:t>gorii specifice de costuri eligibile, clar identificate în prealabil, prin aplicarea unui procent;</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 combinație între formele menționate la literele (a)-(e).</w:t>
                  </w:r>
                </w:p>
              </w:tc>
            </w:tr>
          </w:tbl>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pPr>
            <w:r>
              <w:rPr>
                <w:rFonts w:ascii="Times New Roman" w:eastAsia="Times New Roman" w:hAnsi="Times New Roman"/>
                <w:b/>
                <w:bCs/>
                <w:i/>
                <w:iCs/>
                <w:sz w:val="28"/>
                <w:szCs w:val="28"/>
                <w:lang w:val="ro-MD"/>
              </w:rPr>
              <w:t>CAPITOLUL II</w:t>
            </w:r>
          </w:p>
          <w:p w:rsidR="002F15D7" w:rsidRDefault="006C2DA4">
            <w:pPr>
              <w:shd w:val="clear" w:color="auto" w:fill="FFFFFF"/>
              <w:suppressAutoHyphens w:val="0"/>
              <w:spacing w:after="120"/>
              <w:jc w:val="center"/>
            </w:pPr>
            <w:r>
              <w:rPr>
                <w:rFonts w:ascii="Times New Roman" w:eastAsia="Times New Roman" w:hAnsi="Times New Roman"/>
                <w:b/>
                <w:bCs/>
                <w:i/>
                <w:iCs/>
                <w:sz w:val="28"/>
                <w:szCs w:val="28"/>
                <w:lang w:val="ro-MD"/>
              </w:rPr>
              <w:t>Formele sprijinului din partea statelor membre</w:t>
            </w:r>
          </w:p>
          <w:p w:rsidR="002F15D7" w:rsidRDefault="006C2DA4">
            <w:pPr>
              <w:shd w:val="clear" w:color="auto" w:fill="FFFFFF"/>
              <w:suppressAutoHyphens w:val="0"/>
              <w:spacing w:after="120"/>
              <w:jc w:val="center"/>
              <w:rPr>
                <w:rFonts w:ascii="Times New Roman" w:eastAsia="Times New Roman" w:hAnsi="Times New Roman"/>
                <w:i/>
                <w:iCs/>
                <w:sz w:val="28"/>
                <w:szCs w:val="28"/>
                <w:lang w:val="ro-MD"/>
              </w:rPr>
            </w:pPr>
            <w:r>
              <w:rPr>
                <w:rFonts w:ascii="Times New Roman" w:eastAsia="Times New Roman" w:hAnsi="Times New Roman"/>
                <w:i/>
                <w:iCs/>
                <w:sz w:val="28"/>
                <w:szCs w:val="28"/>
                <w:lang w:val="ro-MD"/>
              </w:rPr>
              <w:t>Articolul 52</w:t>
            </w:r>
          </w:p>
          <w:p w:rsidR="002F15D7" w:rsidRDefault="006C2DA4">
            <w:pPr>
              <w:shd w:val="clear" w:color="auto" w:fill="FFFFFF"/>
              <w:suppressAutoHyphens w:val="0"/>
              <w:spacing w:after="120"/>
              <w:jc w:val="center"/>
            </w:pPr>
            <w:r>
              <w:rPr>
                <w:rFonts w:ascii="Times New Roman" w:eastAsia="Times New Roman" w:hAnsi="Times New Roman"/>
                <w:b/>
                <w:bCs/>
                <w:sz w:val="28"/>
                <w:szCs w:val="28"/>
                <w:lang w:val="ro-MD"/>
              </w:rPr>
              <w:t xml:space="preserve">Forme de </w:t>
            </w:r>
            <w:r>
              <w:rPr>
                <w:rFonts w:ascii="Times New Roman" w:eastAsia="Times New Roman" w:hAnsi="Times New Roman"/>
                <w:b/>
                <w:bCs/>
                <w:sz w:val="28"/>
                <w:szCs w:val="28"/>
                <w:lang w:val="ro-MD"/>
              </w:rPr>
              <w:t>sprijin</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 xml:space="preserve">Statele membre utilizează contribuția din fonduri pentru a oferi beneficiarilor sprijin </w:t>
            </w:r>
            <w:r>
              <w:rPr>
                <w:rFonts w:ascii="Times New Roman" w:eastAsia="Arial Unicode MS" w:hAnsi="Times New Roman"/>
                <w:sz w:val="24"/>
                <w:szCs w:val="24"/>
                <w:lang w:val="ro-MD"/>
              </w:rPr>
              <w:t>sub formă de granturi, instrumente financiare sau premii sau o combinație între acestea.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Secțiunea I</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Forme de granturi</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53</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Forme de granturi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w:t>
            </w:r>
            <w:r>
              <w:rPr>
                <w:rFonts w:ascii="Times New Roman" w:hAnsi="Times New Roman"/>
                <w:sz w:val="24"/>
                <w:szCs w:val="24"/>
                <w:lang w:val="ro-MD"/>
              </w:rPr>
              <w:t>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(1)   Granturile oferite de statele membre beneficiarilor pot lua oricare dintre următoarele forme: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rambursarea costurilor eligibile suportate efectiv de un beneficiar sau de partenerul privat din</w:t>
                  </w:r>
                  <w:r>
                    <w:rPr>
                      <w:rFonts w:ascii="Times New Roman" w:eastAsia="Times New Roman" w:hAnsi="Times New Roman"/>
                      <w:sz w:val="24"/>
                      <w:szCs w:val="24"/>
                      <w:lang w:val="ro-MD"/>
                    </w:rPr>
                    <w:t xml:space="preserve"> operațiunile PPP și plătite pentru implementarea operațiunilor, a contribuțiilor în natură și a amortizării;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621"/>
              <w:gridCol w:w="3207"/>
            </w:tblGrid>
            <w:tr w:rsidR="002F15D7">
              <w:tblPrEx>
                <w:tblCellMar>
                  <w:top w:w="0" w:type="dxa"/>
                  <w:bottom w:w="0" w:type="dxa"/>
                </w:tblCellMar>
              </w:tblPrEx>
              <w:tc>
                <w:tcPr>
                  <w:tcW w:w="62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20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costuri unitare;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592"/>
              <w:gridCol w:w="3236"/>
            </w:tblGrid>
            <w:tr w:rsidR="002F15D7">
              <w:tblPrEx>
                <w:tblCellMar>
                  <w:top w:w="0" w:type="dxa"/>
                  <w:bottom w:w="0" w:type="dxa"/>
                </w:tblCellMar>
              </w:tblPrEx>
              <w:tc>
                <w:tcPr>
                  <w:tcW w:w="592"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236"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sume forfetare;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91"/>
              <w:gridCol w:w="3437"/>
            </w:tblGrid>
            <w:tr w:rsidR="002F15D7">
              <w:tblPrEx>
                <w:tblCellMar>
                  <w:top w:w="0" w:type="dxa"/>
                  <w:bottom w:w="0" w:type="dxa"/>
                </w:tblCellMar>
              </w:tblPrEx>
              <w:tc>
                <w:tcPr>
                  <w:tcW w:w="39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43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finanțare la rate forfetare;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 combinație între formele menționate la literele (a)-(d), </w:t>
                  </w:r>
                  <w:r>
                    <w:rPr>
                      <w:rFonts w:ascii="Times New Roman" w:eastAsia="Times New Roman" w:hAnsi="Times New Roman"/>
                      <w:sz w:val="24"/>
                      <w:szCs w:val="24"/>
                      <w:lang w:val="ro-MD"/>
                    </w:rPr>
                    <w:t>cu condiția ca fiecare formă să acopere categorii diferite de costuri sau ca acestea să fie utilizate pentru proiecte diferite care fac parte dintr-o operațiune sau pentru etape succesive ale unei operațiuni;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finanțare nelegată de costuri, cu condiți</w:t>
                  </w:r>
                  <w:r>
                    <w:rPr>
                      <w:rFonts w:ascii="Times New Roman" w:eastAsia="Times New Roman" w:hAnsi="Times New Roman"/>
                      <w:sz w:val="24"/>
                      <w:szCs w:val="24"/>
                      <w:lang w:val="ro-MD"/>
                    </w:rPr>
                    <w:t>a ca astfel de granturi să fie acoperite printr-o rambursare a contribuției Uniunii în temeiul articolului 95.</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(2)   În cazul în care costul total al unei operațiuni nu depășește 200 000 EUR, contribuția acordată beneficiarului din FEDR, FSE+, FTJ, FAMI, </w:t>
            </w:r>
            <w:r>
              <w:rPr>
                <w:rFonts w:ascii="Times New Roman" w:eastAsia="Times New Roman" w:hAnsi="Times New Roman"/>
                <w:sz w:val="24"/>
                <w:szCs w:val="24"/>
                <w:lang w:val="ro-MD"/>
              </w:rPr>
              <w:t xml:space="preserve">FSI și IMFV ia forma costurilor unitare, a sumelor forfetare sau a ratelor forfetare, cu excepția operațiunilor pentru care sprijinul constituie ajutor de stat. Atunci când se utilizează finanțarea la rate forfetare, numai categoriile de costuri cărora li </w:t>
            </w:r>
            <w:r>
              <w:rPr>
                <w:rFonts w:ascii="Times New Roman" w:eastAsia="Times New Roman" w:hAnsi="Times New Roman"/>
                <w:sz w:val="24"/>
                <w:szCs w:val="24"/>
                <w:lang w:val="ro-MD"/>
              </w:rPr>
              <w:t>se aplică rata forfetară pot fi rambursate în conformitate cu alineatul (1) litera (a).</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Prin derogare de la primul paragraf de la prezentul alineat, autoritatea de management poate conveni să excepteze de la cerința prevăzută la paragraful menționat anumit</w:t>
            </w:r>
            <w:r>
              <w:rPr>
                <w:rFonts w:ascii="Times New Roman" w:eastAsia="Times New Roman" w:hAnsi="Times New Roman"/>
                <w:sz w:val="24"/>
                <w:szCs w:val="24"/>
                <w:lang w:val="ro-MD"/>
              </w:rPr>
              <w:t>e operațiuni din domeniul cercetării și inovării, cu condiția ca comitetul de monitorizare să fi aprobat în prealabil o astfel de exceptare. În plus, indemnizațiile și salariile plătite participanților pot fi rambursate în conformitate cu alineatul (1) lit</w:t>
            </w:r>
            <w:r>
              <w:rPr>
                <w:rFonts w:ascii="Times New Roman" w:eastAsia="Times New Roman" w:hAnsi="Times New Roman"/>
                <w:sz w:val="24"/>
                <w:szCs w:val="24"/>
                <w:lang w:val="ro-MD"/>
              </w:rPr>
              <w:t>era (a).</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Cuantumurile aferente formelor de granturi menționate la alineatul (1) literele (b), (c) și (d) se stabilesc în unul dintre următoarele moduri: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 metodă de calcul justă, echitabilă și verificabilă, bazată pe:</w:t>
                  </w:r>
                </w:p>
                <w:tbl>
                  <w:tblPr>
                    <w:tblW w:w="5000" w:type="pct"/>
                    <w:tblCellMar>
                      <w:left w:w="10" w:type="dxa"/>
                      <w:right w:w="10" w:type="dxa"/>
                    </w:tblCellMar>
                    <w:tblLook w:val="04A0" w:firstRow="1" w:lastRow="0" w:firstColumn="1" w:lastColumn="0" w:noHBand="0" w:noVBand="1"/>
                  </w:tblPr>
                  <w:tblGrid>
                    <w:gridCol w:w="227"/>
                    <w:gridCol w:w="3334"/>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3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date statistice, alte in</w:t>
                        </w:r>
                        <w:r>
                          <w:rPr>
                            <w:rFonts w:ascii="Times New Roman" w:eastAsia="Times New Roman" w:hAnsi="Times New Roman"/>
                            <w:sz w:val="24"/>
                            <w:szCs w:val="24"/>
                            <w:lang w:val="ro-MD"/>
                          </w:rPr>
                          <w:t>formații obiective sau avize ale experților;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67"/>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datele istorice verificate ale beneficiarilor individuali;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201"/>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aplicarea practicilor uzuale ale beneficiarilor individuali de contabilizare a costurilor;</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pPr>
                  <w:r>
                    <w:rPr>
                      <w:rFonts w:ascii="Times New Roman" w:eastAsia="Times New Roman" w:hAnsi="Times New Roman"/>
                      <w:sz w:val="24"/>
                      <w:szCs w:val="24"/>
                      <w:lang w:val="ro-MD"/>
                    </w:rPr>
                    <w:t>un proiect de buget întocmit de la caz</w:t>
                  </w:r>
                  <w:r>
                    <w:rPr>
                      <w:rFonts w:ascii="Times New Roman" w:eastAsia="Times New Roman" w:hAnsi="Times New Roman"/>
                      <w:sz w:val="24"/>
                      <w:szCs w:val="24"/>
                      <w:lang w:val="ro-MD"/>
                    </w:rPr>
                    <w:t xml:space="preserve"> la caz și convenit </w:t>
                  </w:r>
                  <w:r>
                    <w:rPr>
                      <w:rFonts w:ascii="Times New Roman" w:eastAsia="Times New Roman" w:hAnsi="Times New Roman"/>
                      <w:i/>
                      <w:iCs/>
                      <w:sz w:val="24"/>
                      <w:szCs w:val="24"/>
                      <w:lang w:val="ro-MD"/>
                    </w:rPr>
                    <w:t>ex ante</w:t>
                  </w:r>
                  <w:r>
                    <w:rPr>
                      <w:rFonts w:ascii="Times New Roman" w:eastAsia="Times New Roman" w:hAnsi="Times New Roman"/>
                      <w:sz w:val="24"/>
                      <w:szCs w:val="24"/>
                      <w:lang w:val="ro-MD"/>
                    </w:rPr>
                    <w:t> de către organismul care selectează operațiunea, în cazul în care costul total al operațiunii nu depășește 200 000 EUR;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în conformitate cu normele de aplicare a costurilor unitare, a sumelor forfetare și a ratelor </w:t>
                  </w:r>
                  <w:r>
                    <w:rPr>
                      <w:rFonts w:ascii="Times New Roman" w:eastAsia="Times New Roman" w:hAnsi="Times New Roman"/>
                      <w:sz w:val="24"/>
                      <w:szCs w:val="24"/>
                      <w:lang w:val="ro-MD"/>
                    </w:rPr>
                    <w:t>forfetare corespunzătoare aplicabile în cadrul politicilor Uniunii pentru un tip similar de operațiune;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în conformitate cu normele de aplicare a costurilor unitare, a sumelor forfetare și a ratelor forfetare corespunzătoare aplicate în cadrul sisteme</w:t>
                  </w:r>
                  <w:r>
                    <w:rPr>
                      <w:rFonts w:ascii="Times New Roman" w:eastAsia="Times New Roman" w:hAnsi="Times New Roman"/>
                      <w:sz w:val="24"/>
                      <w:szCs w:val="24"/>
                      <w:lang w:val="ro-MD"/>
                    </w:rPr>
                    <w:t>lor de granturi finanțate integral de statul membru în cauză pentru un tip similar de operațiune;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rate forfetare și metode specifice stabilite în prezentul regulament sau în regulamentele specifice fiecărui fond ori pe baza acestora.</w:t>
                  </w:r>
                </w:p>
              </w:tc>
            </w:tr>
          </w:tbl>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54</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Finanțare la rate forfetare pentru costurile indirecte în cadrul granturilor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Atunci </w:t>
            </w:r>
            <w:r>
              <w:rPr>
                <w:rFonts w:ascii="Times New Roman" w:eastAsia="Times New Roman" w:hAnsi="Times New Roman"/>
                <w:sz w:val="24"/>
                <w:szCs w:val="24"/>
                <w:lang w:val="ro-MD"/>
              </w:rPr>
              <w:t>când se utilizează o rată forfetară pentru a acoperi costurile indirecte ale unei operațiuni, la baza acesteia poate sta unul dintre următoarele elemente: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maximum 7 % din costurile directe eligibile, caz în care statul membru nu are obligația de a efec</w:t>
                  </w:r>
                  <w:r>
                    <w:rPr>
                      <w:rFonts w:ascii="Times New Roman" w:eastAsia="Times New Roman" w:hAnsi="Times New Roman"/>
                      <w:sz w:val="24"/>
                      <w:szCs w:val="24"/>
                      <w:lang w:val="ro-MD"/>
                    </w:rPr>
                    <w:t>tua un calcul pentru a stabili rata aplicabilă;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maximum 15 % din costurile directe cu personalul eligibile, caz în care statul membru nu are obligația de a efectua un calcul pentru a stabili rata aplicabilă;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FFFFFF"/>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maximum 25 % din costurile directe </w:t>
                  </w:r>
                  <w:r>
                    <w:rPr>
                      <w:rFonts w:ascii="Times New Roman" w:eastAsia="Times New Roman" w:hAnsi="Times New Roman"/>
                      <w:sz w:val="24"/>
                      <w:szCs w:val="24"/>
                      <w:lang w:val="ro-MD"/>
                    </w:rPr>
                    <w:t>eligibile, cu condiția ca rata să fie calculată în conformitate cu articolul 53 alineatul (3) litera (a).</w:t>
                  </w:r>
                </w:p>
              </w:tc>
            </w:tr>
          </w:tbl>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În plus, în cazul în care un stat membru a calculat o rată forfetară în conformitate cu articolul 67 alineatul (5) litera (a) din Regulamentul (UE) n</w:t>
            </w:r>
            <w:r>
              <w:rPr>
                <w:rFonts w:ascii="Times New Roman" w:eastAsia="Times New Roman" w:hAnsi="Times New Roman"/>
                <w:sz w:val="24"/>
                <w:szCs w:val="24"/>
                <w:lang w:val="ro-MD"/>
              </w:rPr>
              <w:t>r. 1303/2013, respectiva rată forfetară poate fi utilizată pentru o operațiune similară în sensul literei (c) de la prezentul articol.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55</w:t>
            </w:r>
          </w:p>
          <w:p w:rsidR="002F15D7" w:rsidRDefault="006C2DA4">
            <w:pPr>
              <w:spacing w:after="0"/>
              <w:jc w:val="center"/>
            </w:pPr>
            <w:r>
              <w:rPr>
                <w:rFonts w:ascii="Times New Roman" w:eastAsia="Times New Roman" w:hAnsi="Times New Roman"/>
                <w:b/>
                <w:bCs/>
                <w:sz w:val="24"/>
                <w:szCs w:val="24"/>
                <w:lang w:val="ro-MD"/>
              </w:rPr>
              <w:t>Costuri directe cu personalul în cadrul granturilor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w:t>
            </w:r>
            <w:r>
              <w:rPr>
                <w:rFonts w:ascii="Times New Roman" w:hAnsi="Times New Roman"/>
                <w:sz w:val="24"/>
                <w:szCs w:val="24"/>
                <w:lang w:val="ro-MD"/>
              </w:rPr>
              <w:t>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(1)   Costurile directe cu personalul ale unei operațiuni pot fi calculate la o rată forfetară de maximum 20 % din costurile directe, altele </w:t>
            </w:r>
            <w:r>
              <w:rPr>
                <w:rFonts w:ascii="Times New Roman" w:eastAsia="Times New Roman" w:hAnsi="Times New Roman"/>
                <w:sz w:val="24"/>
                <w:szCs w:val="24"/>
                <w:lang w:val="ro-MD"/>
              </w:rPr>
              <w:t>decât costurile directe cu personalul ale acelei operațiuni, fără ca statul membru să aibă obligația de a efectua un calcul pentru a stabili rata aplicabilă, cu condiția ca costurile directe ale operațiunii să nu includă contractele de achiziții publice de</w:t>
            </w:r>
            <w:r>
              <w:rPr>
                <w:rFonts w:ascii="Times New Roman" w:eastAsia="Times New Roman" w:hAnsi="Times New Roman"/>
                <w:sz w:val="24"/>
                <w:szCs w:val="24"/>
                <w:lang w:val="ro-MD"/>
              </w:rPr>
              <w:t xml:space="preserve"> lucrări sau contractele de bunuri sau servicii a căror valoare depășește pragurile prevăzute la articolul 4 din Directiva 2014/24/UE a Parlamentului European și a Consiliului </w:t>
            </w:r>
            <w:hyperlink r:id="rId23"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49</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 sau la articolul 15 din Directiva 2014/25/UE a Parlamentului European și a Consiliului </w:t>
            </w:r>
            <w:hyperlink r:id="rId24" w:history="1">
              <w:r>
                <w:rPr>
                  <w:rFonts w:ascii="Times New Roman" w:eastAsia="Times New Roman" w:hAnsi="Times New Roman"/>
                  <w:sz w:val="24"/>
                  <w:szCs w:val="24"/>
                  <w:u w:val="single"/>
                  <w:lang w:val="ro-MD"/>
                </w:rPr>
                <w:t>(</w:t>
              </w:r>
              <w:r>
                <w:rPr>
                  <w:rFonts w:ascii="Times New Roman" w:eastAsia="Times New Roman" w:hAnsi="Times New Roman"/>
                  <w:sz w:val="24"/>
                  <w:szCs w:val="24"/>
                  <w:vertAlign w:val="superscript"/>
                  <w:lang w:val="ro-MD"/>
                </w:rPr>
                <w:t>50</w:t>
              </w:r>
              <w:r>
                <w:rPr>
                  <w:rFonts w:ascii="Times New Roman" w:eastAsia="Times New Roman" w:hAnsi="Times New Roman"/>
                  <w:sz w:val="24"/>
                  <w:szCs w:val="24"/>
                  <w:u w:val="single"/>
                  <w:lang w:val="ro-MD"/>
                </w:rPr>
                <w:t>)</w:t>
              </w:r>
            </w:hyperlink>
            <w:r>
              <w:rPr>
                <w:rFonts w:ascii="Times New Roman" w:eastAsia="Times New Roman" w:hAnsi="Times New Roman"/>
                <w:sz w:val="24"/>
                <w:szCs w:val="24"/>
                <w:lang w:val="ro-MD"/>
              </w:rPr>
              <w: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În cazul în care se aplică o rată forfetară în conformitate cu primul paragraf pentru FAMI, FSI și IMFV, rata forfetară respectivă se aplică numai costurilor directe ale operațiunii care nu fac obiectul achizițiilor </w:t>
            </w:r>
            <w:r>
              <w:rPr>
                <w:rFonts w:ascii="Times New Roman" w:eastAsia="Times New Roman" w:hAnsi="Times New Roman"/>
                <w:sz w:val="24"/>
                <w:szCs w:val="24"/>
                <w:lang w:val="ro-MD"/>
              </w:rPr>
              <w:t>publice.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Pentru a stabili costurile directe cu personalul, remunerația pe oră se poate calcula în unul dintre următoarele moduri: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prin împărțirea celei mai recente valori documentate a costurilor brute anuale cu forța de muncă la 1 720 de ore </w:t>
                  </w:r>
                  <w:r>
                    <w:rPr>
                      <w:rFonts w:ascii="Times New Roman" w:eastAsia="Times New Roman" w:hAnsi="Times New Roman"/>
                      <w:sz w:val="24"/>
                      <w:szCs w:val="24"/>
                      <w:lang w:val="ro-MD"/>
                    </w:rPr>
                    <w:t>pentru persoanele care lucrează cu normă întreagă sau la o valoare proporțională cu cele 1 720 de ore pentru persoanele care lucrează cu fracțiune de normă;</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prin împărțirea celei mai recente valori documentate a costurilor brute lunare cu forța de mu</w:t>
                  </w:r>
                  <w:r>
                    <w:rPr>
                      <w:rFonts w:ascii="Times New Roman" w:eastAsia="Times New Roman" w:hAnsi="Times New Roman"/>
                      <w:sz w:val="24"/>
                      <w:szCs w:val="24"/>
                      <w:lang w:val="ro-MD"/>
                    </w:rPr>
                    <w:t>ncă la media timpului de lucru lunar al persoanei în cauză, în conformitate cu normele naționale aplicabile menționate în contractul de angajare sau de muncă sau în decizia de numire (ambele fiind denumite „document de angajare”).</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(3)   La aplicarea </w:t>
            </w:r>
            <w:r>
              <w:rPr>
                <w:rFonts w:ascii="Times New Roman" w:eastAsia="Times New Roman" w:hAnsi="Times New Roman"/>
                <w:sz w:val="24"/>
                <w:szCs w:val="24"/>
                <w:lang w:val="ro-MD"/>
              </w:rPr>
              <w:t>remunerației pe oră calculate în conformitate cu alineatul (2), numărul total de ore declarat pentru o persoană pentru un an sau o lună dată să nu depășească numărul de ore utilizat pentru calculul respectivei remunerații pe oră.</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(4)   În cazul în care nu </w:t>
            </w:r>
            <w:r>
              <w:rPr>
                <w:rFonts w:ascii="Times New Roman" w:eastAsia="Times New Roman" w:hAnsi="Times New Roman"/>
                <w:sz w:val="24"/>
                <w:szCs w:val="24"/>
                <w:lang w:val="ro-MD"/>
              </w:rPr>
              <w:t>sunt disponibile, costurile brute anuale cu forța de muncă pot fi deduse din costurile brute cu forța de muncă documentate disponibile sau din documentul de angajare, operându-se ajustările corespunzătoare pentru o perioadă de 12 luni.</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(5)   Costurile cu p</w:t>
            </w:r>
            <w:r>
              <w:rPr>
                <w:rFonts w:ascii="Times New Roman" w:eastAsia="Times New Roman" w:hAnsi="Times New Roman"/>
                <w:sz w:val="24"/>
                <w:szCs w:val="24"/>
                <w:lang w:val="ro-MD"/>
              </w:rPr>
              <w:t xml:space="preserve">ersonalul aferente persoanelor care lucrează cu fracțiune de normă în cadrul operațiunii se pot calcula ca procent fix din costurile brute cu forța de muncă, corespunzător unui procent fix din timpul lucrat pe lună în cadrul operațiunii, fără obligația de </w:t>
            </w:r>
            <w:r>
              <w:rPr>
                <w:rFonts w:ascii="Times New Roman" w:eastAsia="Times New Roman" w:hAnsi="Times New Roman"/>
                <w:sz w:val="24"/>
                <w:szCs w:val="24"/>
                <w:lang w:val="ro-MD"/>
              </w:rPr>
              <w:t>a institui un sistem separat de înregistrare a timpului de lucru. Angajatorul emite pentru angajați un document în care se indică procentul fix respectiv.</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56</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 xml:space="preserve">Finanțare la rate forfetare pentru costurile eligibile, altele decât costurile </w:t>
            </w:r>
            <w:r>
              <w:rPr>
                <w:rFonts w:ascii="Times New Roman" w:eastAsia="Times New Roman" w:hAnsi="Times New Roman"/>
                <w:b/>
                <w:bCs/>
                <w:sz w:val="24"/>
                <w:szCs w:val="24"/>
                <w:lang w:val="ro-MD"/>
              </w:rPr>
              <w:t>directe cu personalul în cadrul granturilor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(1)   Pentru a acoperi restul costurilor eligibile ale</w:t>
            </w:r>
            <w:r>
              <w:rPr>
                <w:lang w:val="ro-MD"/>
              </w:rPr>
              <w:t xml:space="preserve"> unei operațiuni, poate fi folosită o rată forfetară de maximum 40 % din costurile directe cu personalul eligibile. Statul membru nu are obligația de a efectua un calcul pentru a stabili rata aplicabilă.</w:t>
            </w:r>
          </w:p>
          <w:p w:rsidR="002F15D7" w:rsidRDefault="006C2DA4">
            <w:pPr>
              <w:pStyle w:val="oj-normal"/>
              <w:shd w:val="clear" w:color="auto" w:fill="FFFFFF"/>
              <w:spacing w:before="120" w:after="0"/>
              <w:jc w:val="both"/>
              <w:rPr>
                <w:lang w:val="ro-MD"/>
              </w:rPr>
            </w:pPr>
            <w:r>
              <w:rPr>
                <w:lang w:val="ro-MD"/>
              </w:rPr>
              <w:t>(2)   Pentru operațiunile sprijinite din FEDR, FSE+,</w:t>
            </w:r>
            <w:r>
              <w:rPr>
                <w:lang w:val="ro-MD"/>
              </w:rPr>
              <w:t xml:space="preserve"> FTJ, FAMI, FSI și de IMFV, salariile și indemnizațiile plătite participanților sunt considerate costuri eligibile suplimentare care nu sunt incluse în rata forfetară.</w:t>
            </w:r>
          </w:p>
          <w:p w:rsidR="002F15D7" w:rsidRDefault="006C2DA4">
            <w:pPr>
              <w:pStyle w:val="oj-normal"/>
              <w:shd w:val="clear" w:color="auto" w:fill="FFFFFF"/>
              <w:spacing w:before="120" w:after="0"/>
              <w:jc w:val="both"/>
              <w:rPr>
                <w:lang w:val="ro-MD"/>
              </w:rPr>
            </w:pPr>
            <w:r>
              <w:rPr>
                <w:lang w:val="ro-MD"/>
              </w:rPr>
              <w:t>(3)   Rata forfetară menționată la alineatul (1) de la prezentul articol nu se aplică în</w:t>
            </w:r>
            <w:r>
              <w:rPr>
                <w:lang w:val="ro-MD"/>
              </w:rPr>
              <w:t xml:space="preserve"> cazul costurilor cu personalul calculate pe baza unei rate forfetare, astfel cum se menționează la articolul 55 alineatul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57</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Granturi supuse unor condiții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w:t>
            </w:r>
            <w:r>
              <w:rPr>
                <w:rFonts w:ascii="Times New Roman" w:hAnsi="Times New Roman"/>
                <w:sz w:val="24"/>
                <w:szCs w:val="24"/>
                <w:lang w:val="ro-MD"/>
              </w:rPr>
              <w:t>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Statele membre pot acorda beneficiarilor granturi supuse unor condiții, rambursabile integral sau parțial, după cum se precizează în documentul care stabilește </w:t>
            </w:r>
            <w:r>
              <w:rPr>
                <w:lang w:val="ro-MD"/>
              </w:rPr>
              <w:t>condițiile acordării sprijinului.</w:t>
            </w:r>
          </w:p>
          <w:p w:rsidR="002F15D7" w:rsidRDefault="006C2DA4">
            <w:pPr>
              <w:pStyle w:val="oj-normal"/>
              <w:shd w:val="clear" w:color="auto" w:fill="FFFFFF"/>
              <w:spacing w:before="120" w:after="0"/>
              <w:jc w:val="both"/>
              <w:rPr>
                <w:lang w:val="ro-MD"/>
              </w:rPr>
            </w:pPr>
            <w:r>
              <w:rPr>
                <w:lang w:val="ro-MD"/>
              </w:rPr>
              <w:t>(2)   Rambursările sunt efectuate de beneficiar în condițiile convenite între autoritatea de management și beneficiar.</w:t>
            </w:r>
          </w:p>
          <w:p w:rsidR="002F15D7" w:rsidRDefault="006C2DA4">
            <w:pPr>
              <w:pStyle w:val="oj-normal"/>
              <w:shd w:val="clear" w:color="auto" w:fill="FFFFFF"/>
              <w:spacing w:before="120" w:after="0"/>
              <w:jc w:val="both"/>
              <w:rPr>
                <w:lang w:val="ro-MD"/>
              </w:rPr>
            </w:pPr>
            <w:r>
              <w:rPr>
                <w:lang w:val="ro-MD"/>
              </w:rPr>
              <w:t>(3)   Până la 31 decembrie 2030, statele membre reutilizează resursele restituite de beneficiar în acel</w:t>
            </w:r>
            <w:r>
              <w:rPr>
                <w:lang w:val="ro-MD"/>
              </w:rPr>
              <w:t>ași scop sau în conformitate cu obiectivele programului în cauză, sub formă de granturi supuse unor condiții sau sub forma unui instrument financiar sau sub o altă formă de sprijin. Cuantumurile restituite și informațiile cu privire la reutilizarea acestor</w:t>
            </w:r>
            <w:r>
              <w:rPr>
                <w:lang w:val="ro-MD"/>
              </w:rPr>
              <w:t>a figurează în raportul final privind performanța.</w:t>
            </w:r>
          </w:p>
          <w:p w:rsidR="002F15D7" w:rsidRDefault="006C2DA4">
            <w:pPr>
              <w:pStyle w:val="oj-normal"/>
              <w:shd w:val="clear" w:color="auto" w:fill="FFFFFF"/>
              <w:spacing w:before="120" w:after="0"/>
              <w:jc w:val="both"/>
              <w:rPr>
                <w:lang w:val="ro-MD"/>
              </w:rPr>
            </w:pPr>
            <w:r>
              <w:rPr>
                <w:lang w:val="ro-MD"/>
              </w:rPr>
              <w:t>(4)   Statele membre adoptă măsurile necesare pentru a se asigura că resursele sunt păstrate în conturi separate sau sunt înregistrate sub coduri contabile adecvate.</w:t>
            </w:r>
          </w:p>
          <w:p w:rsidR="002F15D7" w:rsidRDefault="006C2DA4">
            <w:pPr>
              <w:pStyle w:val="oj-normal"/>
              <w:shd w:val="clear" w:color="auto" w:fill="FFFFFF"/>
              <w:spacing w:before="120" w:after="0"/>
              <w:jc w:val="both"/>
              <w:rPr>
                <w:lang w:val="ro-MD"/>
              </w:rPr>
            </w:pPr>
            <w:r>
              <w:rPr>
                <w:lang w:val="ro-MD"/>
              </w:rPr>
              <w:t>(5)   Resursele Uniunii restituite de b</w:t>
            </w:r>
            <w:r>
              <w:rPr>
                <w:lang w:val="ro-MD"/>
              </w:rPr>
              <w:t>eneficiari în orice moment, dar care nu au fost reutilizate până la 31 decembrie 2030 se rambursează către bugetul Uniunii în conformitate cu articolul 88.</w:t>
            </w:r>
          </w:p>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Secțiunea II</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Instrumente financiare</w:t>
            </w:r>
          </w:p>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58</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Instrumente financiare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Autoritățile de management pot oferi o contribuție din partea unuia sau a mai multor programe pentru </w:t>
            </w:r>
            <w:r>
              <w:rPr>
                <w:rFonts w:ascii="Times New Roman" w:eastAsia="Times New Roman" w:hAnsi="Times New Roman"/>
                <w:sz w:val="24"/>
                <w:szCs w:val="24"/>
                <w:lang w:val="ro-MD"/>
              </w:rPr>
              <w:t>instrumente financiare deja existente sau nou create, stabilite la nivel național, regional, transnațional sau transfrontalier și executate în mod direct de autoritatea de management sau sub responsabilitatea acesteia, care contribuie la realizarea unor ob</w:t>
            </w:r>
            <w:r>
              <w:rPr>
                <w:rFonts w:ascii="Times New Roman" w:eastAsia="Times New Roman" w:hAnsi="Times New Roman"/>
                <w:sz w:val="24"/>
                <w:szCs w:val="24"/>
                <w:lang w:val="ro-MD"/>
              </w:rPr>
              <w:t>iective specifice.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(2)   Instrumentele financiare oferă sprijin destinatarilor finali numai pentru investițiile în active corporale și necorporale, precum și pentru investițiile în capital circulant, preconizate a fi viabile din punct de vedere financiar </w:t>
            </w:r>
            <w:r>
              <w:rPr>
                <w:rFonts w:ascii="Times New Roman" w:eastAsia="Times New Roman" w:hAnsi="Times New Roman"/>
                <w:sz w:val="24"/>
                <w:szCs w:val="24"/>
                <w:lang w:val="ro-MD"/>
              </w:rPr>
              <w:t>și care nu găsesc o finanțare suficientă din sursele de pe piață. Acest sprijin este în conformitate cu normele aplicabile ale Uniunii privind ajutoarele de stat.</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Un astfel de sprijin este oferit numai pentru acele componente ale investițiilor care nu sunt</w:t>
            </w:r>
            <w:r>
              <w:rPr>
                <w:rFonts w:ascii="Times New Roman" w:eastAsia="Times New Roman" w:hAnsi="Times New Roman"/>
                <w:sz w:val="24"/>
                <w:szCs w:val="24"/>
                <w:lang w:val="ro-MD"/>
              </w:rPr>
              <w:t xml:space="preserve"> finalizate fizic sau implementate integral la data deciziei de investiții.</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(3)   Sprijinul adecvat din fonduri prin intermediul instrumentelor financiare se acordă pe baza unei evaluări </w:t>
            </w:r>
            <w:r>
              <w:rPr>
                <w:rFonts w:ascii="Times New Roman" w:eastAsia="Times New Roman" w:hAnsi="Times New Roman"/>
                <w:i/>
                <w:iCs/>
                <w:sz w:val="24"/>
                <w:szCs w:val="24"/>
                <w:lang w:val="ro-MD"/>
              </w:rPr>
              <w:t>ex ante</w:t>
            </w:r>
            <w:r>
              <w:rPr>
                <w:rFonts w:ascii="Times New Roman" w:eastAsia="Times New Roman" w:hAnsi="Times New Roman"/>
                <w:sz w:val="24"/>
                <w:szCs w:val="24"/>
                <w:lang w:val="ro-MD"/>
              </w:rPr>
              <w:t> efectuate sub responsabilitatea autorității de management. Ev</w:t>
            </w:r>
            <w:r>
              <w:rPr>
                <w:rFonts w:ascii="Times New Roman" w:eastAsia="Times New Roman" w:hAnsi="Times New Roman"/>
                <w:sz w:val="24"/>
                <w:szCs w:val="24"/>
                <w:lang w:val="ro-MD"/>
              </w:rPr>
              <w:t>aluarea </w:t>
            </w:r>
            <w:r>
              <w:rPr>
                <w:rFonts w:ascii="Times New Roman" w:eastAsia="Times New Roman" w:hAnsi="Times New Roman"/>
                <w:i/>
                <w:iCs/>
                <w:sz w:val="24"/>
                <w:szCs w:val="24"/>
                <w:lang w:val="ro-MD"/>
              </w:rPr>
              <w:t>ex ante</w:t>
            </w:r>
            <w:r>
              <w:rPr>
                <w:rFonts w:ascii="Times New Roman" w:eastAsia="Times New Roman" w:hAnsi="Times New Roman"/>
                <w:sz w:val="24"/>
                <w:szCs w:val="24"/>
                <w:lang w:val="ro-MD"/>
              </w:rPr>
              <w:t> se finalizează înainte ca autoritățile de management să acorde contribuții din partea unui program pentru instrumente financiare.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Evaluarea </w:t>
            </w:r>
            <w:r>
              <w:rPr>
                <w:rFonts w:ascii="Times New Roman" w:eastAsia="Times New Roman" w:hAnsi="Times New Roman"/>
                <w:i/>
                <w:iCs/>
                <w:sz w:val="24"/>
                <w:szCs w:val="24"/>
                <w:lang w:val="ro-MD"/>
              </w:rPr>
              <w:t>ex ante</w:t>
            </w:r>
            <w:r>
              <w:rPr>
                <w:rFonts w:ascii="Times New Roman" w:eastAsia="Times New Roman" w:hAnsi="Times New Roman"/>
                <w:sz w:val="24"/>
                <w:szCs w:val="24"/>
                <w:lang w:val="ro-MD"/>
              </w:rPr>
              <w:t> include cel puțin următoarele elemente: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cuantumul propus al contribuției programului pen</w:t>
                  </w:r>
                  <w:r>
                    <w:rPr>
                      <w:rFonts w:ascii="Times New Roman" w:eastAsia="Times New Roman" w:hAnsi="Times New Roman"/>
                      <w:sz w:val="24"/>
                      <w:szCs w:val="24"/>
                      <w:lang w:val="ro-MD"/>
                    </w:rPr>
                    <w:t>tru un instrument financiar și efectul de levier estimat, însoțite de o scurtă justificare;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produsele financiare propuse care urmează a fi oferite, inclusiv eventuala necesitate a unui tratament diferențiat al investitorilor;</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grupul țintă </w:t>
                  </w:r>
                  <w:r>
                    <w:rPr>
                      <w:rFonts w:ascii="Times New Roman" w:eastAsia="Times New Roman" w:hAnsi="Times New Roman"/>
                      <w:sz w:val="24"/>
                      <w:szCs w:val="24"/>
                      <w:lang w:val="ro-MD"/>
                    </w:rPr>
                    <w:t>propus al destinatarilor finali;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contribuția preconizată a instrumentului financiar la îndeplinirea obiectivelor specifice.</w:t>
                  </w:r>
                </w:p>
              </w:tc>
            </w:tr>
          </w:tbl>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Evaluarea </w:t>
            </w:r>
            <w:r>
              <w:rPr>
                <w:rFonts w:ascii="Times New Roman" w:eastAsia="Times New Roman" w:hAnsi="Times New Roman"/>
                <w:i/>
                <w:iCs/>
                <w:sz w:val="24"/>
                <w:szCs w:val="24"/>
                <w:lang w:val="ro-MD"/>
              </w:rPr>
              <w:t>ex ante</w:t>
            </w:r>
            <w:r>
              <w:rPr>
                <w:rFonts w:ascii="Times New Roman" w:eastAsia="Times New Roman" w:hAnsi="Times New Roman"/>
                <w:sz w:val="24"/>
                <w:szCs w:val="24"/>
                <w:lang w:val="ro-MD"/>
              </w:rPr>
              <w:t xml:space="preserve"> poate fi revizuită sau actualizată, poate viza o parte sau întreg teritoriul statului membru și se poate </w:t>
            </w:r>
            <w:r>
              <w:rPr>
                <w:rFonts w:ascii="Times New Roman" w:eastAsia="Times New Roman" w:hAnsi="Times New Roman"/>
                <w:sz w:val="24"/>
                <w:szCs w:val="24"/>
                <w:lang w:val="ro-MD"/>
              </w:rPr>
              <w:t>baza pe evaluări </w:t>
            </w:r>
            <w:r>
              <w:rPr>
                <w:rFonts w:ascii="Times New Roman" w:eastAsia="Times New Roman" w:hAnsi="Times New Roman"/>
                <w:i/>
                <w:iCs/>
                <w:sz w:val="24"/>
                <w:szCs w:val="24"/>
                <w:lang w:val="ro-MD"/>
              </w:rPr>
              <w:t>ex ante</w:t>
            </w:r>
            <w:r>
              <w:rPr>
                <w:rFonts w:ascii="Times New Roman" w:eastAsia="Times New Roman" w:hAnsi="Times New Roman"/>
                <w:sz w:val="24"/>
                <w:szCs w:val="24"/>
                <w:lang w:val="ro-MD"/>
              </w:rPr>
              <w:t> existente sau actualizate.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Sprijinul acordat destinatarilor finali poate fi combinat cu sprijinul din partea oricărui fond sau a altui instrument al Uniunii și poate acoperi același element de cheltuieli. În acest caz, cheltu</w:t>
            </w:r>
            <w:r>
              <w:rPr>
                <w:rFonts w:ascii="Times New Roman" w:eastAsia="Times New Roman" w:hAnsi="Times New Roman"/>
                <w:sz w:val="24"/>
                <w:szCs w:val="24"/>
                <w:lang w:val="ro-MD"/>
              </w:rPr>
              <w:t>iala care a beneficiat de sprijin acordat de un fond prin intermediul unui instrument financiar, în cadrul unei operațiuni privind instrumentul financiar, nu poate fi declarată Comisiei pentru a beneficia de sprijin sub o altă formă sau din partea unui alt</w:t>
            </w:r>
            <w:r>
              <w:rPr>
                <w:rFonts w:ascii="Times New Roman" w:eastAsia="Times New Roman" w:hAnsi="Times New Roman"/>
                <w:sz w:val="24"/>
                <w:szCs w:val="24"/>
                <w:lang w:val="ro-MD"/>
              </w:rPr>
              <w:t xml:space="preserve"> fond sau instrument al Uniunii.</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(5)   Instrumentele financiare pot fi combinate cu sprijin din partea programelor sub formă de granturi, într-o operațiune unică privind instrumentul financiar, în cadrul unui acord de finanțare unic, atunci când cele două </w:t>
            </w:r>
            <w:r>
              <w:rPr>
                <w:rFonts w:ascii="Times New Roman" w:eastAsia="Times New Roman" w:hAnsi="Times New Roman"/>
                <w:sz w:val="24"/>
                <w:szCs w:val="24"/>
                <w:lang w:val="ro-MD"/>
              </w:rPr>
              <w:t>forme diferite de sprijin sunt furnizate de organismul care execută instrumentul financiar. În acest caz, respectivei operațiuni unice privind instrumentul financiar i se aplică normele aplicabile instrumentelor financiare. Sprijinul din partea programelor</w:t>
            </w:r>
            <w:r>
              <w:rPr>
                <w:rFonts w:ascii="Times New Roman" w:eastAsia="Times New Roman" w:hAnsi="Times New Roman"/>
                <w:sz w:val="24"/>
                <w:szCs w:val="24"/>
                <w:lang w:val="ro-MD"/>
              </w:rPr>
              <w:t xml:space="preserve"> sub formă de granturi este necesar instrumentului financiar și este corelat în mod direct cu acesta și nu depășește valoarea investițiilor sprijinite de produsul financiar.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(6)   În cazul unui sprijin combinat în conformitate cu alineatele (4) și (5), se </w:t>
            </w:r>
            <w:r>
              <w:rPr>
                <w:rFonts w:ascii="Times New Roman" w:eastAsia="Times New Roman" w:hAnsi="Times New Roman"/>
                <w:sz w:val="24"/>
                <w:szCs w:val="24"/>
                <w:lang w:val="ro-MD"/>
              </w:rPr>
              <w:t>păstrează evidențe separate pentru fiecare sursă de sprijin.</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(7)   Suma tuturor formelor de sprijin combinat nu depășește cuantumul total al elementului de cheltuieli vizat. Granturile nu se utilizează pentru a rambursa sprijinul primit de la instrumentele</w:t>
            </w:r>
            <w:r>
              <w:rPr>
                <w:rFonts w:ascii="Times New Roman" w:eastAsia="Times New Roman" w:hAnsi="Times New Roman"/>
                <w:sz w:val="24"/>
                <w:szCs w:val="24"/>
                <w:lang w:val="ro-MD"/>
              </w:rPr>
              <w:t xml:space="preserve"> financiare. Instrumentele financiare nu se utilizează pentru a </w:t>
            </w:r>
            <w:proofErr w:type="spellStart"/>
            <w:r>
              <w:rPr>
                <w:rFonts w:ascii="Times New Roman" w:eastAsia="Times New Roman" w:hAnsi="Times New Roman"/>
                <w:sz w:val="24"/>
                <w:szCs w:val="24"/>
                <w:lang w:val="ro-MD"/>
              </w:rPr>
              <w:t>prefinanța</w:t>
            </w:r>
            <w:proofErr w:type="spellEnd"/>
            <w:r>
              <w:rPr>
                <w:rFonts w:ascii="Times New Roman" w:eastAsia="Times New Roman" w:hAnsi="Times New Roman"/>
                <w:sz w:val="24"/>
                <w:szCs w:val="24"/>
                <w:lang w:val="ro-MD"/>
              </w:rPr>
              <w:t xml:space="preserve"> granturi.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59</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Execuția instrumentelor financiare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w:t>
            </w:r>
            <w:r>
              <w:rPr>
                <w:rFonts w:ascii="Times New Roman" w:hAnsi="Times New Roman"/>
                <w:sz w:val="24"/>
                <w:szCs w:val="24"/>
                <w:lang w:val="ro-MD"/>
              </w:rPr>
              <w:t>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(1)   Instrumentele financiare executate în mod direct de autoritatea de management pot oferi doar împrumuturi sau garanții. Autoritatea de management stabilește termenele și condițiile contribuției programului la </w:t>
            </w:r>
            <w:r>
              <w:rPr>
                <w:rFonts w:ascii="Times New Roman" w:eastAsia="Times New Roman" w:hAnsi="Times New Roman"/>
                <w:sz w:val="24"/>
                <w:szCs w:val="24"/>
                <w:lang w:val="ro-MD"/>
              </w:rPr>
              <w:t>instrumentul financiar într-un document de strategie care include elementele prevăzute în anexa X.</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(2)   Instrumentele financiare executate sub responsabilitatea autorității de management pot fi oricare dintre următoarele: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o investiție din resursele pr</w:t>
                  </w:r>
                  <w:r>
                    <w:rPr>
                      <w:rFonts w:ascii="Times New Roman" w:eastAsia="Times New Roman" w:hAnsi="Times New Roman"/>
                      <w:sz w:val="24"/>
                      <w:szCs w:val="24"/>
                      <w:lang w:val="ro-MD"/>
                    </w:rPr>
                    <w:t>ogramului în capitalul unei entități juridice;</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entități de finanțare separate sau conturi fiduciare.</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Autoritatea de management selectează organismul de execuție a unui instrument financiar.</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(3)   Autoritatea de management poate atribui în mod direct</w:t>
            </w:r>
            <w:r>
              <w:rPr>
                <w:rFonts w:ascii="Times New Roman" w:eastAsia="Times New Roman" w:hAnsi="Times New Roman"/>
                <w:sz w:val="24"/>
                <w:szCs w:val="24"/>
                <w:lang w:val="ro-MD"/>
              </w:rPr>
              <w:t xml:space="preserve"> un contract pentru executarea unui instrument financiar:</w:t>
            </w:r>
          </w:p>
          <w:tbl>
            <w:tblPr>
              <w:tblW w:w="5000" w:type="pct"/>
              <w:tblCellMar>
                <w:left w:w="10" w:type="dxa"/>
                <w:right w:w="10" w:type="dxa"/>
              </w:tblCellMar>
              <w:tblLook w:val="04A0" w:firstRow="1" w:lastRow="0" w:firstColumn="1" w:lastColumn="0" w:noHBand="0" w:noVBand="1"/>
            </w:tblPr>
            <w:tblGrid>
              <w:gridCol w:w="1418"/>
              <w:gridCol w:w="2410"/>
            </w:tblGrid>
            <w:tr w:rsidR="002F15D7">
              <w:tblPrEx>
                <w:tblCellMar>
                  <w:top w:w="0" w:type="dxa"/>
                  <w:bottom w:w="0" w:type="dxa"/>
                </w:tblCellMar>
              </w:tblPrEx>
              <w:tc>
                <w:tcPr>
                  <w:tcW w:w="141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241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BEI;</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instituțiilor financiare internaționale în cadrul cărora este acționar un stat membru;</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unei bănci sau instituții aflate în proprietate publică, constituită ca entitate juridică </w:t>
                  </w:r>
                  <w:r>
                    <w:rPr>
                      <w:rFonts w:ascii="Times New Roman" w:eastAsia="Times New Roman" w:hAnsi="Times New Roman"/>
                      <w:sz w:val="24"/>
                      <w:szCs w:val="24"/>
                      <w:lang w:val="ro-MD"/>
                    </w:rPr>
                    <w:t>care desfășoară activități financiare cu titlu profesional, care îndeplinește toate condițiile următoare:</w:t>
                  </w:r>
                </w:p>
                <w:tbl>
                  <w:tblPr>
                    <w:tblW w:w="5000" w:type="pct"/>
                    <w:tblCellMar>
                      <w:left w:w="10" w:type="dxa"/>
                      <w:right w:w="10" w:type="dxa"/>
                    </w:tblCellMar>
                    <w:tblLook w:val="04A0" w:firstRow="1" w:lastRow="0" w:firstColumn="1" w:lastColumn="0" w:noHBand="0" w:noVBand="1"/>
                  </w:tblPr>
                  <w:tblGrid>
                    <w:gridCol w:w="227"/>
                    <w:gridCol w:w="3334"/>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w:t>
                        </w:r>
                      </w:p>
                    </w:tc>
                    <w:tc>
                      <w:tcPr>
                        <w:tcW w:w="333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nu există participare directă a capitalului privat, cu excepția formelor nemajoritare sau nedecisive de participare a capitalului privat cerute de</w:t>
                        </w:r>
                        <w:r>
                          <w:rPr>
                            <w:rFonts w:ascii="Times New Roman" w:eastAsia="Times New Roman" w:hAnsi="Times New Roman"/>
                            <w:sz w:val="24"/>
                            <w:szCs w:val="24"/>
                            <w:lang w:val="ro-MD"/>
                          </w:rPr>
                          <w:t xml:space="preserve"> dispozițiile legislative naționale, în conformitate cu tratatele, care nu exercită o influență decisivă asupra băncii sau instituției relevante, precum și cu excepția formelor de participare a capitalului privat care nu exercită nicio influență asupra dec</w:t>
                        </w:r>
                        <w:r>
                          <w:rPr>
                            <w:rFonts w:ascii="Times New Roman" w:eastAsia="Times New Roman" w:hAnsi="Times New Roman"/>
                            <w:sz w:val="24"/>
                            <w:szCs w:val="24"/>
                            <w:lang w:val="ro-MD"/>
                          </w:rPr>
                          <w:t>iziilor privind gestiunea curentă a instrumentului financiar sprijinit de fonduri;</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67"/>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w:t>
                        </w:r>
                      </w:p>
                    </w:tc>
                    <w:tc>
                      <w:tcPr>
                        <w:tcW w:w="3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operează în temeiul unui mandat public, încredințat de autoritatea relevantă dintr-un stat membru la nivel național sau regional, care include, ca domeniu de </w:t>
                        </w:r>
                        <w:r>
                          <w:rPr>
                            <w:rFonts w:ascii="Times New Roman" w:eastAsia="Times New Roman" w:hAnsi="Times New Roman"/>
                            <w:sz w:val="24"/>
                            <w:szCs w:val="24"/>
                            <w:lang w:val="ro-MD"/>
                          </w:rPr>
                          <w:t>activitate exclusiv sau parțial, desfășurarea de activități de dezvoltare economică ce contribuie la îndeplinirea obiectivelor fondurilor;</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201"/>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(iii)</w:t>
                        </w:r>
                      </w:p>
                    </w:tc>
                    <w:tc>
                      <w:tcPr>
                        <w:tcW w:w="320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desfășoară, ca domeniu de activitate exclusiv sau parțial, activități de dezvoltare economică care contribuie</w:t>
                        </w:r>
                        <w:r>
                          <w:rPr>
                            <w:rFonts w:ascii="Times New Roman" w:eastAsia="Times New Roman" w:hAnsi="Times New Roman"/>
                            <w:sz w:val="24"/>
                            <w:szCs w:val="24"/>
                            <w:lang w:val="ro-MD"/>
                          </w:rPr>
                          <w:t xml:space="preserve"> la îndeplinirea obiectivelor fondurilor în regiuni, domenii de politică sau sectoare care, în general, nu au deloc sau nu au într-o măsură suficientă acces la finanțare din sursele de pe piață;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14"/>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(iv)</w:t>
                        </w:r>
                      </w:p>
                    </w:tc>
                    <w:tc>
                      <w:tcPr>
                        <w:tcW w:w="32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funcționează fără a pune accentul principal pe </w:t>
                        </w:r>
                        <w:r>
                          <w:rPr>
                            <w:rFonts w:ascii="Times New Roman" w:eastAsia="Times New Roman" w:hAnsi="Times New Roman"/>
                            <w:sz w:val="24"/>
                            <w:szCs w:val="24"/>
                            <w:lang w:val="ro-MD"/>
                          </w:rPr>
                          <w:t>maximizarea profitului, dar asigură viabilitatea financiară pe termen lung a activităților sale;</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281"/>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w:t>
                        </w:r>
                      </w:p>
                    </w:tc>
                    <w:tc>
                      <w:tcPr>
                        <w:tcW w:w="328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garantează că atribuirea directă a unui contract menționată la litera (b) nu oferă beneficii directe sau indirecte pentru activități comerciale, prin măs</w:t>
                        </w:r>
                        <w:r>
                          <w:rPr>
                            <w:rFonts w:ascii="Times New Roman" w:eastAsia="Times New Roman" w:hAnsi="Times New Roman"/>
                            <w:sz w:val="24"/>
                            <w:szCs w:val="24"/>
                            <w:lang w:val="ro-MD"/>
                          </w:rPr>
                          <w:t>uri corespunzătoare în conformitate cu legislația aplicabilă;</w:t>
                        </w:r>
                      </w:p>
                    </w:tc>
                  </w:tr>
                </w:tbl>
                <w:p w:rsidR="002F15D7" w:rsidRDefault="002F15D7">
                  <w:pPr>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14"/>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(vi)</w:t>
                        </w:r>
                      </w:p>
                    </w:tc>
                    <w:tc>
                      <w:tcPr>
                        <w:tcW w:w="3214"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este supravegheată de o autoritate independentă, în conformitate cu legislația aplicabilă;</w:t>
                        </w:r>
                      </w:p>
                    </w:tc>
                  </w:tr>
                </w:tbl>
                <w:p w:rsidR="002F15D7" w:rsidRDefault="002F15D7">
                  <w:pPr>
                    <w:suppressAutoHyphens w:val="0"/>
                    <w:spacing w:after="0"/>
                    <w:rPr>
                      <w:rFonts w:ascii="Times New Roman" w:eastAsia="Times New Roman" w:hAnsi="Times New Roman"/>
                      <w:sz w:val="24"/>
                      <w:szCs w:val="24"/>
                      <w:lang w:val="ro-MD"/>
                    </w:rPr>
                  </w:pP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altor organisme care intră, de asemenea, sub incidența articolului 12 din Directiva </w:t>
                  </w:r>
                  <w:r>
                    <w:rPr>
                      <w:rFonts w:ascii="Times New Roman" w:eastAsia="Times New Roman" w:hAnsi="Times New Roman"/>
                      <w:sz w:val="24"/>
                      <w:szCs w:val="24"/>
                      <w:lang w:val="ro-MD"/>
                    </w:rPr>
                    <w:t>2014/24/UE.</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(4)   În cazul în care organismul selectat de autoritatea de management execută un fond de participare, acest organism poate selecta la rândul său alte organisme care să execute fonduri specifice.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 xml:space="preserve">(5)   Prevederile și condițiile de acordare a </w:t>
            </w:r>
            <w:r>
              <w:rPr>
                <w:rFonts w:ascii="Times New Roman" w:eastAsia="Times New Roman" w:hAnsi="Times New Roman"/>
                <w:sz w:val="24"/>
                <w:szCs w:val="24"/>
                <w:lang w:val="ro-MD"/>
              </w:rPr>
              <w:t>contribuțiilor din partea programelor pentru instrumentele financiare executate în conformitate cu alineatul (2) se stabilesc prin acorduri de finanțare între: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reprezentanții mandatați corespunzător ai autorității de management și organismul care execu</w:t>
                  </w:r>
                  <w:r>
                    <w:rPr>
                      <w:rFonts w:ascii="Times New Roman" w:eastAsia="Times New Roman" w:hAnsi="Times New Roman"/>
                      <w:sz w:val="24"/>
                      <w:szCs w:val="24"/>
                      <w:lang w:val="ro-MD"/>
                    </w:rPr>
                    <w:t>tă un fond de participare, dacă este cazul;</w:t>
                  </w:r>
                </w:p>
              </w:tc>
            </w:tr>
          </w:tbl>
          <w:p w:rsidR="002F15D7" w:rsidRDefault="002F15D7">
            <w:pPr>
              <w:shd w:val="clear" w:color="auto" w:fill="FFFFFF"/>
              <w:suppressAutoHyphens w:val="0"/>
              <w:spacing w:after="0"/>
              <w:rPr>
                <w:rFonts w:ascii="Times New Roman" w:eastAsia="Times New Roman"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reprezentanții mandatați corespunzător ai autorității de management sau, dacă este cazul, organismul care execută un fond de participare și organismul care execută un fond specific.</w:t>
                  </w:r>
                </w:p>
              </w:tc>
            </w:tr>
          </w:tbl>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Acordurile de finanțare</w:t>
            </w:r>
            <w:r>
              <w:rPr>
                <w:rFonts w:ascii="Times New Roman" w:eastAsia="Times New Roman" w:hAnsi="Times New Roman"/>
                <w:sz w:val="24"/>
                <w:szCs w:val="24"/>
                <w:lang w:val="ro-MD"/>
              </w:rPr>
              <w:t xml:space="preserve"> menționate includ toate elementele prevăzute în anexa X.</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(6)   Răspunderea financiară a autorității de management nu depășește cuantumul angajat de autoritatea de management pentru instrumentul financiar în cadrul acordurilor de finanțare relevante.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(7)  </w:t>
            </w:r>
            <w:r>
              <w:rPr>
                <w:rFonts w:ascii="Times New Roman" w:eastAsia="Times New Roman" w:hAnsi="Times New Roman"/>
                <w:sz w:val="24"/>
                <w:szCs w:val="24"/>
                <w:lang w:val="ro-MD"/>
              </w:rPr>
              <w:t> Organismele care execută instrumentele financiare în cauză sau, în contextul garanțiilor, organismul care oferă împrumuturile suport îi sprijină pe destinatarii finali ținând cont în mod corespunzător de obiectivele programului și de potențialul de viabil</w:t>
            </w:r>
            <w:r>
              <w:rPr>
                <w:rFonts w:ascii="Times New Roman" w:eastAsia="Times New Roman" w:hAnsi="Times New Roman"/>
                <w:sz w:val="24"/>
                <w:szCs w:val="24"/>
                <w:lang w:val="ro-MD"/>
              </w:rPr>
              <w:t>itate financiară al investiției, astfel cum este justificat în planul de afaceri sau într-un document echivalent. Selecția destinatarilor finali este transparentă și nu generează conflicte de interese.</w:t>
            </w:r>
          </w:p>
          <w:p w:rsidR="002F15D7" w:rsidRDefault="006C2DA4">
            <w:pPr>
              <w:shd w:val="clear" w:color="auto" w:fill="FFFFFF"/>
              <w:suppressAutoHyphens w:val="0"/>
              <w:spacing w:before="120" w:after="0"/>
              <w:jc w:val="both"/>
              <w:rPr>
                <w:rFonts w:ascii="Times New Roman" w:eastAsia="Times New Roman" w:hAnsi="Times New Roman"/>
                <w:sz w:val="24"/>
                <w:szCs w:val="24"/>
                <w:lang w:val="ro-MD"/>
              </w:rPr>
            </w:pPr>
            <w:r>
              <w:rPr>
                <w:rFonts w:ascii="Times New Roman" w:eastAsia="Times New Roman" w:hAnsi="Times New Roman"/>
                <w:sz w:val="24"/>
                <w:szCs w:val="24"/>
                <w:lang w:val="ro-MD"/>
              </w:rPr>
              <w:t>(8)   Cofinanțarea națională a unui program poate fi f</w:t>
            </w:r>
            <w:r>
              <w:rPr>
                <w:rFonts w:ascii="Times New Roman" w:eastAsia="Times New Roman" w:hAnsi="Times New Roman"/>
                <w:sz w:val="24"/>
                <w:szCs w:val="24"/>
                <w:lang w:val="ro-MD"/>
              </w:rPr>
              <w:t>urnizată fie de către autoritatea de management, fie la nivelul fondurilor de participare, la nivelul fondurilor specifice sau la nivelul investițiilor în favoarea destinatarilor finali, în conformitate cu normele specifice fiecărui fond. Atunci când cofin</w:t>
            </w:r>
            <w:r>
              <w:rPr>
                <w:rFonts w:ascii="Times New Roman" w:eastAsia="Times New Roman" w:hAnsi="Times New Roman"/>
                <w:sz w:val="24"/>
                <w:szCs w:val="24"/>
                <w:lang w:val="ro-MD"/>
              </w:rPr>
              <w:t>anțarea națională este furnizată la nivelul investițiilor în favoarea destinatarilor finali, organismul care execută instrumentele financiare păstrează documente justificative care să demonstreze eligibilitatea cheltuielilor subiacente.</w:t>
            </w:r>
          </w:p>
          <w:p w:rsidR="002F15D7" w:rsidRDefault="006C2DA4">
            <w:pPr>
              <w:shd w:val="clear" w:color="auto" w:fill="FFFFFF"/>
              <w:suppressAutoHyphens w:val="0"/>
              <w:spacing w:before="120" w:after="0"/>
              <w:jc w:val="both"/>
            </w:pPr>
            <w:r>
              <w:rPr>
                <w:rFonts w:ascii="Times New Roman" w:eastAsia="Times New Roman" w:hAnsi="Times New Roman"/>
                <w:sz w:val="24"/>
                <w:szCs w:val="24"/>
                <w:lang w:val="ro-MD"/>
              </w:rPr>
              <w:t xml:space="preserve">(9)   Autoritatea </w:t>
            </w:r>
            <w:r>
              <w:rPr>
                <w:rFonts w:ascii="Times New Roman" w:eastAsia="Times New Roman" w:hAnsi="Times New Roman"/>
                <w:sz w:val="24"/>
                <w:szCs w:val="24"/>
                <w:lang w:val="ro-MD"/>
              </w:rPr>
              <w:t>de management, atunci când execută în mod direct instrumentul financiar în temeiul alineatului (1) de la prezentul articol, sau organismul care execută instrumentul financiar în temeiul alineatului (2) de la prezentul articol ține conturi separate sau menț</w:t>
            </w:r>
            <w:r>
              <w:rPr>
                <w:rFonts w:ascii="Times New Roman" w:eastAsia="Times New Roman" w:hAnsi="Times New Roman"/>
                <w:sz w:val="24"/>
                <w:szCs w:val="24"/>
                <w:lang w:val="ro-MD"/>
              </w:rPr>
              <w:t>ine un cod contabil pentru fiecare prioritate sau, în cazul FEAMPA, pentru fiecare obiectiv specific și, dacă este cazul, pentru fiecare categorie de regiuni pentru fiecare contribuție din partea programelor și separat pentru resursele menționate la artico</w:t>
            </w:r>
            <w:r>
              <w:rPr>
                <w:rFonts w:ascii="Times New Roman" w:eastAsia="Times New Roman" w:hAnsi="Times New Roman"/>
                <w:sz w:val="24"/>
                <w:szCs w:val="24"/>
                <w:lang w:val="ro-MD"/>
              </w:rPr>
              <w:t>lul 60 și, respectiv, la articolul 62.</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60</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Dobânzi și alte câștiguri generate de sprijinul din fonduri pentru instrumentele financiare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w:t>
            </w:r>
            <w:r>
              <w:rPr>
                <w:rFonts w:ascii="Times New Roman" w:hAnsi="Times New Roman"/>
                <w:sz w:val="24"/>
                <w:szCs w:val="24"/>
                <w:lang w:val="ro-MD"/>
              </w:rPr>
              <w:t xml:space="preserve">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normal"/>
              <w:shd w:val="clear" w:color="auto" w:fill="FFFFFF"/>
              <w:spacing w:before="120" w:after="0"/>
              <w:jc w:val="both"/>
              <w:rPr>
                <w:lang w:val="ro-MD"/>
              </w:rPr>
            </w:pPr>
            <w:r>
              <w:rPr>
                <w:lang w:val="ro-MD"/>
              </w:rPr>
              <w:t xml:space="preserve">(1)   Sprijinul din fonduri plătit către instrumente financiare se plasează în conturi din instituții financiare cu sediul în statele membre și este gestionat în conformitate gestiunea activă a trezoreriei </w:t>
            </w:r>
            <w:r>
              <w:rPr>
                <w:lang w:val="ro-MD"/>
              </w:rPr>
              <w:t>și cu principiul bunei gestiuni financiare.</w:t>
            </w:r>
          </w:p>
          <w:p w:rsidR="002F15D7" w:rsidRDefault="006C2DA4">
            <w:pPr>
              <w:pStyle w:val="oj-normal"/>
              <w:shd w:val="clear" w:color="auto" w:fill="FFFFFF"/>
              <w:spacing w:before="120" w:after="0"/>
              <w:jc w:val="both"/>
              <w:rPr>
                <w:lang w:val="ro-MD"/>
              </w:rPr>
            </w:pPr>
            <w:r>
              <w:rPr>
                <w:lang w:val="ro-MD"/>
              </w:rPr>
              <w:t>(2)   Dobânzile și alte câștiguri care pot fi atribuite sprijinului din fonduri plătit către instrumente financiare se utilizează în cadrul aceluiași obiectiv sau acelorași obiective ca sprijinul inițial din fond</w:t>
            </w:r>
            <w:r>
              <w:rPr>
                <w:lang w:val="ro-MD"/>
              </w:rPr>
              <w:t>uri, inclusiv pentru plățile reprezentând comisioane de gestiune și rambursări ale costurilor de gestiune suportate de organismele care execută instrumentul financiar în conformitate cu articolul 68 alineatul (1) litera (d), fie în cadrul aceluiași instrum</w:t>
            </w:r>
            <w:r>
              <w:rPr>
                <w:lang w:val="ro-MD"/>
              </w:rPr>
              <w:t>ent financiar, fie, după lichidarea instrumentului financiar, în cadrul altor instrumente financiare sau al altor forme de sprijin, pentru noi investiții în favoarea destinatarilor finali, până la sfârșitul perioadei de eligibilitate.</w:t>
            </w:r>
          </w:p>
          <w:p w:rsidR="002F15D7" w:rsidRDefault="006C2DA4">
            <w:pPr>
              <w:pStyle w:val="oj-normal"/>
              <w:shd w:val="clear" w:color="auto" w:fill="FFFFFF"/>
              <w:spacing w:before="120" w:after="0"/>
              <w:jc w:val="both"/>
              <w:rPr>
                <w:lang w:val="ro-MD"/>
              </w:rPr>
            </w:pPr>
            <w:r>
              <w:rPr>
                <w:lang w:val="ro-MD"/>
              </w:rPr>
              <w:t>(3)   Dobânzile și al</w:t>
            </w:r>
            <w:r>
              <w:rPr>
                <w:lang w:val="ro-MD"/>
              </w:rPr>
              <w:t>te câștiguri menționate la alineatul (2) care nu sunt utilizate în conformitate cu dispoziția respectivă se deduc din conturile prezentate pentru ultimul an financiar.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61</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Tratamentul diferențiat al investitorilor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Sprijinul din fonduri pentru instrumentele financiare investite în destinatarii finali și orice tip de venituri generate</w:t>
            </w:r>
            <w:r>
              <w:rPr>
                <w:rFonts w:ascii="Times New Roman" w:eastAsia="Arial Unicode MS" w:hAnsi="Times New Roman"/>
                <w:sz w:val="24"/>
                <w:szCs w:val="24"/>
                <w:lang w:val="ro-MD"/>
              </w:rPr>
              <w:t xml:space="preserve"> de investițiile respective, inclusiv resursele restituite, care pot fi atribuite sprijinului din fonduri pot fi utilizate pentru tratamentul diferențiat al investitorilor care își desfășoară activitatea după principiul economiei de piață printr-o partajar</w:t>
            </w:r>
            <w:r>
              <w:rPr>
                <w:rFonts w:ascii="Times New Roman" w:eastAsia="Arial Unicode MS" w:hAnsi="Times New Roman"/>
                <w:sz w:val="24"/>
                <w:szCs w:val="24"/>
                <w:lang w:val="ro-MD"/>
              </w:rPr>
              <w:t>e adecvată a riscurilor și a profiturilor, ținând cont de principiul bunei gestiuni financiare.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Nivelul unui astfel de tratament diferențiat nu depășește nivelul necesar pentru a crea stimulente pentru atragerea resurselor private, stabilit printr-un</w:t>
            </w:r>
            <w:r>
              <w:rPr>
                <w:rFonts w:ascii="Times New Roman" w:eastAsia="Arial Unicode MS" w:hAnsi="Times New Roman"/>
                <w:sz w:val="24"/>
                <w:szCs w:val="24"/>
                <w:lang w:val="ro-MD"/>
              </w:rPr>
              <w:t xml:space="preserve"> proces competitiv sau printr-o evaluare independentă.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before="360"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62</w:t>
            </w:r>
          </w:p>
          <w:p w:rsidR="002F15D7" w:rsidRDefault="006C2DA4">
            <w:pPr>
              <w:shd w:val="clear" w:color="auto" w:fill="FFFFFF"/>
              <w:suppressAutoHyphens w:val="0"/>
              <w:spacing w:before="60" w:after="120"/>
              <w:jc w:val="center"/>
            </w:pPr>
            <w:r>
              <w:rPr>
                <w:rFonts w:ascii="Times New Roman" w:eastAsia="Times New Roman" w:hAnsi="Times New Roman"/>
                <w:b/>
                <w:bCs/>
                <w:sz w:val="24"/>
                <w:szCs w:val="24"/>
                <w:lang w:val="ro-MD"/>
              </w:rPr>
              <w:t>Reutilizarea resurselor care pot fi atribuite sprijinului din fonduri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w:t>
            </w:r>
            <w:r>
              <w:rPr>
                <w:rFonts w:ascii="Times New Roman" w:hAnsi="Times New Roman"/>
                <w:sz w:val="24"/>
                <w:szCs w:val="24"/>
                <w:lang w:val="ro-MD"/>
              </w:rPr>
              <w:t>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Resursele restituite, înainte de încheierea perioadei de eligibilitate, instrumentelor financiare din investiții în favoarea destinatarilor finali sau din disponibilizări ale resurselor rezervate pentr</w:t>
            </w:r>
            <w:r>
              <w:rPr>
                <w:rFonts w:ascii="Times New Roman" w:eastAsia="Arial Unicode MS" w:hAnsi="Times New Roman"/>
                <w:sz w:val="24"/>
                <w:szCs w:val="24"/>
                <w:lang w:val="ro-MD"/>
              </w:rPr>
              <w:t>u contractele de garanție, inclusiv rambursările de capital și orice tip de venituri generate care pot fi atribuite sprijinului din fonduri, se reutilizează în cadrul acelorași sau al altor instrumente financiare pentru noi investiții în favoarea destinata</w:t>
            </w:r>
            <w:r>
              <w:rPr>
                <w:rFonts w:ascii="Times New Roman" w:eastAsia="Arial Unicode MS" w:hAnsi="Times New Roman"/>
                <w:sz w:val="24"/>
                <w:szCs w:val="24"/>
                <w:lang w:val="ro-MD"/>
              </w:rPr>
              <w:t xml:space="preserve">rilor finali, pentru a acoperi pierderile în valoare nominală ale contribuției fondurilor la instrumentul financiar care rezultă din dobânzi negative, dacă aceste pierderi se produc în pofida unei gestiuni active a trezoreriei, sau pentru orice costuri și </w:t>
            </w:r>
            <w:r>
              <w:rPr>
                <w:rFonts w:ascii="Times New Roman" w:eastAsia="Arial Unicode MS" w:hAnsi="Times New Roman"/>
                <w:sz w:val="24"/>
                <w:szCs w:val="24"/>
                <w:lang w:val="ro-MD"/>
              </w:rPr>
              <w:t>comisioane de gestiune asociate acestor noi investiții, ținând cont de principiul bunei gestiuni financiare.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Statele membre adoptă măsurile necesare pentru ca resursele menționate la alineatul (1) și restituite instrumentelor financiare în cursul une</w:t>
            </w:r>
            <w:r>
              <w:rPr>
                <w:rFonts w:ascii="Times New Roman" w:eastAsia="Arial Unicode MS" w:hAnsi="Times New Roman"/>
                <w:sz w:val="24"/>
                <w:szCs w:val="24"/>
                <w:lang w:val="ro-MD"/>
              </w:rPr>
              <w:t>i perioade de cel puțin opt ani după încheierea perioadei de eligibilitate să fie reutilizate în conformitate cu obiectivele de politică ale programului sau programelor prin care au fost instituite, fie în cadrul aceluiași instrument financiar, fie, după i</w:t>
            </w:r>
            <w:r>
              <w:rPr>
                <w:rFonts w:ascii="Times New Roman" w:eastAsia="Arial Unicode MS" w:hAnsi="Times New Roman"/>
                <w:sz w:val="24"/>
                <w:szCs w:val="24"/>
                <w:lang w:val="ro-MD"/>
              </w:rPr>
              <w:t>eșirea respectivelor resurse din instrumentul financiar, în cadrul altor instrumente financiare sau al altor forme de sprijin.</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III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Norme de eligibilitate</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63</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Eligibilitate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w:t>
            </w:r>
            <w:r>
              <w:rPr>
                <w:rFonts w:ascii="Times New Roman" w:hAnsi="Times New Roman"/>
                <w:sz w:val="24"/>
                <w:szCs w:val="24"/>
                <w:lang w:val="ro-MD"/>
              </w:rPr>
              <w:t>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Eligibilitatea cheltuielilor se stabilește pe baza normelor naționale, cu excepția cazului în care există norme specifice stabilite în prezentul regu</w:t>
            </w:r>
            <w:r>
              <w:rPr>
                <w:rFonts w:ascii="Times New Roman" w:eastAsia="Arial Unicode MS" w:hAnsi="Times New Roman"/>
                <w:sz w:val="24"/>
                <w:szCs w:val="24"/>
                <w:lang w:val="ro-MD"/>
              </w:rPr>
              <w:t>lament sau în regulamentele specifice fiecărui fond ori pe baza acestora.</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Cheltuielile sunt eligibile pentru o contribuție din fonduri dacă au fost suportate de un beneficiar sau de partenerul privat din cadrul unei operațiuni PPP și plătite în cadru</w:t>
            </w:r>
            <w:r>
              <w:rPr>
                <w:rFonts w:ascii="Times New Roman" w:eastAsia="Arial Unicode MS" w:hAnsi="Times New Roman"/>
                <w:sz w:val="24"/>
                <w:szCs w:val="24"/>
                <w:lang w:val="ro-MD"/>
              </w:rPr>
              <w:t>l implementării operațiunilor, între data transmiterii programului către Comisie sau data de 1 ianuarie 2021, oricare dintre aceste date survine prima, și 31 decembrie 2029.</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costurilor rambursate în temeiul articolului 53 alineatul (1) literele (b</w:t>
            </w:r>
            <w:r>
              <w:rPr>
                <w:rFonts w:ascii="Times New Roman" w:eastAsia="Arial Unicode MS" w:hAnsi="Times New Roman"/>
                <w:sz w:val="24"/>
                <w:szCs w:val="24"/>
                <w:lang w:val="ro-MD"/>
              </w:rPr>
              <w:t>), (c) și (f), acțiunile care constituie baza rambursării se desfășoară între data transmiterii programului către Comisie sau data de 1 ianuarie 2021, oricare dintre aceste date survine prima, și 31 decembrie 2029.</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Pentru FEDR, cheltuielile aferente </w:t>
            </w:r>
            <w:r>
              <w:rPr>
                <w:rFonts w:ascii="Times New Roman" w:eastAsia="Arial Unicode MS" w:hAnsi="Times New Roman"/>
                <w:sz w:val="24"/>
                <w:szCs w:val="24"/>
                <w:lang w:val="ro-MD"/>
              </w:rPr>
              <w:t>operațiunilor care vizează mai multe categorii de regiuni, astfel cum se prevede la articolul 108 alineatul (2), dintr-un stat membru se alocă pentru categoriile de regiuni în cauză în mod proporțional, pe baza unor criterii obiective.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FSE+, cheltui</w:t>
            </w:r>
            <w:r>
              <w:rPr>
                <w:rFonts w:ascii="Times New Roman" w:eastAsia="Arial Unicode MS" w:hAnsi="Times New Roman"/>
                <w:sz w:val="24"/>
                <w:szCs w:val="24"/>
                <w:lang w:val="ro-MD"/>
              </w:rPr>
              <w:t>elile aferente operațiunilor pot fi alocate oricărei categorii de regiuni din cadrul programului cu condiția ca operațiunea să contribuie la îndeplinirea obiectivelor specifice ale programului.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Pentru FTJ, cheltuielile în legătură cu operațiuni contribuie </w:t>
            </w:r>
            <w:r>
              <w:rPr>
                <w:rFonts w:ascii="Times New Roman" w:eastAsia="Arial Unicode MS" w:hAnsi="Times New Roman"/>
                <w:sz w:val="24"/>
                <w:szCs w:val="24"/>
                <w:lang w:val="ro-MD"/>
              </w:rPr>
              <w:t>la implementarea planului teritorial pentru o tranziție justă relevant.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O operațiune poate fi implementată integral sau parțial în afara unui stat membru, inclusiv în afara Uniunii, cu condiția ca operațiunea să contribuie la obiectivele programului.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(5)   În cazul granturilor acordate sub formele de la articolul 53 alineatul (1) literele (b), (c) și (d), cheltuielile care sunt eligibile pentru o contribuție din fonduri sunt egale cu cuantumurile calculate în conformitate cu articolul 53 alineatul </w:t>
            </w:r>
            <w:r>
              <w:rPr>
                <w:rFonts w:ascii="Times New Roman" w:eastAsia="Arial Unicode MS" w:hAnsi="Times New Roman"/>
                <w:sz w:val="24"/>
                <w:szCs w:val="24"/>
                <w:lang w:val="ro-MD"/>
              </w:rPr>
              <w:t>(3).</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Operațiunile nu sunt selectate pentru sprijin din fonduri dacă au fost finalizate fizic sau implementate integral înainte de depunerea cererii de finanțare în cadrul programului, indiferent dacă au fost efectuate sau nu toate plățile aferente. P</w:t>
            </w:r>
            <w:r>
              <w:rPr>
                <w:rFonts w:ascii="Times New Roman" w:eastAsia="Arial Unicode MS" w:hAnsi="Times New Roman"/>
                <w:sz w:val="24"/>
                <w:szCs w:val="24"/>
                <w:lang w:val="ro-MD"/>
              </w:rPr>
              <w:t xml:space="preserve">rezentul alineat nu se aplică compensațiilor din cadrul FEAMPA pentru costurile suplimentare din regiunile </w:t>
            </w:r>
            <w:proofErr w:type="spellStart"/>
            <w:r>
              <w:rPr>
                <w:rFonts w:ascii="Times New Roman" w:eastAsia="Arial Unicode MS" w:hAnsi="Times New Roman"/>
                <w:sz w:val="24"/>
                <w:szCs w:val="24"/>
                <w:lang w:val="ro-MD"/>
              </w:rPr>
              <w:t>ultraperiferice</w:t>
            </w:r>
            <w:proofErr w:type="spellEnd"/>
            <w:r>
              <w:rPr>
                <w:rFonts w:ascii="Times New Roman" w:eastAsia="Arial Unicode MS" w:hAnsi="Times New Roman"/>
                <w:sz w:val="24"/>
                <w:szCs w:val="24"/>
                <w:lang w:val="ro-MD"/>
              </w:rPr>
              <w:t xml:space="preserve"> în temeiul articolului 24 din Regulamentul FEAMPA și nici sprijinului din finanțarea suplimentară pentru regiunile </w:t>
            </w:r>
            <w:proofErr w:type="spellStart"/>
            <w:r>
              <w:rPr>
                <w:rFonts w:ascii="Times New Roman" w:eastAsia="Arial Unicode MS" w:hAnsi="Times New Roman"/>
                <w:sz w:val="24"/>
                <w:szCs w:val="24"/>
                <w:lang w:val="ro-MD"/>
              </w:rPr>
              <w:t>ultraperiferice</w:t>
            </w:r>
            <w:proofErr w:type="spellEnd"/>
            <w:r>
              <w:rPr>
                <w:rFonts w:ascii="Times New Roman" w:eastAsia="Arial Unicode MS" w:hAnsi="Times New Roman"/>
                <w:sz w:val="24"/>
                <w:szCs w:val="24"/>
                <w:lang w:val="ro-MD"/>
              </w:rPr>
              <w:t xml:space="preserve"> în</w:t>
            </w:r>
            <w:r>
              <w:rPr>
                <w:rFonts w:ascii="Times New Roman" w:eastAsia="Arial Unicode MS" w:hAnsi="Times New Roman"/>
                <w:sz w:val="24"/>
                <w:szCs w:val="24"/>
                <w:lang w:val="ro-MD"/>
              </w:rPr>
              <w:t xml:space="preserve"> temeiul articolului 110 alineatul (1) litera (e) din prezentul regulament.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(7)   Cheltuielile care devin eligibile în urma unei modificări a programului sunt eligibile de la data prezentării cererii corespunzătoare către Comisie.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FEDR, Fondul de co</w:t>
            </w:r>
            <w:r>
              <w:rPr>
                <w:rFonts w:ascii="Times New Roman" w:eastAsia="Arial Unicode MS" w:hAnsi="Times New Roman"/>
                <w:sz w:val="24"/>
                <w:szCs w:val="24"/>
                <w:lang w:val="ro-MD"/>
              </w:rPr>
              <w:t>eziune și FTJ, cheltuielile devin eligibile ca urmare a modificării programului atunci când se adaugă în program un nou tip de intervenție care figurează în tabelul 1 din anexa I sau, pentru FEAMPA, FAMI, FSI și IMFV, în regulamentele specifice fiecărui fo</w:t>
            </w:r>
            <w:r>
              <w:rPr>
                <w:rFonts w:ascii="Times New Roman" w:eastAsia="Arial Unicode MS" w:hAnsi="Times New Roman"/>
                <w:sz w:val="24"/>
                <w:szCs w:val="24"/>
                <w:lang w:val="ro-MD"/>
              </w:rPr>
              <w:t>nd.</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un program este modificat ca răspuns la dezastre naturale, programul poate prevedea că eligibilitatea cheltuielilor care au legătură cu această modificare începe de la data la care a avut loc dezastrul natural.</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(8)   În cazul în care u</w:t>
            </w:r>
            <w:r>
              <w:rPr>
                <w:rFonts w:ascii="Times New Roman" w:eastAsia="Arial Unicode MS" w:hAnsi="Times New Roman"/>
                <w:sz w:val="24"/>
                <w:szCs w:val="24"/>
                <w:lang w:val="ro-MD"/>
              </w:rPr>
              <w:t>n nou program este aprobat, cheltuielile sunt eligibile de la data înaintării cererii corespunzătoare către Comisie.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(9)   O operațiune poate beneficia de sprijin din unul sau mai multe fonduri sau din partea unuia sau a mai multor programe și din partea a</w:t>
            </w:r>
            <w:r>
              <w:rPr>
                <w:rFonts w:ascii="Times New Roman" w:eastAsia="Arial Unicode MS" w:hAnsi="Times New Roman"/>
                <w:sz w:val="24"/>
                <w:szCs w:val="24"/>
                <w:lang w:val="ro-MD"/>
              </w:rPr>
              <w:t>ltor instrumente ale Uniunii. În astfel de cazuri, cheltuielile declarate într-o cerere de plată pentru unul dintre fonduri nu se declară pentru niciunul dintre următoarele: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sprijin din partea unui alt fond sau instrument al Uniunii;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sprijin din </w:t>
                  </w:r>
                  <w:r>
                    <w:rPr>
                      <w:rFonts w:ascii="Times New Roman" w:eastAsia="Arial Unicode MS" w:hAnsi="Times New Roman"/>
                      <w:sz w:val="24"/>
                      <w:szCs w:val="24"/>
                      <w:lang w:val="ro-MD"/>
                    </w:rPr>
                    <w:t>partea aceluiași fond în cadrul unui alt program.</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Cuantumul cheltuielilor care trebuie înregistrate într-o cerere de plată pentru un fond se poate calcula proporțional pentru fiecare fond și pentru programul sau programele în cauză, în conformitate cu </w:t>
            </w:r>
            <w:r>
              <w:rPr>
                <w:rFonts w:ascii="Times New Roman" w:eastAsia="Arial Unicode MS" w:hAnsi="Times New Roman"/>
                <w:sz w:val="24"/>
                <w:szCs w:val="24"/>
                <w:lang w:val="ro-MD"/>
              </w:rPr>
              <w:t>documentul care stabilește condițiile care trebuie îndeplinite pentru a beneficia de sprijin.</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64</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Costuri neeligibile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w:t>
            </w:r>
            <w:r>
              <w:rPr>
                <w:rFonts w:ascii="Times New Roman" w:hAnsi="Times New Roman"/>
                <w:sz w:val="24"/>
                <w:szCs w:val="24"/>
                <w:lang w:val="ro-MD"/>
              </w:rPr>
              <w:t>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Următoarele costuri nu sunt eligibile pentru o contribuție din fonduri: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dobânzi pentru împrumuturi, cu excepția celor referitoare la granturi acordate sub forma unei subvenții pentru rata dobânzii sau a unei</w:t>
                  </w:r>
                  <w:r>
                    <w:rPr>
                      <w:rFonts w:ascii="Times New Roman" w:eastAsia="Arial Unicode MS" w:hAnsi="Times New Roman"/>
                      <w:sz w:val="24"/>
                      <w:szCs w:val="24"/>
                      <w:lang w:val="ro-MD"/>
                    </w:rPr>
                    <w:t xml:space="preserve"> subvenții pentru comisioanele de garantare;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achiziționarea de terenuri cu o valoare mai mare de 10 % din cheltuielile totale eligibile ale operațiunii în cauză; în cazul siturilor abandonate și al siturilor utilizate anterior pentru activități indus</w:t>
                  </w:r>
                  <w:r>
                    <w:rPr>
                      <w:rFonts w:ascii="Times New Roman" w:eastAsia="Arial Unicode MS" w:hAnsi="Times New Roman"/>
                      <w:sz w:val="24"/>
                      <w:szCs w:val="24"/>
                      <w:lang w:val="ro-MD"/>
                    </w:rPr>
                    <w:t>triale care includ clădiri, această limită se majorează la 15 %; pentru instrumentele financiare, aceste procente se aplică contribuției din partea programelor plătite destinatarului final sau, în cazul garanțiilor, cuantumului împrumutului suport;</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t</w:t>
                  </w:r>
                  <w:r>
                    <w:rPr>
                      <w:rFonts w:ascii="Times New Roman" w:eastAsia="Arial Unicode MS" w:hAnsi="Times New Roman"/>
                      <w:sz w:val="24"/>
                      <w:szCs w:val="24"/>
                      <w:lang w:val="ro-MD"/>
                    </w:rPr>
                    <w:t>axa pe valoarea adăugată („TVA”), cu următoarele excepții:</w:t>
                  </w:r>
                </w:p>
                <w:tbl>
                  <w:tblPr>
                    <w:tblW w:w="5000" w:type="pct"/>
                    <w:tblCellMar>
                      <w:left w:w="10" w:type="dxa"/>
                      <w:right w:w="10" w:type="dxa"/>
                    </w:tblCellMar>
                    <w:tblLook w:val="04A0" w:firstRow="1" w:lastRow="0" w:firstColumn="1" w:lastColumn="0" w:noHBand="0" w:noVBand="1"/>
                  </w:tblPr>
                  <w:tblGrid>
                    <w:gridCol w:w="227"/>
                    <w:gridCol w:w="3334"/>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w:t>
                        </w:r>
                      </w:p>
                    </w:tc>
                    <w:tc>
                      <w:tcPr>
                        <w:tcW w:w="3334"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operațiunile al căror cost total este mai mic de 5 000 000 EUR (inclusiv TVA);</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67"/>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(ii)</w:t>
                        </w:r>
                      </w:p>
                    </w:tc>
                    <w:tc>
                      <w:tcPr>
                        <w:tcW w:w="3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pentru operațiunile al căror cost total este mai mare de 5 000 000 EUR (inclusiv TVA), în cazul în </w:t>
                        </w:r>
                        <w:r>
                          <w:rPr>
                            <w:rFonts w:ascii="Times New Roman" w:eastAsia="Arial Unicode MS" w:hAnsi="Times New Roman"/>
                            <w:sz w:val="24"/>
                            <w:szCs w:val="24"/>
                            <w:lang w:val="ro-MD"/>
                          </w:rPr>
                          <w:t>care TVA-</w:t>
                        </w:r>
                        <w:proofErr w:type="spellStart"/>
                        <w:r>
                          <w:rPr>
                            <w:rFonts w:ascii="Times New Roman" w:eastAsia="Arial Unicode MS" w:hAnsi="Times New Roman"/>
                            <w:sz w:val="24"/>
                            <w:szCs w:val="24"/>
                            <w:lang w:val="ro-MD"/>
                          </w:rPr>
                          <w:t>ul</w:t>
                        </w:r>
                        <w:proofErr w:type="spellEnd"/>
                        <w:r>
                          <w:rPr>
                            <w:rFonts w:ascii="Times New Roman" w:eastAsia="Arial Unicode MS" w:hAnsi="Times New Roman"/>
                            <w:sz w:val="24"/>
                            <w:szCs w:val="24"/>
                            <w:lang w:val="ro-MD"/>
                          </w:rPr>
                          <w:t xml:space="preserve"> nu se recuperează în temeiul legislației naționale privind TVA;</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201"/>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(iii)</w:t>
                        </w:r>
                      </w:p>
                    </w:tc>
                    <w:tc>
                      <w:tcPr>
                        <w:tcW w:w="320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investițiile efectuate de destinatarii finali în contextul instrumentelor financiare; în cazul în care aceste investiții sunt sprijinite prin instrumente financiare combina</w:t>
                        </w:r>
                        <w:r>
                          <w:rPr>
                            <w:rFonts w:ascii="Times New Roman" w:eastAsia="Arial Unicode MS" w:hAnsi="Times New Roman"/>
                            <w:sz w:val="24"/>
                            <w:szCs w:val="24"/>
                            <w:lang w:val="ro-MD"/>
                          </w:rPr>
                          <w:t>te cu sprijin din partea programului sub formă de grant, astfel cum se menționează la articolul 58 alineatul (5), TVA-</w:t>
                        </w:r>
                        <w:proofErr w:type="spellStart"/>
                        <w:r>
                          <w:rPr>
                            <w:rFonts w:ascii="Times New Roman" w:eastAsia="Arial Unicode MS" w:hAnsi="Times New Roman"/>
                            <w:sz w:val="24"/>
                            <w:szCs w:val="24"/>
                            <w:lang w:val="ro-MD"/>
                          </w:rPr>
                          <w:t>ul</w:t>
                        </w:r>
                        <w:proofErr w:type="spellEnd"/>
                        <w:r>
                          <w:rPr>
                            <w:rFonts w:ascii="Times New Roman" w:eastAsia="Arial Unicode MS" w:hAnsi="Times New Roman"/>
                            <w:sz w:val="24"/>
                            <w:szCs w:val="24"/>
                            <w:lang w:val="ro-MD"/>
                          </w:rPr>
                          <w:t xml:space="preserve"> nu este eligibil pentru partea din costul investiției care corespunde sprijinului din partea programului sub formă de grant, cu excepți</w:t>
                        </w:r>
                        <w:r>
                          <w:rPr>
                            <w:rFonts w:ascii="Times New Roman" w:eastAsia="Arial Unicode MS" w:hAnsi="Times New Roman"/>
                            <w:sz w:val="24"/>
                            <w:szCs w:val="24"/>
                            <w:lang w:val="ro-MD"/>
                          </w:rPr>
                          <w:t>a cazului în care TVA-</w:t>
                        </w:r>
                        <w:proofErr w:type="spellStart"/>
                        <w:r>
                          <w:rPr>
                            <w:rFonts w:ascii="Times New Roman" w:eastAsia="Arial Unicode MS" w:hAnsi="Times New Roman"/>
                            <w:sz w:val="24"/>
                            <w:szCs w:val="24"/>
                            <w:lang w:val="ro-MD"/>
                          </w:rPr>
                          <w:t>ul</w:t>
                        </w:r>
                        <w:proofErr w:type="spellEnd"/>
                        <w:r>
                          <w:rPr>
                            <w:rFonts w:ascii="Times New Roman" w:eastAsia="Arial Unicode MS" w:hAnsi="Times New Roman"/>
                            <w:sz w:val="24"/>
                            <w:szCs w:val="24"/>
                            <w:lang w:val="ro-MD"/>
                          </w:rPr>
                          <w:t xml:space="preserve"> aferent costului investiției nu se poate recupera în temeiul legislației naționale privind TVA-</w:t>
                        </w:r>
                        <w:proofErr w:type="spellStart"/>
                        <w:r>
                          <w:rPr>
                            <w:rFonts w:ascii="Times New Roman" w:eastAsia="Arial Unicode MS" w:hAnsi="Times New Roman"/>
                            <w:sz w:val="24"/>
                            <w:szCs w:val="24"/>
                            <w:lang w:val="ro-MD"/>
                          </w:rPr>
                          <w:t>ul</w:t>
                        </w:r>
                        <w:proofErr w:type="spellEnd"/>
                        <w:r>
                          <w:rPr>
                            <w:rFonts w:ascii="Times New Roman" w:eastAsia="Arial Unicode MS" w:hAnsi="Times New Roman"/>
                            <w:sz w:val="24"/>
                            <w:szCs w:val="24"/>
                            <w:lang w:val="ro-MD"/>
                          </w:rPr>
                          <w:t xml:space="preserve"> sau a cazului în care partea din costul investiției care corespunde sprijinului acordat din partea programului sub formă de grant est</w:t>
                        </w:r>
                        <w:r>
                          <w:rPr>
                            <w:rFonts w:ascii="Times New Roman" w:eastAsia="Arial Unicode MS" w:hAnsi="Times New Roman"/>
                            <w:sz w:val="24"/>
                            <w:szCs w:val="24"/>
                            <w:lang w:val="ro-MD"/>
                          </w:rPr>
                          <w:t>e mai mică de 5 000 000 EUR (inclusiv TVA);</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47"/>
                    <w:gridCol w:w="3214"/>
                  </w:tblGrid>
                  <w:tr w:rsidR="002F15D7">
                    <w:tblPrEx>
                      <w:tblCellMar>
                        <w:top w:w="0" w:type="dxa"/>
                        <w:bottom w:w="0" w:type="dxa"/>
                      </w:tblCellMar>
                    </w:tblPrEx>
                    <w:tc>
                      <w:tcPr>
                        <w:tcW w:w="34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(iv)</w:t>
                        </w:r>
                      </w:p>
                    </w:tc>
                    <w:tc>
                      <w:tcPr>
                        <w:tcW w:w="3214"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în cazul fondurilor pentru proiecte mici și al investițiilor efectuate de destinatarii finali în contextul fondurilor pentru proiecte mici în cadrul programelor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w:t>
                        </w:r>
                      </w:p>
                    </w:tc>
                  </w:tr>
                </w:tbl>
                <w:p w:rsidR="002F15D7" w:rsidRDefault="002F15D7">
                  <w:pPr>
                    <w:spacing w:after="0"/>
                    <w:jc w:val="both"/>
                    <w:rPr>
                      <w:rFonts w:ascii="Times New Roman" w:eastAsia="Arial Unicode MS" w:hAnsi="Times New Roman"/>
                      <w:sz w:val="24"/>
                      <w:szCs w:val="24"/>
                      <w:lang w:val="ro-MD"/>
                    </w:rPr>
                  </w:pP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Litera (b) de la primul </w:t>
            </w:r>
            <w:r>
              <w:rPr>
                <w:rFonts w:ascii="Times New Roman" w:eastAsia="Arial Unicode MS" w:hAnsi="Times New Roman"/>
                <w:sz w:val="24"/>
                <w:szCs w:val="24"/>
                <w:lang w:val="ro-MD"/>
              </w:rPr>
              <w:t>paragraf nu se aplică operațiunilor referitoare la conservarea mediului.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Regulamentele specifice fiecărui fond pot identifica și alte costuri care nu sunt eligibile pentru contribuții din fiecare fond.</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65</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 xml:space="preserve">Caracterul durabil al </w:t>
            </w:r>
            <w:r>
              <w:rPr>
                <w:rFonts w:ascii="Times New Roman" w:eastAsia="Times New Roman" w:hAnsi="Times New Roman"/>
                <w:b/>
                <w:bCs/>
                <w:sz w:val="24"/>
                <w:szCs w:val="24"/>
                <w:lang w:val="ro-MD"/>
              </w:rPr>
              <w:t>operațiunilor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Statul membru rambursează contribuția din fonduri la o operațiune constând în </w:t>
            </w:r>
            <w:r>
              <w:rPr>
                <w:rFonts w:ascii="Times New Roman" w:eastAsia="Arial Unicode MS" w:hAnsi="Times New Roman"/>
                <w:sz w:val="24"/>
                <w:szCs w:val="24"/>
                <w:lang w:val="ro-MD"/>
              </w:rPr>
              <w:t>investiții în infrastructură sau în investiții productive, în cazul în care, în termen de cinci ani de la efectuarea plății finale către beneficiar sau în termenul prevăzut de normele privind ajutoarele de stat, după caz, respectiva operațiune face obiectu</w:t>
            </w:r>
            <w:r>
              <w:rPr>
                <w:rFonts w:ascii="Times New Roman" w:eastAsia="Arial Unicode MS" w:hAnsi="Times New Roman"/>
                <w:sz w:val="24"/>
                <w:szCs w:val="24"/>
                <w:lang w:val="ro-MD"/>
              </w:rPr>
              <w:t>l oricăreia dintre următoarele: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încetarea unei activități productive sau transferul acesteia în afara regiunii de nivel NUTS 2 în care a primit sprijin;</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o modificare a proprietății asupra unui element de infrastructură care conferă un avantaj </w:t>
                  </w:r>
                  <w:r>
                    <w:rPr>
                      <w:rFonts w:ascii="Times New Roman" w:eastAsia="Arial Unicode MS" w:hAnsi="Times New Roman"/>
                      <w:sz w:val="24"/>
                      <w:szCs w:val="24"/>
                      <w:lang w:val="ro-MD"/>
                    </w:rPr>
                    <w:t>nejustificat unei întreprinderi sau unui organism public;</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 modificare substanțială care afectează natura, obiectivele sau condițiile de implementare a operațiunii și care ar conduce la subminarea obiectivelor inițiale ale acesteia.</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Statul membru po</w:t>
            </w:r>
            <w:r>
              <w:rPr>
                <w:rFonts w:ascii="Times New Roman" w:eastAsia="Arial Unicode MS" w:hAnsi="Times New Roman"/>
                <w:sz w:val="24"/>
                <w:szCs w:val="24"/>
                <w:lang w:val="ro-MD"/>
              </w:rPr>
              <w:t>ate reduce la trei ani termenul stabilit la primul paragraf în situații care vizează menținerea investițiilor sau a locurilor de muncă create de IMM-uri.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Rambursarea efectuată de statul membru pe motivul nerespectării dispozițiilor din prezentul articol </w:t>
            </w:r>
            <w:r>
              <w:rPr>
                <w:rFonts w:ascii="Times New Roman" w:eastAsia="Arial Unicode MS" w:hAnsi="Times New Roman"/>
                <w:sz w:val="24"/>
                <w:szCs w:val="24"/>
                <w:lang w:val="ro-MD"/>
              </w:rPr>
              <w:t>este proporțională cu perioada de neconformitate.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Operațiunile sprijinite de FSE+ sau de FTJ în conformitate cu articolul 8 alineatul (2) literele (k), (l) și (m) din Regulamentul FTJ rambursează sprijinul atunci când fac obiectul unei obligații de m</w:t>
            </w:r>
            <w:r>
              <w:rPr>
                <w:rFonts w:ascii="Times New Roman" w:eastAsia="Arial Unicode MS" w:hAnsi="Times New Roman"/>
                <w:sz w:val="24"/>
                <w:szCs w:val="24"/>
                <w:lang w:val="ro-MD"/>
              </w:rPr>
              <w:t>enținere a investiției în temeiul normelor privind ajutoarele de stat.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Alineatele (1) și (2) nu se aplică în cazul contribuțiilor din partea programelor către sau din partea unor instrumente financiare, nici în cazul operațiunilor în cadrul cărora o </w:t>
            </w:r>
            <w:r>
              <w:rPr>
                <w:rFonts w:ascii="Times New Roman" w:eastAsia="Arial Unicode MS" w:hAnsi="Times New Roman"/>
                <w:sz w:val="24"/>
                <w:szCs w:val="24"/>
                <w:lang w:val="ro-MD"/>
              </w:rPr>
              <w:t>activitate de producție încetează ca urmare a unui faliment nefraudulos.</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66</w:t>
            </w:r>
          </w:p>
          <w:p w:rsidR="002F15D7" w:rsidRDefault="006C2DA4">
            <w:pPr>
              <w:shd w:val="clear" w:color="auto" w:fill="FFFFFF"/>
              <w:suppressAutoHyphens w:val="0"/>
              <w:spacing w:after="12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Relocarea</w:t>
            </w:r>
          </w:p>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obligatoriu în toate elementele </w:t>
            </w:r>
            <w:r>
              <w:rPr>
                <w:rFonts w:ascii="Times New Roman" w:hAnsi="Times New Roman"/>
                <w:sz w:val="24"/>
                <w:szCs w:val="24"/>
                <w:lang w:val="ro-MD"/>
              </w:rPr>
              <w:t>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Cheltuielile efectuate în sprijinul relocării nu sunt eligibile pentru o contribuție din fonduri.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În cazul în care o contribuție din fonduri constituie ajutor de stat, autoritatea de management se asigură că această contribuție nu spriji</w:t>
            </w:r>
            <w:r>
              <w:rPr>
                <w:rFonts w:ascii="Times New Roman" w:eastAsia="Arial Unicode MS" w:hAnsi="Times New Roman"/>
                <w:sz w:val="24"/>
                <w:szCs w:val="24"/>
                <w:lang w:val="ro-MD"/>
              </w:rPr>
              <w:t>nă relocarea în conformitate cu articolul 14 alineatul (16) din Regulamentul (UE) nr. 651/2014.</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67</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Norme de eligibilitate specifice pentru granturi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w:t>
            </w:r>
            <w:r>
              <w:rPr>
                <w:rFonts w:ascii="Times New Roman" w:hAnsi="Times New Roman"/>
                <w:sz w:val="24"/>
                <w:szCs w:val="24"/>
                <w:lang w:val="ro-MD"/>
              </w:rPr>
              <w:t xml:space="preserve">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Contribuțiile în natură sub forma furnizării de lucrări, bunuri, servicii, terenuri și proprietăți imobiliare pentru care nu au fost efectuate plăți justificate de facturi sau documente </w:t>
            </w:r>
            <w:r>
              <w:rPr>
                <w:rFonts w:ascii="Times New Roman" w:eastAsia="Arial Unicode MS" w:hAnsi="Times New Roman"/>
                <w:sz w:val="24"/>
                <w:szCs w:val="24"/>
                <w:lang w:val="ro-MD"/>
              </w:rPr>
              <w:t>cu valoare probatorie echivalentă pot fi eligibile dacă sunt îndeplinite următoarele condiții: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sprijinul public plătit unei operațiuni care include contribuții în natură nu depășește valoarea totală a cheltuielilor eligibile, exclusiv contribuțiile în </w:t>
                  </w:r>
                  <w:r>
                    <w:rPr>
                      <w:rFonts w:ascii="Times New Roman" w:eastAsia="Arial Unicode MS" w:hAnsi="Times New Roman"/>
                      <w:sz w:val="24"/>
                      <w:szCs w:val="24"/>
                      <w:lang w:val="ro-MD"/>
                    </w:rPr>
                    <w:t>natură, la încheierea operațiunii;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valoarea atribuită contribuțiilor în natură nu depășește costurile în general acceptate pe piața în cauză;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valoarea și furnizarea contribuției în natură pot face obiectul unei evaluări și al unei verificări </w:t>
                  </w:r>
                  <w:r>
                    <w:rPr>
                      <w:rFonts w:ascii="Times New Roman" w:eastAsia="Arial Unicode MS" w:hAnsi="Times New Roman"/>
                      <w:sz w:val="24"/>
                      <w:szCs w:val="24"/>
                      <w:lang w:val="ro-MD"/>
                    </w:rPr>
                    <w:t>independente;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furnizării de terenuri sau proprietăți imobiliare, se poate face o plată în vederea unui contract de închiriere la o valoare nominală pe an care să nu depășească o unitate monetară a statului membru respectiv;</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în cazul </w:t>
                  </w:r>
                  <w:r>
                    <w:rPr>
                      <w:rFonts w:ascii="Times New Roman" w:eastAsia="Arial Unicode MS" w:hAnsi="Times New Roman"/>
                      <w:sz w:val="24"/>
                      <w:szCs w:val="24"/>
                      <w:lang w:val="ro-MD"/>
                    </w:rPr>
                    <w:t>contribuțiilor în natură sub formă de muncă neremunerată, valoarea muncii este determinată luând în considerare timpul consacrat verificat și rata remunerației pentru o muncă echivalentă.</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Valoarea terenului sau a proprietății imobiliare menționate la prim</w:t>
            </w:r>
            <w:r>
              <w:rPr>
                <w:rFonts w:ascii="Times New Roman" w:eastAsia="Arial Unicode MS" w:hAnsi="Times New Roman"/>
                <w:sz w:val="24"/>
                <w:szCs w:val="24"/>
                <w:lang w:val="ro-MD"/>
              </w:rPr>
              <w:t>ul paragraf litera (d) de la prezentul alineat se certifică de un expert independent calificat sau de un organism oficial autorizat în mod corespunzător și nu depășește limita prevăzută la articolul 64 alineatul (1) litera (b).</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Costurile de amortizar</w:t>
            </w:r>
            <w:r>
              <w:rPr>
                <w:rFonts w:ascii="Times New Roman" w:eastAsia="Arial Unicode MS" w:hAnsi="Times New Roman"/>
                <w:sz w:val="24"/>
                <w:szCs w:val="24"/>
                <w:lang w:val="ro-MD"/>
              </w:rPr>
              <w:t>e pentru care nu a fost efectuată nicio plată justificată prin facturi pot fi considerate ca fiind eligibile dacă sunt îndeplinite următoarele condiții: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normele de eligibilitate ale programului permit acest lucru;</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cuantumul cheltuielilor este </w:t>
                  </w:r>
                  <w:r>
                    <w:rPr>
                      <w:rFonts w:ascii="Times New Roman" w:eastAsia="Arial Unicode MS" w:hAnsi="Times New Roman"/>
                      <w:sz w:val="24"/>
                      <w:szCs w:val="24"/>
                      <w:lang w:val="ro-MD"/>
                    </w:rPr>
                    <w:t>justificat corespunzător prin documente cu valoare probatorie echivalentă facturilor pentru costurile eligibile, în cazul rambursării acestora sub forma menționată la articolul 53 alineatul (1) litera (a);</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costurile se raportează exclusiv la perioada</w:t>
                  </w:r>
                  <w:r>
                    <w:rPr>
                      <w:rFonts w:ascii="Times New Roman" w:eastAsia="Arial Unicode MS" w:hAnsi="Times New Roman"/>
                      <w:sz w:val="24"/>
                      <w:szCs w:val="24"/>
                      <w:lang w:val="ro-MD"/>
                    </w:rPr>
                    <w:t xml:space="preserve"> de sprijin pentru operațiune;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granturile publice nu au contribuit la achiziționarea activelor amortizate.</w:t>
                  </w:r>
                </w:p>
              </w:tc>
            </w:tr>
          </w:tbl>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68</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Norme de eligibilitate specifice pentru instrumentele financiare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w:t>
            </w:r>
            <w:r>
              <w:rPr>
                <w:rFonts w:ascii="Times New Roman" w:hAnsi="Times New Roman"/>
                <w:sz w:val="24"/>
                <w:szCs w:val="24"/>
                <w:lang w:val="ro-MD"/>
              </w:rPr>
              <w:t>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Cheltuielile eligibile aferente unui instrument financiar sunt reprezentate de cuantumul total al contribuției din partea programului plătite pentru </w:t>
            </w:r>
            <w:r>
              <w:rPr>
                <w:rFonts w:ascii="Times New Roman" w:eastAsia="Arial Unicode MS" w:hAnsi="Times New Roman"/>
                <w:sz w:val="24"/>
                <w:szCs w:val="24"/>
                <w:lang w:val="ro-MD"/>
              </w:rPr>
              <w:t>sau, în cazul garanțiilor, rezervate pentru contractele de garanție, de instrumentul financiar în perioada de eligibilitate, atunci când acest cuantum corespunde: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plăților către destinatarii finali, în cazul împrumuturilor și al investițiilor de capita</w:t>
                  </w:r>
                  <w:r>
                    <w:rPr>
                      <w:rFonts w:ascii="Times New Roman" w:eastAsia="Arial Unicode MS" w:hAnsi="Times New Roman"/>
                      <w:sz w:val="24"/>
                      <w:szCs w:val="24"/>
                      <w:lang w:val="ro-MD"/>
                    </w:rPr>
                    <w:t xml:space="preserve">l și de </w:t>
                  </w:r>
                  <w:proofErr w:type="spellStart"/>
                  <w:r>
                    <w:rPr>
                      <w:rFonts w:ascii="Times New Roman" w:eastAsia="Arial Unicode MS" w:hAnsi="Times New Roman"/>
                      <w:sz w:val="24"/>
                      <w:szCs w:val="24"/>
                      <w:lang w:val="ro-MD"/>
                    </w:rPr>
                    <w:t>cvasicapital</w:t>
                  </w:r>
                  <w:proofErr w:type="spellEnd"/>
                  <w:r>
                    <w:rPr>
                      <w:rFonts w:ascii="Times New Roman" w:eastAsia="Arial Unicode MS" w:hAnsi="Times New Roman"/>
                      <w:sz w:val="24"/>
                      <w:szCs w:val="24"/>
                      <w:lang w:val="ro-MD"/>
                    </w:rPr>
                    <w:t>;</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resurselor rezervate pentru contractele de garanție, indiferent dacă sunt în curs sau deja scadente, în vederea onorării posibilelor cereri de executare a garanției pentru acoperirea pierderilor, calculate pe baza coeficientului</w:t>
                  </w:r>
                  <w:r>
                    <w:rPr>
                      <w:rFonts w:ascii="Times New Roman" w:eastAsia="Arial Unicode MS" w:hAnsi="Times New Roman"/>
                      <w:sz w:val="24"/>
                      <w:szCs w:val="24"/>
                      <w:lang w:val="ro-MD"/>
                    </w:rPr>
                    <w:t xml:space="preserve"> de multiplicare stabilit pentru respectivele noi împrumuturi sau noi investiții suport de capital sau </w:t>
                  </w:r>
                  <w:proofErr w:type="spellStart"/>
                  <w:r>
                    <w:rPr>
                      <w:rFonts w:ascii="Times New Roman" w:eastAsia="Arial Unicode MS" w:hAnsi="Times New Roman"/>
                      <w:sz w:val="24"/>
                      <w:szCs w:val="24"/>
                      <w:lang w:val="ro-MD"/>
                    </w:rPr>
                    <w:t>cvasicapital</w:t>
                  </w:r>
                  <w:proofErr w:type="spellEnd"/>
                  <w:r>
                    <w:rPr>
                      <w:rFonts w:ascii="Times New Roman" w:eastAsia="Arial Unicode MS" w:hAnsi="Times New Roman"/>
                      <w:sz w:val="24"/>
                      <w:szCs w:val="24"/>
                      <w:lang w:val="ro-MD"/>
                    </w:rPr>
                    <w:t xml:space="preserve"> plătite în favoarea destinatarilor finali;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plăților efectuate către sau în beneficiul destinatarilor finali în cazul în care instrumen</w:t>
                  </w:r>
                  <w:r>
                    <w:rPr>
                      <w:rFonts w:ascii="Times New Roman" w:eastAsia="Arial Unicode MS" w:hAnsi="Times New Roman"/>
                      <w:sz w:val="24"/>
                      <w:szCs w:val="24"/>
                      <w:lang w:val="ro-MD"/>
                    </w:rPr>
                    <w:t>tele financiare sunt combinate cu alte contribuții ale Uniunii în cadrul unei operațiuni unice privind instrumentul financiar, în conformitate cu articolul 58 alineatul (5);</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plăților reprezentând comisioane de gestiune și rambursări ale costurilor de</w:t>
                  </w:r>
                  <w:r>
                    <w:rPr>
                      <w:rFonts w:ascii="Times New Roman" w:eastAsia="Arial Unicode MS" w:hAnsi="Times New Roman"/>
                      <w:sz w:val="24"/>
                      <w:szCs w:val="24"/>
                      <w:lang w:val="ro-MD"/>
                    </w:rPr>
                    <w:t xml:space="preserve"> gestiune suportate de organismele care execută instrumentul financiar.</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În cazul în care un instrument financiar este executat în perioade de programare succesive, sprijinul, incluzând costurile și comisioanele de gestiune, poate fi acordat </w:t>
            </w:r>
            <w:r>
              <w:rPr>
                <w:rFonts w:ascii="Times New Roman" w:eastAsia="Arial Unicode MS" w:hAnsi="Times New Roman"/>
                <w:sz w:val="24"/>
                <w:szCs w:val="24"/>
                <w:lang w:val="ro-MD"/>
              </w:rPr>
              <w:t>destinatarilor finali sau în beneficiul acestora, pe baza acordurilor încheiate în perioada de programare precedentă, cu condiția ca acest sprijin să respecte normele de eligibilitate ale următoarei perioade de programare. În astfel de cazuri, eligibilitat</w:t>
            </w:r>
            <w:r>
              <w:rPr>
                <w:rFonts w:ascii="Times New Roman" w:eastAsia="Arial Unicode MS" w:hAnsi="Times New Roman"/>
                <w:sz w:val="24"/>
                <w:szCs w:val="24"/>
                <w:lang w:val="ro-MD"/>
              </w:rPr>
              <w:t>ea cheltuielilor prezentate în cererile de plată se stabilește în conformitate cu normele perioadei de programare respective.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În cazul prevăzut la alineatul (1) litera (b), dacă entitatea care beneficiază de garanții nu a plătit destinatarilor finali</w:t>
            </w:r>
            <w:r>
              <w:rPr>
                <w:rFonts w:ascii="Times New Roman" w:eastAsia="Arial Unicode MS" w:hAnsi="Times New Roman"/>
                <w:sz w:val="24"/>
                <w:szCs w:val="24"/>
                <w:lang w:val="ro-MD"/>
              </w:rPr>
              <w:t xml:space="preserve"> cuantumul planificat al noilor împrumuturi sau investiții de capital sau </w:t>
            </w:r>
            <w:proofErr w:type="spellStart"/>
            <w:r>
              <w:rPr>
                <w:rFonts w:ascii="Times New Roman" w:eastAsia="Arial Unicode MS" w:hAnsi="Times New Roman"/>
                <w:sz w:val="24"/>
                <w:szCs w:val="24"/>
                <w:lang w:val="ro-MD"/>
              </w:rPr>
              <w:t>cvasicapital</w:t>
            </w:r>
            <w:proofErr w:type="spellEnd"/>
            <w:r>
              <w:rPr>
                <w:rFonts w:ascii="Times New Roman" w:eastAsia="Arial Unicode MS" w:hAnsi="Times New Roman"/>
                <w:sz w:val="24"/>
                <w:szCs w:val="24"/>
                <w:lang w:val="ro-MD"/>
              </w:rPr>
              <w:t xml:space="preserve"> în conformitate cu coeficientul de multiplicare, cheltuielile eligibile sunt reduse proporțional. Coeficientul de multiplicare poate fi reexaminat, dacă acest lucru este</w:t>
            </w:r>
            <w:r>
              <w:rPr>
                <w:rFonts w:ascii="Times New Roman" w:eastAsia="Arial Unicode MS" w:hAnsi="Times New Roman"/>
                <w:sz w:val="24"/>
                <w:szCs w:val="24"/>
                <w:lang w:val="ro-MD"/>
              </w:rPr>
              <w:t xml:space="preserve"> justificat de modificări ulterioare ale condițiilor de piață. O astfel de reexaminare nu are efect retroactiv.</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În cazul prevăzut la alineatul (1) litera (d), comisioanele de gestiune sunt bazate pe performanță.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organismele care exec</w:t>
            </w:r>
            <w:r>
              <w:rPr>
                <w:rFonts w:ascii="Times New Roman" w:eastAsia="Arial Unicode MS" w:hAnsi="Times New Roman"/>
                <w:sz w:val="24"/>
                <w:szCs w:val="24"/>
                <w:lang w:val="ro-MD"/>
              </w:rPr>
              <w:t xml:space="preserve">ută un fond de participare sunt selectate prin atribuire directă a contractului în temeiul articolului 59 alineatul (3), cuantumul costurilor și al comisioanelor de gestiune plătite organismelor respective care poate fi declarat drept cheltuieli eligibile </w:t>
            </w:r>
            <w:r>
              <w:rPr>
                <w:rFonts w:ascii="Times New Roman" w:eastAsia="Arial Unicode MS" w:hAnsi="Times New Roman"/>
                <w:sz w:val="24"/>
                <w:szCs w:val="24"/>
                <w:lang w:val="ro-MD"/>
              </w:rPr>
              <w:t>este supus unui prag de maximum 5 % din cuantumul total al contribuțiilor programului plătite destinatarilor finali sub formă de împrumuturi sau rezervate pentru contractele de garanție și de maximum 7 % din cuantumul total al contribuțiilor programului pl</w:t>
            </w:r>
            <w:r>
              <w:rPr>
                <w:rFonts w:ascii="Times New Roman" w:eastAsia="Arial Unicode MS" w:hAnsi="Times New Roman"/>
                <w:sz w:val="24"/>
                <w:szCs w:val="24"/>
                <w:lang w:val="ro-MD"/>
              </w:rPr>
              <w:t xml:space="preserve">ătite destinatarilor finali sub formă de investiții de capital sau </w:t>
            </w:r>
            <w:proofErr w:type="spellStart"/>
            <w:r>
              <w:rPr>
                <w:rFonts w:ascii="Times New Roman" w:eastAsia="Arial Unicode MS" w:hAnsi="Times New Roman"/>
                <w:sz w:val="24"/>
                <w:szCs w:val="24"/>
                <w:lang w:val="ro-MD"/>
              </w:rPr>
              <w:t>cvasicapital</w:t>
            </w:r>
            <w:proofErr w:type="spellEnd"/>
            <w:r>
              <w:rPr>
                <w:rFonts w:ascii="Times New Roman" w:eastAsia="Arial Unicode MS" w:hAnsi="Times New Roman"/>
                <w:sz w:val="24"/>
                <w:szCs w:val="24"/>
                <w:lang w:val="ro-MD"/>
              </w:rPr>
              <w: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organismele care execută un fond specific sunt selectate prin atribuire directă a contractului în temeiul articolului 59 alineatul (3), cuantumului costurilor</w:t>
            </w:r>
            <w:r>
              <w:rPr>
                <w:rFonts w:ascii="Times New Roman" w:eastAsia="Arial Unicode MS" w:hAnsi="Times New Roman"/>
                <w:sz w:val="24"/>
                <w:szCs w:val="24"/>
                <w:lang w:val="ro-MD"/>
              </w:rPr>
              <w:t xml:space="preserve"> și al comisioanelor de gestiune plătite organismelor respective care pot fi declarat ca fiind cheltuieli eligibile i se aplică un prag de maximum 7 % din cuantumul total al contribuțiilor programului plătite destinatarilor finali sub formă de împrumuturi </w:t>
            </w:r>
            <w:r>
              <w:rPr>
                <w:rFonts w:ascii="Times New Roman" w:eastAsia="Arial Unicode MS" w:hAnsi="Times New Roman"/>
                <w:sz w:val="24"/>
                <w:szCs w:val="24"/>
                <w:lang w:val="ro-MD"/>
              </w:rPr>
              <w:t xml:space="preserve">sau rezervate pentru contractele de garanție și de maximum 15 % din cuantumul total al contribuțiilor programului plătite destinatarilor finali sub formă de investiții de capital sau </w:t>
            </w:r>
            <w:proofErr w:type="spellStart"/>
            <w:r>
              <w:rPr>
                <w:rFonts w:ascii="Times New Roman" w:eastAsia="Arial Unicode MS" w:hAnsi="Times New Roman"/>
                <w:sz w:val="24"/>
                <w:szCs w:val="24"/>
                <w:lang w:val="ro-MD"/>
              </w:rPr>
              <w:t>cvasicapital</w:t>
            </w:r>
            <w:proofErr w:type="spellEnd"/>
            <w:r>
              <w:rPr>
                <w:rFonts w:ascii="Times New Roman" w:eastAsia="Arial Unicode MS" w:hAnsi="Times New Roman"/>
                <w:sz w:val="24"/>
                <w:szCs w:val="24"/>
                <w:lang w:val="ro-MD"/>
              </w:rPr>
              <w: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atunci când organismele care execută un fond de participare</w:t>
            </w:r>
            <w:r>
              <w:rPr>
                <w:rFonts w:ascii="Times New Roman" w:eastAsia="Arial Unicode MS" w:hAnsi="Times New Roman"/>
                <w:sz w:val="24"/>
                <w:szCs w:val="24"/>
                <w:lang w:val="ro-MD"/>
              </w:rPr>
              <w:t xml:space="preserve"> sau fonduri specifice, sau ambele, sunt selectate prin intermediul unei proceduri concurențiale de atribuire în conformitate cu legislația aplicabilă, cuantumul costurilor și al comisioanelor de gestiune se stabilește în acordul de finanțare și reflectă r</w:t>
            </w:r>
            <w:r>
              <w:rPr>
                <w:rFonts w:ascii="Times New Roman" w:eastAsia="Arial Unicode MS" w:hAnsi="Times New Roman"/>
                <w:sz w:val="24"/>
                <w:szCs w:val="24"/>
                <w:lang w:val="ro-MD"/>
              </w:rPr>
              <w:t>ezultatul procedurii concurențiale de atribuire.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Atunci când comisioanele de intermediere sau orice parte din acestea sunt imputate destinatarilor finali, acestea nu se declară ca fiind cheltuieli eligibile.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(6)   Cheltuielile eligibile declarate în </w:t>
            </w:r>
            <w:r>
              <w:rPr>
                <w:rFonts w:ascii="Times New Roman" w:eastAsia="Arial Unicode MS" w:hAnsi="Times New Roman"/>
                <w:sz w:val="24"/>
                <w:szCs w:val="24"/>
                <w:lang w:val="ro-MD"/>
              </w:rPr>
              <w:t>conformitate cu alineatul (1) nu depășesc suma dintre cuantumul total al sprijinului din fonduri plătit în sensul alineatului respectiv și cofinanțarea națională corespunzătoare.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TITLUL VI</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GESTIUNE ȘI CONTROL</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 xml:space="preserve">Reguli generale de gestiune și </w:t>
            </w:r>
            <w:r>
              <w:rPr>
                <w:rFonts w:ascii="Times New Roman" w:eastAsia="Times New Roman" w:hAnsi="Times New Roman"/>
                <w:b/>
                <w:bCs/>
                <w:i/>
                <w:iCs/>
                <w:sz w:val="24"/>
                <w:szCs w:val="24"/>
                <w:lang w:val="ro-MD"/>
              </w:rPr>
              <w:t>control</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69</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Responsabilitățile statelor membre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Statele membre dispun de sisteme de </w:t>
            </w:r>
            <w:r>
              <w:rPr>
                <w:rFonts w:ascii="Times New Roman" w:eastAsia="Arial Unicode MS" w:hAnsi="Times New Roman"/>
                <w:sz w:val="24"/>
                <w:szCs w:val="24"/>
                <w:lang w:val="ro-MD"/>
              </w:rPr>
              <w:t>gestiune și control pentru programele lor în conformitate cu prezentul titlu și asigură funcționarea acestora în conformitate cu principiul bunei gestiuni financiare și cu cerințele esențiale enumerate în anexa XI.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Statele membre asigură legalitatea </w:t>
            </w:r>
            <w:r>
              <w:rPr>
                <w:rFonts w:ascii="Times New Roman" w:eastAsia="Arial Unicode MS" w:hAnsi="Times New Roman"/>
                <w:sz w:val="24"/>
                <w:szCs w:val="24"/>
                <w:lang w:val="ro-MD"/>
              </w:rPr>
              <w:t>ș</w:t>
            </w:r>
            <w:r>
              <w:rPr>
                <w:rFonts w:ascii="Times New Roman" w:eastAsia="Arial Unicode MS" w:hAnsi="Times New Roman"/>
                <w:sz w:val="24"/>
                <w:szCs w:val="24"/>
                <w:lang w:val="ro-MD"/>
              </w:rPr>
              <w:t>i regularitatea cheltuielilor incluse în conturile transmise Comisiei și întreprind toate măsurile necesare pentru a preveni, a depista și a corecta neregulile, inclusiv fraudele, și a le raporta. Respectivele măsuri includ colectarea de informații cu pri</w:t>
            </w:r>
            <w:r>
              <w:rPr>
                <w:rFonts w:ascii="Times New Roman" w:eastAsia="Arial Unicode MS" w:hAnsi="Times New Roman"/>
                <w:sz w:val="24"/>
                <w:szCs w:val="24"/>
                <w:lang w:val="ro-MD"/>
              </w:rPr>
              <w:t xml:space="preserve">vire la beneficiarii reali ai finanțării din partea Uniunii, în conformitate cu anexa XVII. Normele referitoare la colectarea și prelucrarea unor astfel de date sunt compatibile cu normele aplicabile privind protecția datelor. Comisia, Oficiul European de </w:t>
            </w:r>
            <w:r>
              <w:rPr>
                <w:rFonts w:ascii="Times New Roman" w:eastAsia="Arial Unicode MS" w:hAnsi="Times New Roman"/>
                <w:sz w:val="24"/>
                <w:szCs w:val="24"/>
                <w:lang w:val="ro-MD"/>
              </w:rPr>
              <w:t>Luptă Antifraudă și Curtea de Conturi dețin accesul necesar la respectivele informații.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programele sprijinite din FAMI, FSI și de IMFV, obligațiile referitoare la colectarea de informații cu privire la beneficiarii reali ai finanțării din partea Uni</w:t>
            </w:r>
            <w:r>
              <w:rPr>
                <w:rFonts w:ascii="Times New Roman" w:eastAsia="Arial Unicode MS" w:hAnsi="Times New Roman"/>
                <w:sz w:val="24"/>
                <w:szCs w:val="24"/>
                <w:lang w:val="ro-MD"/>
              </w:rPr>
              <w:t>unii în conformitate cu anexa XVII, astfel cum se prevede la primul paragraf, se aplică de la 1 ianuarie 2023.</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La cererea Comisiei, statele membre întreprind acțiunile necesare pentru a asigura funcționarea efectivă a sistemelor lor de gestiune și co</w:t>
            </w:r>
            <w:r>
              <w:rPr>
                <w:rFonts w:ascii="Times New Roman" w:eastAsia="Arial Unicode MS" w:hAnsi="Times New Roman"/>
                <w:sz w:val="24"/>
                <w:szCs w:val="24"/>
                <w:lang w:val="ro-MD"/>
              </w:rPr>
              <w:t>ntrol și legalitatea și regularitatea cheltuielilor transmise Comisiei. În cazul în care acțiunea întreprinsă este un audit, funcționarii Comisiei sau reprezentanții autorizați ai acestora au dreptul să participe la acesta.</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Statele membre asigură cal</w:t>
            </w:r>
            <w:r>
              <w:rPr>
                <w:rFonts w:ascii="Times New Roman" w:eastAsia="Arial Unicode MS" w:hAnsi="Times New Roman"/>
                <w:sz w:val="24"/>
                <w:szCs w:val="24"/>
                <w:lang w:val="ro-MD"/>
              </w:rPr>
              <w:t>itatea, acuratețea și fiabilitatea sistemului de monitorizare și ale datelor privind indicatorii.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Statele membre asigură publicarea informațiilor în conformitate cu cerințele stabilite în prezentul regulament și în regulamentele specifice fiecărui fo</w:t>
            </w:r>
            <w:r>
              <w:rPr>
                <w:rFonts w:ascii="Times New Roman" w:eastAsia="Arial Unicode MS" w:hAnsi="Times New Roman"/>
                <w:sz w:val="24"/>
                <w:szCs w:val="24"/>
                <w:lang w:val="ro-MD"/>
              </w:rPr>
              <w:t>nd, cu excepția cazului în care dreptul Uniunii sau dreptul intern exclude această publicare pentru motive care privesc securitatea, ordinea publică, anchete penale sau protecția datelor cu caracter personal în conformitate cu Regulamentul (UE) 2016/679.</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w:t>
            </w:r>
            <w:r>
              <w:rPr>
                <w:rFonts w:ascii="Times New Roman" w:eastAsia="Arial Unicode MS" w:hAnsi="Times New Roman"/>
                <w:sz w:val="24"/>
                <w:szCs w:val="24"/>
                <w:lang w:val="ro-MD"/>
              </w:rPr>
              <w:t>6)   Statele membre dispun de sisteme și proceduri pentru a se asigura că toate documentele necesare pentru pista de audit, prevăzute în anexa XIII, sunt păstrate în conformitate cu cerințele prevăzute la articolul 82.</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(7)   Statele membre adoptă măsurile </w:t>
            </w:r>
            <w:r>
              <w:rPr>
                <w:rFonts w:ascii="Times New Roman" w:eastAsia="Arial Unicode MS" w:hAnsi="Times New Roman"/>
                <w:sz w:val="24"/>
                <w:szCs w:val="24"/>
                <w:lang w:val="ro-MD"/>
              </w:rPr>
              <w:t>necesare pentru a asigura examinarea efectivă a plângerilor referitoare la fonduri. Sfera de acțiune, normele și procedurile referitoare la respectivele măsuri țin de responsabilitatea statelor membre, în conformitate cu cadrul lor instituțional și juridic</w:t>
            </w:r>
            <w:r>
              <w:rPr>
                <w:rFonts w:ascii="Times New Roman" w:eastAsia="Arial Unicode MS" w:hAnsi="Times New Roman"/>
                <w:sz w:val="24"/>
                <w:szCs w:val="24"/>
                <w:lang w:val="ro-MD"/>
              </w:rPr>
              <w:t>. Acest lucru nu aduce atingere posibilității generale a cetățenilor și a părților interesate de a adresa plângeri Comisiei. La cererea Comisiei, statele membre examinează plângerile înaintate acesteia care se încadrează în sfera de acțiune a programelor l</w:t>
            </w:r>
            <w:r>
              <w:rPr>
                <w:rFonts w:ascii="Times New Roman" w:eastAsia="Arial Unicode MS" w:hAnsi="Times New Roman"/>
                <w:sz w:val="24"/>
                <w:szCs w:val="24"/>
                <w:lang w:val="ro-MD"/>
              </w:rPr>
              <w:t>or și informează Comisia cu privire la rezultatele respectivelor examinări.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sensul prezentului articol, plângerile vizează orice litigiu între beneficiari potențiali și beneficiari selecționați care are ca obiect operațiunea propusă sau selectată și ori</w:t>
            </w:r>
            <w:r>
              <w:rPr>
                <w:rFonts w:ascii="Times New Roman" w:eastAsia="Arial Unicode MS" w:hAnsi="Times New Roman"/>
                <w:sz w:val="24"/>
                <w:szCs w:val="24"/>
                <w:lang w:val="ro-MD"/>
              </w:rPr>
              <w:t>ce litigii cu părți terțe referitoare la implementarea programului sau a operațiunilor aferente, indiferent de calificarea căilor de atac stabilite în temeiul dreptului intern.</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(8)   Statele membre se asigură că orice schimb de informații între beneficiari</w:t>
            </w:r>
            <w:r>
              <w:rPr>
                <w:rFonts w:ascii="Times New Roman" w:eastAsia="Arial Unicode MS" w:hAnsi="Times New Roman"/>
                <w:sz w:val="24"/>
                <w:szCs w:val="24"/>
                <w:lang w:val="ro-MD"/>
              </w:rPr>
              <w:t xml:space="preserve"> și autoritățile responsabile de programe se efectuează prin intermediul unor sisteme de schimb electronic de date, în conformitate cu anexa XIV.</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Statele membre promovează beneficiile schimbului electronic de date și furnizează beneficiarilor tot sprijinul</w:t>
            </w:r>
            <w:r>
              <w:rPr>
                <w:rFonts w:ascii="Times New Roman" w:eastAsia="Arial Unicode MS" w:hAnsi="Times New Roman"/>
                <w:sz w:val="24"/>
                <w:szCs w:val="24"/>
                <w:lang w:val="ro-MD"/>
              </w:rPr>
              <w:t xml:space="preserve"> necesar în acest sens.</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Prin derogare de la primul paragraf, autoritatea de management poate accepta, în mod excepțional, la cererea explicită a unui beneficiar, schimbul de informații pe suport de hârtie, fără ca acest lucru să aducă atingere obligației s</w:t>
            </w:r>
            <w:r>
              <w:rPr>
                <w:rFonts w:ascii="Times New Roman" w:eastAsia="Arial Unicode MS" w:hAnsi="Times New Roman"/>
                <w:sz w:val="24"/>
                <w:szCs w:val="24"/>
                <w:lang w:val="ro-MD"/>
              </w:rPr>
              <w:t>ale de înregistrare și stocare a datelor în conformitate cu articolul 72 alineatul (1) litera (e).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programele sprijinite din FEAMPA, FAMI, FSI și de IMFV, primul paragraf se aplică de la 1 ianuarie 2023.</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Primul paragraf nu se aplică programelor sau </w:t>
            </w:r>
            <w:r>
              <w:rPr>
                <w:rFonts w:ascii="Times New Roman" w:eastAsia="Arial Unicode MS" w:hAnsi="Times New Roman"/>
                <w:sz w:val="24"/>
                <w:szCs w:val="24"/>
                <w:lang w:val="ro-MD"/>
              </w:rPr>
              <w:t>priorităților prevăzute la articolul 4 alineatul (1) litera (m) din Regulamentul FSE+.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(9)   Statele membre se asigură că orice schimb oficial de informații cu Comisia se efectuează prin intermediul sistemului de schimb electronic de date, în conformitate </w:t>
            </w:r>
            <w:r>
              <w:rPr>
                <w:rFonts w:ascii="Times New Roman" w:eastAsia="Arial Unicode MS" w:hAnsi="Times New Roman"/>
                <w:sz w:val="24"/>
                <w:szCs w:val="24"/>
                <w:lang w:val="ro-MD"/>
              </w:rPr>
              <w:t>cu anexa XV.</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(10)   Statele membre furnizează sau se asigură că autoritățile de management furnizează previziuni privind valoarea cererilor de plată care urmează să fie depuse pentru anul în curs și pentru următorul an calendaristic până la 31 ianuarie și </w:t>
            </w:r>
            <w:r>
              <w:rPr>
                <w:rFonts w:ascii="Times New Roman" w:eastAsia="Arial Unicode MS" w:hAnsi="Times New Roman"/>
                <w:sz w:val="24"/>
                <w:szCs w:val="24"/>
                <w:lang w:val="ro-MD"/>
              </w:rPr>
              <w:t>până la 31 iulie, în conformitate cu anexa VIII.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(11)   Fiecare stat membru dispune, până la momentul depunerii cererii de plată finală pentru primul an financiar, dar nu mai târziu de 30 iunie 2023, de o descriere a sistemului de gestiune și control, în c</w:t>
            </w:r>
            <w:r>
              <w:rPr>
                <w:rFonts w:ascii="Times New Roman" w:eastAsia="Arial Unicode MS" w:hAnsi="Times New Roman"/>
                <w:sz w:val="24"/>
                <w:szCs w:val="24"/>
                <w:lang w:val="ro-MD"/>
              </w:rPr>
              <w:t>onformitate cu modelul prevăzut în anexa XVI. Statul membru actualizează această descriere pentru a reflecta orice modificare ulterioară.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(12)   Statele membre raportează neregulile în conformitate cu criteriile de stabilire a neregulilor care trebuie rapo</w:t>
            </w:r>
            <w:r>
              <w:rPr>
                <w:rFonts w:ascii="Times New Roman" w:eastAsia="Arial Unicode MS" w:hAnsi="Times New Roman"/>
                <w:sz w:val="24"/>
                <w:szCs w:val="24"/>
                <w:lang w:val="ro-MD"/>
              </w:rPr>
              <w:t>rtate, cu datele care trebuie furnizate și cu formatul de raportare prevăzute în anexa XII.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70</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Competențele și responsabilitățile Comisiei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w:t>
            </w:r>
            <w:r>
              <w:rPr>
                <w:rFonts w:ascii="Times New Roman" w:hAnsi="Times New Roman"/>
                <w:sz w:val="24"/>
                <w:szCs w:val="24"/>
                <w:lang w:val="ro-MD"/>
              </w:rPr>
              <w:t>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Comisia se asigură că statele membre dispun de sisteme de gestiune și control conforme cu prezentul regulament și că respectivele sisteme funcționează efectiv și în mod eficient pe durata implem</w:t>
            </w:r>
            <w:r>
              <w:rPr>
                <w:rFonts w:ascii="Times New Roman" w:eastAsia="Arial Unicode MS" w:hAnsi="Times New Roman"/>
                <w:sz w:val="24"/>
                <w:szCs w:val="24"/>
                <w:lang w:val="ro-MD"/>
              </w:rPr>
              <w:t>entării programelor. Comisia elaborează, în scopul propriei activități de audit, o strategie de audit și un plan de audit bazate pe o evaluare a riscurilor.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și autoritățile de audit își coordonează planurile de audit.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Comisia efectuează </w:t>
            </w:r>
            <w:r>
              <w:rPr>
                <w:rFonts w:ascii="Times New Roman" w:eastAsia="Arial Unicode MS" w:hAnsi="Times New Roman"/>
                <w:sz w:val="24"/>
                <w:szCs w:val="24"/>
                <w:lang w:val="ro-MD"/>
              </w:rPr>
              <w:t>audituri în termen de cel mult trei ani calendaristici de la acceptarea conturilor în care au fost incluse cheltuielile în cauză. Respectivul termen nu se aplică operațiunilor în cazul cărora există o suspiciune de fraudă.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În scopul efectuării propri</w:t>
            </w:r>
            <w:r>
              <w:rPr>
                <w:rFonts w:ascii="Times New Roman" w:eastAsia="Arial Unicode MS" w:hAnsi="Times New Roman"/>
                <w:sz w:val="24"/>
                <w:szCs w:val="24"/>
                <w:lang w:val="ro-MD"/>
              </w:rPr>
              <w:t xml:space="preserve">ilor audituri, funcționarii Comisiei sau reprezentanții lor autorizați au acces la toate evidențele, documentele și </w:t>
            </w:r>
            <w:proofErr w:type="spellStart"/>
            <w:r>
              <w:rPr>
                <w:rFonts w:ascii="Times New Roman" w:eastAsia="Arial Unicode MS" w:hAnsi="Times New Roman"/>
                <w:sz w:val="24"/>
                <w:szCs w:val="24"/>
                <w:lang w:val="ro-MD"/>
              </w:rPr>
              <w:t>metadatele</w:t>
            </w:r>
            <w:proofErr w:type="spellEnd"/>
            <w:r>
              <w:rPr>
                <w:rFonts w:ascii="Times New Roman" w:eastAsia="Arial Unicode MS" w:hAnsi="Times New Roman"/>
                <w:sz w:val="24"/>
                <w:szCs w:val="24"/>
                <w:lang w:val="ro-MD"/>
              </w:rPr>
              <w:t xml:space="preserve"> necesare, indiferent de mediul de stocare a acestora, care au legătură cu operațiunile sprijinite de fonduri sau cu sistemele de </w:t>
            </w:r>
            <w:r>
              <w:rPr>
                <w:rFonts w:ascii="Times New Roman" w:eastAsia="Arial Unicode MS" w:hAnsi="Times New Roman"/>
                <w:sz w:val="24"/>
                <w:szCs w:val="24"/>
                <w:lang w:val="ro-MD"/>
              </w:rPr>
              <w:t>gestiune și control și primesc copii ale acestora în formatul solicitat.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În ceea ce privește auditurile la fața locului, se aplică, în plus, următoarele dispoziții: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acordă autorității competente responsabile de program un preaviz de cel p</w:t>
                  </w:r>
                  <w:r>
                    <w:rPr>
                      <w:rFonts w:ascii="Times New Roman" w:eastAsia="Arial Unicode MS" w:hAnsi="Times New Roman"/>
                      <w:sz w:val="24"/>
                      <w:szCs w:val="24"/>
                      <w:lang w:val="ro-MD"/>
                    </w:rPr>
                    <w:t>uțin 15 zile lucrătoare pentru efectuarea auditului, cu excepția cazurilor urgente; funcționarii sau reprezentanții autorizați ai statului membru pot să participe la aceste audituri;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aplicarea dispozițiilor de drept intern rezervă an</w:t>
                  </w:r>
                  <w:r>
                    <w:rPr>
                      <w:rFonts w:ascii="Times New Roman" w:eastAsia="Arial Unicode MS" w:hAnsi="Times New Roman"/>
                      <w:sz w:val="24"/>
                      <w:szCs w:val="24"/>
                      <w:lang w:val="ro-MD"/>
                    </w:rPr>
                    <w:t xml:space="preserve">umite acte pentru agenții desemnați în mod specific de dreptul intern, funcționarii Comisiei și reprezentanții lor autorizați au acces la informațiile obținute în acest mod, fără a aduce atingere competențelor instanțelor naționale și respectând pe deplin </w:t>
                  </w:r>
                  <w:r>
                    <w:rPr>
                      <w:rFonts w:ascii="Times New Roman" w:eastAsia="Arial Unicode MS" w:hAnsi="Times New Roman"/>
                      <w:sz w:val="24"/>
                      <w:szCs w:val="24"/>
                      <w:lang w:val="ro-MD"/>
                    </w:rPr>
                    <w:t>drepturile fundamentale ale subiecților de drept în cauză;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transmite constatările preliminare ale auditului autorității competente a statului membru în termen de trei luni de la ultima zi a auditului;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transmite raportul de audit</w:t>
                  </w:r>
                  <w:r>
                    <w:rPr>
                      <w:rFonts w:ascii="Times New Roman" w:eastAsia="Arial Unicode MS" w:hAnsi="Times New Roman"/>
                      <w:sz w:val="24"/>
                      <w:szCs w:val="24"/>
                      <w:lang w:val="ro-MD"/>
                    </w:rPr>
                    <w:t xml:space="preserve"> în termen de trei luni de la data primirii unui răspuns complet din partea autorității competente a statului membru la constatările preliminare ale auditului; răspunsul statului membru este considerat complet dacă, în termen de două luni de la data primir</w:t>
                  </w:r>
                  <w:r>
                    <w:rPr>
                      <w:rFonts w:ascii="Times New Roman" w:eastAsia="Arial Unicode MS" w:hAnsi="Times New Roman"/>
                      <w:sz w:val="24"/>
                      <w:szCs w:val="24"/>
                      <w:lang w:val="ro-MD"/>
                    </w:rPr>
                    <w:t>ii acestui răspuns, Comisia nu solicită să i se furnizeze informații suplimentare sau un document revizuit.</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scopul respectării termenelor prevăzute la primul paragraf literele (c) și (d) de la prezentul alineat, Comisia furnizează constatările prelimin</w:t>
            </w:r>
            <w:r>
              <w:rPr>
                <w:rFonts w:ascii="Times New Roman" w:eastAsia="Arial Unicode MS" w:hAnsi="Times New Roman"/>
                <w:sz w:val="24"/>
                <w:szCs w:val="24"/>
                <w:lang w:val="ro-MD"/>
              </w:rPr>
              <w:t>are ale auditului și raportul de audit în cel puțin una dintre limbile oficiale ale instituțiilor Uniunii.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Termenele menționate la primul paragraf literele (c) și (d) de la prezentul alineat pot fi prelungite dacă acest lucru este considerat necesar și est</w:t>
            </w:r>
            <w:r>
              <w:rPr>
                <w:rFonts w:ascii="Times New Roman" w:eastAsia="Arial Unicode MS" w:hAnsi="Times New Roman"/>
                <w:sz w:val="24"/>
                <w:szCs w:val="24"/>
                <w:lang w:val="ro-MD"/>
              </w:rPr>
              <w:t>e stabilit de comun acord între Comisie și autoritatea competentă a statului membru.</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Atunci când se stabilește un termen în care statul membru trebuie să răspundă la constatările preliminare ale auditului sau la raportul de audit menționate la primul parag</w:t>
            </w:r>
            <w:r>
              <w:rPr>
                <w:rFonts w:ascii="Times New Roman" w:eastAsia="Arial Unicode MS" w:hAnsi="Times New Roman"/>
                <w:sz w:val="24"/>
                <w:szCs w:val="24"/>
                <w:lang w:val="ro-MD"/>
              </w:rPr>
              <w:t>raf literele (c) și (d) de la prezentul alineat, respectivul termen începe să curgă din momentul în care autoritatea competentă a statului membru primește documentele în cel puțin una dintre limbile oficiale ale statului membru în cauză.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71</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Autoritățile responsabile de programe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În sensul articolului 63 alineatul (3) din </w:t>
            </w:r>
            <w:r>
              <w:rPr>
                <w:rFonts w:ascii="Times New Roman" w:eastAsia="Arial Unicode MS" w:hAnsi="Times New Roman"/>
                <w:sz w:val="24"/>
                <w:szCs w:val="24"/>
                <w:lang w:val="ro-MD"/>
              </w:rPr>
              <w:t>Regulamentul financiar, statele membre desemnează, pentru fiecare program, o autoritate de management și o autoritate de audit. În cazul în care un stat membru încredințează funcția de contabilitate unui alt organism decât autoritatea de management, în con</w:t>
            </w:r>
            <w:r>
              <w:rPr>
                <w:rFonts w:ascii="Times New Roman" w:eastAsia="Arial Unicode MS" w:hAnsi="Times New Roman"/>
                <w:sz w:val="24"/>
                <w:szCs w:val="24"/>
                <w:lang w:val="ro-MD"/>
              </w:rPr>
              <w:t>formitate cu articolul 72 alineatul (2) din prezentul regulament, organismul în cauză este identificat, de asemenea, drept autoritate responsabilă de program. Aceleași autorități pot fi responsabile de mai multe programe.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Autoritatea de audit este o </w:t>
            </w:r>
            <w:r>
              <w:rPr>
                <w:rFonts w:ascii="Times New Roman" w:eastAsia="Arial Unicode MS" w:hAnsi="Times New Roman"/>
                <w:sz w:val="24"/>
                <w:szCs w:val="24"/>
                <w:lang w:val="ro-MD"/>
              </w:rPr>
              <w:t>autoritate publică. Activitatea de audit poate fi efectuată de un organism public sau privat, altul decât autoritatea de audit, sub responsabilitatea acesteia. Autoritatea de audit și orice astfel de organism care efectuează activități de audit sub respons</w:t>
            </w:r>
            <w:r>
              <w:rPr>
                <w:rFonts w:ascii="Times New Roman" w:eastAsia="Arial Unicode MS" w:hAnsi="Times New Roman"/>
                <w:sz w:val="24"/>
                <w:szCs w:val="24"/>
                <w:lang w:val="ro-MD"/>
              </w:rPr>
              <w:t>abilitatea autorității de audit sunt independente din punct de vedere operațional de entitățile auditate.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Autoritatea de management poate identifica unul sau mai multe organisme intermediare care să desfășoare anumite sarcini sub responsabilitatea </w:t>
            </w:r>
            <w:r>
              <w:rPr>
                <w:rFonts w:ascii="Times New Roman" w:eastAsia="Arial Unicode MS" w:hAnsi="Times New Roman"/>
                <w:sz w:val="24"/>
                <w:szCs w:val="24"/>
                <w:lang w:val="ro-MD"/>
              </w:rPr>
              <w:t>sa. Acordurile dintre autoritatea de management și organismele intermediare se consemnează în scris.</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Statele membre asigură respectarea principiului separării funcțiilor între autoritățile responsabile de programe și în cadrul acestora.</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În cazu</w:t>
            </w:r>
            <w:r>
              <w:rPr>
                <w:rFonts w:ascii="Times New Roman" w:eastAsia="Arial Unicode MS" w:hAnsi="Times New Roman"/>
                <w:sz w:val="24"/>
                <w:szCs w:val="24"/>
                <w:lang w:val="ro-MD"/>
              </w:rPr>
              <w:t>l în care un program furnizează, în concordanță cu obiectivele sale, sprijin din FEDR sau FSE+ pentru un program cofinanțat de Orizont Europa, potrivit articolului 10 alineatul (1) litera (b) din Regulamentul Orizont Europa, organismul care implementează p</w:t>
            </w:r>
            <w:r>
              <w:rPr>
                <w:rFonts w:ascii="Times New Roman" w:eastAsia="Arial Unicode MS" w:hAnsi="Times New Roman"/>
                <w:sz w:val="24"/>
                <w:szCs w:val="24"/>
                <w:lang w:val="ro-MD"/>
              </w:rPr>
              <w:t>rogramul cofinanțat de Orizont Europa este identificat drept organism intermediar de către autoritatea de management a programului vizat, în conformitate cu alineatul (3) de la prezentul articol.</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(6)   Statul membru poate înființa, din proprie inițiativă, </w:t>
            </w:r>
            <w:r>
              <w:rPr>
                <w:rFonts w:ascii="Times New Roman" w:eastAsia="Arial Unicode MS" w:hAnsi="Times New Roman"/>
                <w:sz w:val="24"/>
                <w:szCs w:val="24"/>
                <w:lang w:val="ro-MD"/>
              </w:rPr>
              <w:t>un organism de coordonare care să asigure legătura cu Comisia și să furnizeze informații Comisiei și să coordoneze activitățile autorităților responsabile de programe din statul membru respectiv.</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Sisteme standard de gestiune și control</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72</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Funcțiile autorității de management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Autorității de management îi revine </w:t>
            </w:r>
            <w:r>
              <w:rPr>
                <w:rFonts w:ascii="Times New Roman" w:eastAsia="Arial Unicode MS" w:hAnsi="Times New Roman"/>
                <w:sz w:val="24"/>
                <w:szCs w:val="24"/>
                <w:lang w:val="ro-MD"/>
              </w:rPr>
              <w:t>răspunderea pentru gestionarea programului în scopul realizării obiectivelor acestuia. În mod concret, acesteia îi revin următoarele funcții: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selectarea operațiunilor în conformitate cu articolul 73, cu excepția operațiunilor menționate la articolul 33</w:t>
                  </w:r>
                  <w:r>
                    <w:rPr>
                      <w:rFonts w:ascii="Times New Roman" w:eastAsia="Arial Unicode MS" w:hAnsi="Times New Roman"/>
                      <w:sz w:val="24"/>
                      <w:szCs w:val="24"/>
                      <w:lang w:val="ro-MD"/>
                    </w:rPr>
                    <w:t xml:space="preserve"> alineatul (3) litera (d);</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îndeplinirea sarcinilor de gestionare a programului în conformitate cu articolul 74;</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sprijinirea activității comitetului de monitorizare în conformitate cu articolul 75;</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supravegherea organismelor intermediare;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înregistrarea și stocarea electronică a datelor referitoare la fiecare operațiune care sunt necesare pentru monitorizare, evaluare, gestiune financiară, verificări și audituri în conformitate cu anexa XVII și asigurarea securității, a integrității și</w:t>
                  </w:r>
                  <w:r>
                    <w:rPr>
                      <w:rFonts w:ascii="Times New Roman" w:eastAsia="Arial Unicode MS" w:hAnsi="Times New Roman"/>
                      <w:sz w:val="24"/>
                      <w:szCs w:val="24"/>
                      <w:lang w:val="ro-MD"/>
                    </w:rPr>
                    <w:t xml:space="preserve"> a confidențialității datelor, precum și a autentificării utilizatorilor.</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Statul membru poate încredința funcția de contabilitate menționată la articolul 76 autorității de management sau unui alt organism.</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Pentru programele sprijinite din FAMI</w:t>
            </w:r>
            <w:r>
              <w:rPr>
                <w:rFonts w:ascii="Times New Roman" w:eastAsia="Arial Unicode MS" w:hAnsi="Times New Roman"/>
                <w:sz w:val="24"/>
                <w:szCs w:val="24"/>
                <w:lang w:val="ro-MD"/>
              </w:rPr>
              <w:t>, FSI și de IMFV, funcția de contabilitate este îndeplinită de autoritatea de management sau sub autoritatea acesteia.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73</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Selectarea operațiunilor de către autoritatea de management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w:t>
            </w:r>
            <w:r>
              <w:rPr>
                <w:rFonts w:ascii="Times New Roman" w:hAnsi="Times New Roman"/>
                <w:sz w:val="24"/>
                <w:szCs w:val="24"/>
                <w:lang w:val="ro-MD"/>
              </w:rPr>
              <w:t>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Pentru selectarea operațiunilor, autoritatea de management stabilește și aplică criterii și proceduri nediscriminatorii și transparente, care asigură</w:t>
            </w:r>
            <w:r>
              <w:rPr>
                <w:rFonts w:ascii="Times New Roman" w:eastAsia="Arial Unicode MS" w:hAnsi="Times New Roman"/>
                <w:sz w:val="24"/>
                <w:szCs w:val="24"/>
                <w:lang w:val="ro-MD"/>
              </w:rPr>
              <w:t xml:space="preserve"> accesibilitatea pentru persoanele cu handicap și egalitatea de gen și țin seama de Carta drepturilor fundamentale a Uniunii Europene, de principiul dezvoltării durabile și de politica Uniunii în domeniul mediului, în conformitate cu articolul 11 și cu art</w:t>
            </w:r>
            <w:r>
              <w:rPr>
                <w:rFonts w:ascii="Times New Roman" w:eastAsia="Arial Unicode MS" w:hAnsi="Times New Roman"/>
                <w:sz w:val="24"/>
                <w:szCs w:val="24"/>
                <w:lang w:val="ro-MD"/>
              </w:rPr>
              <w:t>icolul 191 alineatul (1) din TFUE.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Criteriile și procedurile asigură faptul că operațiunile care urmează să fie selectate sunt </w:t>
            </w:r>
            <w:proofErr w:type="spellStart"/>
            <w:r>
              <w:rPr>
                <w:rFonts w:ascii="Times New Roman" w:eastAsia="Arial Unicode MS" w:hAnsi="Times New Roman"/>
                <w:sz w:val="24"/>
                <w:szCs w:val="24"/>
                <w:lang w:val="ro-MD"/>
              </w:rPr>
              <w:t>prioritizate</w:t>
            </w:r>
            <w:proofErr w:type="spellEnd"/>
            <w:r>
              <w:rPr>
                <w:rFonts w:ascii="Times New Roman" w:eastAsia="Arial Unicode MS" w:hAnsi="Times New Roman"/>
                <w:sz w:val="24"/>
                <w:szCs w:val="24"/>
                <w:lang w:val="ro-MD"/>
              </w:rPr>
              <w:t>, astfel încât să se maximizeze contribuția finanțării din partea Uniunii la îndeplinirea obiectivelor programului.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w:t>
            </w:r>
            <w:r>
              <w:rPr>
                <w:rFonts w:ascii="Times New Roman" w:eastAsia="Arial Unicode MS" w:hAnsi="Times New Roman"/>
                <w:sz w:val="24"/>
                <w:szCs w:val="24"/>
                <w:lang w:val="ro-MD"/>
              </w:rPr>
              <w:t>2)   La selectarea operațiunilor, autoritatea de management:</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 asigură că operațiunile selectate sunt compatibile cu programul, inclusiv în ceea ce privește coerența lor cu strategiile relevante care stau la baza programului, precum și că contribuie e</w:t>
                  </w:r>
                  <w:r>
                    <w:rPr>
                      <w:rFonts w:ascii="Times New Roman" w:eastAsia="Arial Unicode MS" w:hAnsi="Times New Roman"/>
                      <w:sz w:val="24"/>
                      <w:szCs w:val="24"/>
                      <w:lang w:val="ro-MD"/>
                    </w:rPr>
                    <w:t>fectiv la îndeplinirea obiectivelor specifice ale programului;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se asigură că operațiunile selectate care intră în domeniul de aplicare al unei condiții favorizante sunt compatibile cu strategiile și documentele de planificare corespunzătoare </w:t>
                  </w:r>
                  <w:r>
                    <w:rPr>
                      <w:rFonts w:ascii="Times New Roman" w:eastAsia="Arial Unicode MS" w:hAnsi="Times New Roman"/>
                      <w:sz w:val="24"/>
                      <w:szCs w:val="24"/>
                      <w:lang w:val="ro-MD"/>
                    </w:rPr>
                    <w:t>stabilite pentru îndeplinirea respectivei condiții favorizante;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 asigură că operațiunile selectate prezintă cel mai bun raport între cuantumul sprijinului, activitățile desfășurate și îndeplinirea obiectivelor;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verifică dacă beneficiarul disp</w:t>
                  </w:r>
                  <w:r>
                    <w:rPr>
                      <w:rFonts w:ascii="Times New Roman" w:eastAsia="Arial Unicode MS" w:hAnsi="Times New Roman"/>
                      <w:sz w:val="24"/>
                      <w:szCs w:val="24"/>
                      <w:lang w:val="ro-MD"/>
                    </w:rPr>
                    <w:t>une de resursele și mecanismele financiare necesare pentru a acoperi costurile de funcționare și întreținere aferente operațiunilor care includ investiții în infrastructură sau investiții productive, în vederea asigurării sustenabilității financiare a aces</w:t>
                  </w:r>
                  <w:r>
                    <w:rPr>
                      <w:rFonts w:ascii="Times New Roman" w:eastAsia="Arial Unicode MS" w:hAnsi="Times New Roman"/>
                      <w:sz w:val="24"/>
                      <w:szCs w:val="24"/>
                      <w:lang w:val="ro-MD"/>
                    </w:rPr>
                    <w:t>tora;</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pacing w:after="0"/>
                    <w:jc w:val="both"/>
                  </w:pPr>
                  <w:r>
                    <w:rPr>
                      <w:rFonts w:ascii="Times New Roman" w:eastAsia="Arial Unicode MS" w:hAnsi="Times New Roman"/>
                      <w:sz w:val="24"/>
                      <w:szCs w:val="24"/>
                      <w:lang w:val="ro-MD"/>
                    </w:rPr>
                    <w:t>se asigură că operațiunile selectate care intră sub incidența Directivei 2011/92/UE a Parlamentului European și a Consiliului </w:t>
                  </w:r>
                  <w:hyperlink r:id="rId25" w:history="1">
                    <w:r>
                      <w:rPr>
                        <w:rStyle w:val="Hyperlink"/>
                        <w:rFonts w:ascii="Times New Roman" w:eastAsia="Arial Unicode MS" w:hAnsi="Times New Roman"/>
                        <w:color w:val="auto"/>
                        <w:sz w:val="24"/>
                        <w:szCs w:val="24"/>
                        <w:lang w:val="ro-MD"/>
                      </w:rPr>
                      <w:t>(</w:t>
                    </w:r>
                    <w:r>
                      <w:rPr>
                        <w:rStyle w:val="Hyperlink"/>
                        <w:rFonts w:ascii="Times New Roman" w:eastAsia="Arial Unicode MS" w:hAnsi="Times New Roman"/>
                        <w:color w:val="auto"/>
                        <w:sz w:val="24"/>
                        <w:szCs w:val="24"/>
                        <w:vertAlign w:val="superscript"/>
                        <w:lang w:val="ro-MD"/>
                      </w:rPr>
                      <w:t>51</w:t>
                    </w:r>
                    <w:r>
                      <w:rPr>
                        <w:rStyle w:val="Hyperlink"/>
                        <w:rFonts w:ascii="Times New Roman" w:eastAsia="Arial Unicode MS" w:hAnsi="Times New Roman"/>
                        <w:color w:val="auto"/>
                        <w:sz w:val="24"/>
                        <w:szCs w:val="24"/>
                        <w:lang w:val="ro-MD"/>
                      </w:rPr>
                      <w:t>)</w:t>
                    </w:r>
                  </w:hyperlink>
                  <w:r>
                    <w:rPr>
                      <w:rFonts w:ascii="Times New Roman" w:eastAsia="Arial Unicode MS" w:hAnsi="Times New Roman"/>
                      <w:sz w:val="24"/>
                      <w:szCs w:val="24"/>
                      <w:lang w:val="ro-MD"/>
                    </w:rPr>
                    <w:t xml:space="preserve"> fac obiectul unei evaluări a impactului asupra mediului sau al unei proceduri de verificare și că evaluarea </w:t>
                  </w:r>
                  <w:r>
                    <w:rPr>
                      <w:rFonts w:ascii="Times New Roman" w:eastAsia="Arial Unicode MS" w:hAnsi="Times New Roman"/>
                      <w:sz w:val="24"/>
                      <w:szCs w:val="24"/>
                      <w:lang w:val="ro-MD"/>
                    </w:rPr>
                    <w:t>soluțiilor alternative a fost luată în considerare în mod corespunzător, pe baza cerințelor directivei respective;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 asigură că, în cazul în care operațiunile au început înainte de data depunerii unei cereri de finanțare la autoritatea de management</w:t>
                  </w:r>
                  <w:r>
                    <w:rPr>
                      <w:rFonts w:ascii="Times New Roman" w:eastAsia="Arial Unicode MS" w:hAnsi="Times New Roman"/>
                      <w:sz w:val="24"/>
                      <w:szCs w:val="24"/>
                      <w:lang w:val="ro-MD"/>
                    </w:rPr>
                    <w:t>, legislația aplicabilă a fost respectată;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 asigură că operațiunile selectate intră în domeniul de aplicare al fondului în cauză și sunt atribuite unui tip de intervenție;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(h)</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se asigură că operațiunile nu includ activități care au făcut parte </w:t>
                  </w:r>
                  <w:r>
                    <w:rPr>
                      <w:rFonts w:ascii="Times New Roman" w:eastAsia="Arial Unicode MS" w:hAnsi="Times New Roman"/>
                      <w:sz w:val="24"/>
                      <w:szCs w:val="24"/>
                      <w:lang w:val="ro-MD"/>
                    </w:rPr>
                    <w:t>dintr-o operațiune care este relocată în conformitate cu articolul 66 sau care ar constitui un transfer al unei activități productive în conformitate cu articolul 65 alineatul (1) litera (a);</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w:t>
                  </w:r>
                </w:p>
              </w:tc>
              <w:tc>
                <w:tcPr>
                  <w:tcW w:w="360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se asigură că operațiunile selectate nu fac în mod direct </w:t>
                  </w:r>
                  <w:r>
                    <w:rPr>
                      <w:rFonts w:ascii="Times New Roman" w:eastAsia="Arial Unicode MS" w:hAnsi="Times New Roman"/>
                      <w:sz w:val="24"/>
                      <w:szCs w:val="24"/>
                      <w:lang w:val="ro-MD"/>
                    </w:rPr>
                    <w:t>obiectul unui aviz motivat al Comisiei cu privire la o încălcare în temeiul articolului 258 din TFUE care pune în pericol legalitatea și regularitatea cheltuielilor sau desfășurarea operațiunilor;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(j)</w:t>
                  </w:r>
                </w:p>
              </w:tc>
              <w:tc>
                <w:tcPr>
                  <w:tcW w:w="360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asigură imunizarea la schimbările climatice a investi</w:t>
                  </w:r>
                  <w:r>
                    <w:rPr>
                      <w:rFonts w:ascii="Times New Roman" w:eastAsia="Arial Unicode MS" w:hAnsi="Times New Roman"/>
                      <w:sz w:val="24"/>
                      <w:szCs w:val="24"/>
                      <w:lang w:val="ro-MD"/>
                    </w:rPr>
                    <w:t>ț</w:t>
                  </w:r>
                  <w:r>
                    <w:rPr>
                      <w:rFonts w:ascii="Times New Roman" w:eastAsia="Arial Unicode MS" w:hAnsi="Times New Roman"/>
                      <w:sz w:val="24"/>
                      <w:szCs w:val="24"/>
                      <w:lang w:val="ro-MD"/>
                    </w:rPr>
                    <w:t>iilor în infrastructură care au o durată de viață preconizată de cel puțin cinci ani.</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În ceea ce privește litera (b) de la prezentul alineat, în cazul obiectivului de politică 1, astfel cum este prevăzut la articolul 3 alineatul (1) litera (a) din </w:t>
            </w:r>
            <w:r>
              <w:rPr>
                <w:rFonts w:ascii="Times New Roman" w:eastAsia="Arial Unicode MS" w:hAnsi="Times New Roman"/>
                <w:sz w:val="24"/>
                <w:szCs w:val="24"/>
                <w:lang w:val="ro-MD"/>
              </w:rPr>
              <w:t>Regulamentul privind FEDR și Fondul de coeziune, doar operațiunile corespunzătoare obiectivelor specifice menționate la punctele (i) și (iv) de la litera menționată sunt compatibile cu strategiile de specializare inteligentă corespunzătoare.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Autorita</w:t>
            </w:r>
            <w:r>
              <w:rPr>
                <w:rFonts w:ascii="Times New Roman" w:eastAsia="Arial Unicode MS" w:hAnsi="Times New Roman"/>
                <w:sz w:val="24"/>
                <w:szCs w:val="24"/>
                <w:lang w:val="ro-MD"/>
              </w:rPr>
              <w:t>tea de management se asigură că beneficiarului i se furnizează un document care stabilește toate condițiile acordării sprijinului pentru fiecare operațiune, inclusiv cerințele specifice privind produsele sau serviciile care urmează a fi furnizate, planul d</w:t>
            </w:r>
            <w:r>
              <w:rPr>
                <w:rFonts w:ascii="Times New Roman" w:eastAsia="Arial Unicode MS" w:hAnsi="Times New Roman"/>
                <w:sz w:val="24"/>
                <w:szCs w:val="24"/>
                <w:lang w:val="ro-MD"/>
              </w:rPr>
              <w:t>e finanțare, termenul pentru executarea operațiunii și, dacă este cazul, metoda care trebuie aplicată pentru a stabili costurile operațiunii și condițiile pentru plata sprijinului.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(4)   Pentru operațiunile cărora li s-a acordat o „marcă de excelență” sau </w:t>
            </w:r>
            <w:r>
              <w:rPr>
                <w:rFonts w:ascii="Times New Roman" w:eastAsia="Arial Unicode MS" w:hAnsi="Times New Roman"/>
                <w:sz w:val="24"/>
                <w:szCs w:val="24"/>
                <w:lang w:val="ro-MD"/>
              </w:rPr>
              <w:t>care au fost selectate în cadrul unui program cofinanțat de Orizont Europa, autoritatea de management poate decide să acorde sprijin direct din FEDR sau FSE+, cu condiția ca operațiunile respective să îndeplinească cerințele prevăzute la alineatul (2) lite</w:t>
            </w:r>
            <w:r>
              <w:rPr>
                <w:rFonts w:ascii="Times New Roman" w:eastAsia="Arial Unicode MS" w:hAnsi="Times New Roman"/>
                <w:sz w:val="24"/>
                <w:szCs w:val="24"/>
                <w:lang w:val="ro-MD"/>
              </w:rPr>
              <w:t>rele (a), (b) și (g).</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plus, autoritățile de management pot aplica operațiunilor menționate la primul paragraf categoriile, cuantumurile maxime și metodele de calcul ale costurilor eligibile stabilite în temeiul instrumentului relevant al Uniunii. Elemen</w:t>
            </w:r>
            <w:r>
              <w:rPr>
                <w:rFonts w:ascii="Times New Roman" w:eastAsia="Arial Unicode MS" w:hAnsi="Times New Roman"/>
                <w:sz w:val="24"/>
                <w:szCs w:val="24"/>
                <w:lang w:val="ro-MD"/>
              </w:rPr>
              <w:t>tele menționate sunt prevăzute în documentul menționat la alineatul (3).</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Atunci când selectează o operațiune de importanță strategică, autoritatea de management informează Comisia în termen de o lună și îi furnizează acesteia toate informațiile perti</w:t>
            </w:r>
            <w:r>
              <w:rPr>
                <w:rFonts w:ascii="Times New Roman" w:eastAsia="Arial Unicode MS" w:hAnsi="Times New Roman"/>
                <w:sz w:val="24"/>
                <w:szCs w:val="24"/>
                <w:lang w:val="ro-MD"/>
              </w:rPr>
              <w:t>nente cu privire la operațiunea respectivă.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74</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Gestionarea programului de către autoritatea de management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obligatoriu în </w:t>
            </w:r>
            <w:r>
              <w:rPr>
                <w:rFonts w:ascii="Times New Roman" w:hAnsi="Times New Roman"/>
                <w:sz w:val="24"/>
                <w:szCs w:val="24"/>
                <w:lang w:val="ro-MD"/>
              </w:rPr>
              <w:t>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Autoritatea de management:</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desfășoară controale de gestiune pentru a verifica dacă produsele și serviciile cofinanțate au fost furnizate, dacă operațiunea respectă legislația aplicabilă, programul și condițiile de acordare</w:t>
                  </w:r>
                  <w:r>
                    <w:rPr>
                      <w:rFonts w:ascii="Times New Roman" w:eastAsia="Arial Unicode MS" w:hAnsi="Times New Roman"/>
                      <w:sz w:val="24"/>
                      <w:szCs w:val="24"/>
                      <w:lang w:val="ro-MD"/>
                    </w:rPr>
                    <w:t xml:space="preserve"> a sprijinului pentru această operațiune și:</w:t>
                  </w:r>
                </w:p>
                <w:tbl>
                  <w:tblPr>
                    <w:tblW w:w="5000" w:type="pct"/>
                    <w:tblCellMar>
                      <w:left w:w="10" w:type="dxa"/>
                      <w:right w:w="10" w:type="dxa"/>
                    </w:tblCellMar>
                    <w:tblLook w:val="04A0" w:firstRow="1" w:lastRow="0" w:firstColumn="1" w:lastColumn="0" w:noHBand="0" w:noVBand="1"/>
                  </w:tblPr>
                  <w:tblGrid>
                    <w:gridCol w:w="227"/>
                    <w:gridCol w:w="3334"/>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w:t>
                        </w:r>
                      </w:p>
                    </w:tc>
                    <w:tc>
                      <w:tcPr>
                        <w:tcW w:w="3334"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costurile urmează să fie rambursate în temeiul articolului 53 alineatul (1) litera (a), dacă cuantumul cheltuielilor declarate de beneficiari în legătură cu costurile respective a fost plăti</w:t>
                        </w:r>
                        <w:r>
                          <w:rPr>
                            <w:rFonts w:ascii="Times New Roman" w:eastAsia="Arial Unicode MS" w:hAnsi="Times New Roman"/>
                            <w:sz w:val="24"/>
                            <w:szCs w:val="24"/>
                            <w:lang w:val="ro-MD"/>
                          </w:rPr>
                          <w:t>t și dacă beneficiarii țin o evidență contabilă separată sau folosesc coduri contabile adecvate pentru toate tranzacțiile aferente operațiunii;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67"/>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(ii)</w:t>
                        </w:r>
                      </w:p>
                    </w:tc>
                    <w:tc>
                      <w:tcPr>
                        <w:tcW w:w="3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costurile urmează să fie rambursate în temeiul articolului 53 alineatul (1) literele (b)</w:t>
                        </w:r>
                        <w:r>
                          <w:rPr>
                            <w:rFonts w:ascii="Times New Roman" w:eastAsia="Arial Unicode MS" w:hAnsi="Times New Roman"/>
                            <w:sz w:val="24"/>
                            <w:szCs w:val="24"/>
                            <w:lang w:val="ro-MD"/>
                          </w:rPr>
                          <w:t>, (c) și (d), dacă au fost îndeplinite condițiile pentru rambursarea cheltuielilor către beneficiar;</w:t>
                        </w:r>
                      </w:p>
                    </w:tc>
                  </w:tr>
                </w:tbl>
                <w:p w:rsidR="002F15D7" w:rsidRDefault="002F15D7">
                  <w:pPr>
                    <w:spacing w:after="0"/>
                    <w:jc w:val="both"/>
                    <w:rPr>
                      <w:rFonts w:ascii="Times New Roman" w:eastAsia="Arial Unicode MS" w:hAnsi="Times New Roman"/>
                      <w:sz w:val="24"/>
                      <w:szCs w:val="24"/>
                      <w:lang w:val="ro-MD"/>
                    </w:rPr>
                  </w:pP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se asigură, sub rezerva disponibilității fondurilor, că beneficiarul primește cuantumul datorat în întregime, în termen de 80 de zile de la data </w:t>
                  </w:r>
                  <w:r>
                    <w:rPr>
                      <w:rFonts w:ascii="Times New Roman" w:eastAsia="Arial Unicode MS" w:hAnsi="Times New Roman"/>
                      <w:sz w:val="24"/>
                      <w:szCs w:val="24"/>
                      <w:lang w:val="ro-MD"/>
                    </w:rPr>
                    <w:t>depunerii cererii de plată de către beneficiar; termenul poate fi întrerupt dacă informațiile prezentate de beneficiar nu permit autorității de management să stabilească dacă cuantumul este exigibil;</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dispune măsuri și proceduri antifraudă eficace și </w:t>
                  </w:r>
                  <w:r>
                    <w:rPr>
                      <w:rFonts w:ascii="Times New Roman" w:eastAsia="Arial Unicode MS" w:hAnsi="Times New Roman"/>
                      <w:sz w:val="24"/>
                      <w:szCs w:val="24"/>
                      <w:lang w:val="ro-MD"/>
                    </w:rPr>
                    <w:t>proporționale, luând în considerare riscurile identificate;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previne, depistează și corectează neregulile;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confirmă faptul că cheltuielile înregistrate în conturi sunt legale și regulamentare;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întocmește declarația de gestiune în </w:t>
                  </w:r>
                  <w:r>
                    <w:rPr>
                      <w:rFonts w:ascii="Times New Roman" w:eastAsia="Arial Unicode MS" w:hAnsi="Times New Roman"/>
                      <w:sz w:val="24"/>
                      <w:szCs w:val="24"/>
                      <w:lang w:val="ro-MD"/>
                    </w:rPr>
                    <w:t>conformitate cu modelul prevăzut în anexa XVIII.</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În cazul prevăzut la primul paragraf litera (b), nu se procedează la nicio deducere sau reținere și nu se percepe nicio taxă specifică sau cu efect echivalent care ar reduce cuantumurile datorate </w:t>
            </w:r>
            <w:r>
              <w:rPr>
                <w:rFonts w:ascii="Times New Roman" w:eastAsia="Arial Unicode MS" w:hAnsi="Times New Roman"/>
                <w:sz w:val="24"/>
                <w:szCs w:val="24"/>
                <w:lang w:val="ro-MD"/>
              </w:rPr>
              <w:t>beneficiarilor.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operațiunile PPP, autoritatea de management efectuează plăți către un cont de garanție creat în acest scop în numele beneficiarului în vederea utilizării în conformitate cu acordul PPP.</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Controalele de gestiune menționate la ali</w:t>
            </w:r>
            <w:r>
              <w:rPr>
                <w:rFonts w:ascii="Times New Roman" w:eastAsia="Arial Unicode MS" w:hAnsi="Times New Roman"/>
                <w:sz w:val="24"/>
                <w:szCs w:val="24"/>
                <w:lang w:val="ro-MD"/>
              </w:rPr>
              <w:t>neatul (1) primul paragraf litera (a) sunt bazate pe riscuri și proporționale cu riscurile identificate în prealabil în scris.</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Controalele de gestiune includ verificări administrative în legătură cu cererile de plată transmise de beneficiari și verificări </w:t>
            </w:r>
            <w:r>
              <w:rPr>
                <w:rFonts w:ascii="Times New Roman" w:eastAsia="Arial Unicode MS" w:hAnsi="Times New Roman"/>
                <w:sz w:val="24"/>
                <w:szCs w:val="24"/>
                <w:lang w:val="ro-MD"/>
              </w:rPr>
              <w:t>la fața locului ale operațiunilor. Respectivele verificări se efectuează înainte de prezentarea conturilor în conformitate cu articolul 98.</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În cazul în care autoritatea de management este și beneficiar în cadrul programului, dispozițiile aplicabile c</w:t>
            </w:r>
            <w:r>
              <w:rPr>
                <w:rFonts w:ascii="Times New Roman" w:eastAsia="Arial Unicode MS" w:hAnsi="Times New Roman"/>
                <w:sz w:val="24"/>
                <w:szCs w:val="24"/>
                <w:lang w:val="ro-MD"/>
              </w:rPr>
              <w:t>ontroalelor de gestiune asigură separarea funcțiilor.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Fără a aduce atingere alineatului (2), Regulamentul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xml:space="preserve"> poate stabili norme specifice privind controalele de gestiune aplicabile programelor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Regulamentele FAMI, FSI și IMFV pot stabili no</w:t>
            </w:r>
            <w:r>
              <w:rPr>
                <w:rFonts w:ascii="Times New Roman" w:eastAsia="Arial Unicode MS" w:hAnsi="Times New Roman"/>
                <w:sz w:val="24"/>
                <w:szCs w:val="24"/>
                <w:lang w:val="ro-MD"/>
              </w:rPr>
              <w:t>rme specifice privind controalele de gestiune aplicabile atunci când beneficiarul este o organizație internațională.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75</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Sprijinul acordat de autoritatea de management pentru activitatea comitetului de monitorizare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Autoritatea de management:</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FFFFFF"/>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furnizează comitetului de monitorizare în timp util toate informațiile necesare pentru </w:t>
                  </w:r>
                  <w:r>
                    <w:rPr>
                      <w:rFonts w:ascii="Times New Roman" w:eastAsia="Arial Unicode MS" w:hAnsi="Times New Roman"/>
                      <w:sz w:val="24"/>
                      <w:szCs w:val="24"/>
                      <w:lang w:val="ro-MD"/>
                    </w:rPr>
                    <w:t>îndeplinirea sarcinilor acestuia;</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FFFFFF"/>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FFFFFF"/>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asigură luarea măsurilor necesare în urma deciziilor și recomandărilor comitetului de monitorizare.</w:t>
                  </w:r>
                </w:p>
              </w:tc>
            </w:tr>
          </w:tbl>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76</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Funcția de contabilitate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w:t>
            </w:r>
            <w:r>
              <w:rPr>
                <w:rFonts w:ascii="Times New Roman" w:hAnsi="Times New Roman"/>
                <w:sz w:val="24"/>
                <w:szCs w:val="24"/>
                <w:lang w:val="ro-MD"/>
              </w:rPr>
              <w:t>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Funcția de contabilitate constă în următoarele sarcini: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întocmirea și transmiterea cererilor de plată către Comisie, în conformitate cu articolele 91 și 92;</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întocmirea și prezentarea conturilor, confirmarea integralității, a acurateței și a veridicității conturilor în conformitate cu articolul 98 și păstrarea unor evidențe electronice pentru toate elementele conturilor, inclusiv pentru cererile de plată</w:t>
                  </w:r>
                  <w:r>
                    <w:rPr>
                      <w:rFonts w:ascii="Times New Roman" w:eastAsia="Arial Unicode MS" w:hAnsi="Times New Roman"/>
                      <w:sz w:val="24"/>
                      <w:szCs w:val="24"/>
                      <w:lang w:val="ro-MD"/>
                    </w:rPr>
                    <w:t>;</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convertirea în euro a cheltuielilor suportate în alte monede pe baza cursului de schimb contabil lunar al Comisiei din luna în care cheltuielile sunt înregistrate în sistemele contabile ale organismului responsabil de îndeplinirea sarcinilor </w:t>
                  </w:r>
                  <w:r>
                    <w:rPr>
                      <w:rFonts w:ascii="Times New Roman" w:eastAsia="Arial Unicode MS" w:hAnsi="Times New Roman"/>
                      <w:sz w:val="24"/>
                      <w:szCs w:val="24"/>
                      <w:lang w:val="ro-MD"/>
                    </w:rPr>
                    <w:t>prevăzute în prezentul articol.</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Funcția de contabilitate nu include verificări la nivelul beneficiarilor.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Prin derogare de la alineatul (1) litera (c), Regulamentul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xml:space="preserve"> poate stabili o metodă diferită pentru conversia în euro a cuantumuri</w:t>
            </w:r>
            <w:r>
              <w:rPr>
                <w:rFonts w:ascii="Times New Roman" w:eastAsia="Arial Unicode MS" w:hAnsi="Times New Roman"/>
                <w:sz w:val="24"/>
                <w:szCs w:val="24"/>
                <w:lang w:val="ro-MD"/>
              </w:rPr>
              <w:t>lor cheltuielilor suportate în alte monede.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77</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Funcțiile autorității de audit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Autoritatea de audit este însărcinată cu efectuarea de audituri de sistem, audituri ale operațiunilor și audituri ale conturilor, pentru a furniza Comisiei o asigurare independentă cu privire la funcționarea eficientă a sistemelor de gestiune și cont</w:t>
            </w:r>
            <w:r>
              <w:rPr>
                <w:rFonts w:ascii="Times New Roman" w:eastAsia="Arial Unicode MS" w:hAnsi="Times New Roman"/>
                <w:sz w:val="24"/>
                <w:szCs w:val="24"/>
                <w:lang w:val="ro-MD"/>
              </w:rPr>
              <w:t>rol și la legalitatea și regularitatea cheltuielilor incluse în conturile transmise Comisiei.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Activitățile de audit se desfășoară în conformitate cu standardele de audit acceptate la nivel internațional.</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Autoritatea de audit întocmește și trans</w:t>
            </w:r>
            <w:r>
              <w:rPr>
                <w:rFonts w:ascii="Times New Roman" w:eastAsia="Arial Unicode MS" w:hAnsi="Times New Roman"/>
                <w:sz w:val="24"/>
                <w:szCs w:val="24"/>
                <w:lang w:val="ro-MD"/>
              </w:rPr>
              <w:t>mite Comisiei: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 opinie anuală de audit în conformitate cu articolul 63 alineatul (7) din Regulamentul financiar și cu modelul prevăzut în anexa XIX la prezentul regulament, bazată pe toate activitățile de audit efectuate, care vizează următoarele comp</w:t>
                  </w:r>
                  <w:r>
                    <w:rPr>
                      <w:rFonts w:ascii="Times New Roman" w:eastAsia="Arial Unicode MS" w:hAnsi="Times New Roman"/>
                      <w:sz w:val="24"/>
                      <w:szCs w:val="24"/>
                      <w:lang w:val="ro-MD"/>
                    </w:rPr>
                    <w:t>onente distincte:</w:t>
                  </w:r>
                </w:p>
                <w:tbl>
                  <w:tblPr>
                    <w:tblW w:w="5000" w:type="pct"/>
                    <w:tblCellMar>
                      <w:left w:w="10" w:type="dxa"/>
                      <w:right w:w="10" w:type="dxa"/>
                    </w:tblCellMar>
                    <w:tblLook w:val="04A0" w:firstRow="1" w:lastRow="0" w:firstColumn="1" w:lastColumn="0" w:noHBand="0" w:noVBand="1"/>
                  </w:tblPr>
                  <w:tblGrid>
                    <w:gridCol w:w="227"/>
                    <w:gridCol w:w="3334"/>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w:t>
                        </w:r>
                      </w:p>
                    </w:tc>
                    <w:tc>
                      <w:tcPr>
                        <w:tcW w:w="3334"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integralitatea, acuratețea și veridicitatea conturilor;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94"/>
                    <w:gridCol w:w="3267"/>
                  </w:tblGrid>
                  <w:tr w:rsidR="002F15D7">
                    <w:tblPrEx>
                      <w:tblCellMar>
                        <w:top w:w="0" w:type="dxa"/>
                        <w:bottom w:w="0" w:type="dxa"/>
                      </w:tblCellMar>
                    </w:tblPrEx>
                    <w:tc>
                      <w:tcPr>
                        <w:tcW w:w="294"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(ii)</w:t>
                        </w:r>
                      </w:p>
                    </w:tc>
                    <w:tc>
                      <w:tcPr>
                        <w:tcW w:w="3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legalitatea și regularitatea cheltuielilor incluse în conturile prezentate Comisiei;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201"/>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(iii)</w:t>
                        </w:r>
                      </w:p>
                    </w:tc>
                    <w:tc>
                      <w:tcPr>
                        <w:tcW w:w="320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funcționarea eficientă a sistemului de gestiune și control;</w:t>
                        </w:r>
                      </w:p>
                    </w:tc>
                  </w:tr>
                </w:tbl>
                <w:p w:rsidR="002F15D7" w:rsidRDefault="002F15D7">
                  <w:pPr>
                    <w:spacing w:after="0"/>
                    <w:jc w:val="both"/>
                    <w:rPr>
                      <w:rFonts w:ascii="Times New Roman" w:eastAsia="Arial Unicode MS" w:hAnsi="Times New Roman"/>
                      <w:sz w:val="24"/>
                      <w:szCs w:val="24"/>
                      <w:lang w:val="ro-MD"/>
                    </w:rPr>
                  </w:pP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un raport </w:t>
                  </w:r>
                  <w:r>
                    <w:rPr>
                      <w:rFonts w:ascii="Times New Roman" w:eastAsia="Arial Unicode MS" w:hAnsi="Times New Roman"/>
                      <w:sz w:val="24"/>
                      <w:szCs w:val="24"/>
                      <w:lang w:val="ro-MD"/>
                    </w:rPr>
                    <w:t>anual de control care îndeplinește cerințele de la articolul 63 alineatul (5) litera (b) din Regulamentul financiar, în conformitate cu modelul prevăzut în anexa XX la prezentul regulament, care susține opinia anuală de audit menționată la litera (a) de la</w:t>
                  </w:r>
                  <w:r>
                    <w:rPr>
                      <w:rFonts w:ascii="Times New Roman" w:eastAsia="Arial Unicode MS" w:hAnsi="Times New Roman"/>
                      <w:sz w:val="24"/>
                      <w:szCs w:val="24"/>
                      <w:lang w:val="ro-MD"/>
                    </w:rPr>
                    <w:t xml:space="preserve"> prezentul alineat și care prezintă o sinteză a constatărilor, inclusiv o analiză a naturii și amplorii erorilor și deficiențelor sistemelor, precum și măsurile corective propuse și puse în aplicare și rata totală de eroare și rata de eroare reziduală rezu</w:t>
                  </w:r>
                  <w:r>
                    <w:rPr>
                      <w:rFonts w:ascii="Times New Roman" w:eastAsia="Arial Unicode MS" w:hAnsi="Times New Roman"/>
                      <w:sz w:val="24"/>
                      <w:szCs w:val="24"/>
                      <w:lang w:val="ro-MD"/>
                    </w:rPr>
                    <w:t>ltate pentru cheltuielile înregistrate în conturile prezentate Comisiei.</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În cazul în care programele sunt grupate în scopul auditurilor operațiunilor în temeiul articolului 79 alineatul (2) al doilea paragraf, informațiile prevăzute la alineatul (3)</w:t>
            </w:r>
            <w:r>
              <w:rPr>
                <w:rFonts w:ascii="Times New Roman" w:eastAsia="Arial Unicode MS" w:hAnsi="Times New Roman"/>
                <w:sz w:val="24"/>
                <w:szCs w:val="24"/>
                <w:lang w:val="ro-MD"/>
              </w:rPr>
              <w:t xml:space="preserve"> litera (b) de la prezentul articol pot fi grupate într-un raport unic.</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Autoritatea de audit transmite Comisiei rapoartele de audit de sistem imediat după încheierea procedurii contradictorii cu entitățile auditate relevante.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Comisia și autorit</w:t>
            </w:r>
            <w:r>
              <w:rPr>
                <w:rFonts w:ascii="Times New Roman" w:eastAsia="Arial Unicode MS" w:hAnsi="Times New Roman"/>
                <w:sz w:val="24"/>
                <w:szCs w:val="24"/>
                <w:lang w:val="ro-MD"/>
              </w:rPr>
              <w:t>ățile de audit se reunesc cu regularitate și, cu excepția cazului în care se convine altfel, cel puțin o dată pe an, pentru a examina strategia de audit, raportul anual de control și opinia de audit, pentru a-și coordona planurile și metodele de audit și p</w:t>
            </w:r>
            <w:r>
              <w:rPr>
                <w:rFonts w:ascii="Times New Roman" w:eastAsia="Arial Unicode MS" w:hAnsi="Times New Roman"/>
                <w:sz w:val="24"/>
                <w:szCs w:val="24"/>
                <w:lang w:val="ro-MD"/>
              </w:rPr>
              <w:t>entru a face schimb de opinii cu privire la aspecte privind îmbunătățirea sistemelor de gestiune și control.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78</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Strategia de audit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w:t>
            </w:r>
            <w:r>
              <w:rPr>
                <w:rFonts w:ascii="Times New Roman" w:hAnsi="Times New Roman"/>
                <w:sz w:val="24"/>
                <w:szCs w:val="24"/>
                <w:lang w:val="ro-MD"/>
              </w:rPr>
              <w:t>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Autoritatea de audit elaborează, după consultarea autorității de management, o strategie de audit pe baza unei evaluări a riscului, ținând seama de descrierea sistemului de gestiune și control prevăzut</w:t>
            </w:r>
            <w:r>
              <w:rPr>
                <w:rFonts w:ascii="Times New Roman" w:eastAsia="Arial Unicode MS" w:hAnsi="Times New Roman"/>
                <w:sz w:val="24"/>
                <w:szCs w:val="24"/>
                <w:lang w:val="ro-MD"/>
              </w:rPr>
              <w:t>ă la articolul 69 alineatul (11), care vizează auditurile de sistem și auditurile operațiunilor. Strategia de audit include audituri de sistem ale autorităților de management și ale autorităților responsabile de funcția de contabilitate nou identificate. A</w:t>
            </w:r>
            <w:r>
              <w:rPr>
                <w:rFonts w:ascii="Times New Roman" w:eastAsia="Arial Unicode MS" w:hAnsi="Times New Roman"/>
                <w:sz w:val="24"/>
                <w:szCs w:val="24"/>
                <w:lang w:val="ro-MD"/>
              </w:rPr>
              <w:t>ceste audituri se efectuează în termen de 21 de luni de la decizia de aprobare a programului sau a modificării programului, prin care se desemnează o astfel de autoritate. Strategia de audit se elaborează în conformitate cu modelul prevăzut în anexa XXII ș</w:t>
            </w:r>
            <w:r>
              <w:rPr>
                <w:rFonts w:ascii="Times New Roman" w:eastAsia="Arial Unicode MS" w:hAnsi="Times New Roman"/>
                <w:sz w:val="24"/>
                <w:szCs w:val="24"/>
                <w:lang w:val="ro-MD"/>
              </w:rPr>
              <w:t>i se actualizează anual după primul raport anual de control și prima opinie de audit furnizate Comisiei. Strategia poate viza unul sau mai multe programe.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Strategia de audit se transmite Comisiei la cerere.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79</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Audituri ale operațiunilor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Auditurile operațiunilor vizează cheltuielile declarate Comisiei în anul financiar pe baza </w:t>
            </w:r>
            <w:r>
              <w:rPr>
                <w:rFonts w:ascii="Times New Roman" w:eastAsia="Arial Unicode MS" w:hAnsi="Times New Roman"/>
                <w:sz w:val="24"/>
                <w:szCs w:val="24"/>
                <w:lang w:val="ro-MD"/>
              </w:rPr>
              <w:t>unui eșantion. Eșantionul respectiv este reprezentativ și se bazează pe metode de eșantionare statistice.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În cazul în care populația constă în mai puțin de 300 de unități de eșantionare, poate fi utilizată o metodă de eșantionare nestatistică, în fun</w:t>
            </w:r>
            <w:r>
              <w:rPr>
                <w:rFonts w:ascii="Times New Roman" w:eastAsia="Arial Unicode MS" w:hAnsi="Times New Roman"/>
                <w:sz w:val="24"/>
                <w:szCs w:val="24"/>
                <w:lang w:val="ro-MD"/>
              </w:rPr>
              <w:t>cție de raționamentul profesional al autorității de audit. În astfel de cazuri, eșantionul trebuie să fie suficient de mare pentru a permite autorității de audit să elaboreze o opinie de audit valabilă. Metoda de eșantionare nestatistică acoperă minimum 10</w:t>
            </w:r>
            <w:r>
              <w:rPr>
                <w:rFonts w:ascii="Times New Roman" w:eastAsia="Arial Unicode MS" w:hAnsi="Times New Roman"/>
                <w:sz w:val="24"/>
                <w:szCs w:val="24"/>
                <w:lang w:val="ro-MD"/>
              </w:rPr>
              <w:t> % dintre unitățile de eșantionare din populația anului financiar, selectate în mod aleatoriu.</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Eșantionul statistic poate acoperi unul sau mai multe programe sprijinite de FEDR, FSE+, Fondul de coeziune și FTJ și, sub rezerva stratificării, acolo unde este</w:t>
            </w:r>
            <w:r>
              <w:rPr>
                <w:rFonts w:ascii="Times New Roman" w:eastAsia="Arial Unicode MS" w:hAnsi="Times New Roman"/>
                <w:sz w:val="24"/>
                <w:szCs w:val="24"/>
                <w:lang w:val="ro-MD"/>
              </w:rPr>
              <w:t xml:space="preserve"> cazul, una sau mai multe perioade de programare, în funcție de raționamentul profesional al autorității de audit.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Eșantionul de operațiuni sprijinite din FEAMPA, FAMI, FSI și de IMFV acoperă operațiunile sprijinite de fiecare fond separat.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Audituril</w:t>
            </w:r>
            <w:r>
              <w:rPr>
                <w:rFonts w:ascii="Times New Roman" w:eastAsia="Arial Unicode MS" w:hAnsi="Times New Roman"/>
                <w:sz w:val="24"/>
                <w:szCs w:val="24"/>
                <w:lang w:val="ro-MD"/>
              </w:rPr>
              <w:t>e operațiunilor includ verificări la fața locului privind implementarea fizică a operațiunii numai în cazul în care acest lucru este impus de tipul de operațiune în cauză.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Regulamentul FSE+ poate prevedea dispoziții specifice pentru programele sau priorită</w:t>
            </w:r>
            <w:r>
              <w:rPr>
                <w:rFonts w:ascii="Times New Roman" w:eastAsia="Arial Unicode MS" w:hAnsi="Times New Roman"/>
                <w:sz w:val="24"/>
                <w:szCs w:val="24"/>
                <w:lang w:val="ro-MD"/>
              </w:rPr>
              <w:t>ț</w:t>
            </w:r>
            <w:r>
              <w:rPr>
                <w:rFonts w:ascii="Times New Roman" w:eastAsia="Arial Unicode MS" w:hAnsi="Times New Roman"/>
                <w:sz w:val="24"/>
                <w:szCs w:val="24"/>
                <w:lang w:val="ro-MD"/>
              </w:rPr>
              <w:t xml:space="preserve">ile prevăzute la articolul 4 alineatul (1) litera (m) din respectivul regulament. Regulamentele FAMI, FSI și IMFV pot stabili norme specifice pentru auditul operațiunilor în cazul în care o organizație internațională este beneficiar. Regulamentul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xml:space="preserve"> poate stabili norme specifice privind auditurile operațiunilor aplicabile programelor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Auditurile se efectuează pe baza normelor în vigoare la data la care au avut loc activitățile din cadrul operațiunii.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(4)   Comisia este împuternicită să </w:t>
            </w:r>
            <w:r>
              <w:rPr>
                <w:rFonts w:ascii="Times New Roman" w:eastAsia="Arial Unicode MS" w:hAnsi="Times New Roman"/>
                <w:sz w:val="24"/>
                <w:szCs w:val="24"/>
                <w:lang w:val="ro-MD"/>
              </w:rPr>
              <w:t>adopte un act delegat în conformitate cu articolul 114 pentru a completa prezentul articol stabilind metode de eșantionare standardizate, gata de utilizare, și modalitățile pentru acoperirea uneia sau a mai multor perioade de programare.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80</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D</w:t>
            </w:r>
            <w:r>
              <w:rPr>
                <w:rFonts w:ascii="Times New Roman" w:eastAsia="Times New Roman" w:hAnsi="Times New Roman"/>
                <w:b/>
                <w:bCs/>
                <w:sz w:val="24"/>
                <w:szCs w:val="24"/>
                <w:lang w:val="ro-MD"/>
              </w:rPr>
              <w:t>ispoziții privind auditul unic</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La efectuarea auditurilor, Comisia și autoritățile de audit </w:t>
            </w:r>
            <w:r>
              <w:rPr>
                <w:rFonts w:ascii="Times New Roman" w:eastAsia="Arial Unicode MS" w:hAnsi="Times New Roman"/>
                <w:sz w:val="24"/>
                <w:szCs w:val="24"/>
                <w:lang w:val="ro-MD"/>
              </w:rPr>
              <w:t>ț</w:t>
            </w:r>
            <w:r>
              <w:rPr>
                <w:rFonts w:ascii="Times New Roman" w:eastAsia="Arial Unicode MS" w:hAnsi="Times New Roman"/>
                <w:sz w:val="24"/>
                <w:szCs w:val="24"/>
                <w:lang w:val="ro-MD"/>
              </w:rPr>
              <w:t>in seama în mod corespunzător de principiile auditului unic și proporționalității în raport cu nivelul de risc pentru bugetul Uniunii. Se urmărește în felul acesta în special evitarea duplicării auditurilor și a controalelor de gestiune pentru aceleași ch</w:t>
            </w:r>
            <w:r>
              <w:rPr>
                <w:rFonts w:ascii="Times New Roman" w:eastAsia="Arial Unicode MS" w:hAnsi="Times New Roman"/>
                <w:sz w:val="24"/>
                <w:szCs w:val="24"/>
                <w:lang w:val="ro-MD"/>
              </w:rPr>
              <w:t>eltuieli declarate Comisiei, în vederea minimizării costului controalelor de gestiune și al auditurilor și a sarcinii administrative asupra beneficiarilor.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și autoritățile de audit utilizează mai întâi toate informațiile și dovezile menționate la a</w:t>
            </w:r>
            <w:r>
              <w:rPr>
                <w:rFonts w:ascii="Times New Roman" w:eastAsia="Arial Unicode MS" w:hAnsi="Times New Roman"/>
                <w:sz w:val="24"/>
                <w:szCs w:val="24"/>
                <w:lang w:val="ro-MD"/>
              </w:rPr>
              <w:t>rticolul 72 alineatul (1) litera (e), inclusiv rezultatele controalelor de gestiune, și pot solicita și obține documente și probe de audit suplimentare de la beneficiarii în cauză numai atunci când, pe baza raționamentului lor profesional, acest lucru este</w:t>
            </w:r>
            <w:r>
              <w:rPr>
                <w:rFonts w:ascii="Times New Roman" w:eastAsia="Arial Unicode MS" w:hAnsi="Times New Roman"/>
                <w:sz w:val="24"/>
                <w:szCs w:val="24"/>
                <w:lang w:val="ro-MD"/>
              </w:rPr>
              <w:t xml:space="preserve"> necesar pentru a sprijini formularea unor concluzii solide de audit.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Pentru programele în cazul cărora Comisia ajunge la concluzia că opinia autorității de audit este fiabilă, iar statul membru în cauză participă la cooperarea consolidată privind in</w:t>
            </w:r>
            <w:r>
              <w:rPr>
                <w:rFonts w:ascii="Times New Roman" w:eastAsia="Arial Unicode MS" w:hAnsi="Times New Roman"/>
                <w:sz w:val="24"/>
                <w:szCs w:val="24"/>
                <w:lang w:val="ro-MD"/>
              </w:rPr>
              <w:t>stituirea Parchetului European, auditurile proprii ale Comisiei se limitează la auditarea activității autorității de audit.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Înainte de prezentarea conturilor pentru anul financiar în care se finalizează operațiunea, Comisia sau autoritatea de audit n</w:t>
            </w:r>
            <w:r>
              <w:rPr>
                <w:rFonts w:ascii="Times New Roman" w:eastAsia="Arial Unicode MS" w:hAnsi="Times New Roman"/>
                <w:sz w:val="24"/>
                <w:szCs w:val="24"/>
                <w:lang w:val="ro-MD"/>
              </w:rPr>
              <w:t>u efectuează mai mult de un audit în ceea ce privește operațiunile pentru care totalul cheltuielilor eligibile nu depășește 400 000 EUR pentru FEDR sau Fondul de coeziune, 350 000 EUR pentru FTJ, 300 000 EUR pentru FSE+ sau 200 000 EUR pentru FEAMPA, FAMI,</w:t>
            </w:r>
            <w:r>
              <w:rPr>
                <w:rFonts w:ascii="Times New Roman" w:eastAsia="Arial Unicode MS" w:hAnsi="Times New Roman"/>
                <w:sz w:val="24"/>
                <w:szCs w:val="24"/>
                <w:lang w:val="ro-MD"/>
              </w:rPr>
              <w:t xml:space="preserve"> FSI sau IMFV.</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Alte operațiuni nu fac obiectul mai mult de unui audit pe an financiar efectuat fie de autoritatea de audit, fie de Comisie înainte de prezentarea conturilor pentru anul financiar în care se finalizează operațiunea. Operațiunile nu fac obiec</w:t>
            </w:r>
            <w:r>
              <w:rPr>
                <w:rFonts w:ascii="Times New Roman" w:eastAsia="Arial Unicode MS" w:hAnsi="Times New Roman"/>
                <w:sz w:val="24"/>
                <w:szCs w:val="24"/>
                <w:lang w:val="ro-MD"/>
              </w:rPr>
              <w:t>tul unui audit efectuat de Comisie sau de autoritatea de audit într-un anumit an dacă în anul respectiv s-a efectuat deja un audit de către Curtea de Conturi, cu condiția ca rezultatele auditului efectuat de Curtea de Conturi cu privire la operațiunile res</w:t>
            </w:r>
            <w:r>
              <w:rPr>
                <w:rFonts w:ascii="Times New Roman" w:eastAsia="Arial Unicode MS" w:hAnsi="Times New Roman"/>
                <w:sz w:val="24"/>
                <w:szCs w:val="24"/>
                <w:lang w:val="ro-MD"/>
              </w:rPr>
              <w:t>pective să poată fi utilizate de autoritatea de audit sau de Comisie pentru a-și îndeplini sarcinile care le revin.</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În pofida alineatului (3), orice operațiune poate face obiectul mai mult de unui audit în cazul în care autoritatea de audit concluzio</w:t>
            </w:r>
            <w:r>
              <w:rPr>
                <w:rFonts w:ascii="Times New Roman" w:eastAsia="Arial Unicode MS" w:hAnsi="Times New Roman"/>
                <w:sz w:val="24"/>
                <w:szCs w:val="24"/>
                <w:lang w:val="ro-MD"/>
              </w:rPr>
              <w:t>nează, pe baza raționamentului său profesional, că nu este posibilă formularea unei opinii de audit valabile.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Dispozițiile alineatelor (2) și (3) nu se aplică atunci când:</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există un risc specific de nereguli sau o suspiciune de fraudă;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este</w:t>
                  </w:r>
                  <w:r>
                    <w:rPr>
                      <w:rFonts w:ascii="Times New Roman" w:eastAsia="Arial Unicode MS" w:hAnsi="Times New Roman"/>
                      <w:sz w:val="24"/>
                      <w:szCs w:val="24"/>
                      <w:lang w:val="ro-MD"/>
                    </w:rPr>
                    <w:t xml:space="preserve"> necesară reefectuarea activității autorității de audit pentru obținerea unei asigurări cu privire la funcționarea eficientă a acesteia;</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există dovada unei deficiențe grave în activitatea autorității de audit.</w:t>
                  </w:r>
                </w:p>
              </w:tc>
            </w:tr>
          </w:tbl>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81</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Controale de gestiune</w:t>
            </w:r>
            <w:r>
              <w:rPr>
                <w:rFonts w:ascii="Times New Roman" w:eastAsia="Times New Roman" w:hAnsi="Times New Roman"/>
                <w:b/>
                <w:bCs/>
                <w:sz w:val="24"/>
                <w:szCs w:val="24"/>
                <w:lang w:val="ro-MD"/>
              </w:rPr>
              <w:t xml:space="preserve"> și audituri ale instrumentelor financiare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Autoritatea de management efectuează controale de</w:t>
            </w:r>
            <w:r>
              <w:rPr>
                <w:rFonts w:ascii="Times New Roman" w:eastAsia="Arial Unicode MS" w:hAnsi="Times New Roman"/>
                <w:sz w:val="24"/>
                <w:szCs w:val="24"/>
                <w:lang w:val="ro-MD"/>
              </w:rPr>
              <w:t xml:space="preserve"> gestiune la fața locului în conformitate cu articolul 74 alineatul (1) numai la nivelul organismelor care execută instrumentul financiar și, în contextul fondurilor de garantare, la nivelul organismelor care oferă noile împrumuturi suport. Autoritatea de </w:t>
            </w:r>
            <w:r>
              <w:rPr>
                <w:rFonts w:ascii="Times New Roman" w:eastAsia="Arial Unicode MS" w:hAnsi="Times New Roman"/>
                <w:sz w:val="24"/>
                <w:szCs w:val="24"/>
                <w:lang w:val="ro-MD"/>
              </w:rPr>
              <w:t>management poate să se bazeze pe controalele efectuate de organisme externe și să nu efectueze controale de gestiune la fața locului, cu condiția să dispună de dovezi suficiente privind competența organismelor externe respective.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Autoritatea de manag</w:t>
            </w:r>
            <w:r>
              <w:rPr>
                <w:rFonts w:ascii="Times New Roman" w:eastAsia="Arial Unicode MS" w:hAnsi="Times New Roman"/>
                <w:sz w:val="24"/>
                <w:szCs w:val="24"/>
                <w:lang w:val="ro-MD"/>
              </w:rPr>
              <w:t>ement nu efectuează verificări la fața locului la nivelul BEI sau al altor instituții financiare internaționale în care este acționar un stat membru.</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 toate acestea, BEI sau alte instituții financiare internaționale în care este acționar un stat membru f</w:t>
            </w:r>
            <w:r>
              <w:rPr>
                <w:rFonts w:ascii="Times New Roman" w:eastAsia="Arial Unicode MS" w:hAnsi="Times New Roman"/>
                <w:sz w:val="24"/>
                <w:szCs w:val="24"/>
                <w:lang w:val="ro-MD"/>
              </w:rPr>
              <w:t>urnizează autorității de management rapoarte de control în sprijinul cererilor de plată.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Autoritatea de audit efectuează audituri de sistem și audituri ale operațiunilor în conformitate cu articolul 77, 79 sau 83, după caz, la nivelul organismelor </w:t>
            </w:r>
            <w:r>
              <w:rPr>
                <w:rFonts w:ascii="Times New Roman" w:eastAsia="Arial Unicode MS" w:hAnsi="Times New Roman"/>
                <w:sz w:val="24"/>
                <w:szCs w:val="24"/>
                <w:lang w:val="ro-MD"/>
              </w:rPr>
              <w:t xml:space="preserve">care execută instrumentul financiar și, în contextul fondurilor de garantare, la nivelul organismelor care oferă noile împrumuturi suport. Rezultatele auditului efectuat de auditorii externi ai organismelor care execută instrumentul financiar pot fi luate </w:t>
            </w:r>
            <w:r>
              <w:rPr>
                <w:rFonts w:ascii="Times New Roman" w:eastAsia="Arial Unicode MS" w:hAnsi="Times New Roman"/>
                <w:sz w:val="24"/>
                <w:szCs w:val="24"/>
                <w:lang w:val="ro-MD"/>
              </w:rPr>
              <w:t>în considerare de către autoritatea de audit în scopul asigurării generale și, pe această bază, autoritatea de audit poate decide să își limiteze propria activitate de audit.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În contextul fondurilor de garantare, organismele responsabile de auditul p</w:t>
            </w:r>
            <w:r>
              <w:rPr>
                <w:rFonts w:ascii="Times New Roman" w:eastAsia="Arial Unicode MS" w:hAnsi="Times New Roman"/>
                <w:sz w:val="24"/>
                <w:szCs w:val="24"/>
                <w:lang w:val="ro-MD"/>
              </w:rPr>
              <w:t>rogramelor pot efectua audituri ale organismelor care oferă noi împrumuturi suport numai în cazul apariției uneia sau mai multora dintre următoarele situații: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la nivelul autorității de management sau la nivelul organismelor care execută instrumentul fi</w:t>
                  </w:r>
                  <w:r>
                    <w:rPr>
                      <w:rFonts w:ascii="Times New Roman" w:eastAsia="Arial Unicode MS" w:hAnsi="Times New Roman"/>
                      <w:sz w:val="24"/>
                      <w:szCs w:val="24"/>
                      <w:lang w:val="ro-MD"/>
                    </w:rPr>
                    <w:t>nanciar nu sunt disponibile documente justificative care să furnizeze dovezi ale sprijinului din partea instrumentului financiar pentru destinatarii finali;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există dovezi conform cărora documentele disponibile la nivelul autorității de management sau</w:t>
                  </w:r>
                  <w:r>
                    <w:rPr>
                      <w:rFonts w:ascii="Times New Roman" w:eastAsia="Arial Unicode MS" w:hAnsi="Times New Roman"/>
                      <w:sz w:val="24"/>
                      <w:szCs w:val="24"/>
                      <w:lang w:val="ro-MD"/>
                    </w:rPr>
                    <w:t xml:space="preserve"> la nivelul organismelor care execută instrumentul financiar nu reprezintă o imagine adevărată și exactă a sprijinului acordat.</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Autoritatea de audit nu efectuează audituri la nivelul BEI sau al altor instituții financiare internaționale în care este</w:t>
            </w:r>
            <w:r>
              <w:rPr>
                <w:rFonts w:ascii="Times New Roman" w:eastAsia="Arial Unicode MS" w:hAnsi="Times New Roman"/>
                <w:sz w:val="24"/>
                <w:szCs w:val="24"/>
                <w:lang w:val="ro-MD"/>
              </w:rPr>
              <w:t xml:space="preserve"> acționar un stat membru, pentru instrumentele financiare executate de către acestea.</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 toate acestea, BEI sau alte instituții financiare internaționale în care este acționar un stat membru furnizează Comisiei și autorității de audit un raport anual de au</w:t>
            </w:r>
            <w:r>
              <w:rPr>
                <w:rFonts w:ascii="Times New Roman" w:eastAsia="Arial Unicode MS" w:hAnsi="Times New Roman"/>
                <w:sz w:val="24"/>
                <w:szCs w:val="24"/>
                <w:lang w:val="ro-MD"/>
              </w:rPr>
              <w:t>dit elaborat de auditorii lor externi, înainte de sfârșitul fiecărui an calendaristic. Acest raport vizează elementele incluse în anexa XXI și reprezintă baza activității autorității de audit.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(6)   BEI sau alte instituții financiare internaționale pun la </w:t>
            </w:r>
            <w:r>
              <w:rPr>
                <w:rFonts w:ascii="Times New Roman" w:eastAsia="Arial Unicode MS" w:hAnsi="Times New Roman"/>
                <w:sz w:val="24"/>
                <w:szCs w:val="24"/>
                <w:lang w:val="ro-MD"/>
              </w:rPr>
              <w:t>dispoziția autorităților responsabile de programe toate documentele necesare pentru a le permite să își îndeplinească obligațiile.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82</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Disponibilitatea documentelor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w:t>
            </w:r>
            <w:r>
              <w:rPr>
                <w:rFonts w:ascii="Times New Roman" w:hAnsi="Times New Roman"/>
                <w:sz w:val="24"/>
                <w:szCs w:val="24"/>
                <w:lang w:val="ro-MD"/>
              </w:rPr>
              <w:t>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Fără a aduce atingere normelor aplicabile în materie de ajutoare de stat, autoritatea de management se asigură că toate documentele justificative în legătură cu o </w:t>
            </w:r>
            <w:r>
              <w:rPr>
                <w:rFonts w:ascii="Times New Roman" w:eastAsia="Arial Unicode MS" w:hAnsi="Times New Roman"/>
                <w:sz w:val="24"/>
                <w:szCs w:val="24"/>
                <w:lang w:val="ro-MD"/>
              </w:rPr>
              <w:t>operațiune sprijinită de fonduri sunt păstrate la nivelul adecvat pentru o perioadă de cinci ani începând cu data de 31 decembrie a anului în care a fost efectuată ultima plată de către autoritatea de management către beneficiar.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Perioada menționată </w:t>
            </w:r>
            <w:r>
              <w:rPr>
                <w:rFonts w:ascii="Times New Roman" w:eastAsia="Arial Unicode MS" w:hAnsi="Times New Roman"/>
                <w:sz w:val="24"/>
                <w:szCs w:val="24"/>
                <w:lang w:val="ro-MD"/>
              </w:rPr>
              <w:t>la alineatul (1) se întrerupe fie în cazul unor proceduri judiciare, fie la cererea Comisiei.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III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Utilizarea sistemelor de gestiune naționale</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83</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Modalități consolidate proporționate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sz w:val="24"/>
                <w:szCs w:val="24"/>
                <w:lang w:val="ro-MD"/>
              </w:rPr>
            </w:pPr>
            <w:r>
              <w:rPr>
                <w:rFonts w:ascii="Times New Roman" w:hAnsi="Times New Roman"/>
                <w:sz w:val="24"/>
                <w:szCs w:val="24"/>
                <w:lang w:val="ro-MD"/>
              </w:rPr>
              <w:t xml:space="preserve">Odată cu aderarea </w:t>
            </w:r>
            <w:r>
              <w:rPr>
                <w:rFonts w:ascii="Times New Roman" w:hAnsi="Times New Roman"/>
                <w:sz w:val="24"/>
                <w:szCs w:val="24"/>
                <w:lang w:val="ro-MD"/>
              </w:rPr>
              <w:t>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Statul membru poate aplica următoarele modalități consolidate proporționate pentru sistemul de gestiune și control al unui program în cazul în c</w:t>
            </w:r>
            <w:r>
              <w:rPr>
                <w:rFonts w:ascii="Times New Roman" w:eastAsia="Arial Unicode MS" w:hAnsi="Times New Roman"/>
                <w:sz w:val="24"/>
                <w:szCs w:val="24"/>
                <w:lang w:val="ro-MD"/>
              </w:rPr>
              <w:t>are condițiile prevăzute la articolul 84 sunt îndeplinite: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FFFFFF"/>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FFFFFF"/>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prin derogare de la articolul 74 alineatul (1) litera (a) și de la articolul 74 alineatul (2), autoritatea de management poate să aplice numai procedurile naționale pentru efectuarea </w:t>
                  </w:r>
                  <w:r>
                    <w:rPr>
                      <w:rFonts w:ascii="Times New Roman" w:eastAsia="Arial Unicode MS" w:hAnsi="Times New Roman"/>
                      <w:sz w:val="24"/>
                      <w:szCs w:val="24"/>
                      <w:lang w:val="ro-MD"/>
                    </w:rPr>
                    <w:t>controalelor de gestiune;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FFFFFF"/>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FFFFFF"/>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prin derogare de la articolul 77 alineatul (1) în ceea ce privește auditurile de sistem și de la articolul 79 alineatele (1) și (3) în ceea ce privește auditurile operațiunilor, autoritatea de audit își poate limita </w:t>
                  </w:r>
                  <w:r>
                    <w:rPr>
                      <w:rFonts w:ascii="Times New Roman" w:eastAsia="Arial Unicode MS" w:hAnsi="Times New Roman"/>
                      <w:sz w:val="24"/>
                      <w:szCs w:val="24"/>
                      <w:lang w:val="ro-MD"/>
                    </w:rPr>
                    <w:t>activitatea de audit la audituri ale operațiunilor care acoperă un eșantion stabilit pe baza unei selecții statistice de 30 de unități de eșantionare pentru programul sau grupul de programe în cauză.</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scopul controalelor de gestiune menționate la litera</w:t>
            </w:r>
            <w:r>
              <w:rPr>
                <w:rFonts w:ascii="Times New Roman" w:eastAsia="Arial Unicode MS" w:hAnsi="Times New Roman"/>
                <w:sz w:val="24"/>
                <w:szCs w:val="24"/>
                <w:lang w:val="ro-MD"/>
              </w:rPr>
              <w:t xml:space="preserve"> (a) de la primul paragraf, autoritatea de management se poate baza pe controalele efectuate de organisme externe, cu condiția să dispună de dovezi suficiente privind competența organismelor respective.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prevăzut la litera (b) de la primul paragraf</w:t>
            </w:r>
            <w:r>
              <w:rPr>
                <w:rFonts w:ascii="Times New Roman" w:eastAsia="Arial Unicode MS" w:hAnsi="Times New Roman"/>
                <w:sz w:val="24"/>
                <w:szCs w:val="24"/>
                <w:lang w:val="ro-MD"/>
              </w:rPr>
              <w:t>, atunci când populația constă în mai puțin de 300 de unități de eșantionare, autoritatea de audit poate aplica o metodă de eșantionare nestatistică în conformitate cu articolul 79 alineatul (2).</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își limitează propriile audituri la un control al ac</w:t>
            </w:r>
            <w:r>
              <w:rPr>
                <w:rFonts w:ascii="Times New Roman" w:eastAsia="Arial Unicode MS" w:hAnsi="Times New Roman"/>
                <w:sz w:val="24"/>
                <w:szCs w:val="24"/>
                <w:lang w:val="ro-MD"/>
              </w:rPr>
              <w:t>tivității desfășurate de autoritatea de audit prin reefectuarea auditului exclusiv la nivelul său, cu excepția cazului în care informațiile disponibile sugerează existența unei deficiențe grave în activitatea autorității de audit.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84</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Condiții</w:t>
            </w:r>
            <w:r>
              <w:rPr>
                <w:rFonts w:ascii="Times New Roman" w:eastAsia="Times New Roman" w:hAnsi="Times New Roman"/>
                <w:b/>
                <w:bCs/>
                <w:sz w:val="24"/>
                <w:szCs w:val="24"/>
                <w:lang w:val="ro-MD"/>
              </w:rPr>
              <w:t xml:space="preserve"> pentru aplicarea modalităților consolidate proporționate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Statul membru poate aplica </w:t>
            </w:r>
            <w:r>
              <w:rPr>
                <w:rFonts w:ascii="Times New Roman" w:eastAsia="Arial Unicode MS" w:hAnsi="Times New Roman"/>
                <w:sz w:val="24"/>
                <w:szCs w:val="24"/>
                <w:lang w:val="ro-MD"/>
              </w:rPr>
              <w:t>modalitățile consolidate proporționate menționate la articolul 83 în orice moment în timpul perioadei de programare, în cazul în care Comisia a confirmat în rapoartele de activitate anuale, publicate în ultimii doi ani care precedă o astfel de decizie a st</w:t>
            </w:r>
            <w:r>
              <w:rPr>
                <w:rFonts w:ascii="Times New Roman" w:eastAsia="Arial Unicode MS" w:hAnsi="Times New Roman"/>
                <w:sz w:val="24"/>
                <w:szCs w:val="24"/>
                <w:lang w:val="ro-MD"/>
              </w:rPr>
              <w:t>atului membru, că sistemul de gestiune și control al programului funcționează în mod eficient și că rata totală de eroare pentru fiecare an este de cel mult 2 %. Atunci când evaluează funcționarea eficientă a sistemului de gestiune și control al programulu</w:t>
            </w:r>
            <w:r>
              <w:rPr>
                <w:rFonts w:ascii="Times New Roman" w:eastAsia="Arial Unicode MS" w:hAnsi="Times New Roman"/>
                <w:sz w:val="24"/>
                <w:szCs w:val="24"/>
                <w:lang w:val="ro-MD"/>
              </w:rPr>
              <w:t>i, Comisia ține seama de participarea statului membru în cauză la cooperarea consolidată privind instituirea Parchetului European.</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un stat membru decide să aplice modalitățile consolidate proporționate menționate la articolul 83, acesta in</w:t>
            </w:r>
            <w:r>
              <w:rPr>
                <w:rFonts w:ascii="Times New Roman" w:eastAsia="Arial Unicode MS" w:hAnsi="Times New Roman"/>
                <w:sz w:val="24"/>
                <w:szCs w:val="24"/>
                <w:lang w:val="ro-MD"/>
              </w:rPr>
              <w:t>formează Comisia cu privire la aplicarea acestor modalități. În acest caz, modalitățile se aplică de la începutul anului financiar următor.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La începutul perioadei de programare, statul membru poate să aplice modalitățile consolidate proporționate men</w:t>
            </w:r>
            <w:r>
              <w:rPr>
                <w:rFonts w:ascii="Times New Roman" w:eastAsia="Arial Unicode MS" w:hAnsi="Times New Roman"/>
                <w:sz w:val="24"/>
                <w:szCs w:val="24"/>
                <w:lang w:val="ro-MD"/>
              </w:rPr>
              <w:t>ț</w:t>
            </w:r>
            <w:r>
              <w:rPr>
                <w:rFonts w:ascii="Times New Roman" w:eastAsia="Arial Unicode MS" w:hAnsi="Times New Roman"/>
                <w:sz w:val="24"/>
                <w:szCs w:val="24"/>
                <w:lang w:val="ro-MD"/>
              </w:rPr>
              <w:t>ionate la articolul 83, în cazul în care condițiile prevăzute la alineatul (1) de la prezentul articol sunt îndeplinite pentru un program similar implementat în perioada 2014-2020 și în cazul în care modalitățile de gestiune și control instituite pentru p</w:t>
            </w:r>
            <w:r>
              <w:rPr>
                <w:rFonts w:ascii="Times New Roman" w:eastAsia="Arial Unicode MS" w:hAnsi="Times New Roman"/>
                <w:sz w:val="24"/>
                <w:szCs w:val="24"/>
                <w:lang w:val="ro-MD"/>
              </w:rPr>
              <w:t>rogramul din perioada 2021-2027 se bazează în mare măsură pe cele din programul precedent. În acest caz, modalitățile se aplică de la începutul programului.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Statul membru întocmește sau actualizează în mod corespunzător descrierea sistemului de </w:t>
            </w:r>
            <w:r>
              <w:rPr>
                <w:rFonts w:ascii="Times New Roman" w:eastAsia="Arial Unicode MS" w:hAnsi="Times New Roman"/>
                <w:sz w:val="24"/>
                <w:szCs w:val="24"/>
                <w:lang w:val="ro-MD"/>
              </w:rPr>
              <w:t>gestiune și control și strategia de audit prevăzute la articolul 69 alineatul (11) și la articolul 78.</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85</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Ajustarea în timpul perioadei de programare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w:t>
            </w:r>
            <w:r>
              <w:rPr>
                <w:rFonts w:ascii="Times New Roman" w:hAnsi="Times New Roman"/>
                <w:sz w:val="24"/>
                <w:szCs w:val="24"/>
                <w:lang w:val="ro-MD"/>
              </w:rPr>
              <w:t>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În cazul în care Comisia sau autoritatea de audit concluzionează, pe baza auditurilor efectuate și a raportului anual de control, că nu mai sunt îndeplinite condițiile prevăzute l</w:t>
            </w:r>
            <w:r>
              <w:rPr>
                <w:rFonts w:ascii="Times New Roman" w:eastAsia="Arial Unicode MS" w:hAnsi="Times New Roman"/>
                <w:sz w:val="24"/>
                <w:szCs w:val="24"/>
                <w:lang w:val="ro-MD"/>
              </w:rPr>
              <w:t>a articolul 84, Comisia solicită autorității de audit să efectueze activități suplimentare de audit în conformitate cu articolul 69 alineatul (3) și să se asigure că sunt luate măsuri de remediere.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În cazul în care raportul anual de control ulterior </w:t>
            </w:r>
            <w:r>
              <w:rPr>
                <w:rFonts w:ascii="Times New Roman" w:eastAsia="Arial Unicode MS" w:hAnsi="Times New Roman"/>
                <w:sz w:val="24"/>
                <w:szCs w:val="24"/>
                <w:lang w:val="ro-MD"/>
              </w:rPr>
              <w:t>confirmă că respectivele condiții continuă să nu fie îndeplinite, limitând astfel asigurarea oferită Comisiei cu privire la funcționarea eficientă a sistemelor de gestiune și control și la legalitatea și regularitatea cheltuielilor, Comisia solicită autori</w:t>
            </w:r>
            <w:r>
              <w:rPr>
                <w:rFonts w:ascii="Times New Roman" w:eastAsia="Arial Unicode MS" w:hAnsi="Times New Roman"/>
                <w:sz w:val="24"/>
                <w:szCs w:val="24"/>
                <w:lang w:val="ro-MD"/>
              </w:rPr>
              <w:t>tății de audit să efectueze audituri de sistem.</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După ce a acordat statului membru posibilitatea de a prezenta observații, Comisia poate informa statul membru că modalitățile consolidate proporționate prevăzute la articolul 83 nu se mai aplică de la î</w:t>
            </w:r>
            <w:r>
              <w:rPr>
                <w:rFonts w:ascii="Times New Roman" w:eastAsia="Arial Unicode MS" w:hAnsi="Times New Roman"/>
                <w:sz w:val="24"/>
                <w:szCs w:val="24"/>
                <w:lang w:val="ro-MD"/>
              </w:rPr>
              <w:t>nceputul anului financiar următor.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TITLUL VII</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GESTIUNE FINANCIARĂ, PREZENTAREA ȘI EXAMINAREA CONTURILOR ȘI CORECȚII FINANCIARE</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Gestiune financiară</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Secțiunea I</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Norme contabile generale</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86</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Angajamente bugetare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Decizia de aprobare a programului, în conformitate cu articolul 23, constituie o decizie de finanțare în se</w:t>
            </w:r>
            <w:r>
              <w:rPr>
                <w:rFonts w:ascii="Times New Roman" w:eastAsia="Arial Unicode MS" w:hAnsi="Times New Roman"/>
                <w:sz w:val="24"/>
                <w:szCs w:val="24"/>
                <w:lang w:val="ro-MD"/>
              </w:rPr>
              <w:t>nsul articolului 110 alineatul (1) din Regulamentul financiar, iar notificarea acesteia către statul membru în cauză constituie un angajament juridic.</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Decizia respectivă indică contribuția totală a Uniunii pe fond și pe an. Cu toate acestea, pentru program</w:t>
            </w:r>
            <w:r>
              <w:rPr>
                <w:rFonts w:ascii="Times New Roman" w:eastAsia="Arial Unicode MS" w:hAnsi="Times New Roman"/>
                <w:sz w:val="24"/>
                <w:szCs w:val="24"/>
                <w:lang w:val="ro-MD"/>
              </w:rPr>
              <w:t>ele din cadrul obiectivului Investiții pentru ocuparea forței de muncă și creștere economică, un cuantum reprezentând 50 % din contribuția pentru anii 2026 și 2027 („cuantum de flexibilitate”) se reține pentru fiecare program în fiecare stat membru și se a</w:t>
            </w:r>
            <w:r>
              <w:rPr>
                <w:rFonts w:ascii="Times New Roman" w:eastAsia="Arial Unicode MS" w:hAnsi="Times New Roman"/>
                <w:sz w:val="24"/>
                <w:szCs w:val="24"/>
                <w:lang w:val="ro-MD"/>
              </w:rPr>
              <w:t>locă definitiv programului numai după adoptarea deciziei Comisiei în urma evaluării intermediare în conformitate cu articolul 18.</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Angajamentele bugetare ale Uniunii pentru fiecare program sunt realizate de către Comisie în tranșe anuale pentru </w:t>
            </w:r>
            <w:r>
              <w:rPr>
                <w:rFonts w:ascii="Times New Roman" w:eastAsia="Arial Unicode MS" w:hAnsi="Times New Roman"/>
                <w:sz w:val="24"/>
                <w:szCs w:val="24"/>
                <w:lang w:val="ro-MD"/>
              </w:rPr>
              <w:t>fiecare fond pe parcursul perioadei cuprinse între 1 ianuarie 2021 și 31 decembrie 2027.</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Prin derogare de la articolul 111 alineatul (2) din Regulamentul financiar, angajamentele bugetare pentru prima tranșă se realizează în urma adoptării programulu</w:t>
            </w:r>
            <w:r>
              <w:rPr>
                <w:rFonts w:ascii="Times New Roman" w:eastAsia="Arial Unicode MS" w:hAnsi="Times New Roman"/>
                <w:sz w:val="24"/>
                <w:szCs w:val="24"/>
                <w:lang w:val="ro-MD"/>
              </w:rPr>
              <w:t>i de către Comisie.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87</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Utilizarea monedei euro</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 xml:space="preserve">Sumele prevăzute în programe, </w:t>
            </w:r>
            <w:r>
              <w:rPr>
                <w:rFonts w:ascii="Times New Roman" w:eastAsia="Arial Unicode MS" w:hAnsi="Times New Roman"/>
                <w:sz w:val="24"/>
                <w:szCs w:val="24"/>
                <w:lang w:val="ro-MD"/>
              </w:rPr>
              <w:t>raportate sau declarate Comisiei de statele membre, sunt exprimate în euro.</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88</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Rambursare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obligatoriu în toate elementele </w:t>
            </w:r>
            <w:r>
              <w:rPr>
                <w:rFonts w:ascii="Times New Roman" w:hAnsi="Times New Roman"/>
                <w:sz w:val="24"/>
                <w:szCs w:val="24"/>
                <w:lang w:val="ro-MD"/>
              </w:rPr>
              <w:t>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Orice rambursare care trebuie efectuată către bugetul Uniunii se efectuează înainte de scadența indicată în ordinul de recuperare întocmit în conformitate cu articolul 98 din Regulamentul financiar. Data scadenței este ultima zi a celei de a </w:t>
            </w:r>
            <w:r>
              <w:rPr>
                <w:rFonts w:ascii="Times New Roman" w:eastAsia="Arial Unicode MS" w:hAnsi="Times New Roman"/>
                <w:sz w:val="24"/>
                <w:szCs w:val="24"/>
                <w:lang w:val="ro-MD"/>
              </w:rPr>
              <w:t>doua luni următoare lunii în care a fost emis ordinul.</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Orice întârziere a rambursării generează dobânzi de întârziere, de la scadență până la data plății efective. Rata acestor dobânzi este cu un punct procentual și jumătate mai mare decât rata </w:t>
            </w:r>
            <w:r>
              <w:rPr>
                <w:rFonts w:ascii="Times New Roman" w:eastAsia="Arial Unicode MS" w:hAnsi="Times New Roman"/>
                <w:sz w:val="24"/>
                <w:szCs w:val="24"/>
                <w:lang w:val="ro-MD"/>
              </w:rPr>
              <w:t>aplicată de Banca Centrală Europeană în principalele sale operațiuni de refinanțare în prima zi lucrătoare din luna în care este data scadenței.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Secțiunea II</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Norme aplicabile plăților către statele membre</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89</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Tipuri de plăți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 xml:space="preserve">Plățile se efectuează sub formă de </w:t>
            </w:r>
            <w:proofErr w:type="spellStart"/>
            <w:r>
              <w:rPr>
                <w:rFonts w:ascii="Times New Roman" w:eastAsia="Arial Unicode MS" w:hAnsi="Times New Roman"/>
                <w:sz w:val="24"/>
                <w:szCs w:val="24"/>
                <w:lang w:val="ro-MD"/>
              </w:rPr>
              <w:t>prefinanțare</w:t>
            </w:r>
            <w:proofErr w:type="spellEnd"/>
            <w:r>
              <w:rPr>
                <w:rFonts w:ascii="Times New Roman" w:eastAsia="Arial Unicode MS" w:hAnsi="Times New Roman"/>
                <w:sz w:val="24"/>
                <w:szCs w:val="24"/>
                <w:lang w:val="ro-MD"/>
              </w:rPr>
              <w:t xml:space="preserve">, plăți intermediare și plăți ale soldului conturilor pentru anul </w:t>
            </w:r>
            <w:r>
              <w:rPr>
                <w:rFonts w:ascii="Times New Roman" w:eastAsia="Arial Unicode MS" w:hAnsi="Times New Roman"/>
                <w:sz w:val="24"/>
                <w:szCs w:val="24"/>
                <w:lang w:val="ro-MD"/>
              </w:rPr>
              <w:t>financiar.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90</w:t>
            </w:r>
          </w:p>
          <w:p w:rsidR="002F15D7" w:rsidRDefault="006C2DA4">
            <w:pPr>
              <w:shd w:val="clear" w:color="auto" w:fill="FFFFFF"/>
              <w:suppressAutoHyphens w:val="0"/>
              <w:spacing w:after="120"/>
              <w:jc w:val="center"/>
            </w:pPr>
            <w:proofErr w:type="spellStart"/>
            <w:r>
              <w:rPr>
                <w:rFonts w:ascii="Times New Roman" w:eastAsia="Times New Roman" w:hAnsi="Times New Roman"/>
                <w:b/>
                <w:bCs/>
                <w:sz w:val="24"/>
                <w:szCs w:val="24"/>
                <w:lang w:val="ro-MD"/>
              </w:rPr>
              <w:t>Prefinanțare</w:t>
            </w:r>
            <w:proofErr w:type="spellEnd"/>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Comisia plătește o </w:t>
            </w:r>
            <w:proofErr w:type="spellStart"/>
            <w:r>
              <w:rPr>
                <w:rFonts w:ascii="Times New Roman" w:eastAsia="Arial Unicode MS" w:hAnsi="Times New Roman"/>
                <w:sz w:val="24"/>
                <w:szCs w:val="24"/>
                <w:lang w:val="ro-MD"/>
              </w:rPr>
              <w:t>prefinanțare</w:t>
            </w:r>
            <w:proofErr w:type="spellEnd"/>
            <w:r>
              <w:rPr>
                <w:rFonts w:ascii="Times New Roman" w:eastAsia="Arial Unicode MS" w:hAnsi="Times New Roman"/>
                <w:sz w:val="24"/>
                <w:szCs w:val="24"/>
                <w:lang w:val="ro-MD"/>
              </w:rPr>
              <w:t xml:space="preserve"> bazată pe valoarea </w:t>
            </w:r>
            <w:r>
              <w:rPr>
                <w:rFonts w:ascii="Times New Roman" w:eastAsia="Arial Unicode MS" w:hAnsi="Times New Roman"/>
                <w:sz w:val="24"/>
                <w:szCs w:val="24"/>
                <w:lang w:val="ro-MD"/>
              </w:rPr>
              <w:t>totală a sprijinului din fonduri prevăzută în decizia de aprobare a programului.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w:t>
            </w:r>
            <w:proofErr w:type="spellStart"/>
            <w:r>
              <w:rPr>
                <w:rFonts w:ascii="Times New Roman" w:eastAsia="Arial Unicode MS" w:hAnsi="Times New Roman"/>
                <w:sz w:val="24"/>
                <w:szCs w:val="24"/>
                <w:lang w:val="ro-MD"/>
              </w:rPr>
              <w:t>Prefinanțarea</w:t>
            </w:r>
            <w:proofErr w:type="spellEnd"/>
            <w:r>
              <w:rPr>
                <w:rFonts w:ascii="Times New Roman" w:eastAsia="Arial Unicode MS" w:hAnsi="Times New Roman"/>
                <w:sz w:val="24"/>
                <w:szCs w:val="24"/>
                <w:lang w:val="ro-MD"/>
              </w:rPr>
              <w:t xml:space="preserve"> pentru fiecare fond se plătește în tranșe anuale, înainte de data de 1 iulie a fiecărui an, sub rezerva disponibilității fondurilor, după cum urmează:</w:t>
            </w:r>
          </w:p>
          <w:tbl>
            <w:tblPr>
              <w:tblW w:w="5000" w:type="pct"/>
              <w:tblCellMar>
                <w:left w:w="10" w:type="dxa"/>
                <w:right w:w="10" w:type="dxa"/>
              </w:tblCellMar>
              <w:tblLook w:val="04A0" w:firstRow="1" w:lastRow="0" w:firstColumn="1" w:lastColumn="0" w:noHBand="0" w:noVBand="1"/>
            </w:tblPr>
            <w:tblGrid>
              <w:gridCol w:w="681"/>
              <w:gridCol w:w="3147"/>
            </w:tblGrid>
            <w:tr w:rsidR="002F15D7">
              <w:tblPrEx>
                <w:tblCellMar>
                  <w:top w:w="0" w:type="dxa"/>
                  <w:bottom w:w="0" w:type="dxa"/>
                </w:tblCellMar>
              </w:tblPrEx>
              <w:tc>
                <w:tcPr>
                  <w:tcW w:w="68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14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2021: 0,5 %;</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708"/>
              <w:gridCol w:w="3120"/>
            </w:tblGrid>
            <w:tr w:rsidR="002F15D7">
              <w:tblPrEx>
                <w:tblCellMar>
                  <w:top w:w="0" w:type="dxa"/>
                  <w:bottom w:w="0" w:type="dxa"/>
                </w:tblCellMar>
              </w:tblPrEx>
              <w:tc>
                <w:tcPr>
                  <w:tcW w:w="70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12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2022: 0,5 %;</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681"/>
              <w:gridCol w:w="3147"/>
            </w:tblGrid>
            <w:tr w:rsidR="002F15D7">
              <w:tblPrEx>
                <w:tblCellMar>
                  <w:top w:w="0" w:type="dxa"/>
                  <w:bottom w:w="0" w:type="dxa"/>
                </w:tblCellMar>
              </w:tblPrEx>
              <w:tc>
                <w:tcPr>
                  <w:tcW w:w="68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14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2023: 0,5 %;</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708"/>
              <w:gridCol w:w="3120"/>
            </w:tblGrid>
            <w:tr w:rsidR="002F15D7">
              <w:tblPrEx>
                <w:tblCellMar>
                  <w:top w:w="0" w:type="dxa"/>
                  <w:bottom w:w="0" w:type="dxa"/>
                </w:tblCellMar>
              </w:tblPrEx>
              <w:tc>
                <w:tcPr>
                  <w:tcW w:w="70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12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2024: 0,5 %;</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681"/>
              <w:gridCol w:w="3147"/>
            </w:tblGrid>
            <w:tr w:rsidR="002F15D7">
              <w:tblPrEx>
                <w:tblCellMar>
                  <w:top w:w="0" w:type="dxa"/>
                  <w:bottom w:w="0" w:type="dxa"/>
                </w:tblCellMar>
              </w:tblPrEx>
              <w:tc>
                <w:tcPr>
                  <w:tcW w:w="68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14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2025: 0,5 %;</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626"/>
              <w:gridCol w:w="3202"/>
            </w:tblGrid>
            <w:tr w:rsidR="002F15D7">
              <w:tblPrEx>
                <w:tblCellMar>
                  <w:top w:w="0" w:type="dxa"/>
                  <w:bottom w:w="0" w:type="dxa"/>
                </w:tblCellMar>
              </w:tblPrEx>
              <w:tc>
                <w:tcPr>
                  <w:tcW w:w="626"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(f)</w:t>
                  </w:r>
                </w:p>
              </w:tc>
              <w:tc>
                <w:tcPr>
                  <w:tcW w:w="3202"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2026: 0,5 %.</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un program este adoptat după data de 1 iulie 2021, tranșele anterioare se plătesc în anul adoptării.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Prin derogare de la </w:t>
            </w:r>
            <w:r>
              <w:rPr>
                <w:rFonts w:ascii="Times New Roman" w:eastAsia="Arial Unicode MS" w:hAnsi="Times New Roman"/>
                <w:sz w:val="24"/>
                <w:szCs w:val="24"/>
                <w:lang w:val="ro-MD"/>
              </w:rPr>
              <w:t xml:space="preserve">alineatul (2), normele specifice privind </w:t>
            </w:r>
            <w:proofErr w:type="spellStart"/>
            <w:r>
              <w:rPr>
                <w:rFonts w:ascii="Times New Roman" w:eastAsia="Arial Unicode MS" w:hAnsi="Times New Roman"/>
                <w:sz w:val="24"/>
                <w:szCs w:val="24"/>
                <w:lang w:val="ro-MD"/>
              </w:rPr>
              <w:t>prefinanțarea</w:t>
            </w:r>
            <w:proofErr w:type="spellEnd"/>
            <w:r>
              <w:rPr>
                <w:rFonts w:ascii="Times New Roman" w:eastAsia="Arial Unicode MS" w:hAnsi="Times New Roman"/>
                <w:sz w:val="24"/>
                <w:szCs w:val="24"/>
                <w:lang w:val="ro-MD"/>
              </w:rPr>
              <w:t xml:space="preserve"> pentru programele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xml:space="preserve"> se stabilesc în Regulamentul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(4)   Prin derogare de la alineatul (2), normele specifice privind </w:t>
            </w:r>
            <w:proofErr w:type="spellStart"/>
            <w:r>
              <w:rPr>
                <w:rFonts w:ascii="Times New Roman" w:eastAsia="Arial Unicode MS" w:hAnsi="Times New Roman"/>
                <w:sz w:val="24"/>
                <w:szCs w:val="24"/>
                <w:lang w:val="ro-MD"/>
              </w:rPr>
              <w:t>prefinanțarea</w:t>
            </w:r>
            <w:proofErr w:type="spellEnd"/>
            <w:r>
              <w:rPr>
                <w:rFonts w:ascii="Times New Roman" w:eastAsia="Arial Unicode MS" w:hAnsi="Times New Roman"/>
                <w:sz w:val="24"/>
                <w:szCs w:val="24"/>
                <w:lang w:val="ro-MD"/>
              </w:rPr>
              <w:t xml:space="preserve"> pentru programele sprijinite din FAMI, FSI și de IMFV </w:t>
            </w:r>
            <w:r>
              <w:rPr>
                <w:rFonts w:ascii="Times New Roman" w:eastAsia="Arial Unicode MS" w:hAnsi="Times New Roman"/>
                <w:sz w:val="24"/>
                <w:szCs w:val="24"/>
                <w:lang w:val="ro-MD"/>
              </w:rPr>
              <w:t>se stabilesc în regulamentele specifice fiecărui fond.</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(5)   Cuantumurile plătite cu titlu de </w:t>
            </w:r>
            <w:proofErr w:type="spellStart"/>
            <w:r>
              <w:rPr>
                <w:rFonts w:ascii="Times New Roman" w:eastAsia="Arial Unicode MS" w:hAnsi="Times New Roman"/>
                <w:sz w:val="24"/>
                <w:szCs w:val="24"/>
                <w:lang w:val="ro-MD"/>
              </w:rPr>
              <w:t>prefinanțare</w:t>
            </w:r>
            <w:proofErr w:type="spellEnd"/>
            <w:r>
              <w:rPr>
                <w:rFonts w:ascii="Times New Roman" w:eastAsia="Arial Unicode MS" w:hAnsi="Times New Roman"/>
                <w:sz w:val="24"/>
                <w:szCs w:val="24"/>
                <w:lang w:val="ro-MD"/>
              </w:rPr>
              <w:t xml:space="preserve"> pentru anii 2021 și 2022 sunt lichidate din conturile Comisiei în fiecare an, iar pentru anii 2023-2026, cel târziu odată cu ultimul an financiar, în</w:t>
            </w:r>
            <w:r>
              <w:rPr>
                <w:rFonts w:ascii="Times New Roman" w:eastAsia="Arial Unicode MS" w:hAnsi="Times New Roman"/>
                <w:sz w:val="24"/>
                <w:szCs w:val="24"/>
                <w:lang w:val="ro-MD"/>
              </w:rPr>
              <w:t xml:space="preserve"> conformitate cu articolul 100.</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Pentru programele sprijinite din FAMI, FSI și de IMFV, sumele plătite cu titlu de </w:t>
            </w:r>
            <w:proofErr w:type="spellStart"/>
            <w:r>
              <w:rPr>
                <w:rFonts w:ascii="Times New Roman" w:eastAsia="Arial Unicode MS" w:hAnsi="Times New Roman"/>
                <w:sz w:val="24"/>
                <w:szCs w:val="24"/>
                <w:lang w:val="ro-MD"/>
              </w:rPr>
              <w:t>prefinanțare</w:t>
            </w:r>
            <w:proofErr w:type="spellEnd"/>
            <w:r>
              <w:rPr>
                <w:rFonts w:ascii="Times New Roman" w:eastAsia="Arial Unicode MS" w:hAnsi="Times New Roman"/>
                <w:sz w:val="24"/>
                <w:szCs w:val="24"/>
                <w:lang w:val="ro-MD"/>
              </w:rPr>
              <w:t xml:space="preserve"> sunt lichidate din conturile Comisiei cel târziu odată cu ultimul an financiar.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(6)   Orice dobândă generată de </w:t>
            </w:r>
            <w:proofErr w:type="spellStart"/>
            <w:r>
              <w:rPr>
                <w:rFonts w:ascii="Times New Roman" w:eastAsia="Arial Unicode MS" w:hAnsi="Times New Roman"/>
                <w:sz w:val="24"/>
                <w:szCs w:val="24"/>
                <w:lang w:val="ro-MD"/>
              </w:rPr>
              <w:t>prefinanțare</w:t>
            </w:r>
            <w:proofErr w:type="spellEnd"/>
            <w:r>
              <w:rPr>
                <w:rFonts w:ascii="Times New Roman" w:eastAsia="Arial Unicode MS" w:hAnsi="Times New Roman"/>
                <w:sz w:val="24"/>
                <w:szCs w:val="24"/>
                <w:lang w:val="ro-MD"/>
              </w:rPr>
              <w:t xml:space="preserve"> se u</w:t>
            </w:r>
            <w:r>
              <w:rPr>
                <w:rFonts w:ascii="Times New Roman" w:eastAsia="Arial Unicode MS" w:hAnsi="Times New Roman"/>
                <w:sz w:val="24"/>
                <w:szCs w:val="24"/>
                <w:lang w:val="ro-MD"/>
              </w:rPr>
              <w:t>tilizează pentru programul în cauză în același mod ca fondurile și se include în conturile pentru ultimul an financiar.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91</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Cererile de plată</w:t>
            </w:r>
          </w:p>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w:t>
            </w:r>
            <w:r>
              <w:rPr>
                <w:rFonts w:ascii="Times New Roman" w:hAnsi="Times New Roman"/>
                <w:sz w:val="24"/>
                <w:szCs w:val="24"/>
                <w:lang w:val="ro-MD"/>
              </w:rPr>
              <w:t>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Statul membru prezintă un număr maxim de șase cereri de plată pentru fiecare program, fond și an financiar. În fiecare an, se poate prezenta câte o cerere de plată în orice moment în fiecare</w:t>
            </w:r>
            <w:r>
              <w:rPr>
                <w:rFonts w:ascii="Times New Roman" w:eastAsia="Arial Unicode MS" w:hAnsi="Times New Roman"/>
                <w:sz w:val="24"/>
                <w:szCs w:val="24"/>
                <w:lang w:val="ro-MD"/>
              </w:rPr>
              <w:t xml:space="preserve"> perioadă cuprinsă între următoarele date: 28 februarie, 31 mai, 31 iulie, 31 octombrie, 30 noiembrie și 31 decembrie.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Ultima cerere de plată depusă până la 31 iulie se consideră a fi cererea de plată finală pentru anul financiar care s-a încheiat la 30 iu</w:t>
            </w:r>
            <w:r>
              <w:rPr>
                <w:rFonts w:ascii="Times New Roman" w:eastAsia="Arial Unicode MS" w:hAnsi="Times New Roman"/>
                <w:sz w:val="24"/>
                <w:szCs w:val="24"/>
                <w:lang w:val="ro-MD"/>
              </w:rPr>
              <w:t>nie.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Primul paragraf nu se aplică programelor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Cererile de plată sunt admisibile numai după transmiterea celui mai recent pachet de asigurare, astfel cum se menționează la articolul 98.</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Cererile de plată se transmit Comisiei în conform</w:t>
            </w:r>
            <w:r>
              <w:rPr>
                <w:rFonts w:ascii="Times New Roman" w:eastAsia="Arial Unicode MS" w:hAnsi="Times New Roman"/>
                <w:sz w:val="24"/>
                <w:szCs w:val="24"/>
                <w:lang w:val="ro-MD"/>
              </w:rPr>
              <w:t>itate cu modelul stabilit în anexa XXIII și includ, pentru fiecare prioritate și, după caz, pe categorie de regiuni: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valoarea totală a cheltuielilor eligibile suportate de beneficiari și plătite în cadrul implementării operațiunilor în legătură cu obie</w:t>
                  </w:r>
                  <w:r>
                    <w:rPr>
                      <w:rFonts w:ascii="Times New Roman" w:eastAsia="Arial Unicode MS" w:hAnsi="Times New Roman"/>
                      <w:sz w:val="24"/>
                      <w:szCs w:val="24"/>
                      <w:lang w:val="ro-MD"/>
                    </w:rPr>
                    <w:t>ctive specifice pentru care sunt îndeplinite condițiile favorizante și a operațiunilor în legătură cu obiective specifice pentru care nu sunt îndeplinite condițiile favorizante, dar care contribuie la îndeplinirea condițiilor favorizante, astfel cum este î</w:t>
                  </w:r>
                  <w:r>
                    <w:rPr>
                      <w:rFonts w:ascii="Times New Roman" w:eastAsia="Arial Unicode MS" w:hAnsi="Times New Roman"/>
                      <w:sz w:val="24"/>
                      <w:szCs w:val="24"/>
                      <w:lang w:val="ro-MD"/>
                    </w:rPr>
                    <w:t>nregistrat în sistemul organismului care asigură funcția de contabilitate;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valoarea asistenței tehnice calculată în conformitate cu articolul 36 alineatul (5) litera (b), dacă este cazul;</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valoarea totală a contribuției publice care a fost sau </w:t>
                  </w:r>
                  <w:r>
                    <w:rPr>
                      <w:rFonts w:ascii="Times New Roman" w:eastAsia="Arial Unicode MS" w:hAnsi="Times New Roman"/>
                      <w:sz w:val="24"/>
                      <w:szCs w:val="24"/>
                      <w:lang w:val="ro-MD"/>
                    </w:rPr>
                    <w:t>urmează să fie furnizată în legătură cu obiectivele specifice pentru care sunt îndeplinite condițiile favorizante și cu operațiunile în legătură cu obiectivele specifice pentru care nu sunt îndeplinite condițiile favorizante, dar care contribuie la îndepli</w:t>
                  </w:r>
                  <w:r>
                    <w:rPr>
                      <w:rFonts w:ascii="Times New Roman" w:eastAsia="Arial Unicode MS" w:hAnsi="Times New Roman"/>
                      <w:sz w:val="24"/>
                      <w:szCs w:val="24"/>
                      <w:lang w:val="ro-MD"/>
                    </w:rPr>
                    <w:t>nirea condițiilor favorizante, astfel cum este înregistrat în sistemul organismului care asigură funcția de contabilitate;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valoarea totală a cheltuielilor eligibile suportate de beneficiari și plătite în cadrul implementării operațiunilor în legătură</w:t>
                  </w:r>
                  <w:r>
                    <w:rPr>
                      <w:rFonts w:ascii="Times New Roman" w:eastAsia="Arial Unicode MS" w:hAnsi="Times New Roman"/>
                      <w:sz w:val="24"/>
                      <w:szCs w:val="24"/>
                      <w:lang w:val="ro-MD"/>
                    </w:rPr>
                    <w:t xml:space="preserve"> cu obiective specifice pentru care nu sunt îndeplinite condițiile favorizante, cu excepția operațiunilor care contribuie la îndeplinirea condițiilor favorizante, astfel cum este înregistrat în sistemul organismului care asigură funcția de contabilitate.</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Prin derogare de la alineatul (3) litera (a), se aplică următoarele: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contribuția Uniunii este realizată în conformitate cu articolul 51 litera (a), valorile incluse într-o cerere de plată sunt sumele justificate prin progresele î</w:t>
                  </w:r>
                  <w:r>
                    <w:rPr>
                      <w:rFonts w:ascii="Times New Roman" w:eastAsia="Arial Unicode MS" w:hAnsi="Times New Roman"/>
                      <w:sz w:val="24"/>
                      <w:szCs w:val="24"/>
                      <w:lang w:val="ro-MD"/>
                    </w:rPr>
                    <w:t>nregistrate în îndeplinirea condițiilor sau obținerea rezultatelor, în conformitate cu decizia menționată la articolul 95 alineatul (2) sau cu actul delegat menționat la articolul 95 alineatul (4);</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în cazul în care contribuția Uniunii este realizată </w:t>
                  </w:r>
                  <w:r>
                    <w:rPr>
                      <w:rFonts w:ascii="Times New Roman" w:eastAsia="Arial Unicode MS" w:hAnsi="Times New Roman"/>
                      <w:sz w:val="24"/>
                      <w:szCs w:val="24"/>
                      <w:lang w:val="ro-MD"/>
                    </w:rPr>
                    <w:t>în conformitate cu articolul 51 literele (c), (d) și (e), valorile incluse într-o cerere de plată sunt valorile stabilite în conformitate cu decizia menționată la articolul 94 alineatul (3) sau cu actul delegat menționat la articolul 94 alineatul (4);</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r>
                    <w:rPr>
                      <w:rFonts w:ascii="Times New Roman" w:eastAsia="Arial Unicode MS" w:hAnsi="Times New Roman"/>
                      <w:sz w:val="24"/>
                      <w:szCs w:val="24"/>
                      <w:lang w:val="ro-MD"/>
                    </w:rPr>
                    <w:t>)</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formele de granturi menționate la articolul 53 alineatul (1) primul paragraf literele (b), (c) și (d), valorile incluse într-o cerere de plată sunt costurile calculate pe baza aplicabilă.</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Prin derogare de la alineatul (3), în cazul ajutoare</w:t>
            </w:r>
            <w:r>
              <w:rPr>
                <w:rFonts w:ascii="Times New Roman" w:eastAsia="Arial Unicode MS" w:hAnsi="Times New Roman"/>
                <w:sz w:val="24"/>
                <w:szCs w:val="24"/>
                <w:lang w:val="ro-MD"/>
              </w:rPr>
              <w:t>lor de stat, cererea de plată poate include avansuri achitate beneficiarului de către organismul care acordă ajutorul în următoarele condiții cumulative: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avansurile respective să facă obiectul unei garanții oferite de o bancă sau de altă instituție fin</w:t>
                  </w:r>
                  <w:r>
                    <w:rPr>
                      <w:rFonts w:ascii="Times New Roman" w:eastAsia="Arial Unicode MS" w:hAnsi="Times New Roman"/>
                      <w:sz w:val="24"/>
                      <w:szCs w:val="24"/>
                      <w:lang w:val="ro-MD"/>
                    </w:rPr>
                    <w:t>anciară stabilită în statul membru sau să fie acoperite de un mecanism oferit ca garanție de o entitate publică sau de statul membru;</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avansurile respective să nu depășească 40 % din valoarea totală a ajutorului care urmează să fie acordat unui </w:t>
                  </w:r>
                  <w:r>
                    <w:rPr>
                      <w:rFonts w:ascii="Times New Roman" w:eastAsia="Arial Unicode MS" w:hAnsi="Times New Roman"/>
                      <w:sz w:val="24"/>
                      <w:szCs w:val="24"/>
                      <w:lang w:val="ro-MD"/>
                    </w:rPr>
                    <w:t>beneficiar pentru o anumită operațiune;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avansurile respective să fie acoperite de cheltuielile achitate de beneficiari în implementarea operațiunii și susținute prin facturi achitate sau documente contabile cu valoare probatorie echivalentă în termen</w:t>
                  </w:r>
                  <w:r>
                    <w:rPr>
                      <w:rFonts w:ascii="Times New Roman" w:eastAsia="Arial Unicode MS" w:hAnsi="Times New Roman"/>
                      <w:sz w:val="24"/>
                      <w:szCs w:val="24"/>
                      <w:lang w:val="ro-MD"/>
                    </w:rPr>
                    <w:t xml:space="preserve"> de trei ani de la sfârșitul anului plății avansului sau cel târziu la 31 decembrie 2029, oricare dintre aceste date survine prima, în caz contrar următoarea cerere de plată fiind corectată în consecință.</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Fiecare cerere de plată care include avansuri de a</w:t>
            </w:r>
            <w:r>
              <w:rPr>
                <w:rFonts w:ascii="Times New Roman" w:eastAsia="Arial Unicode MS" w:hAnsi="Times New Roman"/>
                <w:sz w:val="24"/>
                <w:szCs w:val="24"/>
                <w:lang w:val="ro-MD"/>
              </w:rPr>
              <w:t>cest tip prezintă separat valoarea totală achitată din program sub formă de avans, valoarea care a fost acoperită prin cheltuieli achitate de beneficiari în termen de trei ani de la plata avansului, în conformitate cu litera (c), precum și valoarea care nu</w:t>
            </w:r>
            <w:r>
              <w:rPr>
                <w:rFonts w:ascii="Times New Roman" w:eastAsia="Arial Unicode MS" w:hAnsi="Times New Roman"/>
                <w:sz w:val="24"/>
                <w:szCs w:val="24"/>
                <w:lang w:val="ro-MD"/>
              </w:rPr>
              <w:t xml:space="preserve"> a fost acoperită prin cheltuieli achitate de beneficiari și pentru care nu s-a încheiat încă perioada de trei ani.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Prin derogare de la alineatul (3) litera (c) de la prezentul articol, în cazul schemelor de ajutor prevăzute la articolul 107 din TFUE</w:t>
            </w:r>
            <w:r>
              <w:rPr>
                <w:rFonts w:ascii="Times New Roman" w:eastAsia="Arial Unicode MS" w:hAnsi="Times New Roman"/>
                <w:sz w:val="24"/>
                <w:szCs w:val="24"/>
                <w:lang w:val="ro-MD"/>
              </w:rPr>
              <w:t>, contribuția publică aferentă cheltuielilor incluse într-o cerere de plată trebuie să fi fost plătită beneficiarilor de către organismul care acordă ajutorul.</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12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92</w:t>
            </w:r>
          </w:p>
          <w:p w:rsidR="002F15D7" w:rsidRDefault="006C2DA4">
            <w:pPr>
              <w:shd w:val="clear" w:color="auto" w:fill="FFFFFF"/>
              <w:suppressAutoHyphens w:val="0"/>
              <w:spacing w:after="120"/>
              <w:jc w:val="center"/>
            </w:pPr>
            <w:r>
              <w:rPr>
                <w:rFonts w:ascii="Times New Roman" w:eastAsia="Times New Roman" w:hAnsi="Times New Roman"/>
                <w:b/>
                <w:bCs/>
                <w:sz w:val="24"/>
                <w:szCs w:val="24"/>
                <w:lang w:val="ro-MD"/>
              </w:rPr>
              <w:t>Elemente specifice instrumentelor financiare în cererile de plată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w:t>
            </w:r>
            <w:r>
              <w:rPr>
                <w:rFonts w:ascii="Times New Roman" w:hAnsi="Times New Roman"/>
                <w:b/>
                <w:bCs/>
                <w:sz w:val="24"/>
                <w:szCs w:val="24"/>
                <w:lang w:val="ro-MD"/>
              </w:rPr>
              <w:t>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În cazul în care sunt executate instrumente financiare în conformitate cu articolul 59 alineatul (1), ce</w:t>
            </w:r>
            <w:r>
              <w:rPr>
                <w:rFonts w:ascii="Times New Roman" w:eastAsia="Arial Unicode MS" w:hAnsi="Times New Roman"/>
                <w:sz w:val="24"/>
                <w:szCs w:val="24"/>
                <w:lang w:val="ro-MD"/>
              </w:rPr>
              <w:t>rerile de plată înaintate în conformitate cu anexa XXIII includ cuantumurile totale plătite sau, în cazul garanțiilor, cuantumurile rezervate pentru contractele de garanție de către autoritatea de management pentru destinatarii finali, astfel cum se mențio</w:t>
            </w:r>
            <w:r>
              <w:rPr>
                <w:rFonts w:ascii="Times New Roman" w:eastAsia="Arial Unicode MS" w:hAnsi="Times New Roman"/>
                <w:sz w:val="24"/>
                <w:szCs w:val="24"/>
                <w:lang w:val="ro-MD"/>
              </w:rPr>
              <w:t>nează la articolul 68 alineatul (1) literele (a), (b) și (c).</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În cazul în care sunt executate instrumente financiare în conformitate cu articolul 59 alineatul (2), cererile de plată care includ cheltuieli pentru instrumentele financiare se transmit î</w:t>
            </w:r>
            <w:r>
              <w:rPr>
                <w:rFonts w:ascii="Times New Roman" w:eastAsia="Arial Unicode MS" w:hAnsi="Times New Roman"/>
                <w:sz w:val="24"/>
                <w:szCs w:val="24"/>
                <w:lang w:val="ro-MD"/>
              </w:rPr>
              <w:t>n conformitate cu următoarele condiții: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valoarea inclusă în prima cerere de plată trebuie să fi fost plătită instrumentelor financiare și poate reprezenta până la 30 % din cuantumul total al contribuțiilor din program angajate pentru instrumente financ</w:t>
                  </w:r>
                  <w:r>
                    <w:rPr>
                      <w:rFonts w:ascii="Times New Roman" w:eastAsia="Arial Unicode MS" w:hAnsi="Times New Roman"/>
                      <w:sz w:val="24"/>
                      <w:szCs w:val="24"/>
                      <w:lang w:val="ro-MD"/>
                    </w:rPr>
                    <w:t>iare în temeiul acordului de finanțare relevant, în conformitate cu prioritatea și categoria de regiune pertinente, după caz;</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valorile incluse în cererile de plată ulterioare transmise în cursul perioadei de eligibilitate includ cheltuielile </w:t>
                  </w:r>
                  <w:r>
                    <w:rPr>
                      <w:rFonts w:ascii="Times New Roman" w:eastAsia="Arial Unicode MS" w:hAnsi="Times New Roman"/>
                      <w:sz w:val="24"/>
                      <w:szCs w:val="24"/>
                      <w:lang w:val="ro-MD"/>
                    </w:rPr>
                    <w:t>eligibile menționate la articolul 68 alineatul (1).</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Valoarea inclusă în prima cerere de plată, menționată la alineatul (2) litera (a), este lichidată din conturile Comisiei cel târziu în ultimul an financiar.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Aceasta este prezentată separat în cerer</w:t>
            </w:r>
            <w:r>
              <w:rPr>
                <w:rFonts w:ascii="Times New Roman" w:eastAsia="Arial Unicode MS" w:hAnsi="Times New Roman"/>
                <w:sz w:val="24"/>
                <w:szCs w:val="24"/>
                <w:lang w:val="ro-MD"/>
              </w:rPr>
              <w:t>ile de plată.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93</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Norme comune în materie de plăți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Fără a aduce atingere </w:t>
            </w:r>
            <w:r>
              <w:rPr>
                <w:rFonts w:ascii="Times New Roman" w:eastAsia="Arial Unicode MS" w:hAnsi="Times New Roman"/>
                <w:sz w:val="24"/>
                <w:szCs w:val="24"/>
                <w:lang w:val="ro-MD"/>
              </w:rPr>
              <w:t>articolului 15 alineatele (5) și (6) și sub rezerva disponibilității fondurilor, Comisia efectuează plăți intermediare în termen de 60 de zile de la data la care o cerere de plată este primită de Comisie.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Fiecare plată se atribuie celui mai devreme d</w:t>
            </w:r>
            <w:r>
              <w:rPr>
                <w:rFonts w:ascii="Times New Roman" w:eastAsia="Arial Unicode MS" w:hAnsi="Times New Roman"/>
                <w:sz w:val="24"/>
                <w:szCs w:val="24"/>
                <w:lang w:val="ro-MD"/>
              </w:rPr>
              <w:t>eschis angajament bugetar al fondului și al categoriei de regiune în cauză. Comisia rambursează cu titlu de plăți intermediare 95 % din cuantumurile incluse în cererea de plată, care rezultă din aplicarea ratei de cofinanțare pentru fiecare prioritate la c</w:t>
            </w:r>
            <w:r>
              <w:rPr>
                <w:rFonts w:ascii="Times New Roman" w:eastAsia="Arial Unicode MS" w:hAnsi="Times New Roman"/>
                <w:sz w:val="24"/>
                <w:szCs w:val="24"/>
                <w:lang w:val="ro-MD"/>
              </w:rPr>
              <w:t>heltuielile totale eligibile sau la contribuția publică, după caz. Comisia determină cuantumurile restante de rambursat sau care urmează să fie recuperate la calcularea soldului conturilor în conformitate cu articolul 100.</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Sprijinul acordat de fondur</w:t>
            </w:r>
            <w:r>
              <w:rPr>
                <w:rFonts w:ascii="Times New Roman" w:eastAsia="Arial Unicode MS" w:hAnsi="Times New Roman"/>
                <w:sz w:val="24"/>
                <w:szCs w:val="24"/>
                <w:lang w:val="ro-MD"/>
              </w:rPr>
              <w:t>i pentru o prioritate sub forma plăților intermediare nu este mai mare decât cuantumul sprijinului din fonduri pentru prioritatea respectivă prevăzut în decizia de aprobare a programului.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Atunci când contribuția Uniunii ia oricare dintre formele enum</w:t>
            </w:r>
            <w:r>
              <w:rPr>
                <w:rFonts w:ascii="Times New Roman" w:eastAsia="Arial Unicode MS" w:hAnsi="Times New Roman"/>
                <w:sz w:val="24"/>
                <w:szCs w:val="24"/>
                <w:lang w:val="ro-MD"/>
              </w:rPr>
              <w:t>erate la articolul 51, Comisia nu plătește mai mult decât cuantumul solicitat de către statul membru.</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Sprijinul acordat de fonduri pentru o prioritate sub forma plății soldului din ultimul an financiar nu depășește niciunul dintre următoarele cuantum</w:t>
            </w:r>
            <w:r>
              <w:rPr>
                <w:rFonts w:ascii="Times New Roman" w:eastAsia="Arial Unicode MS" w:hAnsi="Times New Roman"/>
                <w:sz w:val="24"/>
                <w:szCs w:val="24"/>
                <w:lang w:val="ro-MD"/>
              </w:rPr>
              <w:t>uri: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contribuția publică declarată în cererile de plată;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sprijinul din fonduri plătit sau care urmează să fie plătit beneficiarilor;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cuantumul solicitat de către statul membru.</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Cuantumurile rambursate în temeiul articolului 36 alineatul </w:t>
            </w:r>
            <w:r>
              <w:rPr>
                <w:rFonts w:ascii="Times New Roman" w:eastAsia="Arial Unicode MS" w:hAnsi="Times New Roman"/>
                <w:sz w:val="24"/>
                <w:szCs w:val="24"/>
                <w:lang w:val="ro-MD"/>
              </w:rPr>
              <w:t>(5) nu se iau în considerare la calcularea plafonului prevăzut la primul paragraf litera (b) de la prezentul articol.</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La cererea unui stat membru, plățile intermediare pot fi majorate cu 10 % peste rata de cofinanțare aplicabilă fiecărei priorități p</w:t>
            </w:r>
            <w:r>
              <w:rPr>
                <w:rFonts w:ascii="Times New Roman" w:eastAsia="Arial Unicode MS" w:hAnsi="Times New Roman"/>
                <w:sz w:val="24"/>
                <w:szCs w:val="24"/>
                <w:lang w:val="ro-MD"/>
              </w:rPr>
              <w:t>entru fonduri, în cazul în care un stat membru îndeplinește una dintre următoarele condiții după 1 iulie 2021:</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pPr>
                  <w:r>
                    <w:rPr>
                      <w:rFonts w:ascii="Times New Roman" w:eastAsia="Arial Unicode MS" w:hAnsi="Times New Roman"/>
                      <w:sz w:val="24"/>
                      <w:szCs w:val="24"/>
                      <w:lang w:val="ro-MD"/>
                    </w:rPr>
                    <w:t>statul membru beneficiază de un împrumut din partea Uniunii, în temeiul Regulamentului (UE) nr. 407/2010 al Consiliului </w:t>
                  </w:r>
                  <w:hyperlink r:id="rId26" w:history="1">
                    <w:r>
                      <w:rPr>
                        <w:rStyle w:val="Hyperlink"/>
                        <w:rFonts w:ascii="Times New Roman" w:eastAsia="Arial Unicode MS" w:hAnsi="Times New Roman"/>
                        <w:color w:val="auto"/>
                        <w:sz w:val="24"/>
                        <w:szCs w:val="24"/>
                        <w:lang w:val="ro-MD"/>
                      </w:rPr>
                      <w:t>(</w:t>
                    </w:r>
                    <w:r>
                      <w:rPr>
                        <w:rStyle w:val="Hyperlink"/>
                        <w:rFonts w:ascii="Times New Roman" w:eastAsia="Arial Unicode MS" w:hAnsi="Times New Roman"/>
                        <w:color w:val="auto"/>
                        <w:sz w:val="24"/>
                        <w:szCs w:val="24"/>
                        <w:vertAlign w:val="superscript"/>
                        <w:lang w:val="ro-MD"/>
                      </w:rPr>
                      <w:t>52</w:t>
                    </w:r>
                    <w:r>
                      <w:rPr>
                        <w:rStyle w:val="Hyperlink"/>
                        <w:rFonts w:ascii="Times New Roman" w:eastAsia="Arial Unicode MS" w:hAnsi="Times New Roman"/>
                        <w:color w:val="auto"/>
                        <w:sz w:val="24"/>
                        <w:szCs w:val="24"/>
                        <w:lang w:val="ro-MD"/>
                      </w:rPr>
                      <w:t>)</w:t>
                    </w:r>
                  </w:hyperlink>
                  <w:r>
                    <w:rPr>
                      <w:rFonts w:ascii="Times New Roman" w:eastAsia="Arial Unicode MS" w:hAnsi="Times New Roman"/>
                      <w:sz w:val="24"/>
                      <w:szCs w:val="24"/>
                      <w:lang w:val="ro-MD"/>
                    </w:rPr>
                    <w:t>;</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statul membru primește asistență financiară pe termen mediu în cadrul Mecanismului european de stabilitate </w:t>
                  </w:r>
                  <w:r>
                    <w:rPr>
                      <w:rFonts w:ascii="Times New Roman" w:eastAsia="Arial Unicode MS" w:hAnsi="Times New Roman"/>
                      <w:sz w:val="24"/>
                      <w:szCs w:val="24"/>
                      <w:lang w:val="ro-MD"/>
                    </w:rPr>
                    <w:t>înființat prin Tratatul privind Mecanismul european de stabilitate din 2 februarie 2012 sau în Regulamentul (CE) nr. 332/2002, cu condiția implementării unui program de ajustare macroeconomică;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 pune la dispoziția statului membru o asistență financ</w:t>
                  </w:r>
                  <w:r>
                    <w:rPr>
                      <w:rFonts w:ascii="Times New Roman" w:eastAsia="Arial Unicode MS" w:hAnsi="Times New Roman"/>
                      <w:sz w:val="24"/>
                      <w:szCs w:val="24"/>
                      <w:lang w:val="ro-MD"/>
                    </w:rPr>
                    <w:t>iară, cu condiția implementării unui program de ajustare macroeconomică, astfel cum se precizează în Regulamentul (UE) nr. 472/2013.</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Rata majorată, care nu poate depăși 100 %, se aplică cererilor de plată până la sfârșitul anului calendaristic în care se </w:t>
            </w:r>
            <w:r>
              <w:rPr>
                <w:rFonts w:ascii="Times New Roman" w:eastAsia="Arial Unicode MS" w:hAnsi="Times New Roman"/>
                <w:sz w:val="24"/>
                <w:szCs w:val="24"/>
                <w:lang w:val="ro-MD"/>
              </w:rPr>
              <w:t>încheie asistența financiară aferentă.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(7)   Alineatul (6) nu se aplică programelor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94</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Contribuția Uniunii bazată pe costuri unitare, sume forfetare și rate forfetare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w:t>
            </w:r>
            <w:r>
              <w:rPr>
                <w:rFonts w:ascii="Times New Roman" w:hAnsi="Times New Roman"/>
                <w:sz w:val="24"/>
                <w:szCs w:val="24"/>
                <w:lang w:val="ro-MD"/>
              </w:rPr>
              <w:t>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Comisia poate rambursa contribuția Uniunii la un program bazată pe costuri unitare, sume forfetare și rate forfetare în conformitate cu articolul 51, pe baza</w:t>
            </w:r>
            <w:r>
              <w:rPr>
                <w:rFonts w:ascii="Times New Roman" w:eastAsia="Arial Unicode MS" w:hAnsi="Times New Roman"/>
                <w:sz w:val="24"/>
                <w:szCs w:val="24"/>
                <w:lang w:val="ro-MD"/>
              </w:rPr>
              <w:t xml:space="preserve"> cuantumurilor și a ratelor aprobate printr-o decizie în conformitate cu alineatul (3) de la prezentul articol sau prevăzute în actul delegat menționat la alineatul (4) de la prezentul articol.</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Pentru a utiliza o contribuție a Uniunii la program baza</w:t>
            </w:r>
            <w:r>
              <w:rPr>
                <w:rFonts w:ascii="Times New Roman" w:eastAsia="Arial Unicode MS" w:hAnsi="Times New Roman"/>
                <w:sz w:val="24"/>
                <w:szCs w:val="24"/>
                <w:lang w:val="ro-MD"/>
              </w:rPr>
              <w:t>tă pe costuri unitare, sume forfetare și rate forfetare, statele membre prezintă Comisiei o propunere în conformitate cu modelele din anexele V și VI, ca parte din prezentarea programului sau a unei cereri de modificare a acestuia.</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Cuantumurile și ratele p</w:t>
            </w:r>
            <w:r>
              <w:rPr>
                <w:rFonts w:ascii="Times New Roman" w:eastAsia="Arial Unicode MS" w:hAnsi="Times New Roman"/>
                <w:sz w:val="24"/>
                <w:szCs w:val="24"/>
                <w:lang w:val="ro-MD"/>
              </w:rPr>
              <w:t>ropuse de statul membru se stabilesc pe baza următoarelor elemente și se evaluează de către autoritatea de audit:</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 metodă de calcul justă, echitabilă și verificabilă, bazată pe unul dintre următoarele elemente:</w:t>
                  </w:r>
                </w:p>
                <w:tbl>
                  <w:tblPr>
                    <w:tblW w:w="5000" w:type="pct"/>
                    <w:tblCellMar>
                      <w:left w:w="10" w:type="dxa"/>
                      <w:right w:w="10" w:type="dxa"/>
                    </w:tblCellMar>
                    <w:tblLook w:val="04A0" w:firstRow="1" w:lastRow="0" w:firstColumn="1" w:lastColumn="0" w:noHBand="0" w:noVBand="1"/>
                  </w:tblPr>
                  <w:tblGrid>
                    <w:gridCol w:w="227"/>
                    <w:gridCol w:w="3334"/>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w:t>
                        </w:r>
                      </w:p>
                    </w:tc>
                    <w:tc>
                      <w:tcPr>
                        <w:tcW w:w="3334"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date statistice, alte informații obi</w:t>
                        </w:r>
                        <w:r>
                          <w:rPr>
                            <w:rFonts w:ascii="Times New Roman" w:eastAsia="Arial Unicode MS" w:hAnsi="Times New Roman"/>
                            <w:sz w:val="24"/>
                            <w:szCs w:val="24"/>
                            <w:lang w:val="ro-MD"/>
                          </w:rPr>
                          <w:t>ective sau avize ale experților;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20"/>
                    <w:gridCol w:w="3141"/>
                  </w:tblGrid>
                  <w:tr w:rsidR="002F15D7">
                    <w:tblPrEx>
                      <w:tblCellMar>
                        <w:top w:w="0" w:type="dxa"/>
                        <w:bottom w:w="0" w:type="dxa"/>
                      </w:tblCellMar>
                    </w:tblPrEx>
                    <w:tc>
                      <w:tcPr>
                        <w:tcW w:w="42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(ii)</w:t>
                        </w:r>
                      </w:p>
                    </w:tc>
                    <w:tc>
                      <w:tcPr>
                        <w:tcW w:w="314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date istorice verificate;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60"/>
                    <w:gridCol w:w="3201"/>
                  </w:tblGrid>
                  <w:tr w:rsidR="002F15D7">
                    <w:tblPrEx>
                      <w:tblCellMar>
                        <w:top w:w="0" w:type="dxa"/>
                        <w:bottom w:w="0" w:type="dxa"/>
                      </w:tblCellMar>
                    </w:tblPrEx>
                    <w:tc>
                      <w:tcPr>
                        <w:tcW w:w="36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(iii)</w:t>
                        </w:r>
                      </w:p>
                    </w:tc>
                    <w:tc>
                      <w:tcPr>
                        <w:tcW w:w="320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aplicarea practicilor uzuale de contabilizare a costurilor;</w:t>
                        </w:r>
                      </w:p>
                    </w:tc>
                  </w:tr>
                </w:tbl>
                <w:p w:rsidR="002F15D7" w:rsidRDefault="002F15D7">
                  <w:pPr>
                    <w:spacing w:after="0"/>
                    <w:jc w:val="both"/>
                    <w:rPr>
                      <w:rFonts w:ascii="Times New Roman" w:eastAsia="Arial Unicode MS" w:hAnsi="Times New Roman"/>
                      <w:sz w:val="24"/>
                      <w:szCs w:val="24"/>
                      <w:lang w:val="ro-MD"/>
                    </w:rPr>
                  </w:pP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536"/>
              <w:gridCol w:w="3292"/>
            </w:tblGrid>
            <w:tr w:rsidR="002F15D7">
              <w:tblPrEx>
                <w:tblCellMar>
                  <w:top w:w="0" w:type="dxa"/>
                  <w:bottom w:w="0" w:type="dxa"/>
                </w:tblCellMar>
              </w:tblPrEx>
              <w:tc>
                <w:tcPr>
                  <w:tcW w:w="536"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292"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proiecte de buget;</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normele privind costurile unitare, sumele forfetare și ratele forfetare corespunzătoare </w:t>
                  </w:r>
                  <w:r>
                    <w:rPr>
                      <w:rFonts w:ascii="Times New Roman" w:eastAsia="Arial Unicode MS" w:hAnsi="Times New Roman"/>
                      <w:sz w:val="24"/>
                      <w:szCs w:val="24"/>
                      <w:lang w:val="ro-MD"/>
                    </w:rPr>
                    <w:t>aplicabile în cadrul politicilor Uniunii pentru un tip similar de operațiune;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normele privind costurile unitare, sumele forfetare și ratele forfetare corespunzătoare aplicate în cadrul sistemelor de granturi finanțate integral de statul membru în cau</w:t>
                  </w:r>
                  <w:r>
                    <w:rPr>
                      <w:rFonts w:ascii="Times New Roman" w:eastAsia="Arial Unicode MS" w:hAnsi="Times New Roman"/>
                      <w:sz w:val="24"/>
                      <w:szCs w:val="24"/>
                      <w:lang w:val="ro-MD"/>
                    </w:rPr>
                    <w:t>ză pentru un tip similar de operațiune.</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Decizia de aprobare a programului sau a modificării acestuia stabilește tipurile de operațiuni vizate de rambursarea pe bază de costuri unitare, sume forfetare și rate forfetare, definiția și cuantumurile </w:t>
            </w:r>
            <w:r>
              <w:rPr>
                <w:rFonts w:ascii="Times New Roman" w:eastAsia="Arial Unicode MS" w:hAnsi="Times New Roman"/>
                <w:sz w:val="24"/>
                <w:szCs w:val="24"/>
                <w:lang w:val="ro-MD"/>
              </w:rPr>
              <w:t>acoperite de respectivele costuri unitare, sumele forfetare și ratele forfetare, precum și metodele de ajustare a cuantumurilor.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Statele membre efectuează rambursări către beneficiari în sensul prezentului articol. Rambursările respective pot lua orice for</w:t>
            </w:r>
            <w:r>
              <w:rPr>
                <w:rFonts w:ascii="Times New Roman" w:eastAsia="Arial Unicode MS" w:hAnsi="Times New Roman"/>
                <w:sz w:val="24"/>
                <w:szCs w:val="24"/>
                <w:lang w:val="ro-MD"/>
              </w:rPr>
              <w:t>mă de sprijin.</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Auditurile efectuate de Comisie și de statul membru și controalele de gestiune efectuate de statele membre au obiectivul exclusiv de a verifica îndeplinirea condițiilor în vederea rambursării de către Comisie.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Comisia este împuternicit</w:t>
            </w:r>
            <w:r>
              <w:rPr>
                <w:rFonts w:ascii="Times New Roman" w:eastAsia="Arial Unicode MS" w:hAnsi="Times New Roman"/>
                <w:sz w:val="24"/>
                <w:szCs w:val="24"/>
                <w:lang w:val="ro-MD"/>
              </w:rPr>
              <w:t>ă să adopte un act delegat în conformitate cu articolul 114 pentru a completa prezentul articol prin definirea costurilor unitare, a sumelor forfetare și a ratelor forfetare la nivelul Uniunii, a cuantumului acestora și a metodelor de ajustare în conformit</w:t>
            </w:r>
            <w:r>
              <w:rPr>
                <w:rFonts w:ascii="Times New Roman" w:eastAsia="Arial Unicode MS" w:hAnsi="Times New Roman"/>
                <w:sz w:val="24"/>
                <w:szCs w:val="24"/>
                <w:lang w:val="ro-MD"/>
              </w:rPr>
              <w:t>ate cu modalitățile menționate la alineatul (2) al doilea paragraf literele (a)-(d) de la prezentul articol.</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Prezentul articol nu se aplică în cazul contribuției Uniunii pentru asistență tehnică rambursată în temeiul articolului 51 litera (e).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95</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Contribuția Uniunii bazată pe finanțări nelegate de costuri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Comisia poate </w:t>
            </w:r>
            <w:r>
              <w:rPr>
                <w:rFonts w:ascii="Times New Roman" w:eastAsia="Arial Unicode MS" w:hAnsi="Times New Roman"/>
                <w:sz w:val="24"/>
                <w:szCs w:val="24"/>
                <w:lang w:val="ro-MD"/>
              </w:rPr>
              <w:t>rambursa contribuția Uniunii la o prioritate a programelor sau la părți ale acesteia pe bază de finanțare nelegată de costuri în conformitate cu articolul 51, pe baza cuantumurilor aprobate prin decizia menționată la alineatul (2) de la prezentul articol s</w:t>
            </w:r>
            <w:r>
              <w:rPr>
                <w:rFonts w:ascii="Times New Roman" w:eastAsia="Arial Unicode MS" w:hAnsi="Times New Roman"/>
                <w:sz w:val="24"/>
                <w:szCs w:val="24"/>
                <w:lang w:val="ro-MD"/>
              </w:rPr>
              <w:t>au prevăzute în actul delegat menționat la alineatul (4) de la prezentul articol. Pentru a utiliza o contribuție a Uniunii la program bazată pe finanțări nelegate de costuri, statele membre prezintă Comisiei o propunere în conformitate cu modelele din anex</w:t>
            </w:r>
            <w:r>
              <w:rPr>
                <w:rFonts w:ascii="Times New Roman" w:eastAsia="Arial Unicode MS" w:hAnsi="Times New Roman"/>
                <w:sz w:val="24"/>
                <w:szCs w:val="24"/>
                <w:lang w:val="ro-MD"/>
              </w:rPr>
              <w:t>ele V și VI, ca parte a programului sau a unei cereri de modificare a acestuia. Propunerea conține următoarele informații: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identificarea priorității în cauză și cuantumul total acoperit de finanțarea nelegată de costuri;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o descriere a părții </w:t>
                  </w:r>
                  <w:r>
                    <w:rPr>
                      <w:rFonts w:ascii="Times New Roman" w:eastAsia="Arial Unicode MS" w:hAnsi="Times New Roman"/>
                      <w:sz w:val="24"/>
                      <w:szCs w:val="24"/>
                      <w:lang w:val="ro-MD"/>
                    </w:rPr>
                    <w:t>programului și a tipului de operațiuni acoperite de finanțarea nelegată de costuri;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 descriere a condițiilor care trebuie îndeplinite sau a rezultatelor care trebuie obținute și un calendar;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rezultatele intermediare care determină rambursarea </w:t>
                  </w:r>
                  <w:r>
                    <w:rPr>
                      <w:rFonts w:ascii="Times New Roman" w:eastAsia="Arial Unicode MS" w:hAnsi="Times New Roman"/>
                      <w:sz w:val="24"/>
                      <w:szCs w:val="24"/>
                      <w:lang w:val="ro-MD"/>
                    </w:rPr>
                    <w:t>de către Comisie;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73"/>
              <w:gridCol w:w="3355"/>
            </w:tblGrid>
            <w:tr w:rsidR="002F15D7">
              <w:tblPrEx>
                <w:tblCellMar>
                  <w:top w:w="0" w:type="dxa"/>
                  <w:bottom w:w="0" w:type="dxa"/>
                </w:tblCellMar>
              </w:tblPrEx>
              <w:tc>
                <w:tcPr>
                  <w:tcW w:w="473"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355"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unitățile de măsură;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calendarul de rambursare de către Comisie și cuantumurile aferente în legătură cu progresele înregistrate în îndeplinirea condițiilor sau obținerea rezultatelor;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modalitățile de verificare a </w:t>
                  </w:r>
                  <w:r>
                    <w:rPr>
                      <w:rFonts w:ascii="Times New Roman" w:eastAsia="Arial Unicode MS" w:hAnsi="Times New Roman"/>
                      <w:sz w:val="24"/>
                      <w:szCs w:val="24"/>
                      <w:lang w:val="ro-MD"/>
                    </w:rPr>
                    <w:t>rezultatelor intermediare și a îndeplinirii condițiilor sau a obținerii de rezultate;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(h)</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metodele de ajustare a cuantumurilor, dacă este cazul;</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(i)</w:t>
                  </w:r>
                </w:p>
              </w:tc>
              <w:tc>
                <w:tcPr>
                  <w:tcW w:w="360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măsurile luate pentru a asigura pista de audit, în conformitate cu anexa XIII, care demonstrează îndepl</w:t>
                  </w:r>
                  <w:r>
                    <w:rPr>
                      <w:rFonts w:ascii="Times New Roman" w:eastAsia="Arial Unicode MS" w:hAnsi="Times New Roman"/>
                      <w:sz w:val="24"/>
                      <w:szCs w:val="24"/>
                      <w:lang w:val="ro-MD"/>
                    </w:rPr>
                    <w:t>inirea condițiilor sau obținerea rezultatelor;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27"/>
              <w:gridCol w:w="3601"/>
            </w:tblGrid>
            <w:tr w:rsidR="002F15D7">
              <w:tblPrEx>
                <w:tblCellMar>
                  <w:top w:w="0" w:type="dxa"/>
                  <w:bottom w:w="0" w:type="dxa"/>
                </w:tblCellMar>
              </w:tblPrEx>
              <w:tc>
                <w:tcPr>
                  <w:tcW w:w="2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(j)</w:t>
                  </w:r>
                </w:p>
              </w:tc>
              <w:tc>
                <w:tcPr>
                  <w:tcW w:w="360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tipul preconizat de metodă de rambursare folosită pentru a efectua rambursări către beneficiar sau beneficiari în cadrul priorității sau al unor părți ale unei priorități a programelor vizate de </w:t>
                  </w:r>
                  <w:r>
                    <w:rPr>
                      <w:rFonts w:ascii="Times New Roman" w:eastAsia="Arial Unicode MS" w:hAnsi="Times New Roman"/>
                      <w:sz w:val="24"/>
                      <w:szCs w:val="24"/>
                      <w:lang w:val="ro-MD"/>
                    </w:rPr>
                    <w:t>prezentul articol.</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Decizia de aprobare a programului sau a cererii de modificare a acestuia prevede toate elementele enumerate la alineatul (1).</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Statele membre efectuează rambursări către beneficiari în sensul prezentului articol. Rambursările</w:t>
            </w:r>
            <w:r>
              <w:rPr>
                <w:rFonts w:ascii="Times New Roman" w:eastAsia="Arial Unicode MS" w:hAnsi="Times New Roman"/>
                <w:sz w:val="24"/>
                <w:szCs w:val="24"/>
                <w:lang w:val="ro-MD"/>
              </w:rPr>
              <w:t xml:space="preserve"> respective pot lua orice formă de sprijin.</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Auditurile efectuate de Comisie și de statul membru și controalele de gestiune efectuate de statele membre au obiectivul exclusiv de a verifica îndeplinirea condițiilor în vederea rambursării de către Comisie sau</w:t>
            </w:r>
            <w:r>
              <w:rPr>
                <w:rFonts w:ascii="Times New Roman" w:eastAsia="Arial Unicode MS" w:hAnsi="Times New Roman"/>
                <w:sz w:val="24"/>
                <w:szCs w:val="24"/>
                <w:lang w:val="ro-MD"/>
              </w:rPr>
              <w:t xml:space="preserve"> obținerea rezultatelor.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Comisia este împuternicită să adopte un act delegat în conformitate cu articolul 114 pentru a completa prezentul articol prin stabilirea cuantumurilor pentru finanțarea la nivelul Uniunii nelegată de costuri pe tip de operați</w:t>
            </w:r>
            <w:r>
              <w:rPr>
                <w:rFonts w:ascii="Times New Roman" w:eastAsia="Arial Unicode MS" w:hAnsi="Times New Roman"/>
                <w:sz w:val="24"/>
                <w:szCs w:val="24"/>
                <w:lang w:val="ro-MD"/>
              </w:rPr>
              <w:t>une, a metodelor de ajustare a cuantumurilor și a condițiilor care trebuie îndeplinite sau a rezultatelor care trebuie obținute.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Secțiunea III</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Întreruperi și suspendări</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96</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Întreruperea termenului de plată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w:t>
            </w:r>
            <w:r>
              <w:rPr>
                <w:rFonts w:ascii="Times New Roman" w:hAnsi="Times New Roman"/>
                <w:sz w:val="24"/>
                <w:szCs w:val="24"/>
                <w:lang w:val="ro-MD"/>
              </w:rPr>
              <w:t>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Comisia poate întrerupe termenul de plată, cu excepția </w:t>
            </w:r>
            <w:proofErr w:type="spellStart"/>
            <w:r>
              <w:rPr>
                <w:rFonts w:ascii="Times New Roman" w:eastAsia="Arial Unicode MS" w:hAnsi="Times New Roman"/>
                <w:sz w:val="24"/>
                <w:szCs w:val="24"/>
                <w:lang w:val="ro-MD"/>
              </w:rPr>
              <w:t>prefinanțării</w:t>
            </w:r>
            <w:proofErr w:type="spellEnd"/>
            <w:r>
              <w:rPr>
                <w:rFonts w:ascii="Times New Roman" w:eastAsia="Arial Unicode MS" w:hAnsi="Times New Roman"/>
                <w:sz w:val="24"/>
                <w:szCs w:val="24"/>
                <w:lang w:val="ro-MD"/>
              </w:rPr>
              <w:t>, pentru o perioadă maximă de șase luni în cazul în care este</w:t>
            </w:r>
            <w:r>
              <w:rPr>
                <w:rFonts w:ascii="Times New Roman" w:eastAsia="Arial Unicode MS" w:hAnsi="Times New Roman"/>
                <w:sz w:val="24"/>
                <w:szCs w:val="24"/>
                <w:lang w:val="ro-MD"/>
              </w:rPr>
              <w:t xml:space="preserve"> îndeplinită oricare dintre următoarele condiții: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există dovezi care sugerează o deficiență gravă pentru care nu au fost luate măsuri corective;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Comisia trebuie să efectueze verificări suplimentare în urma primirii unor informații conform cărora </w:t>
                  </w:r>
                  <w:r>
                    <w:rPr>
                      <w:rFonts w:ascii="Times New Roman" w:eastAsia="Arial Unicode MS" w:hAnsi="Times New Roman"/>
                      <w:sz w:val="24"/>
                      <w:szCs w:val="24"/>
                      <w:lang w:val="ro-MD"/>
                    </w:rPr>
                    <w:t>cheltuielile prezentate într-o cerere de plată pot avea legătură cu o neregulă.</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Statul membru poate conveni să prelungească perioada de întrerupere cu trei luni.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Comisia limitează întreruperea la partea de cheltuieli afectată de elementele </w:t>
            </w:r>
            <w:r>
              <w:rPr>
                <w:rFonts w:ascii="Times New Roman" w:eastAsia="Arial Unicode MS" w:hAnsi="Times New Roman"/>
                <w:sz w:val="24"/>
                <w:szCs w:val="24"/>
                <w:lang w:val="ro-MD"/>
              </w:rPr>
              <w:t>menționate la alineatul (1), cu excepția cazului în care este imposibil să se identifice partea de cheltuieli care este afectată. Comisia informează, în scris, statul membru și autoritatea de management în legătură cu motivul întreruperii și le cere să rem</w:t>
            </w:r>
            <w:r>
              <w:rPr>
                <w:rFonts w:ascii="Times New Roman" w:eastAsia="Arial Unicode MS" w:hAnsi="Times New Roman"/>
                <w:sz w:val="24"/>
                <w:szCs w:val="24"/>
                <w:lang w:val="ro-MD"/>
              </w:rPr>
              <w:t>edieze situația. Comisia pune capăt întreruperii imediat după adoptarea măsurilor de remediere a elementelor menționate la alineatul (1).</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Normele specifice FEAMPA pot prevedea temeiuri specifice pentru întreruperea plăților în legătură cu nerespectar</w:t>
            </w:r>
            <w:r>
              <w:rPr>
                <w:rFonts w:ascii="Times New Roman" w:eastAsia="Arial Unicode MS" w:hAnsi="Times New Roman"/>
                <w:sz w:val="24"/>
                <w:szCs w:val="24"/>
                <w:lang w:val="ro-MD"/>
              </w:rPr>
              <w:t>ea normelor aplicabile în cadrul politicii comune în domeniul pescuitului.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97</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Suspendarea plăților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obligatoriu în toate </w:t>
            </w:r>
            <w:r>
              <w:rPr>
                <w:rFonts w:ascii="Times New Roman" w:hAnsi="Times New Roman"/>
                <w:sz w:val="24"/>
                <w:szCs w:val="24"/>
                <w:lang w:val="ro-MD"/>
              </w:rPr>
              <w:t>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Comisia poate suspenda integral sau parțial plățile, cu excepția </w:t>
            </w:r>
            <w:proofErr w:type="spellStart"/>
            <w:r>
              <w:rPr>
                <w:rFonts w:ascii="Times New Roman" w:eastAsia="Arial Unicode MS" w:hAnsi="Times New Roman"/>
                <w:sz w:val="24"/>
                <w:szCs w:val="24"/>
                <w:lang w:val="ro-MD"/>
              </w:rPr>
              <w:t>prefinanțării</w:t>
            </w:r>
            <w:proofErr w:type="spellEnd"/>
            <w:r>
              <w:rPr>
                <w:rFonts w:ascii="Times New Roman" w:eastAsia="Arial Unicode MS" w:hAnsi="Times New Roman"/>
                <w:sz w:val="24"/>
                <w:szCs w:val="24"/>
                <w:lang w:val="ro-MD"/>
              </w:rPr>
              <w:t>, după ce a acordat statului membru posibilitatea de a prezenta observații, dacă este îndeplinită oricare dintre următoarele condiții: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statul membru </w:t>
                  </w:r>
                  <w:r>
                    <w:rPr>
                      <w:rFonts w:ascii="Times New Roman" w:eastAsia="Arial Unicode MS" w:hAnsi="Times New Roman"/>
                      <w:sz w:val="24"/>
                      <w:szCs w:val="24"/>
                      <w:lang w:val="ro-MD"/>
                    </w:rPr>
                    <w:t>nu a luat măsurile necesare pentru remedierea situației care a dat naștere la o întrerupere în temeiul articolului 96;</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99"/>
              <w:gridCol w:w="3429"/>
            </w:tblGrid>
            <w:tr w:rsidR="002F15D7">
              <w:tblPrEx>
                <w:tblCellMar>
                  <w:top w:w="0" w:type="dxa"/>
                  <w:bottom w:w="0" w:type="dxa"/>
                </w:tblCellMar>
              </w:tblPrEx>
              <w:tc>
                <w:tcPr>
                  <w:tcW w:w="399"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429"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există o deficiență gravă;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cheltuielile din cererile de plată au legătură cu o neregulă care nu a fost remediată;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există un aviz motivat al Comisiei cu privire la o procedură de constatare a neîndeplinirii obligațiilor în temeiul articolului 258 din TFUE în legătură cu o chestiune care pune în pericol legalitatea și regularitatea cheltuielilor.</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Comisia pune cap</w:t>
            </w:r>
            <w:r>
              <w:rPr>
                <w:rFonts w:ascii="Times New Roman" w:eastAsia="Arial Unicode MS" w:hAnsi="Times New Roman"/>
                <w:sz w:val="24"/>
                <w:szCs w:val="24"/>
                <w:lang w:val="ro-MD"/>
              </w:rPr>
              <w:t>ăt suspendării totale sau parțiale a plăților atunci când statul membru ia măsurile de remediere a elementelor menționate la alineatul (1).</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Normele specifice FEAMPA pot prevedea temeiuri specifice pentru suspendarea plăților care au legătură cu neres</w:t>
            </w:r>
            <w:r>
              <w:rPr>
                <w:rFonts w:ascii="Times New Roman" w:eastAsia="Arial Unicode MS" w:hAnsi="Times New Roman"/>
                <w:sz w:val="24"/>
                <w:szCs w:val="24"/>
                <w:lang w:val="ro-MD"/>
              </w:rPr>
              <w:t>pectarea normelor aplicabile în cadrul politicii comune în domeniul pescuitului.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Transmiterea și examinarea conturilor</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98</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Conținutul conturilor și prezentarea acestora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w:t>
            </w:r>
            <w:r>
              <w:rPr>
                <w:rFonts w:ascii="Times New Roman" w:hAnsi="Times New Roman"/>
                <w:sz w:val="24"/>
                <w:szCs w:val="24"/>
                <w:lang w:val="ro-MD"/>
              </w:rPr>
              <w:t>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Pentru fiecare an fiscal pentru care s-au depus cereri de plată, statul membru transmite Comisiei, până la data de 15 februarie, următoarele </w:t>
            </w:r>
            <w:r>
              <w:rPr>
                <w:rFonts w:ascii="Times New Roman" w:eastAsia="Arial Unicode MS" w:hAnsi="Times New Roman"/>
                <w:sz w:val="24"/>
                <w:szCs w:val="24"/>
                <w:lang w:val="ro-MD"/>
              </w:rPr>
              <w:t>documente („pachetul de asigurare”) care privesc anul fiscal precedent:</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conturile în conformitate cu modelul prevăzut în anexa XXIV;</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declarația de gestiune menționată la articolul 74 alineatul (1) litera (f), în conformitate cu modelul prevăzut î</w:t>
                  </w:r>
                  <w:r>
                    <w:rPr>
                      <w:rFonts w:ascii="Times New Roman" w:eastAsia="Arial Unicode MS" w:hAnsi="Times New Roman"/>
                      <w:sz w:val="24"/>
                      <w:szCs w:val="24"/>
                      <w:lang w:val="ro-MD"/>
                    </w:rPr>
                    <w:t>n anexa XVIII;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opinia anuală de audit menționată la articolul 77 alineatul (3) litera (a), în conformitate cu modelul prevăzut în anexa XIX;</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raportul anual de control menționat la articolul 77 alineatul (3) litera (b), în conformitate cu </w:t>
                  </w:r>
                  <w:r>
                    <w:rPr>
                      <w:rFonts w:ascii="Times New Roman" w:eastAsia="Arial Unicode MS" w:hAnsi="Times New Roman"/>
                      <w:sz w:val="24"/>
                      <w:szCs w:val="24"/>
                      <w:lang w:val="ro-MD"/>
                    </w:rPr>
                    <w:t>modelul prevăzut în anexa XX.</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Termenul menționat la alineatul (1) poate fi prelungit în mod excepțional de către Comisie până la data de 1 martie, în urma unei informări din partea statului membru vizat.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Conturile includ la nivelul fiecărei pr</w:t>
            </w:r>
            <w:r>
              <w:rPr>
                <w:rFonts w:ascii="Times New Roman" w:eastAsia="Arial Unicode MS" w:hAnsi="Times New Roman"/>
                <w:sz w:val="24"/>
                <w:szCs w:val="24"/>
                <w:lang w:val="ro-MD"/>
              </w:rPr>
              <w:t>iorități și, după caz, la nivelul fiecărui fond și al fiecărei categorii de regiuni: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cuantumul total al cheltuielilor eligibile înregistrate în sistemele contabile ale organismului care asigură funcția de contabilitate care au fost incluse în cererea </w:t>
                  </w:r>
                  <w:r>
                    <w:rPr>
                      <w:rFonts w:ascii="Times New Roman" w:eastAsia="Arial Unicode MS" w:hAnsi="Times New Roman"/>
                      <w:sz w:val="24"/>
                      <w:szCs w:val="24"/>
                      <w:lang w:val="ro-MD"/>
                    </w:rPr>
                    <w:t>de plată finală pentru anul fiscal și cuantumul total al contribuției publice corespunzătoare furnizate sau care urmează să fie furnizată în legătură cu obiectivele specifice pentru care sunt îndeplinite condițiile favorizante și cu operațiunile în legătur</w:t>
                  </w:r>
                  <w:r>
                    <w:rPr>
                      <w:rFonts w:ascii="Times New Roman" w:eastAsia="Arial Unicode MS" w:hAnsi="Times New Roman"/>
                      <w:sz w:val="24"/>
                      <w:szCs w:val="24"/>
                      <w:lang w:val="ro-MD"/>
                    </w:rPr>
                    <w:t>ă cu obiectivele specifice pentru care nu sunt îndeplinite condițiile favorizante, dar care contribuie la îndeplinirea condițiilor favorizante;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cuantumurile retrase în cursul anului fiscal;</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cuantumurile contribuției publice plătite </w:t>
                  </w:r>
                  <w:r>
                    <w:rPr>
                      <w:rFonts w:ascii="Times New Roman" w:eastAsia="Arial Unicode MS" w:hAnsi="Times New Roman"/>
                      <w:sz w:val="24"/>
                      <w:szCs w:val="24"/>
                      <w:lang w:val="ro-MD"/>
                    </w:rPr>
                    <w:t>instrumentelor financiare;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fiecare prioritate, o explicație privind eventualele diferențe dintre cuantumurile declarate în temeiul literei (a) și cuantumurile declarate în cererile de plată pentru același an fiscal.</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(4)   Pachetul de </w:t>
            </w:r>
            <w:r>
              <w:rPr>
                <w:rFonts w:ascii="Times New Roman" w:eastAsia="Arial Unicode MS" w:hAnsi="Times New Roman"/>
                <w:sz w:val="24"/>
                <w:szCs w:val="24"/>
                <w:lang w:val="ro-MD"/>
              </w:rPr>
              <w:t>asigurare nu vizează cuantumul total al cheltuielilor eligibile suportate de beneficiari și plătite în cadrul implementării operațiunilor sau al contribuției publice corespunzătoare furnizate sau care urmează să fie furnizată în legătură cu obiectivele spe</w:t>
            </w:r>
            <w:r>
              <w:rPr>
                <w:rFonts w:ascii="Times New Roman" w:eastAsia="Arial Unicode MS" w:hAnsi="Times New Roman"/>
                <w:sz w:val="24"/>
                <w:szCs w:val="24"/>
                <w:lang w:val="ro-MD"/>
              </w:rPr>
              <w:t>cifice pentru care nu sunt îndeplinite condițiile favorizante, cu excepția operațiunilor care contribuie la îndeplinirea condițiilor favorizante.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Conturile nu sunt admisibile în cazul în care statele membre nu au efectuat corecțiile necesare pentru a</w:t>
            </w:r>
            <w:r>
              <w:rPr>
                <w:rFonts w:ascii="Times New Roman" w:eastAsia="Arial Unicode MS" w:hAnsi="Times New Roman"/>
                <w:sz w:val="24"/>
                <w:szCs w:val="24"/>
                <w:lang w:val="ro-MD"/>
              </w:rPr>
              <w:t xml:space="preserve"> reduce rata de eroare reziduală cu privire la legalitatea și regularitatea cheltuielilor incluse în conturi până la cel mult 2 %.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Statele membre deduc din conturi, în mod concret:</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cheltuielile neconforme cu reglementările care au făcut obiectul </w:t>
                  </w:r>
                  <w:r>
                    <w:rPr>
                      <w:rFonts w:ascii="Times New Roman" w:eastAsia="Arial Unicode MS" w:hAnsi="Times New Roman"/>
                      <w:sz w:val="24"/>
                      <w:szCs w:val="24"/>
                      <w:lang w:val="ro-MD"/>
                    </w:rPr>
                    <w:t>unor corecții financiare în conformitate cu articolul 103;</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cheltuielile care fac obiectul unei evaluări în curs a legalității și regularității;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alte cuantumuri necesare pentru a reduce rata de eroare reziduală a cheltuielilor declarate în </w:t>
                  </w:r>
                  <w:r>
                    <w:rPr>
                      <w:rFonts w:ascii="Times New Roman" w:eastAsia="Arial Unicode MS" w:hAnsi="Times New Roman"/>
                      <w:sz w:val="24"/>
                      <w:szCs w:val="24"/>
                      <w:lang w:val="ro-MD"/>
                    </w:rPr>
                    <w:t>conturi până la cel mult 2 %.</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Statul membru poate include cheltuielile prevăzute la primul paragraf litera (b) într-o cerere de plată din anii fiscali ulteriori, odată ce legalitatea și regularitatea acestora se confirmă.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(7)   Statul membru poate corecta</w:t>
            </w:r>
            <w:r>
              <w:rPr>
                <w:rFonts w:ascii="Times New Roman" w:eastAsia="Arial Unicode MS" w:hAnsi="Times New Roman"/>
                <w:sz w:val="24"/>
                <w:szCs w:val="24"/>
                <w:lang w:val="ro-MD"/>
              </w:rPr>
              <w:t xml:space="preserve"> cuantumurile neconforme cu reglementările depistate după prezentarea conturilor în care au fost incluse cuantumurile respective, prin efectuarea ajustărilor corespunzătoare pentru anul fiscal în care se depistează neregula, fără a aduce atingere articolul</w:t>
            </w:r>
            <w:r>
              <w:rPr>
                <w:rFonts w:ascii="Times New Roman" w:eastAsia="Arial Unicode MS" w:hAnsi="Times New Roman"/>
                <w:sz w:val="24"/>
                <w:szCs w:val="24"/>
                <w:lang w:val="ro-MD"/>
              </w:rPr>
              <w:t>ui 104.</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(8)   În cadrul pachetului de asigurare, statul membru prezintă pentru ultimul an fiscal raportul final privind performanța menționat la articolul 43 sau ultimul raport anual privind performanța pentru FAMI, FSI sau IMFV.</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99</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Examinarea conturilor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Comisia se asigură că conturile sunt complete, exacte și veridice, până la d</w:t>
            </w:r>
            <w:r>
              <w:rPr>
                <w:rFonts w:ascii="Times New Roman" w:eastAsia="Arial Unicode MS" w:hAnsi="Times New Roman"/>
                <w:sz w:val="24"/>
                <w:szCs w:val="24"/>
                <w:lang w:val="ro-MD"/>
              </w:rPr>
              <w:t>ata de 31 mai a anului care urmează încheierii anului fiscal, cu excepția cazului în care se aplică articolul 102.</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100</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Calcularea soldului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w:t>
            </w:r>
            <w:r>
              <w:rPr>
                <w:rFonts w:ascii="Times New Roman" w:hAnsi="Times New Roman"/>
                <w:sz w:val="24"/>
                <w:szCs w:val="24"/>
                <w:lang w:val="ro-MD"/>
              </w:rPr>
              <w:t>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Atunci când stabilește cuantumul exigibil din partea fondurilor pentru anul fiscal și ajustările corespunzătoare în raport cu plățile efectuate către statul membru, Comisia ia în considerare: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r>
                    <w:rPr>
                      <w:rFonts w:ascii="Times New Roman" w:eastAsia="Arial Unicode MS" w:hAnsi="Times New Roman"/>
                      <w:sz w:val="24"/>
                      <w:szCs w:val="24"/>
                      <w:lang w:val="ro-MD"/>
                    </w:rPr>
                    <w:t>)</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cuantumurile înregistrate în conturile prevăzute la articolul 98 alineatul (3) litera (a) și la care se aplică rata de cofinanțare pentru fiecare prioritate;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cuantumul total al plăților intermediare efectuate de Comisie în cursul anului fiscal </w:t>
                  </w:r>
                  <w:r>
                    <w:rPr>
                      <w:rFonts w:ascii="Times New Roman" w:eastAsia="Arial Unicode MS" w:hAnsi="Times New Roman"/>
                      <w:sz w:val="24"/>
                      <w:szCs w:val="24"/>
                      <w:lang w:val="ro-MD"/>
                    </w:rPr>
                    <w:t>respectiv;</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pentru FEDR, FSE+, Fondul de coeziune, FTJ și FEAMPA, pentru anii 2021 și 2022, cuantumul </w:t>
                  </w:r>
                  <w:proofErr w:type="spellStart"/>
                  <w:r>
                    <w:rPr>
                      <w:rFonts w:ascii="Times New Roman" w:eastAsia="Arial Unicode MS" w:hAnsi="Times New Roman"/>
                      <w:sz w:val="24"/>
                      <w:szCs w:val="24"/>
                      <w:lang w:val="ro-MD"/>
                    </w:rPr>
                    <w:t>prefinanțării</w:t>
                  </w:r>
                  <w:proofErr w:type="spellEnd"/>
                  <w:r>
                    <w:rPr>
                      <w:rFonts w:ascii="Times New Roman" w:eastAsia="Arial Unicode MS" w:hAnsi="Times New Roman"/>
                      <w:sz w:val="24"/>
                      <w:szCs w:val="24"/>
                      <w:lang w:val="ro-MD"/>
                    </w:rPr>
                    <w:t>.</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În cazul în care există un cuantum care trebuie recuperat de la statul membru, acesta face obiectul unui ordin de recuperare em</w:t>
            </w:r>
            <w:r>
              <w:rPr>
                <w:rFonts w:ascii="Times New Roman" w:eastAsia="Arial Unicode MS" w:hAnsi="Times New Roman"/>
                <w:sz w:val="24"/>
                <w:szCs w:val="24"/>
                <w:lang w:val="ro-MD"/>
              </w:rPr>
              <w:t>is de Comisie, care se execută, atunci când este posibil, prin compensare cu cuantumurile datorate statului membru în contul plăților ulterioare destinate aceluiași program. Această recuperare nu constituie o corecție financiară și nu reduce sprijinul acor</w:t>
            </w:r>
            <w:r>
              <w:rPr>
                <w:rFonts w:ascii="Times New Roman" w:eastAsia="Arial Unicode MS" w:hAnsi="Times New Roman"/>
                <w:sz w:val="24"/>
                <w:szCs w:val="24"/>
                <w:lang w:val="ro-MD"/>
              </w:rPr>
              <w:t>dat programului din partea fondurilor. Cuantumul recuperat constituie venituri alocate în conformitate cu articolul 21 alineatul (3) din Regulamentul financiar.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101</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Procedura de examinare a conturilor</w:t>
            </w:r>
          </w:p>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w:t>
            </w:r>
            <w:r>
              <w:rPr>
                <w:rFonts w:ascii="Times New Roman" w:hAnsi="Times New Roman"/>
                <w:sz w:val="24"/>
                <w:szCs w:val="24"/>
                <w:lang w:val="ro-MD"/>
              </w:rPr>
              <w:t>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Procedura prevăzută la articolul 102 se aplică în oricare dintre următoarele cazuri: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autoritatea de audit a prezentat o opini</w:t>
                  </w:r>
                  <w:r>
                    <w:rPr>
                      <w:rFonts w:ascii="Times New Roman" w:eastAsia="Arial Unicode MS" w:hAnsi="Times New Roman"/>
                      <w:sz w:val="24"/>
                      <w:szCs w:val="24"/>
                      <w:lang w:val="ro-MD"/>
                    </w:rPr>
                    <w:t>e de audit cu rezerve sau contrară din cauza unor motive care privesc integralitatea, acuratețea și veridicitatea conturilor;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are dovezi care pun sub semnul întrebării fiabilitatea unei opinii de audit fără rezerve.</w:t>
                  </w:r>
                </w:p>
              </w:tc>
            </w:tr>
          </w:tbl>
          <w:p w:rsidR="002F15D7" w:rsidRDefault="006C2DA4">
            <w:pPr>
              <w:spacing w:after="0"/>
              <w:jc w:val="both"/>
            </w:pPr>
            <w:r>
              <w:rPr>
                <w:rFonts w:ascii="Times New Roman" w:eastAsia="Arial Unicode MS" w:hAnsi="Times New Roman"/>
                <w:sz w:val="24"/>
                <w:szCs w:val="24"/>
                <w:lang w:val="ro-MD"/>
              </w:rPr>
              <w:t xml:space="preserve">(2)   În toate celelalte </w:t>
            </w:r>
            <w:r>
              <w:rPr>
                <w:rFonts w:ascii="Times New Roman" w:eastAsia="Arial Unicode MS" w:hAnsi="Times New Roman"/>
                <w:sz w:val="24"/>
                <w:szCs w:val="24"/>
                <w:lang w:val="ro-MD"/>
              </w:rPr>
              <w:t>cazuri, Comisia calculează cuantumurile exigibile din partea fondurilor în conformitate cu articolul 100 și efectuează respectivele plăți sau recuperări înainte de 1 iulie. Plata sau recuperarea constituie acceptarea conturilor.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102</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Procedura</w:t>
            </w:r>
            <w:r>
              <w:rPr>
                <w:rFonts w:ascii="Times New Roman" w:eastAsia="Times New Roman" w:hAnsi="Times New Roman"/>
                <w:b/>
                <w:bCs/>
                <w:sz w:val="24"/>
                <w:szCs w:val="24"/>
                <w:lang w:val="ro-MD"/>
              </w:rPr>
              <w:t xml:space="preserve"> contradictorie pentru examinarea conturilor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În cazul în care autoritatea de audit </w:t>
            </w:r>
            <w:r>
              <w:rPr>
                <w:rFonts w:ascii="Times New Roman" w:eastAsia="Arial Unicode MS" w:hAnsi="Times New Roman"/>
                <w:sz w:val="24"/>
                <w:szCs w:val="24"/>
                <w:lang w:val="ro-MD"/>
              </w:rPr>
              <w:t>furnizează o opinie de audit cu rezerve sau contrară din cauza unor motive care privesc integralitatea, acuratețea și veridicitatea conturilor, Comisia solicită statului membru să revizuiască aceste conturi și să retransmită documentele menționate la artic</w:t>
            </w:r>
            <w:r>
              <w:rPr>
                <w:rFonts w:ascii="Times New Roman" w:eastAsia="Arial Unicode MS" w:hAnsi="Times New Roman"/>
                <w:sz w:val="24"/>
                <w:szCs w:val="24"/>
                <w:lang w:val="ro-MD"/>
              </w:rPr>
              <w:t>olul 98 alineatul (1) în termen de o lună.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Dacă până la termenul stabilit la primul paragraf:</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opinia de audit este fără rezerve, se aplică articolul 100 și Comisia plătește eventualele cuantumuri suplimentare datorate sau procedează la o recuperare în </w:t>
                  </w:r>
                  <w:r>
                    <w:rPr>
                      <w:rFonts w:ascii="Times New Roman" w:eastAsia="Arial Unicode MS" w:hAnsi="Times New Roman"/>
                      <w:sz w:val="24"/>
                      <w:szCs w:val="24"/>
                      <w:lang w:val="ro-MD"/>
                    </w:rPr>
                    <w:t>termen de două luni;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opinia de audit este în continuare cu rezerve sau documentele nu au fost retransmise de către statul membru, se aplică alineatele (2), (3) și (4).</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În cazul în care opinia de audit rămâne cu rezerve din cauza unor motive </w:t>
            </w:r>
            <w:r>
              <w:rPr>
                <w:rFonts w:ascii="Times New Roman" w:eastAsia="Arial Unicode MS" w:hAnsi="Times New Roman"/>
                <w:sz w:val="24"/>
                <w:szCs w:val="24"/>
                <w:lang w:val="ro-MD"/>
              </w:rPr>
              <w:t>care privesc integralitatea, acuratețea și veridicitatea conturilor sau în cazul în care opinia de audit este în continuare nefiabilă, Comisia informează statul membru cu privire la cuantumul exigibil din partea fondurilor pentru anul financiar.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În c</w:t>
            </w:r>
            <w:r>
              <w:rPr>
                <w:rFonts w:ascii="Times New Roman" w:eastAsia="Arial Unicode MS" w:hAnsi="Times New Roman"/>
                <w:sz w:val="24"/>
                <w:szCs w:val="24"/>
                <w:lang w:val="ro-MD"/>
              </w:rPr>
              <w:t>azul în care statul membru este de acord în termen de o lună cu cuantumul menționat la alineatul (2) de la prezentul articol, Comisia plătește în termen de două luni eventualele cuantumuri suplimentare datorate sau procedează la o recuperare în conformitat</w:t>
            </w:r>
            <w:r>
              <w:rPr>
                <w:rFonts w:ascii="Times New Roman" w:eastAsia="Arial Unicode MS" w:hAnsi="Times New Roman"/>
                <w:sz w:val="24"/>
                <w:szCs w:val="24"/>
                <w:lang w:val="ro-MD"/>
              </w:rPr>
              <w:t>e cu articolul 100.</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În cazul în care statul membru nu este de acord cu cuantumul menționat la alineatul (2) de la prezentul articol, Comisia stabilește cuantumul exigibil din partea fondurilor pentru anul financiar. Acest act nu constituie o corecție</w:t>
            </w:r>
            <w:r>
              <w:rPr>
                <w:rFonts w:ascii="Times New Roman" w:eastAsia="Arial Unicode MS" w:hAnsi="Times New Roman"/>
                <w:sz w:val="24"/>
                <w:szCs w:val="24"/>
                <w:lang w:val="ro-MD"/>
              </w:rPr>
              <w:t xml:space="preserve"> financiară și nu reduce sprijinul acordat programului din partea fondurilor. Comisia plătește în termen de două luni eventualele cuantumuri suplimentare datorate sau procedează la o recuperare în conformitate cu articolul 100.</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În ceea ce privește ul</w:t>
            </w:r>
            <w:r>
              <w:rPr>
                <w:rFonts w:ascii="Times New Roman" w:eastAsia="Arial Unicode MS" w:hAnsi="Times New Roman"/>
                <w:sz w:val="24"/>
                <w:szCs w:val="24"/>
                <w:lang w:val="ro-MD"/>
              </w:rPr>
              <w:t>timul an financiar, Comisia efectuează plata sau recuperarea soldului anual al conturilor pentru programele sprijinite de FEDR, FSE+, Fondul de coeziune, FTJ și de FEAMPA în termen de două luni de la data acceptării raportului final privind performanța, as</w:t>
            </w:r>
            <w:r>
              <w:rPr>
                <w:rFonts w:ascii="Times New Roman" w:eastAsia="Arial Unicode MS" w:hAnsi="Times New Roman"/>
                <w:sz w:val="24"/>
                <w:szCs w:val="24"/>
                <w:lang w:val="ro-MD"/>
              </w:rPr>
              <w:t>tfel cum se menționează la articolul 43.</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III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Corecții financiare</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103</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Corecții financiare efectuate de statele membre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w:t>
            </w:r>
            <w:r>
              <w:rPr>
                <w:rFonts w:ascii="Times New Roman" w:hAnsi="Times New Roman"/>
                <w:sz w:val="24"/>
                <w:szCs w:val="24"/>
                <w:lang w:val="ro-MD"/>
              </w:rPr>
              <w:t xml:space="preserve">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Statele membre protejează bugetul Uniunii și aplică corecții financiare prin anularea totală sau parțială a sprijinului din fonduri pentru o operațiune sau un program atunci când cheltuielile declarate </w:t>
            </w:r>
            <w:r>
              <w:rPr>
                <w:rFonts w:ascii="Times New Roman" w:eastAsia="Arial Unicode MS" w:hAnsi="Times New Roman"/>
                <w:sz w:val="24"/>
                <w:szCs w:val="24"/>
                <w:lang w:val="ro-MD"/>
              </w:rPr>
              <w:t>Comisiei se dovedesc a fi neconforme cu reglementările.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Corecțiile financiare sunt înregistrate în conturi pentru anul financiar în care este decisă anularea.</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Sprijinul din fonduri anulat poate fi reutilizat de către statul membru în cadrul pro</w:t>
            </w:r>
            <w:r>
              <w:rPr>
                <w:rFonts w:ascii="Times New Roman" w:eastAsia="Arial Unicode MS" w:hAnsi="Times New Roman"/>
                <w:sz w:val="24"/>
                <w:szCs w:val="24"/>
                <w:lang w:val="ro-MD"/>
              </w:rPr>
              <w:t>gramului respectiv, însă nu pentru o operațiune care a făcut obiectul corecției sau, în cazul în care este efectuată o corecție financiară pentru o neregulă sistemică, pentru o operațiune afectată de neregula sistemică.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Normele specifice FEAMPA pot p</w:t>
            </w:r>
            <w:r>
              <w:rPr>
                <w:rFonts w:ascii="Times New Roman" w:eastAsia="Arial Unicode MS" w:hAnsi="Times New Roman"/>
                <w:sz w:val="24"/>
                <w:szCs w:val="24"/>
                <w:lang w:val="ro-MD"/>
              </w:rPr>
              <w:t>revedea temeiuri specifice pentru corecțiile financiare efectuate de statele membre în legătură cu nerespectarea normelor aplicabile în cadrul politicii comune în domeniul pescuitului.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Prin derogare de la alineatele (1), (2) și (3), în cadrul operați</w:t>
            </w:r>
            <w:r>
              <w:rPr>
                <w:rFonts w:ascii="Times New Roman" w:eastAsia="Arial Unicode MS" w:hAnsi="Times New Roman"/>
                <w:sz w:val="24"/>
                <w:szCs w:val="24"/>
                <w:lang w:val="ro-MD"/>
              </w:rPr>
              <w:t>unilor care includ instrumente financiare, o contribuție anulată în conformitate cu prezentul articol, ca urmare a unei nereguli individuale, poate fi reutilizată în cadrul aceleiași operațiuni, în următoarele condiții: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neregula care c</w:t>
                  </w:r>
                  <w:r>
                    <w:rPr>
                      <w:rFonts w:ascii="Times New Roman" w:eastAsia="Arial Unicode MS" w:hAnsi="Times New Roman"/>
                      <w:sz w:val="24"/>
                      <w:szCs w:val="24"/>
                      <w:lang w:val="ro-MD"/>
                    </w:rPr>
                    <w:t>onduce la anularea contribuției este depistată la nivelul destinatarului final, numai pentru alți destinatari finali în cadrul aceluiași instrument financiar;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în cazul în care neregula care conduce la anularea contribuției este depistată la nivelul </w:t>
                  </w:r>
                  <w:r>
                    <w:rPr>
                      <w:rFonts w:ascii="Times New Roman" w:eastAsia="Arial Unicode MS" w:hAnsi="Times New Roman"/>
                      <w:sz w:val="24"/>
                      <w:szCs w:val="24"/>
                      <w:lang w:val="ro-MD"/>
                    </w:rPr>
                    <w:t>organismului care execută fondul specific, atunci când un instrument financiar este executat prin intermediul unei structuri cu un fond de participare, numai pentru alte organisme care execută fonduri specifice.</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neregula care conduce la a</w:t>
            </w:r>
            <w:r>
              <w:rPr>
                <w:rFonts w:ascii="Times New Roman" w:eastAsia="Arial Unicode MS" w:hAnsi="Times New Roman"/>
                <w:sz w:val="24"/>
                <w:szCs w:val="24"/>
                <w:lang w:val="ro-MD"/>
              </w:rPr>
              <w:t>nularea contribuției este depistată la nivelul organismului care execută fondul de participare sau la nivelul organismului care execută fondul specific atunci când instrumentul financiar este executat prin intermediul unei structuri fără fond de participar</w:t>
            </w:r>
            <w:r>
              <w:rPr>
                <w:rFonts w:ascii="Times New Roman" w:eastAsia="Arial Unicode MS" w:hAnsi="Times New Roman"/>
                <w:sz w:val="24"/>
                <w:szCs w:val="24"/>
                <w:lang w:val="ro-MD"/>
              </w:rPr>
              <w:t>e, contribuția anulată nu se reutilizează în cadrul aceleiași operațiuni.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se efectuează o corecție financiară pentru o neregulă sistemică, contribuția anulată nu se reutilizează pentru nicio operațiune afectată de neregula sistemică.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w:t>
            </w:r>
            <w:r>
              <w:rPr>
                <w:rFonts w:ascii="Times New Roman" w:eastAsia="Arial Unicode MS" w:hAnsi="Times New Roman"/>
                <w:sz w:val="24"/>
                <w:szCs w:val="24"/>
                <w:lang w:val="ro-MD"/>
              </w:rPr>
              <w:t> Organismele care execută instrumente financiare rambursează statelor membre contribuțiile din program afectate de nereguli, împreună cu dobânda și orice alte câștiguri generate de respectivele contribuții.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Organismele care execută instrumente financiare n</w:t>
            </w:r>
            <w:r>
              <w:rPr>
                <w:rFonts w:ascii="Times New Roman" w:eastAsia="Arial Unicode MS" w:hAnsi="Times New Roman"/>
                <w:sz w:val="24"/>
                <w:szCs w:val="24"/>
                <w:lang w:val="ro-MD"/>
              </w:rPr>
              <w:t>u rambursează statelor membre cuantumurile menționate la primul paragraf, cu condiția ca organismele respective să demonstreze că, în cazul unei anumite nereguli, sunt îndeplinite cumulativ următoarele condiții: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neregula s-a produs la nivelul destinata</w:t>
                  </w:r>
                  <w:r>
                    <w:rPr>
                      <w:rFonts w:ascii="Times New Roman" w:eastAsia="Arial Unicode MS" w:hAnsi="Times New Roman"/>
                      <w:sz w:val="24"/>
                      <w:szCs w:val="24"/>
                      <w:lang w:val="ro-MD"/>
                    </w:rPr>
                    <w:t>rilor finali sau, în cazul unui fond de participare, la nivelul organismelor care execută fondurile specifice sau al destinatarilor finali;</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organismele care execută instrumentele financiare și-au îndeplinit obligațiile care le revin în ceea ce </w:t>
                  </w:r>
                  <w:r>
                    <w:rPr>
                      <w:rFonts w:ascii="Times New Roman" w:eastAsia="Arial Unicode MS" w:hAnsi="Times New Roman"/>
                      <w:sz w:val="24"/>
                      <w:szCs w:val="24"/>
                      <w:lang w:val="ro-MD"/>
                    </w:rPr>
                    <w:t>privește contribuțiile programului afectate de neregulă, în conformitate cu legislația aplicabilă, și au acționat cu profesionalismul, transparența și diligența așteptate de la un organism profesional cu experiență în execuția instrumentelor financiare;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cuantumurile afectate de neregulă nu au putut fi recuperate, în pofida faptului că organismele care execută instrumentele financiare au urmat cu diligența necesară toate măsurile contractuale și juridice aplicabile.</w:t>
                  </w:r>
                </w:p>
              </w:tc>
            </w:tr>
          </w:tbl>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104</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 xml:space="preserve">Corecții </w:t>
            </w:r>
            <w:r>
              <w:rPr>
                <w:rFonts w:ascii="Times New Roman" w:eastAsia="Times New Roman" w:hAnsi="Times New Roman"/>
                <w:b/>
                <w:bCs/>
                <w:sz w:val="24"/>
                <w:szCs w:val="24"/>
                <w:lang w:val="ro-MD"/>
              </w:rPr>
              <w:t>financiare efectuate de Comisie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Comisia efectuează corecții financiare prin reducerea </w:t>
            </w:r>
            <w:r>
              <w:rPr>
                <w:rFonts w:ascii="Times New Roman" w:eastAsia="Arial Unicode MS" w:hAnsi="Times New Roman"/>
                <w:sz w:val="24"/>
                <w:szCs w:val="24"/>
                <w:lang w:val="ro-MD"/>
              </w:rPr>
              <w:t>sprijinului din fonduri pentru un program dacă ajunge la concluzia că:</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există o deficiență gravă, care a pus în pericol sprijinul din fonduri deja plătit pentru program;</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cheltuielile cuprinse în conturile acceptate sunt neconforme cu </w:t>
                  </w:r>
                  <w:r>
                    <w:rPr>
                      <w:rFonts w:ascii="Times New Roman" w:eastAsia="Arial Unicode MS" w:hAnsi="Times New Roman"/>
                      <w:sz w:val="24"/>
                      <w:szCs w:val="24"/>
                      <w:lang w:val="ro-MD"/>
                    </w:rPr>
                    <w:t>reglementările și nu au fost depistate și raportate de statul membru;</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statul membru nu și-a îndeplinit obligațiile prevăzute la articolul 97 înaintea deschiderii procedurii de corecție financiară de către Comisie.</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Atunci când Comisia aplică corecții</w:t>
            </w:r>
            <w:r>
              <w:rPr>
                <w:rFonts w:ascii="Times New Roman" w:eastAsia="Arial Unicode MS" w:hAnsi="Times New Roman"/>
                <w:sz w:val="24"/>
                <w:szCs w:val="24"/>
                <w:lang w:val="ro-MD"/>
              </w:rPr>
              <w:t xml:space="preserve"> financiare forfetare sau extrapolate, acestea se efectuează în conformitate cu anexa XXV.</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Înainte de a lua o decizie privind o corecție financiară, Comisia informează statul membru cu privire la concluziile sale și îi oferă acestuia posibilitatea ca</w:t>
            </w:r>
            <w:r>
              <w:rPr>
                <w:rFonts w:ascii="Times New Roman" w:eastAsia="Arial Unicode MS" w:hAnsi="Times New Roman"/>
                <w:sz w:val="24"/>
                <w:szCs w:val="24"/>
                <w:lang w:val="ro-MD"/>
              </w:rPr>
              <w:t xml:space="preserve"> în termen de două luni să prezinte observații și să demonstreze că amploarea reală a neregulii este mai mică decât cea apreciată de Comisie. Termenul poate fi prelungit dacă acest lucru este stabilit de comun acord.</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În cazul în care nu acceptă concl</w:t>
            </w:r>
            <w:r>
              <w:rPr>
                <w:rFonts w:ascii="Times New Roman" w:eastAsia="Arial Unicode MS" w:hAnsi="Times New Roman"/>
                <w:sz w:val="24"/>
                <w:szCs w:val="24"/>
                <w:lang w:val="ro-MD"/>
              </w:rPr>
              <w:t>uziile Comisiei, statul membru este invitat de Comisie să participe la o audiere, cu scopul de a se garanta că toate informațiile și observațiile relevante sunt disponibile pentru a constitui baza concluziilor Comisiei privind aplicarea corecției financiar</w:t>
            </w:r>
            <w:r>
              <w:rPr>
                <w:rFonts w:ascii="Times New Roman" w:eastAsia="Arial Unicode MS" w:hAnsi="Times New Roman"/>
                <w:sz w:val="24"/>
                <w:szCs w:val="24"/>
                <w:lang w:val="ro-MD"/>
              </w:rPr>
              <w: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(4)   Luând în considerare amploarea, frecvența și implicațiile financiare ale neregulilor sau deficiențelor grave, Comisia decide cu privire la o corecție financiară prin intermediul unui act de punere în aplicare adoptat în termen de zece luni de la </w:t>
            </w:r>
            <w:r>
              <w:rPr>
                <w:rFonts w:ascii="Times New Roman" w:eastAsia="Arial Unicode MS" w:hAnsi="Times New Roman"/>
                <w:sz w:val="24"/>
                <w:szCs w:val="24"/>
                <w:lang w:val="ro-MD"/>
              </w:rPr>
              <w:t>data audierii sau de la data prezentării informațiilor suplimentare solicitate de Comisie.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Atunci când decide cu privire la o corecție financiară, Comisia ia în considerare toate informațiile și observațiile prezentate.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cazul în care un stat membru este</w:t>
            </w:r>
            <w:r>
              <w:rPr>
                <w:rFonts w:ascii="Times New Roman" w:eastAsia="Arial Unicode MS" w:hAnsi="Times New Roman"/>
                <w:sz w:val="24"/>
                <w:szCs w:val="24"/>
                <w:lang w:val="ro-MD"/>
              </w:rPr>
              <w:t xml:space="preserve"> de acord cu corecția financiară pentru cazurile menționate la alineatul (1) primul paragraf literele (a) și (c) înainte de adoptarea deciziei menționate la primul paragraf de la prezentul alineat, statul membru poate reutiliza cuantumurile în cauză. Respe</w:t>
            </w:r>
            <w:r>
              <w:rPr>
                <w:rFonts w:ascii="Times New Roman" w:eastAsia="Arial Unicode MS" w:hAnsi="Times New Roman"/>
                <w:sz w:val="24"/>
                <w:szCs w:val="24"/>
                <w:lang w:val="ro-MD"/>
              </w:rPr>
              <w:t>ctiva posibilitate nu se aplică în cazul unei corecții financiare în temeiul alineatului (1) primul paragraf litera (b).</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Normele specifice FEAMPA pot prevedea temeiuri specifice pentru corecțiile financiare efectuate de Comisie în legătură cu nerespe</w:t>
            </w:r>
            <w:r>
              <w:rPr>
                <w:rFonts w:ascii="Times New Roman" w:eastAsia="Arial Unicode MS" w:hAnsi="Times New Roman"/>
                <w:sz w:val="24"/>
                <w:szCs w:val="24"/>
                <w:lang w:val="ro-MD"/>
              </w:rPr>
              <w:t>ctarea normelor aplicabile în cadrul politicii comune în domeniul pescuitului.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Normele specifice FTJ pot prevedea temeiuri specifice pentru corecțiile financiare efectuate de Comisie în legătură cu atingerea nesatisfăcătoare a țintelor stabilite pent</w:t>
            </w:r>
            <w:r>
              <w:rPr>
                <w:rFonts w:ascii="Times New Roman" w:eastAsia="Arial Unicode MS" w:hAnsi="Times New Roman"/>
                <w:sz w:val="24"/>
                <w:szCs w:val="24"/>
                <w:lang w:val="ro-MD"/>
              </w:rPr>
              <w:t>ru FTJ.</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IV</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Dezangajarea</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105</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Principii și norme în materie de dezangajare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Comisia dezangajează orice cuantum din cadrul unui program care nu a fost utilizat pentru </w:t>
            </w:r>
            <w:proofErr w:type="spellStart"/>
            <w:r>
              <w:rPr>
                <w:rFonts w:ascii="Times New Roman" w:eastAsia="Arial Unicode MS" w:hAnsi="Times New Roman"/>
                <w:sz w:val="24"/>
                <w:szCs w:val="24"/>
                <w:lang w:val="ro-MD"/>
              </w:rPr>
              <w:t>prefinanțare</w:t>
            </w:r>
            <w:proofErr w:type="spellEnd"/>
            <w:r>
              <w:rPr>
                <w:rFonts w:ascii="Times New Roman" w:eastAsia="Arial Unicode MS" w:hAnsi="Times New Roman"/>
                <w:sz w:val="24"/>
                <w:szCs w:val="24"/>
                <w:lang w:val="ro-MD"/>
              </w:rPr>
              <w:t xml:space="preserve"> în conformitate cu articolul 90 sau pentru care nu a fost depusă o cerere de plată în conformitate cu articolele 91 și 92 până la data de 31 decemb</w:t>
            </w:r>
            <w:r>
              <w:rPr>
                <w:rFonts w:ascii="Times New Roman" w:eastAsia="Arial Unicode MS" w:hAnsi="Times New Roman"/>
                <w:sz w:val="24"/>
                <w:szCs w:val="24"/>
                <w:lang w:val="ro-MD"/>
              </w:rPr>
              <w:t>rie a celui de al treilea an calendaristic care urmează anului angajamentelor bugetare pentru anii 2021-2026.</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Partea din angajamente rămasă deschisă la 31 decembrie 2029 se dezangajează în cazul în care pachetul de asigurare și raportul final privind</w:t>
            </w:r>
            <w:r>
              <w:rPr>
                <w:rFonts w:ascii="Times New Roman" w:eastAsia="Arial Unicode MS" w:hAnsi="Times New Roman"/>
                <w:sz w:val="24"/>
                <w:szCs w:val="24"/>
                <w:lang w:val="ro-MD"/>
              </w:rPr>
              <w:t xml:space="preserve"> performanța pentru programele sprijinite de FEDR, FSE+, Fondul de coeziune, FTJ și FEAMPA nu au fost prezentate Comisiei în termenul stabilit la articolul 43 alineatul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106</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Excepții de la normele în materie de dezangajare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Cuantumul care face obiectul dezangajării se reduce cu cuantumurile echivalente acelei părți a angajamentul</w:t>
            </w:r>
            <w:r>
              <w:rPr>
                <w:rFonts w:ascii="Times New Roman" w:eastAsia="Arial Unicode MS" w:hAnsi="Times New Roman"/>
                <w:sz w:val="24"/>
                <w:szCs w:val="24"/>
                <w:lang w:val="ro-MD"/>
              </w:rPr>
              <w:t>ui bugetar pentru care: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operațiunile sunt suspendate printr-o procedură judiciară sau o cale de atac administrativă cu efect de suspendare; sau</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nu a fost posibil să se facă o cerere de plată din motive de forță majoră care afectează grav </w:t>
                  </w:r>
                  <w:r>
                    <w:rPr>
                      <w:rFonts w:ascii="Times New Roman" w:eastAsia="Arial Unicode MS" w:hAnsi="Times New Roman"/>
                      <w:sz w:val="24"/>
                      <w:szCs w:val="24"/>
                      <w:lang w:val="ro-MD"/>
                    </w:rPr>
                    <w:t>implementarea integrală sau parțială a programului.</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Autoritățile naționale care invocă forța majoră demonstrează consecințele directe ale acesteia asupra implementării parțiale sau integrale a programului.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Până la 31 ianuarie, statul membru trimite </w:t>
            </w:r>
            <w:r>
              <w:rPr>
                <w:rFonts w:ascii="Times New Roman" w:eastAsia="Arial Unicode MS" w:hAnsi="Times New Roman"/>
                <w:sz w:val="24"/>
                <w:szCs w:val="24"/>
                <w:lang w:val="ro-MD"/>
              </w:rPr>
              <w:t>Comisiei informații privind excepțiile menționate la alineatul (1) primul paragraf literele (a) și (b), pentru cuantumul de declarat până la 31 decembrie a anului anterior.</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107</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Procedura de dezangajare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w:t>
            </w:r>
            <w:r>
              <w:rPr>
                <w:rFonts w:ascii="Times New Roman" w:hAnsi="Times New Roman"/>
                <w:sz w:val="24"/>
                <w:szCs w:val="24"/>
                <w:lang w:val="ro-MD"/>
              </w:rPr>
              <w:t>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Pe baza informațiilor primite până la 31 ianuarie, Comisia informează statul membru în legătură cu cuantumul dezangajării care </w:t>
            </w:r>
            <w:r>
              <w:rPr>
                <w:rFonts w:ascii="Times New Roman" w:eastAsia="Arial Unicode MS" w:hAnsi="Times New Roman"/>
                <w:sz w:val="24"/>
                <w:szCs w:val="24"/>
                <w:lang w:val="ro-MD"/>
              </w:rPr>
              <w:t>rezultă din informațiile pe care le deține.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Statul membru dispune de un termen de două luni pentru a-și da acordul privind cuantumul care urmează să fie dezangajat sau pentru a prezenta observații.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Statul membru transmite Comisiei, până la 30 i</w:t>
            </w:r>
            <w:r>
              <w:rPr>
                <w:rFonts w:ascii="Times New Roman" w:eastAsia="Arial Unicode MS" w:hAnsi="Times New Roman"/>
                <w:sz w:val="24"/>
                <w:szCs w:val="24"/>
                <w:lang w:val="ro-MD"/>
              </w:rPr>
              <w:t>unie, un plan de finanțare modificat care să reflecte, pentru anul calendaristic în cauză, cuantumul redus al sprijinului pentru una sau mai multe priorități ale programului. Pentru programele sprijinite de mai multe fonduri, cuantumul sprijinului se reduc</w:t>
            </w:r>
            <w:r>
              <w:rPr>
                <w:rFonts w:ascii="Times New Roman" w:eastAsia="Arial Unicode MS" w:hAnsi="Times New Roman"/>
                <w:sz w:val="24"/>
                <w:szCs w:val="24"/>
                <w:lang w:val="ro-MD"/>
              </w:rPr>
              <w:t>e pentru fiecare fond proporțional cu cuantumurile vizate de dezangajare care nu au fost utilizate în anul calendaristic în cauză.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Dacă statul membru nu transmite acest plan, Comisia modifică planul de finanțare prin reducerea contribuției din fonduri pent</w:t>
            </w:r>
            <w:r>
              <w:rPr>
                <w:rFonts w:ascii="Times New Roman" w:eastAsia="Arial Unicode MS" w:hAnsi="Times New Roman"/>
                <w:sz w:val="24"/>
                <w:szCs w:val="24"/>
                <w:lang w:val="ro-MD"/>
              </w:rPr>
              <w:t>ru anul calendaristic în cauză. Această reducere se alocă fiecărei priorități în mod proporțional cu cuantumurile vizate de dezangajare care nu au fost utilizate în anul calendaristic în cauză.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(4)   Comisia modifică decizia de aprobare a programului cel </w:t>
            </w:r>
            <w:r>
              <w:rPr>
                <w:rFonts w:ascii="Times New Roman" w:eastAsia="Arial Unicode MS" w:hAnsi="Times New Roman"/>
                <w:sz w:val="24"/>
                <w:szCs w:val="24"/>
                <w:lang w:val="ro-MD"/>
              </w:rPr>
              <w:t>târziu la 31 octombrie.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TITLUL VIII</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CADRUL FINANCIAR</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108</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Acoperirea geografică a sprijinului pentru obiectivul Investiții pentru ocuparea forței de muncă și creștere economică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w:t>
            </w:r>
            <w:r>
              <w:rPr>
                <w:rFonts w:ascii="Times New Roman" w:hAnsi="Times New Roman"/>
                <w:sz w:val="24"/>
                <w:szCs w:val="24"/>
                <w:lang w:val="ro-MD"/>
              </w:rPr>
              <w:t>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FEDR, FSE+ și Fondul de coeziune sprijină obiectivul Investiții pentru ocuparea forței de muncă și creștere economică în toate regiunile corespunzătoare </w:t>
            </w:r>
            <w:r>
              <w:rPr>
                <w:rFonts w:ascii="Times New Roman" w:eastAsia="Arial Unicode MS" w:hAnsi="Times New Roman"/>
                <w:sz w:val="24"/>
                <w:szCs w:val="24"/>
                <w:lang w:val="ro-MD"/>
              </w:rPr>
              <w:t>nivelului 2 din nomenclatorul comun al unităților teritoriale de statistică („regiuni de nivelul NUTS 2”), instituit prin Regulamentul (CE) nr. 1059/2003, astfel cum a fost modificat prin Regulamentul (UE) 2016/2066.</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Resursele din FEDR și FSE+ pentru</w:t>
            </w:r>
            <w:r>
              <w:rPr>
                <w:rFonts w:ascii="Times New Roman" w:eastAsia="Arial Unicode MS" w:hAnsi="Times New Roman"/>
                <w:sz w:val="24"/>
                <w:szCs w:val="24"/>
                <w:lang w:val="ro-MD"/>
              </w:rPr>
              <w:t xml:space="preserve"> obiectivul Investiții pentru ocuparea forței de muncă și creștere economică se alocă între următoarele trei categorii de regiuni de nivelul NUTS 2:</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regiuni mai puțin dezvoltate, al căror PIB pe cap de locuitor este mai mic de 75 % din PIB-ul mediu pe </w:t>
                  </w:r>
                  <w:r>
                    <w:rPr>
                      <w:rFonts w:ascii="Times New Roman" w:eastAsia="Arial Unicode MS" w:hAnsi="Times New Roman"/>
                      <w:sz w:val="24"/>
                      <w:szCs w:val="24"/>
                      <w:lang w:val="ro-MD"/>
                    </w:rPr>
                    <w:t>cap de locuitor al UE-27 („regiuni mai puțin dezvoltate”);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regiuni de tranziție, al căror PIB pe cap de locuitor este între 75 % și 100 % din PIB-ul mediu pe cap de locuitor al UE-27 („regiuni de tranziție”);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regiuni mai dezvoltate, al căror PI</w:t>
                  </w:r>
                  <w:r>
                    <w:rPr>
                      <w:rFonts w:ascii="Times New Roman" w:eastAsia="Arial Unicode MS" w:hAnsi="Times New Roman"/>
                      <w:sz w:val="24"/>
                      <w:szCs w:val="24"/>
                      <w:lang w:val="ro-MD"/>
                    </w:rPr>
                    <w:t>B pe cap de locuitor este mai mare de 100 % din PIB-ul mediu pe cap de locuitor al UE-27 („regiuni mai dezvoltate”).</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Încadrarea regiunilor într-una dintre cele trei categorii de regiuni se stabilește în funcție de raportul dintre PIB-ul pe cap de locuitor</w:t>
            </w:r>
            <w:r>
              <w:rPr>
                <w:rFonts w:ascii="Times New Roman" w:eastAsia="Arial Unicode MS" w:hAnsi="Times New Roman"/>
                <w:sz w:val="24"/>
                <w:szCs w:val="24"/>
                <w:lang w:val="ro-MD"/>
              </w:rPr>
              <w:t xml:space="preserve"> pentru fiecare regiune, măsurat în standarde ale puterii de cumpărare (SPC) și calculat pe baza datelor Uniunii pentru perioada 2015-2017, și PIB-ul mediu pe cap de locuitor al UE-27 pentru aceeași perioadă de referință.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Fondul de coeziune sprijină </w:t>
            </w:r>
            <w:r>
              <w:rPr>
                <w:rFonts w:ascii="Times New Roman" w:eastAsia="Arial Unicode MS" w:hAnsi="Times New Roman"/>
                <w:sz w:val="24"/>
                <w:szCs w:val="24"/>
                <w:lang w:val="ro-MD"/>
              </w:rPr>
              <w:t>statele membre al căror venit național brut (VNB) pe cap de locuitor, măsurat în SPC și calculat pe baza datelor Uniunii pentru perioada 2015-2017, este mai mic de 90 % din VNB-</w:t>
            </w:r>
            <w:proofErr w:type="spellStart"/>
            <w:r>
              <w:rPr>
                <w:rFonts w:ascii="Times New Roman" w:eastAsia="Arial Unicode MS" w:hAnsi="Times New Roman"/>
                <w:sz w:val="24"/>
                <w:szCs w:val="24"/>
                <w:lang w:val="ro-MD"/>
              </w:rPr>
              <w:t>ul</w:t>
            </w:r>
            <w:proofErr w:type="spellEnd"/>
            <w:r>
              <w:rPr>
                <w:rFonts w:ascii="Times New Roman" w:eastAsia="Arial Unicode MS" w:hAnsi="Times New Roman"/>
                <w:sz w:val="24"/>
                <w:szCs w:val="24"/>
                <w:lang w:val="ro-MD"/>
              </w:rPr>
              <w:t xml:space="preserve"> mediu pe cap de locuitor al UE-27 pentru aceeași perioadă de referință.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w:t>
            </w:r>
            <w:r>
              <w:rPr>
                <w:rFonts w:ascii="Times New Roman" w:eastAsia="Arial Unicode MS" w:hAnsi="Times New Roman"/>
                <w:sz w:val="24"/>
                <w:szCs w:val="24"/>
                <w:lang w:val="ro-MD"/>
              </w:rPr>
              <w:t>  Comisia adoptă, prin intermediul unui act de punere în aplicare, o decizie prin care stabilește lista regiunilor care îndeplinesc criteriile uneia dintre cele trei categorii de regiuni și a statelor membre care îndeplinesc criteriile de la alineatul (3).</w:t>
            </w:r>
            <w:r>
              <w:rPr>
                <w:rFonts w:ascii="Times New Roman" w:eastAsia="Arial Unicode MS" w:hAnsi="Times New Roman"/>
                <w:sz w:val="24"/>
                <w:szCs w:val="24"/>
                <w:lang w:val="ro-MD"/>
              </w:rPr>
              <w:t xml:space="preserve"> Lista respectivă este valabilă de la 1 ianuarie 2021 până la 31 decembrie 2027.</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109</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Resurse pentru coeziunea economică, socială și teritorială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w:t>
            </w:r>
            <w:r>
              <w:rPr>
                <w:rFonts w:ascii="Times New Roman" w:hAnsi="Times New Roman"/>
                <w:sz w:val="24"/>
                <w:szCs w:val="24"/>
                <w:lang w:val="ro-MD"/>
              </w:rPr>
              <w:t>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Resursele pentru coeziunea economică, socială și teritorială disponibile pentru angajamente bugetare pentru perioada 2021-2027 în temeiul CFM sunt de 330 234 776 621 EUR la prețurile din 201</w:t>
            </w:r>
            <w:r>
              <w:rPr>
                <w:rFonts w:ascii="Times New Roman" w:eastAsia="Arial Unicode MS" w:hAnsi="Times New Roman"/>
                <w:sz w:val="24"/>
                <w:szCs w:val="24"/>
                <w:lang w:val="ro-MD"/>
              </w:rPr>
              <w:t>8 pentru FEDR, FSE+ și Fondul de coeziune și de 7 500 000 000 EUR la prețurile din 2018 pentru FTJ.</w:t>
            </w:r>
          </w:p>
          <w:p w:rsidR="002F15D7" w:rsidRDefault="006C2DA4">
            <w:pPr>
              <w:spacing w:after="0"/>
              <w:jc w:val="both"/>
            </w:pPr>
            <w:r>
              <w:rPr>
                <w:rFonts w:ascii="Times New Roman" w:eastAsia="Arial Unicode MS" w:hAnsi="Times New Roman"/>
                <w:sz w:val="24"/>
                <w:szCs w:val="24"/>
                <w:lang w:val="ro-MD"/>
              </w:rPr>
              <w:t xml:space="preserve">Resursele menționate la primul paragraf se completează cu un cuantum de 10 000 000 000 EUR la prețurile din 2018 pentru măsurile menționate la articolul 1 </w:t>
            </w:r>
            <w:r>
              <w:rPr>
                <w:rFonts w:ascii="Times New Roman" w:eastAsia="Arial Unicode MS" w:hAnsi="Times New Roman"/>
                <w:sz w:val="24"/>
                <w:szCs w:val="24"/>
                <w:lang w:val="ro-MD"/>
              </w:rPr>
              <w:t>alineatul (2) din Regulamentul (UE) 2020/2094 al Consiliului </w:t>
            </w:r>
            <w:hyperlink r:id="rId27" w:history="1">
              <w:r>
                <w:rPr>
                  <w:rStyle w:val="Hyperlink"/>
                  <w:rFonts w:ascii="Times New Roman" w:eastAsia="Arial Unicode MS" w:hAnsi="Times New Roman"/>
                  <w:color w:val="auto"/>
                  <w:sz w:val="24"/>
                  <w:szCs w:val="24"/>
                  <w:lang w:val="ro-MD"/>
                </w:rPr>
                <w:t>(</w:t>
              </w:r>
              <w:r>
                <w:rPr>
                  <w:rStyle w:val="Hyperlink"/>
                  <w:rFonts w:ascii="Times New Roman" w:eastAsia="Arial Unicode MS" w:hAnsi="Times New Roman"/>
                  <w:color w:val="auto"/>
                  <w:sz w:val="24"/>
                  <w:szCs w:val="24"/>
                  <w:vertAlign w:val="superscript"/>
                  <w:lang w:val="ro-MD"/>
                </w:rPr>
                <w:t>53</w:t>
              </w:r>
              <w:r>
                <w:rPr>
                  <w:rStyle w:val="Hyperlink"/>
                  <w:rFonts w:ascii="Times New Roman" w:eastAsia="Arial Unicode MS" w:hAnsi="Times New Roman"/>
                  <w:color w:val="auto"/>
                  <w:sz w:val="24"/>
                  <w:szCs w:val="24"/>
                  <w:lang w:val="ro-MD"/>
                </w:rPr>
                <w:t>)</w:t>
              </w:r>
            </w:hyperlink>
            <w:r>
              <w:rPr>
                <w:rFonts w:ascii="Times New Roman" w:eastAsia="Arial Unicode MS" w:hAnsi="Times New Roman"/>
                <w:sz w:val="24"/>
                <w:szCs w:val="24"/>
                <w:lang w:val="ro-MD"/>
              </w:rPr>
              <w:t> în sensul Regulamentului FTJ. Cuantumul menționat c</w:t>
            </w:r>
            <w:r>
              <w:rPr>
                <w:rFonts w:ascii="Times New Roman" w:eastAsia="Arial Unicode MS" w:hAnsi="Times New Roman"/>
                <w:sz w:val="24"/>
                <w:szCs w:val="24"/>
                <w:lang w:val="ro-MD"/>
              </w:rPr>
              <w:t>onstituie venituri alocate externe în sensul articolului 21 alineatul (5) din Regulamentul financiar.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scopul programării și al includerii ulterioare în bugetul Uniunii, cuantumurile menționate la primul și al doilea paragraf se indexează cu 2 % pe an.</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w:t>
            </w:r>
            <w:r>
              <w:rPr>
                <w:rFonts w:ascii="Times New Roman" w:eastAsia="Arial Unicode MS" w:hAnsi="Times New Roman"/>
                <w:sz w:val="24"/>
                <w:szCs w:val="24"/>
                <w:lang w:val="ro-MD"/>
              </w:rPr>
              <w:t>2)   Comisia adoptă, prin intermediul unui act de punere în aplicare, o decizie prin care stabilește defalcarea anuală a resurselor globale pentru FEDR, FSE+ și Fondul de coeziune, pentru fiecare stat membru în cadrul obiectivului Investiții pentru ocupare</w:t>
            </w:r>
            <w:r>
              <w:rPr>
                <w:rFonts w:ascii="Times New Roman" w:eastAsia="Arial Unicode MS" w:hAnsi="Times New Roman"/>
                <w:sz w:val="24"/>
                <w:szCs w:val="24"/>
                <w:lang w:val="ro-MD"/>
              </w:rPr>
              <w:t>a forței de muncă și creștere economică și, după caz, pentru fiecare categorie de regiuni, în conformitate cu metodologiile prevăzute în anexa XXVI.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Decizia respectivă stabilește, de asemenea, defalcarea anuală a resurselor globale pentru fiecare stat memb</w:t>
            </w:r>
            <w:r>
              <w:rPr>
                <w:rFonts w:ascii="Times New Roman" w:eastAsia="Arial Unicode MS" w:hAnsi="Times New Roman"/>
                <w:sz w:val="24"/>
                <w:szCs w:val="24"/>
                <w:lang w:val="ro-MD"/>
              </w:rPr>
              <w:t>ru în cadrul obiectivului Cooperare teritorială europeană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După ce se deduce sprijinul acordat MIE menționat la articolul 110 alineatul (3), se alocă asistenței tehnice acordate la inițiativa Comisiei 0,35 % din resursele menționate la pri</w:t>
            </w:r>
            <w:r>
              <w:rPr>
                <w:rFonts w:ascii="Times New Roman" w:eastAsia="Arial Unicode MS" w:hAnsi="Times New Roman"/>
                <w:sz w:val="24"/>
                <w:szCs w:val="24"/>
                <w:lang w:val="ro-MD"/>
              </w:rPr>
              <w:t>mul și al doilea paragraf de la alineatul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110</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Resurse pentru obiectivul Investiții pentru ocuparea forței de muncă și creștere economică și pentru obiectivul Cooperare teritorială europeană (</w:t>
            </w:r>
            <w:proofErr w:type="spellStart"/>
            <w:r>
              <w:rPr>
                <w:rFonts w:ascii="Times New Roman" w:eastAsia="Times New Roman" w:hAnsi="Times New Roman"/>
                <w:b/>
                <w:bCs/>
                <w:sz w:val="24"/>
                <w:szCs w:val="24"/>
                <w:lang w:val="ro-MD"/>
              </w:rPr>
              <w:t>Interreg</w:t>
            </w:r>
            <w:proofErr w:type="spellEnd"/>
            <w:r>
              <w:rPr>
                <w:rFonts w:ascii="Times New Roman" w:eastAsia="Times New Roman" w:hAnsi="Times New Roman"/>
                <w:b/>
                <w:bCs/>
                <w:sz w:val="24"/>
                <w:szCs w:val="24"/>
                <w:lang w:val="ro-MD"/>
              </w:rPr>
              <w: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w:t>
            </w:r>
            <w:r>
              <w:rPr>
                <w:rFonts w:ascii="Times New Roman" w:hAnsi="Times New Roman"/>
                <w:sz w:val="24"/>
                <w:szCs w:val="24"/>
                <w:lang w:val="ro-MD"/>
              </w:rPr>
              <w:t xml:space="preserve">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Resursele pentru obiectivul Investiții pentru ocuparea forței de muncă și creștere economică în temeiul CFM se ridică la 97,6 % </w:t>
            </w:r>
            <w:r>
              <w:rPr>
                <w:rFonts w:ascii="Times New Roman" w:eastAsia="Arial Unicode MS" w:hAnsi="Times New Roman"/>
                <w:sz w:val="24"/>
                <w:szCs w:val="24"/>
                <w:lang w:val="ro-MD"/>
              </w:rPr>
              <w:t>din resursele globale (și anume, un total de 329 684 776 621 EUR) și se alocă după cum urmează:</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61,3 % (și anume, un total de 202 226 984 629 EUR) pentru regiunile mai puțin dezvoltate;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14,5 % (și anume, un total de 47 771 802 082 EUR) pentru </w:t>
                  </w:r>
                  <w:r>
                    <w:rPr>
                      <w:rFonts w:ascii="Times New Roman" w:eastAsia="Arial Unicode MS" w:hAnsi="Times New Roman"/>
                      <w:sz w:val="24"/>
                      <w:szCs w:val="24"/>
                      <w:lang w:val="ro-MD"/>
                    </w:rPr>
                    <w:t>regiunile de tranziție;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8,3 % (și anume, un total de 27 202 682 372 EUR) pentru regiunile mai dezvoltate;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12,9 % (și anume, un total de 42 555 570 217 EUR) pentru statele membre care beneficiază de sprijin din Fondul de coeziune;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0,6 % </w:t>
                  </w:r>
                  <w:r>
                    <w:rPr>
                      <w:rFonts w:ascii="Times New Roman" w:eastAsia="Arial Unicode MS" w:hAnsi="Times New Roman"/>
                      <w:sz w:val="24"/>
                      <w:szCs w:val="24"/>
                      <w:lang w:val="ro-MD"/>
                    </w:rPr>
                    <w:t xml:space="preserve">(și anume, un total de 1 927 737 321 EUR) ca finanțare suplimentară pentru regiunile </w:t>
                  </w:r>
                  <w:proofErr w:type="spellStart"/>
                  <w:r>
                    <w:rPr>
                      <w:rFonts w:ascii="Times New Roman" w:eastAsia="Arial Unicode MS" w:hAnsi="Times New Roman"/>
                      <w:sz w:val="24"/>
                      <w:szCs w:val="24"/>
                      <w:lang w:val="ro-MD"/>
                    </w:rPr>
                    <w:t>ultraperiferice</w:t>
                  </w:r>
                  <w:proofErr w:type="spellEnd"/>
                  <w:r>
                    <w:rPr>
                      <w:rFonts w:ascii="Times New Roman" w:eastAsia="Arial Unicode MS" w:hAnsi="Times New Roman"/>
                      <w:sz w:val="24"/>
                      <w:szCs w:val="24"/>
                      <w:lang w:val="ro-MD"/>
                    </w:rPr>
                    <w:t xml:space="preserve"> identificate la articolul 349 din TFUE și pentru regiunile de nivelul NUTS 2 care îndeplinesc criteriile prevăzute la articolul 2 din Protocolul nr. 6 la A</w:t>
                  </w:r>
                  <w:r>
                    <w:rPr>
                      <w:rFonts w:ascii="Times New Roman" w:eastAsia="Arial Unicode MS" w:hAnsi="Times New Roman"/>
                      <w:sz w:val="24"/>
                      <w:szCs w:val="24"/>
                      <w:lang w:val="ro-MD"/>
                    </w:rPr>
                    <w:t>ctul de aderare din 1994;</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40"/>
              <w:gridCol w:w="3588"/>
            </w:tblGrid>
            <w:tr w:rsidR="002F15D7">
              <w:tblPrEx>
                <w:tblCellMar>
                  <w:top w:w="0" w:type="dxa"/>
                  <w:bottom w:w="0" w:type="dxa"/>
                </w:tblCellMar>
              </w:tblPrEx>
              <w:tc>
                <w:tcPr>
                  <w:tcW w:w="24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(f)</w:t>
                  </w:r>
                </w:p>
              </w:tc>
              <w:tc>
                <w:tcPr>
                  <w:tcW w:w="358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0,2 % (și anume, un total de 500 000 000 EUR) pentru investițiile interregionale pentru inovare;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(g)</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2,3 % (și anume, un total de 7 500 000 000 EUR) pentru Fondul pentru o tranziție justă.</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Cuantumul resurselor </w:t>
            </w:r>
            <w:r>
              <w:rPr>
                <w:rFonts w:ascii="Times New Roman" w:eastAsia="Arial Unicode MS" w:hAnsi="Times New Roman"/>
                <w:sz w:val="24"/>
                <w:szCs w:val="24"/>
                <w:lang w:val="ro-MD"/>
              </w:rPr>
              <w:t>disponibile pentru FSE+ în cadrul obiectivului Investiții pentru ocuparea forței de muncă și creștere economică este de 87 319 331 844 EUR.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Cuantumul finanțării suplimentare pentru regiunile menționate la alineatul (1) litera (e), alocată FSE+ este de 472 </w:t>
            </w:r>
            <w:r>
              <w:rPr>
                <w:rFonts w:ascii="Times New Roman" w:eastAsia="Arial Unicode MS" w:hAnsi="Times New Roman"/>
                <w:sz w:val="24"/>
                <w:szCs w:val="24"/>
                <w:lang w:val="ro-MD"/>
              </w:rPr>
              <w:t>980 447 EUR.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Cuantumul sprijinului din Fondul de coeziune care urmează să fie transferat către MIE este de 10 000 000 000 EUR. Acesta este cheltuit pentru proiecte de infrastructură de transport, luând în considerare nevoile de investiții în infrastr</w:t>
            </w:r>
            <w:r>
              <w:rPr>
                <w:rFonts w:ascii="Times New Roman" w:eastAsia="Arial Unicode MS" w:hAnsi="Times New Roman"/>
                <w:sz w:val="24"/>
                <w:szCs w:val="24"/>
                <w:lang w:val="ro-MD"/>
              </w:rPr>
              <w:t>uctură ale statelor membre și ale regiunilor, prin lansarea de cereri de propuneri specifice în conformitate cu Regulamentul MIE exclusiv în statele membre eligibile pentru finanțare din Fondul de coeziune.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adoptă un act de punere în aplicare pentr</w:t>
            </w:r>
            <w:r>
              <w:rPr>
                <w:rFonts w:ascii="Times New Roman" w:eastAsia="Arial Unicode MS" w:hAnsi="Times New Roman"/>
                <w:sz w:val="24"/>
                <w:szCs w:val="24"/>
                <w:lang w:val="ro-MD"/>
              </w:rPr>
              <w:t>u a stabili cuantumul care urmează să fie transferat din alocarea din Fondul de coeziune pentru fiecare stat membru către MIE și care este stabilit în mod proporțional pentru întreaga perioadă.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Alocarea din Fondul de coeziune pentru fiecare stat membru se </w:t>
            </w:r>
            <w:r>
              <w:rPr>
                <w:rFonts w:ascii="Times New Roman" w:eastAsia="Arial Unicode MS" w:hAnsi="Times New Roman"/>
                <w:sz w:val="24"/>
                <w:szCs w:val="24"/>
                <w:lang w:val="ro-MD"/>
              </w:rPr>
              <w:t>reduce în consecință.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Creditele anuale care corespund sprijinului din Fondul de coeziune menționat la primul paragraf sunt înscrise în liniile bugetare corespunzătoare MIE începând cu exercițiul bugetar 2021.</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30 % din resursele transferate către MIE sunt p</w:t>
            </w:r>
            <w:r>
              <w:rPr>
                <w:rFonts w:ascii="Times New Roman" w:eastAsia="Arial Unicode MS" w:hAnsi="Times New Roman"/>
                <w:sz w:val="24"/>
                <w:szCs w:val="24"/>
                <w:lang w:val="ro-MD"/>
              </w:rPr>
              <w:t>use, imediat după transfer, la dispoziția tuturor statelor membre eligibile pentru finanțare din Fondul de coeziune, în vederea finanțării proiectelor de infrastructură în domeniul transporturilor, în conformitate cu Regulamentul MIE.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Normele aplicabile </w:t>
            </w:r>
            <w:r>
              <w:rPr>
                <w:rFonts w:ascii="Times New Roman" w:eastAsia="Arial Unicode MS" w:hAnsi="Times New Roman"/>
                <w:sz w:val="24"/>
                <w:szCs w:val="24"/>
                <w:lang w:val="ro-MD"/>
              </w:rPr>
              <w:t>sectorului transporturilor în temeiul Regulamentului MIE se aplică cererilor de propuneri specifice menționate la primul paragraf. Până la 31 decembrie 2023, selecția proiectelor eligibile pentru finanțare respectă alocările naționale din Fondul de coeziun</w:t>
            </w:r>
            <w:r>
              <w:rPr>
                <w:rFonts w:ascii="Times New Roman" w:eastAsia="Arial Unicode MS" w:hAnsi="Times New Roman"/>
                <w:sz w:val="24"/>
                <w:szCs w:val="24"/>
                <w:lang w:val="ro-MD"/>
              </w:rPr>
              <w:t>e în ceea ce privește 70 % din resursele transferate către MIE.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Începând cu 1 ianuarie 2024, resursele transferate către MIE care nu au fost angajate pentru un proiect de infrastructură în domeniul transporturilor sunt puse la dispoziția tuturor statelor m</w:t>
            </w:r>
            <w:r>
              <w:rPr>
                <w:rFonts w:ascii="Times New Roman" w:eastAsia="Arial Unicode MS" w:hAnsi="Times New Roman"/>
                <w:sz w:val="24"/>
                <w:szCs w:val="24"/>
                <w:lang w:val="ro-MD"/>
              </w:rPr>
              <w:t>embre eligibile pentru finanțare din Fondul de coeziune, în vederea finanțării unor proiecte de infrastructură în domeniul transporturilor în conformitate cu Regulamentul MIE.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Pentru a sprijini statele membre care sunt eligibile pentru finanțare din Fondul</w:t>
            </w:r>
            <w:r>
              <w:rPr>
                <w:rFonts w:ascii="Times New Roman" w:eastAsia="Arial Unicode MS" w:hAnsi="Times New Roman"/>
                <w:sz w:val="24"/>
                <w:szCs w:val="24"/>
                <w:lang w:val="ro-MD"/>
              </w:rPr>
              <w:t xml:space="preserve"> de coeziune și care ar putea întâmpina dificultăți în conceperea unor proiecte care să aibă un nivel suficient de maturitate sau de calitate, ori ambele, și care prezintă suficientă valoare adăugată pentru Uniune, se acordă o atenție deosebită asistenței </w:t>
            </w:r>
            <w:r>
              <w:rPr>
                <w:rFonts w:ascii="Times New Roman" w:eastAsia="Arial Unicode MS" w:hAnsi="Times New Roman"/>
                <w:sz w:val="24"/>
                <w:szCs w:val="24"/>
                <w:lang w:val="ro-MD"/>
              </w:rPr>
              <w:t>tehnice care vizează consolidarea capacității instituționale și a eficienței administrațiilor publice și a serviciilor publice în ceea ce privește dezvoltarea și implementarea proiectelor enumerate în Regulamentul MIE.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Comisia depune toate eforturile pentr</w:t>
            </w:r>
            <w:r>
              <w:rPr>
                <w:rFonts w:ascii="Times New Roman" w:eastAsia="Arial Unicode MS" w:hAnsi="Times New Roman"/>
                <w:sz w:val="24"/>
                <w:szCs w:val="24"/>
                <w:lang w:val="ro-MD"/>
              </w:rPr>
              <w:t>u a permite statelor membre eligibile pentru finanțare din Fondul de coeziune să atingă, până la sfârșitul perioadei 2021-2027, un nivel cât mai ridicat cu putință de absorbție a cuantumului transferat către MIE, inclusiv prin organizarea de cereri de prop</w:t>
            </w:r>
            <w:r>
              <w:rPr>
                <w:rFonts w:ascii="Times New Roman" w:eastAsia="Arial Unicode MS" w:hAnsi="Times New Roman"/>
                <w:sz w:val="24"/>
                <w:szCs w:val="24"/>
                <w:lang w:val="ro-MD"/>
              </w:rPr>
              <w:t>uneri suplimentare.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Se acordă sprijin și o atenție deosebită, astfel cum se prevede la cel de al optulea și al nouălea paragraf, statelor membre al căror VNB pe cap de locuitor, măsurat în SPC pentru perioada 2015-2017, este mai mic de 60 % din VNB-</w:t>
            </w:r>
            <w:proofErr w:type="spellStart"/>
            <w:r>
              <w:rPr>
                <w:rFonts w:ascii="Times New Roman" w:eastAsia="Arial Unicode MS" w:hAnsi="Times New Roman"/>
                <w:sz w:val="24"/>
                <w:szCs w:val="24"/>
                <w:lang w:val="ro-MD"/>
              </w:rPr>
              <w:t>ul</w:t>
            </w:r>
            <w:proofErr w:type="spellEnd"/>
            <w:r>
              <w:rPr>
                <w:rFonts w:ascii="Times New Roman" w:eastAsia="Arial Unicode MS" w:hAnsi="Times New Roman"/>
                <w:sz w:val="24"/>
                <w:szCs w:val="24"/>
                <w:lang w:val="ro-MD"/>
              </w:rPr>
              <w:t xml:space="preserve"> medi</w:t>
            </w:r>
            <w:r>
              <w:rPr>
                <w:rFonts w:ascii="Times New Roman" w:eastAsia="Arial Unicode MS" w:hAnsi="Times New Roman"/>
                <w:sz w:val="24"/>
                <w:szCs w:val="24"/>
                <w:lang w:val="ro-MD"/>
              </w:rPr>
              <w:t>u pe cap de locuitor al UE-27.</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ceea ce privește statele membre al căror VNB pe cap de locuitor, măsurat în SPC pentru perioada 2015-2017, este mai mic de 60 % din VNB-</w:t>
            </w:r>
            <w:proofErr w:type="spellStart"/>
            <w:r>
              <w:rPr>
                <w:rFonts w:ascii="Times New Roman" w:eastAsia="Arial Unicode MS" w:hAnsi="Times New Roman"/>
                <w:sz w:val="24"/>
                <w:szCs w:val="24"/>
                <w:lang w:val="ro-MD"/>
              </w:rPr>
              <w:t>ul</w:t>
            </w:r>
            <w:proofErr w:type="spellEnd"/>
            <w:r>
              <w:rPr>
                <w:rFonts w:ascii="Times New Roman" w:eastAsia="Arial Unicode MS" w:hAnsi="Times New Roman"/>
                <w:sz w:val="24"/>
                <w:szCs w:val="24"/>
                <w:lang w:val="ro-MD"/>
              </w:rPr>
              <w:t xml:space="preserve"> mediu pe cap de locuitor al UE-27 li se garantează, până la 31 decembrie 2024, 70 %</w:t>
            </w:r>
            <w:r>
              <w:rPr>
                <w:rFonts w:ascii="Times New Roman" w:eastAsia="Arial Unicode MS" w:hAnsi="Times New Roman"/>
                <w:sz w:val="24"/>
                <w:szCs w:val="24"/>
                <w:lang w:val="ro-MD"/>
              </w:rPr>
              <w:t xml:space="preserve"> din 70 % din cuantumul pe care respectivele state membre l-au transferat către MIE.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400 000 000 EUR din resursele pentru obiectivul Investiții pentru ocuparea forței de muncă și creștere economică se alocă Inițiativei europene privind dezvoltarea ur</w:t>
            </w:r>
            <w:r>
              <w:rPr>
                <w:rFonts w:ascii="Times New Roman" w:eastAsia="Arial Unicode MS" w:hAnsi="Times New Roman"/>
                <w:sz w:val="24"/>
                <w:szCs w:val="24"/>
                <w:lang w:val="ro-MD"/>
              </w:rPr>
              <w:t>bană în cadrul gestiunii directe sau indirecte de către Comisie.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175 000 000 EUR din resursele FSE+ pentru obiectivul Investiții pentru ocuparea forței de muncă și creștere economică se alocă cooperării transnaționale în sprijinul soluțiilor inovatoa</w:t>
            </w:r>
            <w:r>
              <w:rPr>
                <w:rFonts w:ascii="Times New Roman" w:eastAsia="Arial Unicode MS" w:hAnsi="Times New Roman"/>
                <w:sz w:val="24"/>
                <w:szCs w:val="24"/>
                <w:lang w:val="ro-MD"/>
              </w:rPr>
              <w:t>re, în cadrul gestiunii directe sau indirecte.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Cuantumul menționat la alineatul (1) litera (f) se alocă din resursele FEDR în cadrul obiectivului Investiții pentru ocuparea forței de muncă și creștere economică pentru investiții interregionale pentru</w:t>
            </w:r>
            <w:r>
              <w:rPr>
                <w:rFonts w:ascii="Times New Roman" w:eastAsia="Arial Unicode MS" w:hAnsi="Times New Roman"/>
                <w:sz w:val="24"/>
                <w:szCs w:val="24"/>
                <w:lang w:val="ro-MD"/>
              </w:rPr>
              <w:t xml:space="preserve"> inovare, în cadrul gestiunii directe sau indirecte.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(7)   Resursele pentru obiectivul Cooperare teritorială europeană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reprezintă 2,4 % din resursele globale disponibile pentru angajamentul bugetar din fonduri pentru perioada 2021-2027 (și anume</w:t>
            </w:r>
            <w:r>
              <w:rPr>
                <w:rFonts w:ascii="Times New Roman" w:eastAsia="Arial Unicode MS" w:hAnsi="Times New Roman"/>
                <w:sz w:val="24"/>
                <w:szCs w:val="24"/>
                <w:lang w:val="ro-MD"/>
              </w:rPr>
              <w:t>, un total de 8 050 000 000 EUR).</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(8)   Cuantumul menționat la articolul 109 alineatul (1) al doilea paragraf face parte din resursele destinate obiectivului Investiții pentru ocuparea forței de muncă și creștere economică.</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111</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Transferabilitatea resurselor</w:t>
            </w:r>
          </w:p>
          <w:p w:rsidR="002F15D7" w:rsidRDefault="002F15D7">
            <w:pPr>
              <w:spacing w:after="0"/>
              <w:jc w:val="both"/>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Comisia poate accepta propunerea unui stat membru, formulată </w:t>
            </w:r>
            <w:r>
              <w:rPr>
                <w:rFonts w:ascii="Times New Roman" w:eastAsia="Arial Unicode MS" w:hAnsi="Times New Roman"/>
                <w:sz w:val="24"/>
                <w:szCs w:val="24"/>
                <w:lang w:val="ro-MD"/>
              </w:rPr>
              <w:t>în momentul transmiterii acordului de parteneriat sau în contextul evaluării intermediare, de a transfera:</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un cuantum de maximum 5 % din alocările inițiale pentru regiunile mai puțin dezvoltate către regiuni de tranziție sau regiuni mai dezvoltate și d</w:t>
                  </w:r>
                  <w:r>
                    <w:rPr>
                      <w:rFonts w:ascii="Times New Roman" w:eastAsia="Arial Unicode MS" w:hAnsi="Times New Roman"/>
                      <w:sz w:val="24"/>
                      <w:szCs w:val="24"/>
                      <w:lang w:val="ro-MD"/>
                    </w:rPr>
                    <w:t>e la regiunile de tranziție către regiuni mai dezvoltate;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din alocările pentru regiunile mai dezvoltate sau regiunile de tranziție către regiuni mai puțin dezvoltate și din alocările pentru regiunile mai dezvoltate către regiuni de tranziție.</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Prin d</w:t>
            </w:r>
            <w:r>
              <w:rPr>
                <w:rFonts w:ascii="Times New Roman" w:eastAsia="Arial Unicode MS" w:hAnsi="Times New Roman"/>
                <w:sz w:val="24"/>
                <w:szCs w:val="24"/>
                <w:lang w:val="ro-MD"/>
              </w:rPr>
              <w:t>erogare de la primul paragraf litera (a), Comisia poate accepta un transfer suplimentar de maximum 10 % din alocările totale pentru regiunile mai puțin dezvoltate către regiuni de tranziție sau regiuni mai dezvoltate în cazul statelor membre al căror VNB p</w:t>
            </w:r>
            <w:r>
              <w:rPr>
                <w:rFonts w:ascii="Times New Roman" w:eastAsia="Arial Unicode MS" w:hAnsi="Times New Roman"/>
                <w:sz w:val="24"/>
                <w:szCs w:val="24"/>
                <w:lang w:val="ro-MD"/>
              </w:rPr>
              <w:t>e cap de locuitor, măsurat în SPC pentru perioada 2015-2017, este mai mic de 90 % din VNB-</w:t>
            </w:r>
            <w:proofErr w:type="spellStart"/>
            <w:r>
              <w:rPr>
                <w:rFonts w:ascii="Times New Roman" w:eastAsia="Arial Unicode MS" w:hAnsi="Times New Roman"/>
                <w:sz w:val="24"/>
                <w:szCs w:val="24"/>
                <w:lang w:val="ro-MD"/>
              </w:rPr>
              <w:t>ul</w:t>
            </w:r>
            <w:proofErr w:type="spellEnd"/>
            <w:r>
              <w:rPr>
                <w:rFonts w:ascii="Times New Roman" w:eastAsia="Arial Unicode MS" w:hAnsi="Times New Roman"/>
                <w:sz w:val="24"/>
                <w:szCs w:val="24"/>
                <w:lang w:val="ro-MD"/>
              </w:rPr>
              <w:t xml:space="preserve"> mediu pe cap de locuitor al UE-27. Resursele oricărui transfer suplimentar sunt utilizate pentru a contribui la obiectivele de politică menționate la articolul 5 a</w:t>
            </w:r>
            <w:r>
              <w:rPr>
                <w:rFonts w:ascii="Times New Roman" w:eastAsia="Arial Unicode MS" w:hAnsi="Times New Roman"/>
                <w:sz w:val="24"/>
                <w:szCs w:val="24"/>
                <w:lang w:val="ro-MD"/>
              </w:rPr>
              <w:t>lineatul (1) literele (a) și (b).</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Alocările totale pentru fiecare stat membru în legătură cu obiectivul Investiții pentru ocuparea forței de muncă și creștere economică și obiectivul Cooperare teritorială europeană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nu sunt transferabile în</w:t>
            </w:r>
            <w:r>
              <w:rPr>
                <w:rFonts w:ascii="Times New Roman" w:eastAsia="Arial Unicode MS" w:hAnsi="Times New Roman"/>
                <w:sz w:val="24"/>
                <w:szCs w:val="24"/>
                <w:lang w:val="ro-MD"/>
              </w:rPr>
              <w:t>tre respectivele obiective.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(3)   Pentru a susține contribuția eficace a fondurilor la acțiunile menționate la articolul 5 alineatul (2) și prin derogare de la alineatul (2) de la prezentul articol, Comisia poate, în circumstanțe justificate în mod corespu</w:t>
            </w:r>
            <w:r>
              <w:rPr>
                <w:rFonts w:ascii="Times New Roman" w:eastAsia="Arial Unicode MS" w:hAnsi="Times New Roman"/>
                <w:sz w:val="24"/>
                <w:szCs w:val="24"/>
                <w:lang w:val="ro-MD"/>
              </w:rPr>
              <w:t>nzător și sub rezerva respectării condiției prevăzute la alineatul (4) de la prezentul articol, să accepte, prin intermediul unui act de punere în aplicare, propunerea unui stat membru, formulată cu ocazia transmiterii pentru prima dată a acordului de part</w:t>
            </w:r>
            <w:r>
              <w:rPr>
                <w:rFonts w:ascii="Times New Roman" w:eastAsia="Arial Unicode MS" w:hAnsi="Times New Roman"/>
                <w:sz w:val="24"/>
                <w:szCs w:val="24"/>
                <w:lang w:val="ro-MD"/>
              </w:rPr>
              <w:t>eneriat, de a transfera o parte din creditele sale destinate obiectivului Cooperare teritorială europeană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către obiectivul Investiții pentru ocuparea forței de muncă și creștere economică.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Partea care revine obiectivului Cooperare teritori</w:t>
            </w:r>
            <w:r>
              <w:rPr>
                <w:rFonts w:ascii="Times New Roman" w:eastAsia="Arial Unicode MS" w:hAnsi="Times New Roman"/>
                <w:sz w:val="24"/>
                <w:szCs w:val="24"/>
                <w:lang w:val="ro-MD"/>
              </w:rPr>
              <w:t>ală europeană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în statul membru care prezintă propunerea menționată la alineatul (3) nu reprezintă mai puțin de 35 % din cuantumul total alocat statului membru respectiv pentru obiectivul Investiții pentru ocuparea forței de muncă și creștere eco</w:t>
            </w:r>
            <w:r>
              <w:rPr>
                <w:rFonts w:ascii="Times New Roman" w:eastAsia="Arial Unicode MS" w:hAnsi="Times New Roman"/>
                <w:sz w:val="24"/>
                <w:szCs w:val="24"/>
                <w:lang w:val="ro-MD"/>
              </w:rPr>
              <w:t>nomică și pentru obiectivul Cooperare teritorială europeană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iar după transfer, nu reprezintă mai puțin de 25 % din cuantumul total respectiv.</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112</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Stabilirea ratelor de cofinanțare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w:t>
            </w:r>
            <w:r>
              <w:rPr>
                <w:rFonts w:ascii="Times New Roman" w:hAnsi="Times New Roman"/>
                <w:sz w:val="24"/>
                <w:szCs w:val="24"/>
                <w:lang w:val="ro-MD"/>
              </w:rPr>
              <w:t>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Decizia de aprobare a unui program stabilește rata de cofinanțare și cuantumul maxim al sprijinului din fonduri pentru fiecare prioritate.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Pentru fiecare prioritate, decizia Comisiei stabilește dacă rata de cofinanțare pentru prioritate se va aplica oricăreia dintre următoarele: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contribuția totală, inclusiv contribuția publică și privată;</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499"/>
              <w:gridCol w:w="3329"/>
            </w:tblGrid>
            <w:tr w:rsidR="002F15D7">
              <w:tblPrEx>
                <w:tblCellMar>
                  <w:top w:w="0" w:type="dxa"/>
                  <w:bottom w:w="0" w:type="dxa"/>
                </w:tblCellMar>
              </w:tblPrEx>
              <w:tc>
                <w:tcPr>
                  <w:tcW w:w="499"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329"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contribuția publică.</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(3)   Rata de </w:t>
            </w:r>
            <w:r>
              <w:rPr>
                <w:rFonts w:ascii="Times New Roman" w:eastAsia="Arial Unicode MS" w:hAnsi="Times New Roman"/>
                <w:sz w:val="24"/>
                <w:szCs w:val="24"/>
                <w:lang w:val="ro-MD"/>
              </w:rPr>
              <w:t>cofinanțare pentru obiectivul Investiții pentru ocuparea forței de muncă și creștere economică la nivelul fiecărei priorități nu poate depăși: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85 % pentru regiunile mai puțin dezvoltate;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70 % pentru regiunile de tranziție care au fost clasificate</w:t>
                  </w:r>
                  <w:r>
                    <w:rPr>
                      <w:rFonts w:ascii="Times New Roman" w:eastAsia="Arial Unicode MS" w:hAnsi="Times New Roman"/>
                      <w:sz w:val="24"/>
                      <w:szCs w:val="24"/>
                      <w:lang w:val="ro-MD"/>
                    </w:rPr>
                    <w:t xml:space="preserve"> ca regiuni mai puțin dezvoltate în perioada 2014-2020;</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8"/>
              <w:gridCol w:w="3540"/>
            </w:tblGrid>
            <w:tr w:rsidR="002F15D7">
              <w:tblPrEx>
                <w:tblCellMar>
                  <w:top w:w="0" w:type="dxa"/>
                  <w:bottom w:w="0" w:type="dxa"/>
                </w:tblCellMar>
              </w:tblPrEx>
              <w:tc>
                <w:tcPr>
                  <w:tcW w:w="28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4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60 % pentru regiunile de tranziție;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50 % pentru regiunile mai dezvoltate care au fost clasificate ca regiuni de tranziție sau care au avut un PIB pe cap de locuitor mai mic de 100 % din </w:t>
                  </w:r>
                  <w:r>
                    <w:rPr>
                      <w:rFonts w:ascii="Times New Roman" w:eastAsia="Arial Unicode MS" w:hAnsi="Times New Roman"/>
                      <w:sz w:val="24"/>
                      <w:szCs w:val="24"/>
                      <w:lang w:val="ro-MD"/>
                    </w:rPr>
                    <w:t>PIB-ul mediu al UE-27 în perioada 2014-2020;</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40 % pentru regiunile mai dezvoltate.</w:t>
                  </w:r>
                </w:p>
              </w:tc>
            </w:tr>
          </w:tbl>
          <w:p w:rsidR="002F15D7" w:rsidRDefault="006C2DA4">
            <w:pPr>
              <w:spacing w:after="0"/>
              <w:jc w:val="both"/>
            </w:pPr>
            <w:r>
              <w:rPr>
                <w:rFonts w:ascii="Times New Roman" w:eastAsia="Arial Unicode MS" w:hAnsi="Times New Roman"/>
                <w:sz w:val="24"/>
                <w:szCs w:val="24"/>
                <w:lang w:val="ro-MD"/>
              </w:rPr>
              <w:t xml:space="preserve">Ratele de cofinanțare prevăzute la primul paragraf litera (a) se aplică, de asemenea, regiunilor </w:t>
            </w:r>
            <w:proofErr w:type="spellStart"/>
            <w:r>
              <w:rPr>
                <w:rFonts w:ascii="Times New Roman" w:eastAsia="Arial Unicode MS" w:hAnsi="Times New Roman"/>
                <w:sz w:val="24"/>
                <w:szCs w:val="24"/>
                <w:lang w:val="ro-MD"/>
              </w:rPr>
              <w:t>ultraperiferice</w:t>
            </w:r>
            <w:proofErr w:type="spellEnd"/>
            <w:r>
              <w:rPr>
                <w:rFonts w:ascii="Times New Roman" w:eastAsia="Arial Unicode MS" w:hAnsi="Times New Roman"/>
                <w:i/>
                <w:iCs/>
                <w:sz w:val="24"/>
                <w:szCs w:val="24"/>
                <w:lang w:val="ro-MD"/>
              </w:rPr>
              <w:t>,</w:t>
            </w:r>
            <w:r>
              <w:rPr>
                <w:rFonts w:ascii="Times New Roman" w:eastAsia="Arial Unicode MS" w:hAnsi="Times New Roman"/>
                <w:sz w:val="24"/>
                <w:szCs w:val="24"/>
                <w:lang w:val="ro-MD"/>
              </w:rPr>
              <w:t xml:space="preserve"> inclusiv alocărilor suplimentare pentru regiunile </w:t>
            </w:r>
            <w:proofErr w:type="spellStart"/>
            <w:r>
              <w:rPr>
                <w:rFonts w:ascii="Times New Roman" w:eastAsia="Arial Unicode MS" w:hAnsi="Times New Roman"/>
                <w:sz w:val="24"/>
                <w:szCs w:val="24"/>
                <w:lang w:val="ro-MD"/>
              </w:rPr>
              <w:t>ultraperiferice</w:t>
            </w:r>
            <w:proofErr w:type="spellEnd"/>
            <w:r>
              <w:rPr>
                <w:rFonts w:ascii="Times New Roman" w:eastAsia="Arial Unicode MS" w:hAnsi="Times New Roman"/>
                <w:sz w:val="24"/>
                <w:szCs w:val="24"/>
                <w:lang w:val="ro-MD"/>
              </w:rPr>
              <w:t>.</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Rata de cofinanțare pentru Fondul de coeziune la nivelul fiecărei priorități nu depășește 85 %.</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Regulamentul FSE+ poate stabili rate de cofinanțare mai mari în conformitate cu articolele 10 și 14 din regulamentul respectiv.</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Rata de cofinan</w:t>
            </w:r>
            <w:r>
              <w:rPr>
                <w:rFonts w:ascii="Times New Roman" w:eastAsia="Arial Unicode MS" w:hAnsi="Times New Roman"/>
                <w:sz w:val="24"/>
                <w:szCs w:val="24"/>
                <w:lang w:val="ro-MD"/>
              </w:rPr>
              <w:t>ț</w:t>
            </w:r>
            <w:r>
              <w:rPr>
                <w:rFonts w:ascii="Times New Roman" w:eastAsia="Arial Unicode MS" w:hAnsi="Times New Roman"/>
                <w:sz w:val="24"/>
                <w:szCs w:val="24"/>
                <w:lang w:val="ro-MD"/>
              </w:rPr>
              <w:t>are, aplicabilă regiunii în care se află teritoriul sau teritoriile identificate în planurile teritoriale pentru o tranziție justă, pentru prioritatea sprijinită de FTJ nu depășește:</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85 % pentru regiunile mai puțin dezvoltate;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301"/>
              <w:gridCol w:w="3527"/>
            </w:tblGrid>
            <w:tr w:rsidR="002F15D7">
              <w:tblPrEx>
                <w:tblCellMar>
                  <w:top w:w="0" w:type="dxa"/>
                  <w:bottom w:w="0" w:type="dxa"/>
                </w:tblCellMar>
              </w:tblPrEx>
              <w:tc>
                <w:tcPr>
                  <w:tcW w:w="30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2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70 % pentru regiun</w:t>
                  </w:r>
                  <w:r>
                    <w:rPr>
                      <w:rFonts w:ascii="Times New Roman" w:eastAsia="Arial Unicode MS" w:hAnsi="Times New Roman"/>
                      <w:sz w:val="24"/>
                      <w:szCs w:val="24"/>
                      <w:lang w:val="ro-MD"/>
                    </w:rPr>
                    <w:t>ile de tranziție;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50 % pentru regiunile mai dezvoltate.</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(4)   Rata de cofinanțare pentru programele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xml:space="preserve"> nu depășește 80 %, cu excepția cazurilor în care Regulamentul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xml:space="preserve"> stabilește rate mai mari de cofinanțare pentru componenta </w:t>
            </w:r>
            <w:proofErr w:type="spellStart"/>
            <w:r>
              <w:rPr>
                <w:rFonts w:ascii="Times New Roman" w:eastAsia="Arial Unicode MS" w:hAnsi="Times New Roman"/>
                <w:sz w:val="24"/>
                <w:szCs w:val="24"/>
                <w:lang w:val="ro-MD"/>
              </w:rPr>
              <w:t>Interreg</w:t>
            </w:r>
            <w:proofErr w:type="spellEnd"/>
            <w:r>
              <w:rPr>
                <w:rFonts w:ascii="Times New Roman" w:eastAsia="Arial Unicode MS" w:hAnsi="Times New Roman"/>
                <w:sz w:val="24"/>
                <w:szCs w:val="24"/>
                <w:lang w:val="ro-MD"/>
              </w:rPr>
              <w:t xml:space="preserve"> D </w:t>
            </w:r>
            <w:r>
              <w:rPr>
                <w:rFonts w:ascii="Times New Roman" w:eastAsia="Arial Unicode MS" w:hAnsi="Times New Roman"/>
                <w:sz w:val="24"/>
                <w:szCs w:val="24"/>
                <w:lang w:val="ro-MD"/>
              </w:rPr>
              <w:t>ș</w:t>
            </w:r>
            <w:r>
              <w:rPr>
                <w:rFonts w:ascii="Times New Roman" w:eastAsia="Arial Unicode MS" w:hAnsi="Times New Roman"/>
                <w:sz w:val="24"/>
                <w:szCs w:val="24"/>
                <w:lang w:val="ro-MD"/>
              </w:rPr>
              <w:t>i pentru programele de cooperare transfrontalieră externă.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Ratele maxime de cofinanțare enumerate la alineatele (3) și (4) se majorează cu zece puncte procentuale pentru prioritățile realizate integral prin intermediul dezvoltării locale plasate sub</w:t>
            </w:r>
            <w:r>
              <w:rPr>
                <w:rFonts w:ascii="Times New Roman" w:eastAsia="Arial Unicode MS" w:hAnsi="Times New Roman"/>
                <w:sz w:val="24"/>
                <w:szCs w:val="24"/>
                <w:lang w:val="ro-MD"/>
              </w:rPr>
              <w:t xml:space="preserve"> responsabilitatea comunității.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Măsurile de asistență tehnică implementate la inițiativa sau în numele Comisiei pot fi finanțate la rata de 100 %.</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TITLUL IX</w:t>
            </w:r>
          </w:p>
          <w:p w:rsidR="002F15D7" w:rsidRDefault="006C2DA4">
            <w:pPr>
              <w:shd w:val="clear" w:color="auto" w:fill="FFFFFF"/>
              <w:suppressAutoHyphens w:val="0"/>
              <w:spacing w:after="0"/>
              <w:jc w:val="center"/>
              <w:rPr>
                <w:rFonts w:ascii="Times New Roman" w:eastAsia="Times New Roman" w:hAnsi="Times New Roman"/>
                <w:b/>
                <w:bCs/>
                <w:sz w:val="24"/>
                <w:szCs w:val="24"/>
                <w:lang w:val="ro-MD"/>
              </w:rPr>
            </w:pPr>
            <w:r>
              <w:rPr>
                <w:rFonts w:ascii="Times New Roman" w:eastAsia="Times New Roman" w:hAnsi="Times New Roman"/>
                <w:b/>
                <w:bCs/>
                <w:sz w:val="24"/>
                <w:szCs w:val="24"/>
                <w:lang w:val="ro-MD"/>
              </w:rPr>
              <w:t xml:space="preserve">DELEGAREA DE COMPETENȚE, DISPOZIȚII DE PUNERE ÎN APLICARE, DISPOZIȚII TRANZITORII ȘI </w:t>
            </w:r>
            <w:r>
              <w:rPr>
                <w:rFonts w:ascii="Times New Roman" w:eastAsia="Times New Roman" w:hAnsi="Times New Roman"/>
                <w:b/>
                <w:bCs/>
                <w:sz w:val="24"/>
                <w:szCs w:val="24"/>
                <w:lang w:val="ro-MD"/>
              </w:rPr>
              <w:t>FINALE</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Delegarea de competențe și dispoziții de punere în aplicare</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113</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Delegarea de competențe în ceea ce privește anumite anexe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w:t>
            </w:r>
            <w:r>
              <w:rPr>
                <w:rFonts w:ascii="Times New Roman" w:hAnsi="Times New Roman"/>
                <w:sz w:val="24"/>
                <w:szCs w:val="24"/>
                <w:lang w:val="ro-MD"/>
              </w:rPr>
              <w:t>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Comisia este împuternicită să adopte acte delegate în conformitate cu articolul 114 pentru a modifica anexele la prezentul regulament, cu excepția anexelor III, IV, XI, XIII, XIV, XVII și XXVI, în ved</w:t>
            </w:r>
            <w:r>
              <w:rPr>
                <w:rFonts w:ascii="Times New Roman" w:eastAsia="Arial Unicode MS" w:hAnsi="Times New Roman"/>
                <w:sz w:val="24"/>
                <w:szCs w:val="24"/>
                <w:lang w:val="ro-MD"/>
              </w:rPr>
              <w:t>erea adaptării lor la schimbările produse în timpul perioadei de programare.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114</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Exercitarea delegării de competențe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aplica direct și </w:t>
            </w:r>
            <w:r>
              <w:rPr>
                <w:rFonts w:ascii="Times New Roman" w:hAnsi="Times New Roman"/>
                <w:sz w:val="24"/>
                <w:szCs w:val="24"/>
                <w:lang w:val="ro-MD"/>
              </w:rPr>
              <w:t>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Competența de a adopta acte delegate este conferită Comisiei în condițiile prevăzute la prezentul articol.</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Competența de a adopta acte delegate menționată la articolul 79 alineatul (4), la articolul 94 ali</w:t>
            </w:r>
            <w:r>
              <w:rPr>
                <w:rFonts w:ascii="Times New Roman" w:eastAsia="Arial Unicode MS" w:hAnsi="Times New Roman"/>
                <w:sz w:val="24"/>
                <w:szCs w:val="24"/>
                <w:lang w:val="ro-MD"/>
              </w:rPr>
              <w:t>neatul (4), la articolul 95 alineatul (4) și la articolul 113 se conferă Comisiei pentru o perioadă nedeterminată începând cu 1 iulie 2021.</w:t>
            </w:r>
          </w:p>
          <w:p w:rsidR="002F15D7" w:rsidRDefault="006C2DA4">
            <w:pPr>
              <w:spacing w:after="0"/>
              <w:jc w:val="both"/>
            </w:pPr>
            <w:r>
              <w:rPr>
                <w:rFonts w:ascii="Times New Roman" w:eastAsia="Arial Unicode MS" w:hAnsi="Times New Roman"/>
                <w:sz w:val="24"/>
                <w:szCs w:val="24"/>
                <w:lang w:val="ro-MD"/>
              </w:rPr>
              <w:t>(3)   Delegarea de competențe menționată la articolul 79 alineatul (4), la articolul 94 alineatul (4), la articolul </w:t>
            </w:r>
            <w:r>
              <w:rPr>
                <w:rFonts w:ascii="Times New Roman" w:eastAsia="Arial Unicode MS" w:hAnsi="Times New Roman"/>
                <w:sz w:val="24"/>
                <w:szCs w:val="24"/>
                <w:lang w:val="ro-MD"/>
              </w:rPr>
              <w:t>95 alineatul (4), la articolul 113 și la articolul 117 alineatul (2) poate fi revocată oricând de Parlamentul European sau de Consiliu. O decizie de revocare pune capăt delegării de competențe specificate în decizia respectivă. Decizia produce efecte din z</w:t>
            </w:r>
            <w:r>
              <w:rPr>
                <w:rFonts w:ascii="Times New Roman" w:eastAsia="Arial Unicode MS" w:hAnsi="Times New Roman"/>
                <w:sz w:val="24"/>
                <w:szCs w:val="24"/>
                <w:lang w:val="ro-MD"/>
              </w:rPr>
              <w:t>iua care urmează datei publicării acesteia în </w:t>
            </w:r>
            <w:r>
              <w:rPr>
                <w:rFonts w:ascii="Times New Roman" w:eastAsia="Arial Unicode MS" w:hAnsi="Times New Roman"/>
                <w:i/>
                <w:iCs/>
                <w:sz w:val="24"/>
                <w:szCs w:val="24"/>
                <w:lang w:val="ro-MD"/>
              </w:rPr>
              <w:t>Jurnalul Oficial al Uniunii Europene</w:t>
            </w:r>
            <w:r>
              <w:rPr>
                <w:rFonts w:ascii="Times New Roman" w:eastAsia="Arial Unicode MS" w:hAnsi="Times New Roman"/>
                <w:sz w:val="24"/>
                <w:szCs w:val="24"/>
                <w:lang w:val="ro-MD"/>
              </w:rPr>
              <w:t> sau de la o dată ulterioară menționată în decizie. Decizia nu aduce atingere actelor delegate care sunt deja în vigoare.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(4)   Înainte de adoptarea unui act delegat, Comisia</w:t>
            </w:r>
            <w:r>
              <w:rPr>
                <w:rFonts w:ascii="Times New Roman" w:eastAsia="Arial Unicode MS" w:hAnsi="Times New Roman"/>
                <w:sz w:val="24"/>
                <w:szCs w:val="24"/>
                <w:lang w:val="ro-MD"/>
              </w:rPr>
              <w:t xml:space="preserve"> consultă experții desemnați de fiecare stat membru în conformitate cu principiile prevăzute în Acordul interinstituțional din 13 aprilie 2016 privind o mai bună legiferare.</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(5)   De îndată ce adoptă un act delegat, Comisia îl notifică simultan Parlamentul</w:t>
            </w:r>
            <w:r>
              <w:rPr>
                <w:rFonts w:ascii="Times New Roman" w:eastAsia="Arial Unicode MS" w:hAnsi="Times New Roman"/>
                <w:sz w:val="24"/>
                <w:szCs w:val="24"/>
                <w:lang w:val="ro-MD"/>
              </w:rPr>
              <w:t>ui European și Consiliului.</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(6)   Un act delegat adoptat în temeiul articolului 79 alineatul (4), al articolului 94 alineatul (4), al articolului 95 alineatul (4), al articolului 113 și al articolului 117 alineatul (2) intră în vigoare numai în cazul în ca</w:t>
            </w:r>
            <w:r>
              <w:rPr>
                <w:rFonts w:ascii="Times New Roman" w:eastAsia="Arial Unicode MS" w:hAnsi="Times New Roman"/>
                <w:sz w:val="24"/>
                <w:szCs w:val="24"/>
                <w:lang w:val="ro-MD"/>
              </w:rPr>
              <w:t>re nici Parlamentul European și nici Consiliul nu au formulat obiecții în termen de două luni de la notificarea acestuia către Parlamentul European și Consiliu sau în cazul în care, înaintea expirării termenului respectiv, Parlamentul European și Consiliul</w:t>
            </w:r>
            <w:r>
              <w:rPr>
                <w:rFonts w:ascii="Times New Roman" w:eastAsia="Arial Unicode MS" w:hAnsi="Times New Roman"/>
                <w:sz w:val="24"/>
                <w:szCs w:val="24"/>
                <w:lang w:val="ro-MD"/>
              </w:rPr>
              <w:t xml:space="preserve"> au informat Comisia că nu vor formula obiecții. Acest termen se prelungește cu două luni la inițiativa Parlamentului European sau a Consiliului.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115</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Procedura comitetului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w:t>
            </w:r>
            <w:r>
              <w:rPr>
                <w:rFonts w:ascii="Times New Roman" w:hAnsi="Times New Roman"/>
                <w:sz w:val="24"/>
                <w:szCs w:val="24"/>
                <w:lang w:val="ro-MD"/>
              </w:rPr>
              <w:t>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Comisia este asistată de un comitet. Comitetul respectiv este un comitet în înțelesul Regulamentului (UE) nr. 182/2011.</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Atunci când se face trimitere la p</w:t>
            </w:r>
            <w:r>
              <w:rPr>
                <w:rFonts w:ascii="Times New Roman" w:eastAsia="Arial Unicode MS" w:hAnsi="Times New Roman"/>
                <w:sz w:val="24"/>
                <w:szCs w:val="24"/>
                <w:lang w:val="ro-MD"/>
              </w:rPr>
              <w:t>rezentul alineat, se aplică articolul 4 din Regulamentul (UE) nr. 182/2011.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Capitolul II</w:t>
            </w:r>
          </w:p>
          <w:p w:rsidR="002F15D7" w:rsidRDefault="006C2DA4">
            <w:pPr>
              <w:shd w:val="clear" w:color="auto" w:fill="FFFFFF"/>
              <w:suppressAutoHyphens w:val="0"/>
              <w:spacing w:after="0"/>
              <w:jc w:val="center"/>
            </w:pPr>
            <w:r>
              <w:rPr>
                <w:rFonts w:ascii="Times New Roman" w:eastAsia="Times New Roman" w:hAnsi="Times New Roman"/>
                <w:b/>
                <w:bCs/>
                <w:i/>
                <w:iCs/>
                <w:sz w:val="24"/>
                <w:szCs w:val="24"/>
                <w:lang w:val="ro-MD"/>
              </w:rPr>
              <w:t>Dispoziții tranzitorii și finale</w:t>
            </w:r>
          </w:p>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116</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Revizuire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 xml:space="preserve">Odată cu aderarea Republicii Moldova la Uniunea Europeană, acestea se vor </w:t>
            </w:r>
            <w:r>
              <w:rPr>
                <w:rFonts w:ascii="Times New Roman" w:hAnsi="Times New Roman"/>
                <w:sz w:val="24"/>
                <w:szCs w:val="24"/>
                <w:lang w:val="ro-MD"/>
              </w:rPr>
              <w:t>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Parlamentul European și Consiliul revizuiesc prezentul regulament până la 31 decembrie 2027, în conformitate cu articolul 177 din TFUE.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117</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Dispoziții tranzitorii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(1)   Regulamentul (UE) nr. 1303/2013 sau orice alt act aplicabil perioadei de programare 2014-2020 continuă să s</w:t>
            </w:r>
            <w:r>
              <w:rPr>
                <w:rFonts w:ascii="Times New Roman" w:eastAsia="Arial Unicode MS" w:hAnsi="Times New Roman"/>
                <w:sz w:val="24"/>
                <w:szCs w:val="24"/>
                <w:lang w:val="ro-MD"/>
              </w:rPr>
              <w:t>e aplice doar programelor operaționale și operațiunilor sprijinite de FEDR, de Fondul social european, de Fondul de coeziune și de Fondul european pentru afaceri maritime, pescuit și acvacultură în perioada respectivă.</w:t>
            </w:r>
          </w:p>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(2)   Împuternicirea conferită </w:t>
            </w:r>
            <w:r>
              <w:rPr>
                <w:rFonts w:ascii="Times New Roman" w:eastAsia="Arial Unicode MS" w:hAnsi="Times New Roman"/>
                <w:sz w:val="24"/>
                <w:szCs w:val="24"/>
                <w:lang w:val="ro-MD"/>
              </w:rPr>
              <w:t>Comisiei la articolul 5 alineatul (3) din Regulamentul (UE) nr. 1303/2013 de a adopta un act delegat pentru a oferi un cod european de conduită privind parteneriatul rămâne în vigoare pentru perioada de programare 2021-2027. Delegarea de competențe se exer</w:t>
            </w:r>
            <w:r>
              <w:rPr>
                <w:rFonts w:ascii="Times New Roman" w:eastAsia="Arial Unicode MS" w:hAnsi="Times New Roman"/>
                <w:sz w:val="24"/>
                <w:szCs w:val="24"/>
                <w:lang w:val="ro-MD"/>
              </w:rPr>
              <w:t>cită în conformitate cu articolul 114 din prezentul regulament.</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118</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Condiții aplicabile operațiunilor care fac obiectul unei implementări etapizate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w:t>
            </w:r>
            <w:r>
              <w:rPr>
                <w:rFonts w:ascii="Times New Roman" w:hAnsi="Times New Roman"/>
                <w:sz w:val="24"/>
                <w:szCs w:val="24"/>
                <w:lang w:val="ro-MD"/>
              </w:rPr>
              <w:t xml:space="preserve">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(1)   Autoritatea de management poate proceda la selectarea unei operațiuni care constituie a doua etapă a unei operațiuni selectate pentru sprijin și începute în conformitate cu Regulamentul </w:t>
            </w:r>
            <w:r>
              <w:rPr>
                <w:rFonts w:ascii="Times New Roman" w:eastAsia="Arial Unicode MS" w:hAnsi="Times New Roman"/>
                <w:sz w:val="24"/>
                <w:szCs w:val="24"/>
                <w:lang w:val="ro-MD"/>
              </w:rPr>
              <w:t>(UE) nr. 1303/2013, cu condiția să fie îndeplinite cumulativ următoarele condiții:</w:t>
            </w: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(a)</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operațiunea selectată pentru sprijin în temeiul Regulamentului (UE) nr. 1303/2013 are două etape identificabile din punct de vedere financiar cu piste de audit separate;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(b)</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costul total al operațiunii menționate la litera (a) depășește 5 000 000 EUR;</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cheltuielile incluse într-o cerere de plată aferentă primei etape nu sunt incluse în nicio cerere de plată aferentă celei de a doua etape;</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80"/>
              <w:gridCol w:w="3548"/>
            </w:tblGrid>
            <w:tr w:rsidR="002F15D7">
              <w:tblPrEx>
                <w:tblCellMar>
                  <w:top w:w="0" w:type="dxa"/>
                  <w:bottom w:w="0" w:type="dxa"/>
                </w:tblCellMar>
              </w:tblPrEx>
              <w:tc>
                <w:tcPr>
                  <w:tcW w:w="280"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(d)</w:t>
                  </w:r>
                </w:p>
              </w:tc>
              <w:tc>
                <w:tcPr>
                  <w:tcW w:w="3548"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 xml:space="preserve">a doua etapă a </w:t>
                  </w:r>
                  <w:r>
                    <w:rPr>
                      <w:rFonts w:ascii="Times New Roman" w:eastAsia="Arial Unicode MS" w:hAnsi="Times New Roman"/>
                      <w:sz w:val="24"/>
                      <w:szCs w:val="24"/>
                      <w:lang w:val="ro-MD"/>
                    </w:rPr>
                    <w:t>operațiunii respectă legislația aplicabilă și este eligibilă pentru a beneficia de sprijin din FEDR, FSE+, Fondul de coeziune sau FEAMPA în temeiul dispozițiilor prezentului regulament sau ale regulamentelor specifice fiecărui fond;</w:t>
                  </w:r>
                </w:p>
              </w:tc>
            </w:tr>
          </w:tbl>
          <w:p w:rsidR="002F15D7" w:rsidRDefault="002F15D7">
            <w:pPr>
              <w:spacing w:after="0"/>
              <w:jc w:val="both"/>
              <w:rPr>
                <w:rFonts w:ascii="Times New Roman" w:eastAsia="Arial Unicode MS" w:hAnsi="Times New Roman"/>
                <w:vanish/>
                <w:sz w:val="24"/>
                <w:szCs w:val="24"/>
                <w:lang w:val="ro-MD"/>
              </w:rPr>
            </w:pPr>
          </w:p>
          <w:tbl>
            <w:tblPr>
              <w:tblW w:w="5000" w:type="pct"/>
              <w:tblCellMar>
                <w:left w:w="10" w:type="dxa"/>
                <w:right w:w="10" w:type="dxa"/>
              </w:tblCellMar>
              <w:tblLook w:val="04A0" w:firstRow="1" w:lastRow="0" w:firstColumn="1" w:lastColumn="0" w:noHBand="0" w:noVBand="1"/>
            </w:tblPr>
            <w:tblGrid>
              <w:gridCol w:w="267"/>
              <w:gridCol w:w="3561"/>
            </w:tblGrid>
            <w:tr w:rsidR="002F15D7">
              <w:tblPrEx>
                <w:tblCellMar>
                  <w:top w:w="0" w:type="dxa"/>
                  <w:bottom w:w="0" w:type="dxa"/>
                </w:tblCellMar>
              </w:tblPrEx>
              <w:tc>
                <w:tcPr>
                  <w:tcW w:w="267"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(e)</w:t>
                  </w:r>
                </w:p>
              </w:tc>
              <w:tc>
                <w:tcPr>
                  <w:tcW w:w="3561" w:type="dxa"/>
                  <w:shd w:val="clear" w:color="auto" w:fill="auto"/>
                  <w:tcMar>
                    <w:top w:w="0" w:type="dxa"/>
                    <w:left w:w="0" w:type="dxa"/>
                    <w:bottom w:w="0" w:type="dxa"/>
                    <w:right w:w="0" w:type="dxa"/>
                  </w:tcMar>
                </w:tcPr>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în raportul final</w:t>
                  </w:r>
                  <w:r>
                    <w:rPr>
                      <w:rFonts w:ascii="Times New Roman" w:eastAsia="Arial Unicode MS" w:hAnsi="Times New Roman"/>
                      <w:sz w:val="24"/>
                      <w:szCs w:val="24"/>
                      <w:lang w:val="ro-MD"/>
                    </w:rPr>
                    <w:t xml:space="preserve"> de implementare sau, în contextul Fondului european pentru afaceri maritime, pescuit și acvacultură, în ultimul raport anual de implementare prezentat în conformitate cu articolul 141 din Regulamentul (UE) nr. 1303/2013, statul membru se angajează să fina</w:t>
                  </w:r>
                  <w:r>
                    <w:rPr>
                      <w:rFonts w:ascii="Times New Roman" w:eastAsia="Arial Unicode MS" w:hAnsi="Times New Roman"/>
                      <w:sz w:val="24"/>
                      <w:szCs w:val="24"/>
                      <w:lang w:val="ro-MD"/>
                    </w:rPr>
                    <w:t>lizeze a doua etapă, cea finală, în cursul perioadei de programare și să se asigure că aceasta devine operațională.</w:t>
                  </w:r>
                </w:p>
              </w:tc>
            </w:tr>
          </w:tbl>
          <w:p w:rsidR="002F15D7" w:rsidRDefault="006C2DA4">
            <w:pPr>
              <w:spacing w:after="0"/>
              <w:jc w:val="both"/>
              <w:rPr>
                <w:rFonts w:ascii="Times New Roman" w:eastAsia="Arial Unicode MS" w:hAnsi="Times New Roman"/>
                <w:sz w:val="24"/>
                <w:szCs w:val="24"/>
                <w:lang w:val="ro-MD"/>
              </w:rPr>
            </w:pPr>
            <w:r>
              <w:rPr>
                <w:rFonts w:ascii="Times New Roman" w:eastAsia="Arial Unicode MS" w:hAnsi="Times New Roman"/>
                <w:sz w:val="24"/>
                <w:szCs w:val="24"/>
                <w:lang w:val="ro-MD"/>
              </w:rPr>
              <w:t>(2)   Dispozițiile prezentului regulament se aplică celei de a doua etape a operațiunii.</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i/>
                <w:iCs/>
                <w:sz w:val="24"/>
                <w:szCs w:val="24"/>
                <w:lang w:val="ro-MD"/>
              </w:rPr>
            </w:pPr>
            <w:r>
              <w:rPr>
                <w:rFonts w:ascii="Times New Roman" w:eastAsia="Times New Roman" w:hAnsi="Times New Roman"/>
                <w:i/>
                <w:iCs/>
                <w:sz w:val="24"/>
                <w:szCs w:val="24"/>
                <w:lang w:val="ro-MD"/>
              </w:rPr>
              <w:t>Articolul 119</w:t>
            </w:r>
          </w:p>
          <w:p w:rsidR="002F15D7" w:rsidRDefault="006C2DA4">
            <w:pPr>
              <w:shd w:val="clear" w:color="auto" w:fill="FFFFFF"/>
              <w:suppressAutoHyphens w:val="0"/>
              <w:spacing w:after="0"/>
              <w:jc w:val="center"/>
            </w:pPr>
            <w:r>
              <w:rPr>
                <w:rFonts w:ascii="Times New Roman" w:eastAsia="Times New Roman" w:hAnsi="Times New Roman"/>
                <w:b/>
                <w:bCs/>
                <w:sz w:val="24"/>
                <w:szCs w:val="24"/>
                <w:lang w:val="ro-MD"/>
              </w:rPr>
              <w:t>Intrare în vigoare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7"/>
              </w:numPr>
              <w:tabs>
                <w:tab w:val="left" w:pos="250"/>
                <w:tab w:val="left" w:pos="340"/>
              </w:tabs>
              <w:spacing w:after="0"/>
              <w:jc w:val="center"/>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7"/>
              </w:num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numPr>
                <w:ilvl w:val="0"/>
                <w:numId w:val="7"/>
              </w:numPr>
              <w:spacing w:after="0"/>
              <w:jc w:val="center"/>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eastAsia="Arial Unicode MS" w:hAnsi="Times New Roman"/>
                <w:sz w:val="24"/>
                <w:szCs w:val="24"/>
                <w:lang w:val="ro-MD"/>
              </w:rPr>
              <w:t>Prezentul</w:t>
            </w:r>
            <w:r>
              <w:rPr>
                <w:rFonts w:ascii="Times New Roman" w:eastAsia="Arial Unicode MS" w:hAnsi="Times New Roman"/>
                <w:sz w:val="24"/>
                <w:szCs w:val="24"/>
                <w:lang w:val="ro-MD"/>
              </w:rPr>
              <w:t xml:space="preserve"> regulament intră în vigoare în ziua următoare datei publicării în </w:t>
            </w:r>
            <w:r>
              <w:rPr>
                <w:rFonts w:ascii="Times New Roman" w:eastAsia="Arial Unicode MS" w:hAnsi="Times New Roman"/>
                <w:i/>
                <w:iCs/>
                <w:sz w:val="24"/>
                <w:szCs w:val="24"/>
                <w:lang w:val="ro-MD"/>
              </w:rPr>
              <w:t>Jurnalul Oficial al Uniunii Europene</w:t>
            </w:r>
            <w:r>
              <w:rPr>
                <w:rFonts w:ascii="Times New Roman" w:eastAsia="Arial Unicode MS" w:hAnsi="Times New Roman"/>
                <w:sz w:val="24"/>
                <w:szCs w:val="24"/>
                <w:lang w:val="ro-MD"/>
              </w:rPr>
              <w:t>.</w:t>
            </w:r>
          </w:p>
          <w:p w:rsidR="002F15D7" w:rsidRDefault="006C2DA4">
            <w:pPr>
              <w:spacing w:after="0"/>
              <w:jc w:val="both"/>
            </w:pPr>
            <w:r>
              <w:rPr>
                <w:rFonts w:ascii="Times New Roman" w:eastAsia="Arial Unicode MS" w:hAnsi="Times New Roman"/>
                <w:sz w:val="24"/>
                <w:szCs w:val="24"/>
                <w:lang w:val="ro-MD"/>
              </w:rPr>
              <w:t>Prezentul regulament este obligatoriu în toate elementele sale și se aplică direct în statele membre în conformitate cu tratatele.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pStyle w:val="Listparagraf"/>
              <w:tabs>
                <w:tab w:val="left" w:pos="250"/>
                <w:tab w:val="left" w:pos="340"/>
              </w:tabs>
              <w:spacing w:after="0"/>
              <w:ind w:left="-20"/>
              <w:jc w:val="both"/>
              <w:rPr>
                <w:rFonts w:ascii="Times New Roman" w:hAnsi="Times New Roman"/>
                <w:sz w:val="24"/>
                <w:szCs w:val="24"/>
                <w:lang w:val="ro-MD"/>
              </w:rPr>
            </w:pP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center"/>
              <w:rPr>
                <w:rFonts w:ascii="Times New Roman" w:hAnsi="Times New Roman"/>
                <w:b/>
                <w:bCs/>
                <w:sz w:val="24"/>
                <w:szCs w:val="24"/>
                <w:lang w:val="ro-MD"/>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2F15D7">
            <w:pPr>
              <w:spacing w:after="0"/>
              <w:jc w:val="both"/>
              <w:rPr>
                <w:rFonts w:ascii="Times New Roman" w:hAnsi="Times New Roman"/>
                <w:sz w:val="24"/>
                <w:szCs w:val="24"/>
                <w:lang w:val="ro-MD"/>
              </w:rPr>
            </w:pP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eastAsia="Arial Unicode MS" w:hAnsi="Times New Roman"/>
                <w:b/>
                <w:bCs/>
                <w:sz w:val="20"/>
                <w:szCs w:val="20"/>
                <w:lang w:val="ro-MD"/>
              </w:rPr>
            </w:pPr>
            <w:r>
              <w:rPr>
                <w:rFonts w:ascii="Times New Roman" w:eastAsia="Arial Unicode MS" w:hAnsi="Times New Roman"/>
                <w:b/>
                <w:bCs/>
                <w:sz w:val="20"/>
                <w:szCs w:val="20"/>
                <w:lang w:val="ro-MD"/>
              </w:rPr>
              <w:t>ANEXA I</w:t>
            </w:r>
          </w:p>
          <w:p w:rsidR="002F15D7" w:rsidRDefault="006C2DA4">
            <w:pPr>
              <w:spacing w:after="0"/>
              <w:jc w:val="center"/>
            </w:pPr>
            <w:r>
              <w:rPr>
                <w:rFonts w:ascii="Times New Roman" w:eastAsia="Arial Unicode MS" w:hAnsi="Times New Roman"/>
                <w:b/>
                <w:bCs/>
                <w:i/>
                <w:iCs/>
                <w:sz w:val="20"/>
                <w:szCs w:val="20"/>
                <w:lang w:val="ro-MD"/>
              </w:rPr>
              <w:t>DIMENSIUNI ȘI CODURI AFERENTE TIPURILOR DE INTERVENȚII PENTRU FEDR, FSE+, FONDUL DE COEZIUNE ȘI FTJ - ARTICOLUL 22 ALINEATUL (5)</w:t>
            </w:r>
          </w:p>
          <w:p w:rsidR="002F15D7" w:rsidRDefault="002F15D7">
            <w:pPr>
              <w:spacing w:after="0"/>
              <w:jc w:val="center"/>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w:t>
            </w:r>
            <w:r>
              <w:rPr>
                <w:rFonts w:ascii="Times New Roman" w:hAnsi="Times New Roman"/>
                <w:sz w:val="24"/>
                <w:szCs w:val="24"/>
                <w:lang w:val="ro-MD"/>
              </w:rPr>
              <w: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eastAsia="Arial Unicode MS" w:hAnsi="Times New Roman"/>
                <w:b/>
                <w:bCs/>
                <w:sz w:val="20"/>
                <w:szCs w:val="20"/>
                <w:lang w:val="ro-MD"/>
              </w:rPr>
            </w:pPr>
            <w:r>
              <w:rPr>
                <w:rFonts w:ascii="Times New Roman" w:eastAsia="Arial Unicode MS" w:hAnsi="Times New Roman"/>
                <w:b/>
                <w:bCs/>
                <w:sz w:val="20"/>
                <w:szCs w:val="20"/>
                <w:lang w:val="ro-MD"/>
              </w:rPr>
              <w:t>ANEXA II</w:t>
            </w:r>
          </w:p>
          <w:p w:rsidR="002F15D7" w:rsidRDefault="006C2DA4">
            <w:pPr>
              <w:spacing w:after="0"/>
              <w:jc w:val="center"/>
            </w:pPr>
            <w:r>
              <w:rPr>
                <w:rFonts w:ascii="Times New Roman" w:eastAsia="Arial Unicode MS" w:hAnsi="Times New Roman"/>
                <w:b/>
                <w:bCs/>
                <w:i/>
                <w:iCs/>
                <w:sz w:val="20"/>
                <w:szCs w:val="20"/>
                <w:lang w:val="ro-MD"/>
              </w:rPr>
              <w:t>Model de Acord de Parteneriat – Articolul 10 alineatul (6)</w:t>
            </w:r>
            <w:r>
              <w:rPr>
                <w:rFonts w:ascii="Times New Roman" w:eastAsia="Arial Unicode MS" w:hAnsi="Times New Roman"/>
                <w:b/>
                <w:bCs/>
                <w:sz w:val="20"/>
                <w:szCs w:val="20"/>
                <w:lang w:val="ro-MD"/>
              </w:rPr>
              <w:t>  </w:t>
            </w:r>
            <w:hyperlink r:id="rId28" w:history="1">
              <w:r>
                <w:rPr>
                  <w:rStyle w:val="Hyperlink"/>
                  <w:rFonts w:ascii="Times New Roman" w:eastAsia="Arial Unicode MS" w:hAnsi="Times New Roman"/>
                  <w:b/>
                  <w:bCs/>
                  <w:color w:val="auto"/>
                  <w:sz w:val="20"/>
                  <w:szCs w:val="20"/>
                  <w:lang w:val="ro-MD"/>
                </w:rPr>
                <w:t>(</w:t>
              </w:r>
              <w:r>
                <w:rPr>
                  <w:rStyle w:val="Hyperlink"/>
                  <w:rFonts w:ascii="Times New Roman" w:eastAsia="Arial Unicode MS" w:hAnsi="Times New Roman"/>
                  <w:b/>
                  <w:bCs/>
                  <w:color w:val="auto"/>
                  <w:sz w:val="20"/>
                  <w:szCs w:val="20"/>
                  <w:vertAlign w:val="superscript"/>
                  <w:lang w:val="ro-MD"/>
                </w:rPr>
                <w:t>1</w:t>
              </w:r>
              <w:r>
                <w:rPr>
                  <w:rStyle w:val="Hyperlink"/>
                  <w:rFonts w:ascii="Times New Roman" w:eastAsia="Arial Unicode MS" w:hAnsi="Times New Roman"/>
                  <w:b/>
                  <w:bCs/>
                  <w:color w:val="auto"/>
                  <w:sz w:val="20"/>
                  <w:szCs w:val="20"/>
                  <w:lang w:val="ro-MD"/>
                </w:rPr>
                <w:t>)</w:t>
              </w:r>
            </w:hyperlink>
          </w:p>
          <w:p w:rsidR="002F15D7" w:rsidRDefault="002F15D7">
            <w:pPr>
              <w:spacing w:after="0"/>
              <w:jc w:val="center"/>
              <w:rPr>
                <w:rFonts w:ascii="Times New Roman" w:eastAsia="Arial Unicode MS" w:hAnsi="Times New Roman"/>
                <w:sz w:val="24"/>
                <w:szCs w:val="24"/>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rPr>
                <w:rFonts w:ascii="Times New Roman" w:hAnsi="Times New Roman"/>
                <w:sz w:val="24"/>
                <w:szCs w:val="24"/>
                <w:lang w:val="ro-MD"/>
              </w:rP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hAnsi="Times New Roman"/>
                <w:b/>
                <w:bCs/>
                <w:sz w:val="24"/>
                <w:szCs w:val="24"/>
                <w:lang w:val="ro-MD"/>
              </w:rPr>
            </w:pPr>
            <w:r>
              <w:rPr>
                <w:rFonts w:ascii="Times New Roman" w:hAnsi="Times New Roman"/>
                <w:b/>
                <w:bCs/>
                <w:sz w:val="24"/>
                <w:szCs w:val="24"/>
                <w:lang w:val="ro-MD"/>
              </w:rPr>
              <w:t xml:space="preserve">Prevederi </w:t>
            </w:r>
            <w:r>
              <w:rPr>
                <w:rFonts w:ascii="Times New Roman" w:hAnsi="Times New Roman"/>
                <w:b/>
                <w:bCs/>
                <w:sz w:val="24"/>
                <w:szCs w:val="24"/>
                <w:lang w:val="ro-MD"/>
              </w:rPr>
              <w:t>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rPr>
                <w:rFonts w:ascii="Times New Roman" w:hAnsi="Times New Roman"/>
                <w:sz w:val="24"/>
                <w:szCs w:val="24"/>
                <w:lang w:val="ro-MD"/>
              </w:rPr>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eastAsia="Arial Unicode MS" w:hAnsi="Times New Roman"/>
                <w:b/>
                <w:bCs/>
                <w:sz w:val="20"/>
                <w:szCs w:val="20"/>
                <w:lang w:val="ro-MD"/>
              </w:rPr>
            </w:pPr>
            <w:r>
              <w:rPr>
                <w:rFonts w:ascii="Times New Roman" w:eastAsia="Arial Unicode MS" w:hAnsi="Times New Roman"/>
                <w:b/>
                <w:bCs/>
                <w:sz w:val="20"/>
                <w:szCs w:val="20"/>
                <w:lang w:val="ro-MD"/>
              </w:rPr>
              <w:t>ANEXA III</w:t>
            </w:r>
          </w:p>
          <w:p w:rsidR="002F15D7" w:rsidRDefault="006C2DA4">
            <w:pPr>
              <w:spacing w:after="0"/>
              <w:jc w:val="center"/>
            </w:pPr>
            <w:r>
              <w:rPr>
                <w:rFonts w:ascii="Times New Roman" w:eastAsia="Arial Unicode MS" w:hAnsi="Times New Roman"/>
                <w:b/>
                <w:bCs/>
                <w:i/>
                <w:iCs/>
                <w:sz w:val="20"/>
                <w:szCs w:val="20"/>
                <w:lang w:val="ro-MD"/>
              </w:rPr>
              <w:t>CONDIȚII FAVORIZANTE ORIZONTALE – ARTICOLUL 15 ALINEATUL (1)</w:t>
            </w:r>
          </w:p>
          <w:p w:rsidR="002F15D7" w:rsidRDefault="002F15D7">
            <w:pPr>
              <w:spacing w:after="0"/>
              <w:jc w:val="center"/>
              <w:rPr>
                <w:rFonts w:ascii="Times New Roman" w:eastAsia="Arial Unicode MS" w:hAnsi="Times New Roman"/>
                <w:sz w:val="20"/>
                <w:szCs w:val="20"/>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 xml:space="preserve">Odată cu </w:t>
            </w:r>
            <w:r>
              <w:rPr>
                <w:rFonts w:ascii="Times New Roman" w:hAnsi="Times New Roman"/>
                <w:sz w:val="24"/>
                <w:szCs w:val="24"/>
                <w:lang w:val="ro-MD"/>
              </w:rPr>
              <w:t>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eastAsia="Arial Unicode MS" w:hAnsi="Times New Roman"/>
                <w:b/>
                <w:bCs/>
                <w:sz w:val="20"/>
                <w:szCs w:val="20"/>
                <w:lang w:val="ro-MD"/>
              </w:rPr>
            </w:pPr>
            <w:r>
              <w:rPr>
                <w:rFonts w:ascii="Times New Roman" w:eastAsia="Arial Unicode MS" w:hAnsi="Times New Roman"/>
                <w:b/>
                <w:bCs/>
                <w:sz w:val="20"/>
                <w:szCs w:val="20"/>
                <w:lang w:val="ro-MD"/>
              </w:rPr>
              <w:t>ANEXA IV</w:t>
            </w:r>
          </w:p>
          <w:p w:rsidR="002F15D7" w:rsidRDefault="006C2DA4">
            <w:pPr>
              <w:spacing w:after="0"/>
              <w:jc w:val="center"/>
            </w:pPr>
            <w:r>
              <w:rPr>
                <w:rFonts w:ascii="Times New Roman" w:eastAsia="Arial Unicode MS" w:hAnsi="Times New Roman"/>
                <w:b/>
                <w:bCs/>
                <w:i/>
                <w:iCs/>
                <w:sz w:val="20"/>
                <w:szCs w:val="20"/>
                <w:lang w:val="ro-MD"/>
              </w:rPr>
              <w:t>CONDIȚII FAVORIZANTE TEMATICE APLICABILE FEDR, FSE+ ȘI FONDULUI DE COEZIUNE – ARTICOLUL 15 ALINEATUL (1)</w:t>
            </w:r>
          </w:p>
          <w:p w:rsidR="002F15D7" w:rsidRDefault="002F15D7">
            <w:pPr>
              <w:spacing w:after="0"/>
              <w:jc w:val="center"/>
              <w:rPr>
                <w:rFonts w:ascii="Times New Roman" w:eastAsia="Arial Unicode MS" w:hAnsi="Times New Roman"/>
                <w:sz w:val="20"/>
                <w:szCs w:val="20"/>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eastAsia="Arial Unicode MS" w:hAnsi="Times New Roman"/>
                <w:b/>
                <w:bCs/>
                <w:sz w:val="20"/>
                <w:szCs w:val="20"/>
                <w:lang w:val="ro-MD"/>
              </w:rPr>
            </w:pPr>
            <w:r>
              <w:rPr>
                <w:rFonts w:ascii="Times New Roman" w:eastAsia="Arial Unicode MS" w:hAnsi="Times New Roman"/>
                <w:b/>
                <w:bCs/>
                <w:sz w:val="20"/>
                <w:szCs w:val="20"/>
                <w:lang w:val="ro-MD"/>
              </w:rPr>
              <w:t>ANEXA V</w:t>
            </w:r>
          </w:p>
          <w:p w:rsidR="002F15D7" w:rsidRDefault="006C2DA4">
            <w:pPr>
              <w:spacing w:after="0"/>
              <w:jc w:val="center"/>
            </w:pPr>
            <w:r>
              <w:rPr>
                <w:rFonts w:ascii="Times New Roman" w:eastAsia="Arial Unicode MS" w:hAnsi="Times New Roman"/>
                <w:b/>
                <w:bCs/>
                <w:i/>
                <w:iCs/>
                <w:sz w:val="20"/>
                <w:szCs w:val="20"/>
                <w:lang w:val="ro-MD"/>
              </w:rPr>
              <w:t>MODEL PENTRU PROGRAMELE SPRIJINITE PRIN FEDR (OBIECTIVUL INVESTIȚII PENTRU OCUPAREA FORȚEI DE MUNCĂ ȘI CR</w:t>
            </w:r>
            <w:r>
              <w:rPr>
                <w:rFonts w:ascii="Times New Roman" w:eastAsia="Arial Unicode MS" w:hAnsi="Times New Roman"/>
                <w:b/>
                <w:bCs/>
                <w:i/>
                <w:iCs/>
                <w:sz w:val="20"/>
                <w:szCs w:val="20"/>
                <w:lang w:val="ro-MD"/>
              </w:rPr>
              <w:t>EȘTERE ECONOMICĂ), FSE+, FONDUL DE COEZIUNE, FTJ ȘI FEAMPA – ARTICOLUL 21 ALINEATUL (3)</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rPr>
                <w:rFonts w:ascii="Times New Roman" w:eastAsia="Arial Unicode MS" w:hAnsi="Times New Roman"/>
                <w:b/>
                <w:bCs/>
                <w:sz w:val="20"/>
                <w:szCs w:val="20"/>
                <w:lang w:val="ro-MD"/>
              </w:rPr>
            </w:pPr>
            <w:r>
              <w:rPr>
                <w:rFonts w:ascii="Times New Roman" w:eastAsia="Arial Unicode MS" w:hAnsi="Times New Roman"/>
                <w:b/>
                <w:bCs/>
                <w:sz w:val="20"/>
                <w:szCs w:val="20"/>
                <w:lang w:val="ro-MD"/>
              </w:rPr>
              <w:t>ANEXA VI</w:t>
            </w:r>
          </w:p>
          <w:p w:rsidR="002F15D7" w:rsidRDefault="006C2DA4">
            <w:pPr>
              <w:spacing w:after="0"/>
              <w:jc w:val="center"/>
            </w:pPr>
            <w:r>
              <w:rPr>
                <w:rFonts w:ascii="Times New Roman" w:eastAsia="Arial Unicode MS" w:hAnsi="Times New Roman"/>
                <w:b/>
                <w:bCs/>
                <w:i/>
                <w:iCs/>
                <w:sz w:val="20"/>
                <w:szCs w:val="20"/>
                <w:lang w:val="ro-MD"/>
              </w:rPr>
              <w:t>MODEL DE PROGRAM PENTRU FAMI, FSI ȘI IMFV – ARTICOLUL 21 ALINEATUL (3)</w:t>
            </w:r>
          </w:p>
          <w:p w:rsidR="002F15D7" w:rsidRDefault="002F15D7">
            <w:pPr>
              <w:spacing w:after="0"/>
              <w:jc w:val="center"/>
              <w:rPr>
                <w:rFonts w:ascii="Times New Roman" w:eastAsia="Arial Unicode MS" w:hAnsi="Times New Roman"/>
                <w:sz w:val="20"/>
                <w:szCs w:val="20"/>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hd w:val="clear" w:color="auto" w:fill="FFFFFF"/>
              <w:suppressAutoHyphens w:val="0"/>
              <w:spacing w:after="0"/>
              <w:jc w:val="center"/>
              <w:rPr>
                <w:rFonts w:ascii="Times New Roman" w:eastAsia="Times New Roman" w:hAnsi="Times New Roman"/>
                <w:b/>
                <w:bCs/>
                <w:sz w:val="20"/>
                <w:szCs w:val="20"/>
                <w:lang w:val="ro-MD"/>
              </w:rPr>
            </w:pPr>
            <w:r>
              <w:rPr>
                <w:rFonts w:ascii="Times New Roman" w:eastAsia="Times New Roman" w:hAnsi="Times New Roman"/>
                <w:b/>
                <w:bCs/>
                <w:sz w:val="20"/>
                <w:szCs w:val="20"/>
                <w:lang w:val="ro-MD"/>
              </w:rPr>
              <w:t>ANEXA VII</w:t>
            </w:r>
          </w:p>
          <w:p w:rsidR="002F15D7" w:rsidRDefault="006C2DA4">
            <w:pPr>
              <w:shd w:val="clear" w:color="auto" w:fill="FFFFFF"/>
              <w:suppressAutoHyphens w:val="0"/>
              <w:spacing w:after="0"/>
              <w:jc w:val="center"/>
            </w:pPr>
            <w:r>
              <w:rPr>
                <w:rFonts w:ascii="Times New Roman" w:eastAsia="Times New Roman" w:hAnsi="Times New Roman"/>
                <w:b/>
                <w:bCs/>
                <w:i/>
                <w:iCs/>
                <w:sz w:val="20"/>
                <w:szCs w:val="20"/>
                <w:lang w:val="ro-MD"/>
              </w:rPr>
              <w:t xml:space="preserve">Model pentru </w:t>
            </w:r>
            <w:r>
              <w:rPr>
                <w:rFonts w:ascii="Times New Roman" w:eastAsia="Times New Roman" w:hAnsi="Times New Roman"/>
                <w:b/>
                <w:bCs/>
                <w:i/>
                <w:iCs/>
                <w:sz w:val="20"/>
                <w:szCs w:val="20"/>
                <w:lang w:val="ro-MD"/>
              </w:rPr>
              <w:t>transmiterea datelor – articolul 42</w:t>
            </w:r>
            <w:r>
              <w:rPr>
                <w:rFonts w:ascii="Times New Roman" w:eastAsia="Times New Roman" w:hAnsi="Times New Roman"/>
                <w:b/>
                <w:bCs/>
                <w:sz w:val="20"/>
                <w:szCs w:val="20"/>
                <w:lang w:val="ro-MD"/>
              </w:rPr>
              <w:t>  </w:t>
            </w:r>
            <w:hyperlink r:id="rId29" w:history="1">
              <w:r>
                <w:rPr>
                  <w:rFonts w:ascii="Times New Roman" w:eastAsia="Times New Roman" w:hAnsi="Times New Roman"/>
                  <w:b/>
                  <w:bCs/>
                  <w:sz w:val="20"/>
                  <w:szCs w:val="20"/>
                  <w:u w:val="single"/>
                  <w:lang w:val="ro-MD"/>
                </w:rPr>
                <w:t>(</w:t>
              </w:r>
              <w:r>
                <w:rPr>
                  <w:rFonts w:ascii="Times New Roman" w:eastAsia="Times New Roman" w:hAnsi="Times New Roman"/>
                  <w:b/>
                  <w:bCs/>
                  <w:sz w:val="20"/>
                  <w:szCs w:val="20"/>
                  <w:vertAlign w:val="superscript"/>
                  <w:lang w:val="ro-MD"/>
                </w:rPr>
                <w:t>1</w:t>
              </w:r>
              <w:r>
                <w:rPr>
                  <w:rFonts w:ascii="Times New Roman" w:eastAsia="Times New Roman" w:hAnsi="Times New Roman"/>
                  <w:b/>
                  <w:bCs/>
                  <w:sz w:val="20"/>
                  <w:szCs w:val="20"/>
                  <w:u w:val="single"/>
                  <w:lang w:val="ro-MD"/>
                </w:rPr>
                <w:t>)</w:t>
              </w:r>
            </w:hyperlink>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w:t>
            </w:r>
            <w:r>
              <w:rPr>
                <w:rFonts w:ascii="Times New Roman" w:hAnsi="Times New Roman"/>
                <w:sz w:val="24"/>
                <w:szCs w:val="24"/>
                <w:lang w:val="ro-MD"/>
              </w:rPr>
              <w:t>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VIII</w:t>
            </w:r>
          </w:p>
          <w:p w:rsidR="002F15D7" w:rsidRDefault="006C2DA4">
            <w:pPr>
              <w:pStyle w:val="oj-doc-ti"/>
              <w:shd w:val="clear" w:color="auto" w:fill="FFFFFF"/>
              <w:spacing w:before="0" w:after="0"/>
              <w:jc w:val="center"/>
            </w:pPr>
            <w:r>
              <w:rPr>
                <w:rStyle w:val="oj-sp-normal"/>
                <w:b/>
                <w:bCs/>
                <w:i/>
                <w:iCs/>
                <w:sz w:val="20"/>
                <w:szCs w:val="20"/>
                <w:lang w:val="ro-MD"/>
              </w:rPr>
              <w:t>PREVIZIUNE PRIVIND CUANTUMUL PENTRU CARE STATUL MEMBRU PRECONIZEAZĂ SĂ PREZINTE CERERI DE PLATĂ PENTRU ANUL CALENDARISTIC CURENT ȘI PENTRU CEL URMĂTOR [ARTICOLUL 69</w:t>
            </w:r>
            <w:r>
              <w:rPr>
                <w:rStyle w:val="oj-sp-normal"/>
                <w:b/>
                <w:bCs/>
                <w:i/>
                <w:iCs/>
                <w:sz w:val="20"/>
                <w:szCs w:val="20"/>
                <w:lang w:val="ro-MD"/>
              </w:rPr>
              <w:t xml:space="preserve"> ALINEATUL (10)]</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IX</w:t>
            </w:r>
          </w:p>
          <w:p w:rsidR="002F15D7" w:rsidRDefault="006C2DA4">
            <w:pPr>
              <w:pStyle w:val="oj-doc-ti"/>
              <w:shd w:val="clear" w:color="auto" w:fill="FFFFFF"/>
              <w:spacing w:before="0" w:after="0"/>
              <w:jc w:val="center"/>
            </w:pPr>
            <w:r>
              <w:rPr>
                <w:rStyle w:val="oj-sp-normal"/>
                <w:b/>
                <w:bCs/>
                <w:i/>
                <w:iCs/>
                <w:sz w:val="20"/>
                <w:szCs w:val="20"/>
                <w:lang w:val="ro-MD"/>
              </w:rPr>
              <w:t>COMUNICARE ȘI VIZIBILITATE – ARTICOLELE 47, 49 ȘI 50</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 xml:space="preserve">Prevederi UE </w:t>
            </w:r>
            <w:r>
              <w:rPr>
                <w:rFonts w:ascii="Times New Roman" w:hAnsi="Times New Roman"/>
                <w:b/>
                <w:bCs/>
                <w:sz w:val="24"/>
                <w:szCs w:val="24"/>
                <w:lang w:val="ro-MD"/>
              </w:rPr>
              <w:t>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w:t>
            </w:r>
          </w:p>
          <w:p w:rsidR="002F15D7" w:rsidRDefault="006C2DA4">
            <w:pPr>
              <w:pStyle w:val="oj-doc-ti"/>
              <w:shd w:val="clear" w:color="auto" w:fill="FFFFFF"/>
              <w:spacing w:before="0" w:after="0"/>
              <w:jc w:val="center"/>
            </w:pPr>
            <w:r>
              <w:rPr>
                <w:rStyle w:val="oj-sp-normal"/>
                <w:b/>
                <w:bCs/>
                <w:i/>
                <w:iCs/>
                <w:sz w:val="20"/>
                <w:szCs w:val="20"/>
                <w:lang w:val="ro-MD"/>
              </w:rPr>
              <w:t>ELEMENTE PENTRU ACORDURILE DE FINANȚARE ȘI DOCUMENTELE DE STRATEGIE – ARTICOLUL 59 ALINEATELE (1) ȘI (5)</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XI</w:t>
            </w:r>
          </w:p>
          <w:p w:rsidR="002F15D7" w:rsidRDefault="006C2DA4">
            <w:pPr>
              <w:pStyle w:val="oj-doc-ti"/>
              <w:shd w:val="clear" w:color="auto" w:fill="FFFFFF"/>
              <w:spacing w:before="0" w:after="0"/>
              <w:jc w:val="center"/>
            </w:pPr>
            <w:r>
              <w:rPr>
                <w:rStyle w:val="oj-sp-normal"/>
                <w:b/>
                <w:bCs/>
                <w:i/>
                <w:iCs/>
                <w:sz w:val="20"/>
                <w:szCs w:val="20"/>
                <w:lang w:val="ro-MD"/>
              </w:rPr>
              <w:t>CERINȚE-CHEIE PRIVIND SISTEMELE DE GESTIUNE ȘI CONTROL ȘI CLASIFICAREA ACESTORA – ARTICOL</w:t>
            </w:r>
            <w:r>
              <w:rPr>
                <w:rStyle w:val="oj-sp-normal"/>
                <w:b/>
                <w:bCs/>
                <w:i/>
                <w:iCs/>
                <w:sz w:val="20"/>
                <w:szCs w:val="20"/>
                <w:lang w:val="ro-MD"/>
              </w:rPr>
              <w:t>UL 69 ALINEATUL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XII</w:t>
            </w:r>
          </w:p>
          <w:p w:rsidR="002F15D7" w:rsidRDefault="006C2DA4">
            <w:pPr>
              <w:pStyle w:val="oj-doc-ti"/>
              <w:shd w:val="clear" w:color="auto" w:fill="FFFFFF"/>
              <w:spacing w:before="0" w:after="0"/>
              <w:jc w:val="center"/>
            </w:pPr>
            <w:r>
              <w:rPr>
                <w:rStyle w:val="oj-sp-normal"/>
                <w:b/>
                <w:bCs/>
                <w:i/>
                <w:iCs/>
                <w:sz w:val="20"/>
                <w:szCs w:val="20"/>
                <w:lang w:val="ro-MD"/>
              </w:rPr>
              <w:t xml:space="preserve">NORME DETALIATE ȘI MODEL PENTRU RAPORTAREA NEREGULILOR - </w:t>
            </w:r>
            <w:r>
              <w:rPr>
                <w:rStyle w:val="oj-sp-normal"/>
                <w:b/>
                <w:bCs/>
                <w:i/>
                <w:iCs/>
                <w:sz w:val="20"/>
                <w:szCs w:val="20"/>
                <w:lang w:val="ro-MD"/>
              </w:rPr>
              <w:t>ARTICOLUL 69 ALINEATELE (2) ȘI (12)</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XIII</w:t>
            </w:r>
          </w:p>
          <w:p w:rsidR="002F15D7" w:rsidRDefault="006C2DA4">
            <w:pPr>
              <w:pStyle w:val="oj-doc-ti"/>
              <w:shd w:val="clear" w:color="auto" w:fill="FFFFFF"/>
              <w:spacing w:before="0" w:after="0"/>
              <w:jc w:val="center"/>
            </w:pPr>
            <w:r>
              <w:rPr>
                <w:rStyle w:val="oj-sp-normal"/>
                <w:b/>
                <w:bCs/>
                <w:i/>
                <w:iCs/>
                <w:sz w:val="20"/>
                <w:szCs w:val="20"/>
                <w:lang w:val="ro-MD"/>
              </w:rPr>
              <w:t xml:space="preserve">ELEMENTE PENTRU PISTA DE AUDIT – ARTICOLUL 69 </w:t>
            </w:r>
            <w:r>
              <w:rPr>
                <w:rStyle w:val="oj-sp-normal"/>
                <w:b/>
                <w:bCs/>
                <w:i/>
                <w:iCs/>
                <w:sz w:val="20"/>
                <w:szCs w:val="20"/>
                <w:lang w:val="ro-MD"/>
              </w:rPr>
              <w:t>ALINEATUL (6)</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XIV</w:t>
            </w:r>
          </w:p>
          <w:p w:rsidR="002F15D7" w:rsidRDefault="006C2DA4">
            <w:pPr>
              <w:pStyle w:val="oj-doc-ti"/>
              <w:shd w:val="clear" w:color="auto" w:fill="FFFFFF"/>
              <w:spacing w:before="0" w:after="0"/>
              <w:jc w:val="center"/>
            </w:pPr>
            <w:r>
              <w:rPr>
                <w:rStyle w:val="oj-sp-normal"/>
                <w:b/>
                <w:bCs/>
                <w:i/>
                <w:iCs/>
                <w:sz w:val="20"/>
                <w:szCs w:val="20"/>
                <w:lang w:val="ro-MD"/>
              </w:rPr>
              <w:t xml:space="preserve">SISTEME DE SCHIMB ELECTRONIC DE DATE ÎNTRE AUTORITĂȚILE RESPONSABILE DE </w:t>
            </w:r>
            <w:r>
              <w:rPr>
                <w:rStyle w:val="oj-sp-normal"/>
                <w:b/>
                <w:bCs/>
                <w:i/>
                <w:iCs/>
                <w:sz w:val="20"/>
                <w:szCs w:val="20"/>
                <w:lang w:val="ro-MD"/>
              </w:rPr>
              <w:t>PROGRAME ȘI BENEFICIARI – ARTICOLUL 69 ALINEATUL (8)</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XV</w:t>
            </w:r>
          </w:p>
          <w:p w:rsidR="002F15D7" w:rsidRDefault="006C2DA4">
            <w:pPr>
              <w:pStyle w:val="oj-doc-ti"/>
              <w:shd w:val="clear" w:color="auto" w:fill="FFFFFF"/>
              <w:spacing w:before="0" w:after="0"/>
              <w:jc w:val="center"/>
            </w:pPr>
            <w:r>
              <w:rPr>
                <w:rStyle w:val="oj-sp-normal"/>
                <w:b/>
                <w:bCs/>
                <w:i/>
                <w:iCs/>
                <w:sz w:val="20"/>
                <w:szCs w:val="20"/>
                <w:lang w:val="ro-MD"/>
              </w:rPr>
              <w:t xml:space="preserve">SFC2021: SISTEMUL DE SCHIMB </w:t>
            </w:r>
            <w:r>
              <w:rPr>
                <w:rStyle w:val="oj-sp-normal"/>
                <w:b/>
                <w:bCs/>
                <w:i/>
                <w:iCs/>
                <w:sz w:val="20"/>
                <w:szCs w:val="20"/>
                <w:lang w:val="ro-MD"/>
              </w:rPr>
              <w:t>ELECTRONIC DE DATE ÎNTRE STATELE MEMBRE ȘI COMISIE – ARTICOLUL 69 ALINEATUL (9)</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XVI</w:t>
            </w:r>
          </w:p>
          <w:p w:rsidR="002F15D7" w:rsidRDefault="006C2DA4">
            <w:pPr>
              <w:pStyle w:val="oj-doc-ti"/>
              <w:shd w:val="clear" w:color="auto" w:fill="FFFFFF"/>
              <w:spacing w:before="0" w:after="0"/>
              <w:jc w:val="center"/>
            </w:pPr>
            <w:r>
              <w:rPr>
                <w:rStyle w:val="oj-sp-normal"/>
                <w:b/>
                <w:bCs/>
                <w:i/>
                <w:iCs/>
                <w:sz w:val="20"/>
                <w:szCs w:val="20"/>
                <w:lang w:val="ro-MD"/>
              </w:rPr>
              <w:t xml:space="preserve">MODEL </w:t>
            </w:r>
            <w:r>
              <w:rPr>
                <w:rStyle w:val="oj-sp-normal"/>
                <w:b/>
                <w:bCs/>
                <w:i/>
                <w:iCs/>
                <w:sz w:val="20"/>
                <w:szCs w:val="20"/>
                <w:lang w:val="ro-MD"/>
              </w:rPr>
              <w:t>PENTRU DESCRIEREA SISTEMULUI DE GESTIUNE ȘI CONTROL – ARTICOLUL 69 ALINEATUL (11)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XVII</w:t>
            </w:r>
          </w:p>
          <w:p w:rsidR="002F15D7" w:rsidRDefault="006C2DA4">
            <w:pPr>
              <w:pStyle w:val="oj-doc-ti"/>
              <w:shd w:val="clear" w:color="auto" w:fill="FFFFFF"/>
              <w:spacing w:before="0" w:after="0"/>
              <w:jc w:val="center"/>
            </w:pPr>
            <w:r>
              <w:rPr>
                <w:rStyle w:val="oj-sp-normal"/>
                <w:b/>
                <w:bCs/>
                <w:i/>
                <w:iCs/>
                <w:sz w:val="20"/>
                <w:szCs w:val="20"/>
                <w:lang w:val="ro-MD"/>
              </w:rPr>
              <w:t xml:space="preserve">DATE </w:t>
            </w:r>
            <w:r>
              <w:rPr>
                <w:rStyle w:val="oj-sp-normal"/>
                <w:b/>
                <w:bCs/>
                <w:i/>
                <w:iCs/>
                <w:sz w:val="20"/>
                <w:szCs w:val="20"/>
                <w:lang w:val="ro-MD"/>
              </w:rPr>
              <w:t>CARE TREBUIE ÎNREGISTRATE ȘI STOCATE ELECTRONIC LA FIECARE OPERAȚIUNE – ARTICOLUL 72 ALINEATUL (1) LITERA (E)</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 xml:space="preserve">Odată cu aderarea Republicii Moldova la Uniunea Europeană, acestea se vor aplica direct și obligatoriu în toate </w:t>
            </w:r>
            <w:r>
              <w:rPr>
                <w:rFonts w:ascii="Times New Roman" w:hAnsi="Times New Roman"/>
                <w:sz w:val="24"/>
                <w:szCs w:val="24"/>
                <w:lang w:val="ro-MD"/>
              </w:rPr>
              <w:t>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XVIII</w:t>
            </w:r>
          </w:p>
          <w:p w:rsidR="002F15D7" w:rsidRDefault="006C2DA4">
            <w:pPr>
              <w:pStyle w:val="oj-doc-ti"/>
              <w:shd w:val="clear" w:color="auto" w:fill="FFFFFF"/>
              <w:spacing w:before="0" w:after="0"/>
              <w:jc w:val="center"/>
            </w:pPr>
            <w:r>
              <w:rPr>
                <w:rStyle w:val="oj-sp-normal"/>
                <w:b/>
                <w:bCs/>
                <w:i/>
                <w:iCs/>
                <w:sz w:val="20"/>
                <w:szCs w:val="20"/>
                <w:lang w:val="ro-MD"/>
              </w:rPr>
              <w:t>MODEL DE DECLARAȚIE DE GESTIUNE – ARTICOLUL 74 ALINEATUL (1) LITERA (F)</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 xml:space="preserve">Odată cu aderarea Republicii Moldova la Uniunea Europeană, acestea se vor aplica direct și obligatoriu în toate elementele </w:t>
            </w:r>
            <w:r>
              <w:rPr>
                <w:rFonts w:ascii="Times New Roman" w:hAnsi="Times New Roman"/>
                <w:sz w:val="24"/>
                <w:szCs w:val="24"/>
                <w:lang w:val="ro-MD"/>
              </w:rPr>
              <w:t>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XIX</w:t>
            </w:r>
          </w:p>
          <w:p w:rsidR="002F15D7" w:rsidRDefault="006C2DA4">
            <w:pPr>
              <w:pStyle w:val="oj-doc-ti"/>
              <w:shd w:val="clear" w:color="auto" w:fill="FFFFFF"/>
              <w:spacing w:before="0" w:after="0"/>
              <w:jc w:val="center"/>
            </w:pPr>
            <w:r>
              <w:rPr>
                <w:rStyle w:val="oj-sp-normal"/>
                <w:b/>
                <w:bCs/>
                <w:i/>
                <w:iCs/>
                <w:sz w:val="20"/>
                <w:szCs w:val="20"/>
                <w:lang w:val="ro-MD"/>
              </w:rPr>
              <w:t>MODEL DE OPINIE ANUALĂ DE AUDIT– ARTICOLUL 77 ALINEATUL (3) LITERA (A)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XX</w:t>
            </w:r>
          </w:p>
          <w:p w:rsidR="002F15D7" w:rsidRDefault="006C2DA4">
            <w:pPr>
              <w:pStyle w:val="oj-doc-ti"/>
              <w:shd w:val="clear" w:color="auto" w:fill="FFFFFF"/>
              <w:spacing w:before="0" w:after="0"/>
              <w:jc w:val="center"/>
            </w:pPr>
            <w:r>
              <w:rPr>
                <w:rStyle w:val="oj-sp-normal"/>
                <w:b/>
                <w:bCs/>
                <w:i/>
                <w:iCs/>
                <w:sz w:val="20"/>
                <w:szCs w:val="20"/>
                <w:lang w:val="ro-MD"/>
              </w:rPr>
              <w:t>MODEL DE RAPORT ANUAL DE CONTROL – ARTICOLUL 77 ALINEATUL (3) LITERA (B)</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XXI</w:t>
            </w:r>
          </w:p>
          <w:p w:rsidR="002F15D7" w:rsidRDefault="006C2DA4">
            <w:pPr>
              <w:pStyle w:val="oj-doc-ti"/>
              <w:shd w:val="clear" w:color="auto" w:fill="FFFFFF"/>
              <w:spacing w:before="0" w:after="0"/>
              <w:jc w:val="center"/>
            </w:pPr>
            <w:r>
              <w:rPr>
                <w:rStyle w:val="oj-sp-normal"/>
                <w:b/>
                <w:bCs/>
                <w:i/>
                <w:iCs/>
                <w:sz w:val="20"/>
                <w:szCs w:val="20"/>
                <w:lang w:val="ro-MD"/>
              </w:rPr>
              <w:t>MODEL DE RAPORT</w:t>
            </w:r>
            <w:r>
              <w:rPr>
                <w:rStyle w:val="oj-sp-normal"/>
                <w:b/>
                <w:bCs/>
                <w:i/>
                <w:iCs/>
                <w:sz w:val="20"/>
                <w:szCs w:val="20"/>
                <w:lang w:val="ro-MD"/>
              </w:rPr>
              <w:t xml:space="preserve"> ANUAL DE AUDIT – ARTICOLUL 81 ALINEATUL (5)</w:t>
            </w:r>
          </w:p>
          <w:p w:rsidR="002F15D7" w:rsidRDefault="002F15D7">
            <w:pPr>
              <w:spacing w:after="0"/>
              <w:jc w:val="center"/>
              <w:rPr>
                <w:rFonts w:ascii="Times New Roman" w:eastAsia="Arial Unicode MS" w:hAnsi="Times New Roman"/>
                <w:sz w:val="20"/>
                <w:szCs w:val="20"/>
                <w:lang w:val="ro-MD"/>
              </w:rPr>
            </w:pP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XXII</w:t>
            </w:r>
          </w:p>
          <w:p w:rsidR="002F15D7" w:rsidRDefault="006C2DA4">
            <w:pPr>
              <w:pStyle w:val="oj-doc-ti"/>
              <w:shd w:val="clear" w:color="auto" w:fill="FFFFFF"/>
              <w:spacing w:before="0" w:after="0"/>
              <w:jc w:val="center"/>
            </w:pPr>
            <w:r>
              <w:rPr>
                <w:rStyle w:val="oj-sp-normal"/>
                <w:b/>
                <w:bCs/>
                <w:i/>
                <w:iCs/>
                <w:sz w:val="20"/>
                <w:szCs w:val="20"/>
                <w:lang w:val="ro-MD"/>
              </w:rPr>
              <w:t xml:space="preserve">MODEL DE STRATEGIE DE AUDIT – </w:t>
            </w:r>
            <w:r>
              <w:rPr>
                <w:rStyle w:val="oj-sp-normal"/>
                <w:b/>
                <w:bCs/>
                <w:i/>
                <w:iCs/>
                <w:sz w:val="20"/>
                <w:szCs w:val="20"/>
                <w:lang w:val="ro-MD"/>
              </w:rPr>
              <w:t>ARTICOLUL 78</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XXIII</w:t>
            </w:r>
          </w:p>
          <w:p w:rsidR="002F15D7" w:rsidRDefault="006C2DA4">
            <w:pPr>
              <w:pStyle w:val="oj-doc-ti"/>
              <w:shd w:val="clear" w:color="auto" w:fill="FFFFFF"/>
              <w:spacing w:before="0" w:after="0"/>
              <w:jc w:val="center"/>
            </w:pPr>
            <w:r>
              <w:rPr>
                <w:rStyle w:val="oj-sp-normal"/>
                <w:b/>
                <w:bCs/>
                <w:i/>
                <w:iCs/>
                <w:sz w:val="20"/>
                <w:szCs w:val="20"/>
                <w:lang w:val="ro-MD"/>
              </w:rPr>
              <w:t>MODEL PENTRU CERERILE DE PLATĂ – ARTICOLUL 91 ALINEATUL (3)</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 xml:space="preserve">Prevederi </w:t>
            </w:r>
            <w:r>
              <w:rPr>
                <w:rFonts w:ascii="Times New Roman" w:hAnsi="Times New Roman"/>
                <w:b/>
                <w:bCs/>
                <w:sz w:val="24"/>
                <w:szCs w:val="24"/>
                <w:lang w:val="ro-MD"/>
              </w:rPr>
              <w:t>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XXIV</w:t>
            </w:r>
          </w:p>
          <w:p w:rsidR="002F15D7" w:rsidRDefault="006C2DA4">
            <w:pPr>
              <w:pStyle w:val="oj-doc-ti"/>
              <w:shd w:val="clear" w:color="auto" w:fill="FFFFFF"/>
              <w:spacing w:before="0" w:after="0"/>
              <w:jc w:val="center"/>
            </w:pPr>
            <w:r>
              <w:rPr>
                <w:rStyle w:val="oj-sp-normal"/>
                <w:b/>
                <w:bCs/>
                <w:i/>
                <w:iCs/>
                <w:sz w:val="20"/>
                <w:szCs w:val="20"/>
                <w:lang w:val="ro-MD"/>
              </w:rPr>
              <w:t>MODEL PENTRU CONTURI – ARTICOLUL 98 ALINEATUL (1) LITERA (A)</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 xml:space="preserve">Odată cu </w:t>
            </w:r>
            <w:r>
              <w:rPr>
                <w:rFonts w:ascii="Times New Roman" w:hAnsi="Times New Roman"/>
                <w:sz w:val="24"/>
                <w:szCs w:val="24"/>
                <w:lang w:val="ro-MD"/>
              </w:rPr>
              <w:t>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XXV</w:t>
            </w:r>
          </w:p>
          <w:p w:rsidR="002F15D7" w:rsidRDefault="006C2DA4">
            <w:pPr>
              <w:pStyle w:val="oj-doc-ti"/>
              <w:shd w:val="clear" w:color="auto" w:fill="FFFFFF"/>
              <w:spacing w:before="0" w:after="0"/>
              <w:jc w:val="center"/>
            </w:pPr>
            <w:r>
              <w:rPr>
                <w:rStyle w:val="oj-sp-normal"/>
                <w:b/>
                <w:bCs/>
                <w:i/>
                <w:iCs/>
                <w:sz w:val="20"/>
                <w:szCs w:val="20"/>
                <w:lang w:val="ro-MD"/>
              </w:rPr>
              <w:t>STABILIREA NIVELULUI CORECȚIILOR FINANCIARE: CORECȚII FINANCIARE FORFETARE ȘI EXTRAPOLATE – ARTICOLUL 104 ALINEATUL (1)</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r w:rsidR="002F15D7">
        <w:tblPrEx>
          <w:tblCellMar>
            <w:top w:w="0" w:type="dxa"/>
            <w:bottom w:w="0" w:type="dxa"/>
          </w:tblCellMar>
        </w:tblPrEx>
        <w:tc>
          <w:tcPr>
            <w:tcW w:w="40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oj-doc-ti"/>
              <w:shd w:val="clear" w:color="auto" w:fill="FFFFFF"/>
              <w:spacing w:before="0" w:after="0"/>
              <w:jc w:val="center"/>
              <w:rPr>
                <w:b/>
                <w:bCs/>
                <w:sz w:val="20"/>
                <w:szCs w:val="20"/>
                <w:lang w:val="ro-MD"/>
              </w:rPr>
            </w:pPr>
            <w:r>
              <w:rPr>
                <w:b/>
                <w:bCs/>
                <w:sz w:val="20"/>
                <w:szCs w:val="20"/>
                <w:lang w:val="ro-MD"/>
              </w:rPr>
              <w:t>ANEXA XXVI</w:t>
            </w:r>
          </w:p>
          <w:p w:rsidR="002F15D7" w:rsidRDefault="006C2DA4">
            <w:pPr>
              <w:pStyle w:val="oj-doc-ti"/>
              <w:shd w:val="clear" w:color="auto" w:fill="FFFFFF"/>
              <w:spacing w:before="0" w:after="0"/>
              <w:jc w:val="center"/>
            </w:pPr>
            <w:r>
              <w:rPr>
                <w:rStyle w:val="oj-sp-normal"/>
                <w:b/>
                <w:bCs/>
                <w:i/>
                <w:iCs/>
                <w:sz w:val="20"/>
                <w:szCs w:val="20"/>
                <w:lang w:val="ro-MD"/>
              </w:rPr>
              <w:t>METODOLOGIA DE ALOCARE A RESURSELOR GLOBALE CĂTRE STATELE MEMBRE – ARTICOLUL 109 ALINEATU</w:t>
            </w:r>
            <w:r>
              <w:rPr>
                <w:rStyle w:val="oj-sp-normal"/>
                <w:b/>
                <w:bCs/>
                <w:i/>
                <w:iCs/>
                <w:sz w:val="20"/>
                <w:szCs w:val="20"/>
                <w:lang w:val="ro-MD"/>
              </w:rPr>
              <w:t>L (2)</w:t>
            </w:r>
          </w:p>
        </w:tc>
        <w:tc>
          <w:tcPr>
            <w:tcW w:w="5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pStyle w:val="Listparagraf"/>
              <w:tabs>
                <w:tab w:val="left" w:pos="250"/>
                <w:tab w:val="left" w:pos="340"/>
              </w:tabs>
              <w:spacing w:after="0"/>
              <w:ind w:left="-20"/>
              <w:jc w:val="center"/>
            </w:pPr>
            <w:r>
              <w:rPr>
                <w:rFonts w:ascii="Times New Roman" w:hAnsi="Times New Roman"/>
                <w:sz w:val="24"/>
                <w:szCs w:val="24"/>
                <w:lang w:val="ro-MD"/>
              </w:rPr>
              <w:t>-</w:t>
            </w:r>
          </w:p>
        </w:tc>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center"/>
            </w:pPr>
            <w:r>
              <w:rPr>
                <w:rFonts w:ascii="Times New Roman" w:hAnsi="Times New Roman"/>
                <w:b/>
                <w:bCs/>
                <w:sz w:val="24"/>
                <w:szCs w:val="24"/>
                <w:lang w:val="ro-MD"/>
              </w:rPr>
              <w:t>Prevederi UE neaplicabile</w:t>
            </w:r>
          </w:p>
        </w:tc>
        <w:tc>
          <w:tcPr>
            <w:tcW w:w="34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F15D7" w:rsidRDefault="006C2DA4">
            <w:pPr>
              <w:spacing w:after="0"/>
              <w:jc w:val="both"/>
            </w:pPr>
            <w:r>
              <w:rPr>
                <w:rFonts w:ascii="Times New Roman" w:hAnsi="Times New Roman"/>
                <w:sz w:val="24"/>
                <w:szCs w:val="24"/>
                <w:lang w:val="ro-MD"/>
              </w:rPr>
              <w:t>Odată cu aderarea Republicii Moldova la Uniunea Europeană, acestea se vor aplica direct și obligatoriu în toate elementele sale.</w:t>
            </w:r>
          </w:p>
        </w:tc>
      </w:tr>
    </w:tbl>
    <w:p w:rsidR="002F15D7" w:rsidRDefault="002F15D7">
      <w:pPr>
        <w:rPr>
          <w:lang w:val="ro-MD"/>
        </w:rPr>
      </w:pPr>
    </w:p>
    <w:p w:rsidR="002F15D7" w:rsidRDefault="002F15D7">
      <w:pPr>
        <w:rPr>
          <w:lang w:val="ro-MD"/>
        </w:rPr>
      </w:pPr>
    </w:p>
    <w:p w:rsidR="002F15D7" w:rsidRDefault="002F15D7">
      <w:pPr>
        <w:rPr>
          <w:lang w:val="ro-MD"/>
        </w:rPr>
      </w:pPr>
    </w:p>
    <w:sectPr w:rsidR="002F15D7">
      <w:pgSz w:w="15840" w:h="12240" w:orient="landscape"/>
      <w:pgMar w:top="1701" w:right="1134" w:bottom="85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DA4" w:rsidRDefault="006C2DA4">
      <w:pPr>
        <w:spacing w:after="0"/>
      </w:pPr>
      <w:r>
        <w:separator/>
      </w:r>
    </w:p>
  </w:endnote>
  <w:endnote w:type="continuationSeparator" w:id="0">
    <w:p w:rsidR="006C2DA4" w:rsidRDefault="006C2D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font>
  <w:font w:name="Aptos Display">
    <w:altName w:val="Calibri"/>
    <w:charset w:val="00"/>
    <w:family w:val="swiss"/>
    <w:pitch w:val="variable"/>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DA4" w:rsidRDefault="006C2DA4">
      <w:pPr>
        <w:spacing w:after="0"/>
      </w:pPr>
      <w:r>
        <w:rPr>
          <w:color w:val="000000"/>
        </w:rPr>
        <w:separator/>
      </w:r>
    </w:p>
  </w:footnote>
  <w:footnote w:type="continuationSeparator" w:id="0">
    <w:p w:rsidR="006C2DA4" w:rsidRDefault="006C2D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2BF0"/>
    <w:multiLevelType w:val="multilevel"/>
    <w:tmpl w:val="B11C0CA8"/>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9734C1"/>
    <w:multiLevelType w:val="multilevel"/>
    <w:tmpl w:val="1840D3BC"/>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CC1FA8"/>
    <w:multiLevelType w:val="multilevel"/>
    <w:tmpl w:val="337A45FC"/>
    <w:lvl w:ilvl="0">
      <w:start w:val="1"/>
      <w:numFmt w:val="lowerLetter"/>
      <w:lvlText w:val="%1)"/>
      <w:lvlJc w:val="left"/>
      <w:pPr>
        <w:ind w:left="720" w:hanging="360"/>
      </w:pPr>
      <w:rPr>
        <w:rFonts w:ascii="Times New Roman" w:hAnsi="Times New Roman" w:cs="Times New Roman"/>
        <w:b w:val="0"/>
        <w:bCs/>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173E3"/>
    <w:multiLevelType w:val="multilevel"/>
    <w:tmpl w:val="40D6CCF4"/>
    <w:lvl w:ilvl="0">
      <w:start w:val="1"/>
      <w:numFmt w:val="lowerLetter"/>
      <w:lvlText w:val="%1)"/>
      <w:lvlJc w:val="left"/>
      <w:pPr>
        <w:ind w:left="720" w:hanging="360"/>
      </w:pPr>
      <w:rPr>
        <w:rFonts w:ascii="Times New Roman" w:hAnsi="Times New Roman" w:cs="Times New Roman"/>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7881D27"/>
    <w:multiLevelType w:val="multilevel"/>
    <w:tmpl w:val="198A3D62"/>
    <w:lvl w:ilvl="0">
      <w:start w:val="1"/>
      <w:numFmt w:val="decimal"/>
      <w:lvlText w:val="(%1)"/>
      <w:lvlJc w:val="left"/>
      <w:pPr>
        <w:ind w:left="720" w:hanging="360"/>
      </w:pPr>
      <w:rPr>
        <w:rFonts w:ascii="Times New Roman" w:hAnsi="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5836AE"/>
    <w:multiLevelType w:val="multilevel"/>
    <w:tmpl w:val="C896AB98"/>
    <w:lvl w:ilvl="0">
      <w:numFmt w:val="bullet"/>
      <w:lvlText w:val="-"/>
      <w:lvlJc w:val="left"/>
      <w:pPr>
        <w:ind w:left="720" w:hanging="360"/>
      </w:pPr>
      <w:rPr>
        <w:rFonts w:ascii="Times New Roman" w:eastAsia="Apto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B400CCB"/>
    <w:multiLevelType w:val="multilevel"/>
    <w:tmpl w:val="EA2678A0"/>
    <w:lvl w:ilvl="0">
      <w:start w:val="1"/>
      <w:numFmt w:val="decimal"/>
      <w:lvlText w:val="(%1)"/>
      <w:lvlJc w:val="left"/>
      <w:pPr>
        <w:ind w:left="720" w:hanging="360"/>
      </w:pPr>
      <w:rPr>
        <w:rFonts w:ascii="Times New Roman" w:hAnsi="Times New Roman" w:cs="Times New Roman"/>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F55123"/>
    <w:multiLevelType w:val="multilevel"/>
    <w:tmpl w:val="FA32D49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A8493B"/>
    <w:multiLevelType w:val="multilevel"/>
    <w:tmpl w:val="37CC08B2"/>
    <w:lvl w:ilvl="0">
      <w:numFmt w:val="bullet"/>
      <w:lvlText w:val="-"/>
      <w:lvlJc w:val="left"/>
      <w:pPr>
        <w:ind w:left="720" w:hanging="360"/>
      </w:pPr>
      <w:rPr>
        <w:rFonts w:ascii="Times New Roman" w:eastAsia="Aptos"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7BFA6E53"/>
    <w:multiLevelType w:val="multilevel"/>
    <w:tmpl w:val="50CC1EA6"/>
    <w:lvl w:ilvl="0">
      <w:start w:val="1"/>
      <w:numFmt w:val="lowerLetter"/>
      <w:lvlText w:val="%1)"/>
      <w:lvlJc w:val="left"/>
      <w:pPr>
        <w:ind w:left="107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5"/>
  </w:num>
  <w:num w:numId="3">
    <w:abstractNumId w:val="4"/>
  </w:num>
  <w:num w:numId="4">
    <w:abstractNumId w:val="2"/>
  </w:num>
  <w:num w:numId="5">
    <w:abstractNumId w:val="7"/>
  </w:num>
  <w:num w:numId="6">
    <w:abstractNumId w:val="6"/>
  </w:num>
  <w:num w:numId="7">
    <w:abstractNumId w:val="8"/>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F15D7"/>
    <w:rsid w:val="00207D48"/>
    <w:rsid w:val="002F15D7"/>
    <w:rsid w:val="006C2D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AE7896-CBB6-4CAD-ABDB-58829FC7D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240" w:lineRule="auto"/>
    </w:pPr>
    <w:rPr>
      <w:kern w:val="0"/>
      <w:sz w:val="22"/>
      <w:szCs w:val="22"/>
      <w:lang w:val="ro-RO"/>
    </w:rPr>
  </w:style>
  <w:style w:type="paragraph" w:styleId="Titlu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lu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lu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lu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lu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lu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lu7">
    <w:name w:val="heading 7"/>
    <w:basedOn w:val="Normal"/>
    <w:next w:val="Normal"/>
    <w:pPr>
      <w:keepNext/>
      <w:keepLines/>
      <w:spacing w:before="40" w:after="0"/>
      <w:outlineLvl w:val="6"/>
    </w:pPr>
    <w:rPr>
      <w:rFonts w:eastAsia="Times New Roman"/>
      <w:color w:val="595959"/>
    </w:rPr>
  </w:style>
  <w:style w:type="paragraph" w:styleId="Titlu8">
    <w:name w:val="heading 8"/>
    <w:basedOn w:val="Normal"/>
    <w:next w:val="Normal"/>
    <w:pPr>
      <w:keepNext/>
      <w:keepLines/>
      <w:spacing w:after="0"/>
      <w:outlineLvl w:val="7"/>
    </w:pPr>
    <w:rPr>
      <w:rFonts w:eastAsia="Times New Roman"/>
      <w:i/>
      <w:iCs/>
      <w:color w:val="272727"/>
    </w:rPr>
  </w:style>
  <w:style w:type="paragraph" w:styleId="Titlu9">
    <w:name w:val="heading 9"/>
    <w:basedOn w:val="Normal"/>
    <w:next w:val="Normal"/>
    <w:pPr>
      <w:keepNext/>
      <w:keepLines/>
      <w:spacing w:after="0"/>
      <w:outlineLvl w:val="8"/>
    </w:pPr>
    <w:rPr>
      <w:rFonts w:eastAsia="Times New Roman"/>
      <w:color w:val="2727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rPr>
      <w:rFonts w:ascii="Aptos Display" w:eastAsia="Times New Roman" w:hAnsi="Aptos Display" w:cs="Times New Roman"/>
      <w:color w:val="0F4761"/>
      <w:sz w:val="40"/>
      <w:szCs w:val="40"/>
    </w:rPr>
  </w:style>
  <w:style w:type="character" w:customStyle="1" w:styleId="Titlu2Caracter">
    <w:name w:val="Titlu 2 Caracter"/>
    <w:basedOn w:val="Fontdeparagrafimplicit"/>
    <w:rPr>
      <w:rFonts w:ascii="Aptos Display" w:eastAsia="Times New Roman" w:hAnsi="Aptos Display" w:cs="Times New Roman"/>
      <w:color w:val="0F4761"/>
      <w:sz w:val="32"/>
      <w:szCs w:val="32"/>
    </w:rPr>
  </w:style>
  <w:style w:type="character" w:customStyle="1" w:styleId="Titlu3Caracter">
    <w:name w:val="Titlu 3 Caracter"/>
    <w:basedOn w:val="Fontdeparagrafimplicit"/>
    <w:rPr>
      <w:rFonts w:eastAsia="Times New Roman" w:cs="Times New Roman"/>
      <w:color w:val="0F4761"/>
      <w:sz w:val="28"/>
      <w:szCs w:val="28"/>
    </w:rPr>
  </w:style>
  <w:style w:type="character" w:customStyle="1" w:styleId="Titlu4Caracter">
    <w:name w:val="Titlu 4 Caracter"/>
    <w:basedOn w:val="Fontdeparagrafimplicit"/>
    <w:rPr>
      <w:rFonts w:eastAsia="Times New Roman" w:cs="Times New Roman"/>
      <w:i/>
      <w:iCs/>
      <w:color w:val="0F4761"/>
    </w:rPr>
  </w:style>
  <w:style w:type="character" w:customStyle="1" w:styleId="Titlu5Caracter">
    <w:name w:val="Titlu 5 Caracter"/>
    <w:basedOn w:val="Fontdeparagrafimplicit"/>
    <w:rPr>
      <w:rFonts w:eastAsia="Times New Roman" w:cs="Times New Roman"/>
      <w:color w:val="0F4761"/>
    </w:rPr>
  </w:style>
  <w:style w:type="character" w:customStyle="1" w:styleId="Titlu6Caracter">
    <w:name w:val="Titlu 6 Caracter"/>
    <w:basedOn w:val="Fontdeparagrafimplicit"/>
    <w:rPr>
      <w:rFonts w:eastAsia="Times New Roman" w:cs="Times New Roman"/>
      <w:i/>
      <w:iCs/>
      <w:color w:val="595959"/>
    </w:rPr>
  </w:style>
  <w:style w:type="character" w:customStyle="1" w:styleId="Titlu7Caracter">
    <w:name w:val="Titlu 7 Caracter"/>
    <w:basedOn w:val="Fontdeparagrafimplicit"/>
    <w:rPr>
      <w:rFonts w:eastAsia="Times New Roman" w:cs="Times New Roman"/>
      <w:color w:val="595959"/>
    </w:rPr>
  </w:style>
  <w:style w:type="character" w:customStyle="1" w:styleId="Titlu8Caracter">
    <w:name w:val="Titlu 8 Caracter"/>
    <w:basedOn w:val="Fontdeparagrafimplicit"/>
    <w:rPr>
      <w:rFonts w:eastAsia="Times New Roman" w:cs="Times New Roman"/>
      <w:i/>
      <w:iCs/>
      <w:color w:val="272727"/>
    </w:rPr>
  </w:style>
  <w:style w:type="character" w:customStyle="1" w:styleId="Titlu9Caracter">
    <w:name w:val="Titlu 9 Caracter"/>
    <w:basedOn w:val="Fontdeparagrafimplicit"/>
    <w:rPr>
      <w:rFonts w:eastAsia="Times New Roman" w:cs="Times New Roman"/>
      <w:color w:val="272727"/>
    </w:rPr>
  </w:style>
  <w:style w:type="paragraph" w:styleId="Titlu">
    <w:name w:val="Title"/>
    <w:basedOn w:val="Normal"/>
    <w:next w:val="Normal"/>
    <w:uiPriority w:val="10"/>
    <w:qFormat/>
    <w:pPr>
      <w:spacing w:after="80"/>
    </w:pPr>
    <w:rPr>
      <w:rFonts w:ascii="Aptos Display" w:eastAsia="Times New Roman" w:hAnsi="Aptos Display"/>
      <w:spacing w:val="-10"/>
      <w:kern w:val="3"/>
      <w:sz w:val="56"/>
      <w:szCs w:val="56"/>
    </w:rPr>
  </w:style>
  <w:style w:type="character" w:customStyle="1" w:styleId="TitluCaracter">
    <w:name w:val="Titlu Caracter"/>
    <w:basedOn w:val="Fontdeparagrafimplicit"/>
    <w:rPr>
      <w:rFonts w:ascii="Aptos Display" w:eastAsia="Times New Roman" w:hAnsi="Aptos Display" w:cs="Times New Roman"/>
      <w:spacing w:val="-10"/>
      <w:kern w:val="3"/>
      <w:sz w:val="56"/>
      <w:szCs w:val="56"/>
    </w:rPr>
  </w:style>
  <w:style w:type="paragraph" w:styleId="Subtitlu">
    <w:name w:val="Subtitle"/>
    <w:basedOn w:val="Normal"/>
    <w:next w:val="Normal"/>
    <w:uiPriority w:val="11"/>
    <w:qFormat/>
    <w:rPr>
      <w:rFonts w:eastAsia="Times New Roman"/>
      <w:color w:val="595959"/>
      <w:spacing w:val="15"/>
      <w:sz w:val="28"/>
      <w:szCs w:val="28"/>
    </w:rPr>
  </w:style>
  <w:style w:type="character" w:customStyle="1" w:styleId="SubtitluCaracter">
    <w:name w:val="Subtitlu Caracter"/>
    <w:basedOn w:val="Fontdeparagrafimplicit"/>
    <w:rPr>
      <w:rFonts w:eastAsia="Times New Roman" w:cs="Times New Roman"/>
      <w:color w:val="595959"/>
      <w:spacing w:val="15"/>
      <w:sz w:val="28"/>
      <w:szCs w:val="28"/>
    </w:rPr>
  </w:style>
  <w:style w:type="paragraph" w:styleId="Citat">
    <w:name w:val="Quote"/>
    <w:basedOn w:val="Normal"/>
    <w:next w:val="Normal"/>
    <w:pPr>
      <w:spacing w:before="160"/>
      <w:jc w:val="center"/>
    </w:pPr>
    <w:rPr>
      <w:i/>
      <w:iCs/>
      <w:color w:val="404040"/>
    </w:rPr>
  </w:style>
  <w:style w:type="character" w:customStyle="1" w:styleId="CitatCaracter">
    <w:name w:val="Citat Caracter"/>
    <w:basedOn w:val="Fontdeparagrafimplicit"/>
    <w:rPr>
      <w:i/>
      <w:iCs/>
      <w:color w:val="404040"/>
    </w:rPr>
  </w:style>
  <w:style w:type="paragraph" w:styleId="Listparagraf">
    <w:name w:val="List Paragraph"/>
    <w:basedOn w:val="Normal"/>
    <w:pPr>
      <w:ind w:left="720"/>
    </w:pPr>
  </w:style>
  <w:style w:type="character" w:styleId="Accentuareintens">
    <w:name w:val="Intense Emphasis"/>
    <w:basedOn w:val="Fontdeparagrafimplicit"/>
    <w:rPr>
      <w:i/>
      <w:iCs/>
      <w:color w:val="0F4761"/>
    </w:rPr>
  </w:style>
  <w:style w:type="paragraph" w:styleId="Citatintens">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ntensCaracter">
    <w:name w:val="Citat intens Caracter"/>
    <w:basedOn w:val="Fontdeparagrafimplicit"/>
    <w:rPr>
      <w:i/>
      <w:iCs/>
      <w:color w:val="0F4761"/>
    </w:rPr>
  </w:style>
  <w:style w:type="character" w:styleId="Referireintens">
    <w:name w:val="Intense Reference"/>
    <w:basedOn w:val="Fontdeparagrafimplicit"/>
    <w:rPr>
      <w:b/>
      <w:bCs/>
      <w:smallCaps/>
      <w:color w:val="0F4761"/>
      <w:spacing w:val="5"/>
    </w:rPr>
  </w:style>
  <w:style w:type="character" w:customStyle="1" w:styleId="ListparagrafCaracter">
    <w:name w:val="Listă paragraf Caracter"/>
  </w:style>
  <w:style w:type="paragraph" w:customStyle="1" w:styleId="oj-ti-art">
    <w:name w:val="oj-ti-art"/>
    <w:basedOn w:val="Normal"/>
    <w:pPr>
      <w:spacing w:before="100" w:after="100"/>
    </w:pPr>
    <w:rPr>
      <w:rFonts w:ascii="Times New Roman" w:eastAsia="Times New Roman" w:hAnsi="Times New Roman"/>
      <w:sz w:val="24"/>
      <w:szCs w:val="24"/>
      <w:lang w:eastAsia="ro-RO"/>
    </w:rPr>
  </w:style>
  <w:style w:type="paragraph" w:customStyle="1" w:styleId="oj-sti-art">
    <w:name w:val="oj-sti-art"/>
    <w:basedOn w:val="Normal"/>
    <w:pPr>
      <w:spacing w:before="100" w:after="100"/>
    </w:pPr>
    <w:rPr>
      <w:rFonts w:ascii="Times New Roman" w:eastAsia="Times New Roman" w:hAnsi="Times New Roman"/>
      <w:sz w:val="24"/>
      <w:szCs w:val="24"/>
      <w:lang w:eastAsia="ro-RO"/>
    </w:rPr>
  </w:style>
  <w:style w:type="character" w:styleId="Accentuat">
    <w:name w:val="Emphasis"/>
    <w:basedOn w:val="Fontdeparagrafimplicit"/>
    <w:rPr>
      <w:i/>
      <w:iCs/>
    </w:rPr>
  </w:style>
  <w:style w:type="paragraph" w:styleId="NormalWeb">
    <w:name w:val="Normal (Web)"/>
    <w:basedOn w:val="Normal"/>
    <w:pPr>
      <w:suppressAutoHyphens w:val="0"/>
      <w:spacing w:before="100" w:after="100"/>
    </w:pPr>
    <w:rPr>
      <w:rFonts w:ascii="Times New Roman" w:eastAsia="Times New Roman" w:hAnsi="Times New Roman"/>
      <w:sz w:val="24"/>
      <w:szCs w:val="24"/>
      <w:lang w:val="en-US"/>
    </w:rPr>
  </w:style>
  <w:style w:type="character" w:styleId="Robust">
    <w:name w:val="Strong"/>
    <w:basedOn w:val="Fontdeparagrafimplicit"/>
    <w:rPr>
      <w:b/>
      <w:bCs/>
    </w:rPr>
  </w:style>
  <w:style w:type="character" w:styleId="Referincomentariu">
    <w:name w:val="annotation reference"/>
    <w:basedOn w:val="Fontdeparagrafimplicit"/>
    <w:rPr>
      <w:sz w:val="16"/>
      <w:szCs w:val="16"/>
    </w:rPr>
  </w:style>
  <w:style w:type="paragraph" w:styleId="Textcomentariu">
    <w:name w:val="annotation text"/>
    <w:basedOn w:val="Normal"/>
    <w:pPr>
      <w:suppressAutoHyphens w:val="0"/>
      <w:spacing w:after="0"/>
    </w:pPr>
    <w:rPr>
      <w:rFonts w:ascii="Arial" w:eastAsia="Arial" w:hAnsi="Arial" w:cs="Arial"/>
      <w:sz w:val="20"/>
      <w:szCs w:val="20"/>
      <w:lang w:val="ro" w:eastAsia="en-GB"/>
    </w:rPr>
  </w:style>
  <w:style w:type="character" w:customStyle="1" w:styleId="TextcomentariuCaracter">
    <w:name w:val="Text comentariu Caracter"/>
    <w:basedOn w:val="Fontdeparagrafimplicit"/>
    <w:rPr>
      <w:rFonts w:ascii="Arial" w:eastAsia="Arial" w:hAnsi="Arial" w:cs="Arial"/>
      <w:kern w:val="0"/>
      <w:sz w:val="20"/>
      <w:szCs w:val="20"/>
      <w:lang w:val="ro" w:eastAsia="en-GB"/>
    </w:rPr>
  </w:style>
  <w:style w:type="paragraph" w:customStyle="1" w:styleId="oj-ti-grseq-1">
    <w:name w:val="oj-ti-grseq-1"/>
    <w:basedOn w:val="Normal"/>
    <w:pPr>
      <w:suppressAutoHyphens w:val="0"/>
      <w:spacing w:before="100" w:after="100"/>
    </w:pPr>
    <w:rPr>
      <w:rFonts w:ascii="Times New Roman" w:eastAsia="Times New Roman" w:hAnsi="Times New Roman"/>
      <w:sz w:val="24"/>
      <w:szCs w:val="24"/>
      <w:lang w:val="en-US"/>
    </w:rPr>
  </w:style>
  <w:style w:type="character" w:customStyle="1" w:styleId="oj-bold">
    <w:name w:val="oj-bold"/>
    <w:basedOn w:val="Fontdeparagrafimplicit"/>
  </w:style>
  <w:style w:type="character" w:customStyle="1" w:styleId="oj-italic">
    <w:name w:val="oj-italic"/>
    <w:basedOn w:val="Fontdeparagrafimplicit"/>
  </w:style>
  <w:style w:type="paragraph" w:customStyle="1" w:styleId="oj-normal">
    <w:name w:val="oj-normal"/>
    <w:basedOn w:val="Normal"/>
    <w:pPr>
      <w:suppressAutoHyphens w:val="0"/>
      <w:spacing w:before="100" w:after="100"/>
    </w:pPr>
    <w:rPr>
      <w:rFonts w:ascii="Times New Roman" w:eastAsia="Times New Roman" w:hAnsi="Times New Roman"/>
      <w:sz w:val="24"/>
      <w:szCs w:val="24"/>
      <w:lang w:val="en-US"/>
    </w:rPr>
  </w:style>
  <w:style w:type="character" w:styleId="Hyperlink">
    <w:name w:val="Hyperlink"/>
    <w:basedOn w:val="Fontdeparagrafimplicit"/>
    <w:rPr>
      <w:color w:val="467886"/>
      <w:u w:val="single"/>
    </w:rPr>
  </w:style>
  <w:style w:type="character" w:styleId="MeniuneNerezolvat">
    <w:name w:val="Unresolved Mention"/>
    <w:basedOn w:val="Fontdeparagrafimplicit"/>
    <w:rPr>
      <w:color w:val="605E5C"/>
      <w:shd w:val="clear" w:color="auto" w:fill="E1DFDD"/>
    </w:rPr>
  </w:style>
  <w:style w:type="paragraph" w:customStyle="1" w:styleId="oj-doc-ti">
    <w:name w:val="oj-doc-ti"/>
    <w:basedOn w:val="Normal"/>
    <w:pPr>
      <w:suppressAutoHyphens w:val="0"/>
      <w:spacing w:before="100" w:after="100"/>
    </w:pPr>
    <w:rPr>
      <w:rFonts w:ascii="Times New Roman" w:eastAsia="Times New Roman" w:hAnsi="Times New Roman"/>
      <w:sz w:val="24"/>
      <w:szCs w:val="24"/>
      <w:lang w:val="en-US"/>
    </w:rPr>
  </w:style>
  <w:style w:type="character" w:customStyle="1" w:styleId="oj-sp-normal">
    <w:name w:val="oj-sp-normal"/>
    <w:basedOn w:val="Fontdeparagrafimplic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RO/TXT/?uri=CELEX%3A32021R1060&amp;qid=1742993390348#ntr34-L_2021231RO.01015901-E0034" TargetMode="External"/><Relationship Id="rId13" Type="http://schemas.openxmlformats.org/officeDocument/2006/relationships/hyperlink" Target="https://eur-lex.europa.eu/legal-content/RO/TXT/?uri=CELEX%3A32021R1060&amp;qid=1742994643224#ntr39-L_2021231RO.01015901-E0039" TargetMode="External"/><Relationship Id="rId18" Type="http://schemas.openxmlformats.org/officeDocument/2006/relationships/hyperlink" Target="https://eur-lex.europa.eu/legal-content/RO/TXT/?uri=CELEX%3A32021R1060&amp;qid=1742994643224#ntr44-L_2021231RO.01015901-E0044" TargetMode="External"/><Relationship Id="rId26" Type="http://schemas.openxmlformats.org/officeDocument/2006/relationships/hyperlink" Target="https://eur-lex.europa.eu/legal-content/RO/TXT/?uri=CELEX%3A32021R1060&amp;qid=1743062813907#ntr52-L_2021231RO.01015901-E0052" TargetMode="External"/><Relationship Id="rId3" Type="http://schemas.openxmlformats.org/officeDocument/2006/relationships/settings" Target="settings.xml"/><Relationship Id="rId21" Type="http://schemas.openxmlformats.org/officeDocument/2006/relationships/hyperlink" Target="https://eur-lex.europa.eu/legal-content/RO/TXT/?uri=CELEX%3A32021R1060&amp;qid=1742994643224#ntr47-L_2021231RO.01015901-E0047" TargetMode="External"/><Relationship Id="rId7" Type="http://schemas.openxmlformats.org/officeDocument/2006/relationships/hyperlink" Target="https://eur-lex.europa.eu/legal-content/RO/TXT/?uri=CELEX%3A32021R1060&amp;qid=1742993390348#ntr33-L_2021231RO.01015901-E0033" TargetMode="External"/><Relationship Id="rId12" Type="http://schemas.openxmlformats.org/officeDocument/2006/relationships/hyperlink" Target="https://eur-lex.europa.eu/legal-content/RO/TXT/?uri=CELEX%3A32021R1060&amp;qid=1742994643224#ntr38-L_2021231RO.01015901-E0038" TargetMode="External"/><Relationship Id="rId17" Type="http://schemas.openxmlformats.org/officeDocument/2006/relationships/hyperlink" Target="https://eur-lex.europa.eu/legal-content/RO/TXT/?uri=CELEX%3A32021R1060&amp;qid=1742994643224#ntr43-L_2021231RO.01015901-E0043" TargetMode="External"/><Relationship Id="rId25" Type="http://schemas.openxmlformats.org/officeDocument/2006/relationships/hyperlink" Target="https://eur-lex.europa.eu/legal-content/RO/TXT/?uri=CELEX%3A32021R1060&amp;qid=1743062813907#ntr51-L_2021231RO.01015901-E0051" TargetMode="External"/><Relationship Id="rId2" Type="http://schemas.openxmlformats.org/officeDocument/2006/relationships/styles" Target="styles.xml"/><Relationship Id="rId16" Type="http://schemas.openxmlformats.org/officeDocument/2006/relationships/hyperlink" Target="https://eur-lex.europa.eu/legal-content/RO/TXT/?uri=CELEX%3A32021R1060&amp;qid=1742994643224#ntr42-L_2021231RO.01015901-E0042" TargetMode="External"/><Relationship Id="rId20" Type="http://schemas.openxmlformats.org/officeDocument/2006/relationships/hyperlink" Target="https://eur-lex.europa.eu/legal-content/RO/TXT/?uri=CELEX%3A32021R1060&amp;qid=1742994643224#ntr46-L_2021231RO.01015901-E0046" TargetMode="External"/><Relationship Id="rId29" Type="http://schemas.openxmlformats.org/officeDocument/2006/relationships/hyperlink" Target="https://eur-lex.europa.eu/legal-content/RO/TXT/?uri=CELEX%3A32021R1060&amp;qid=1743062813907#ntr1-L_2021231RO.01045801-E00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RO/TXT/?uri=CELEX%3A32021R1060&amp;qid=1742994643224#ntr37-L_2021231RO.01015901-E0037" TargetMode="External"/><Relationship Id="rId24" Type="http://schemas.openxmlformats.org/officeDocument/2006/relationships/hyperlink" Target="https://eur-lex.europa.eu/legal-content/RO/TXT/?uri=CELEX%3A32021R1060&amp;qid=1742994643224#ntr50-L_2021231RO.01015901-E0050" TargetMode="External"/><Relationship Id="rId5" Type="http://schemas.openxmlformats.org/officeDocument/2006/relationships/footnotes" Target="footnotes.xml"/><Relationship Id="rId15" Type="http://schemas.openxmlformats.org/officeDocument/2006/relationships/hyperlink" Target="https://eur-lex.europa.eu/legal-content/RO/TXT/?uri=CELEX%3A32021R1060&amp;qid=1742994643224#ntr41-L_2021231RO.01015901-E0041" TargetMode="External"/><Relationship Id="rId23" Type="http://schemas.openxmlformats.org/officeDocument/2006/relationships/hyperlink" Target="https://eur-lex.europa.eu/legal-content/RO/TXT/?uri=CELEX%3A32021R1060&amp;qid=1742994643224#ntr49-L_2021231RO.01015901-E0049" TargetMode="External"/><Relationship Id="rId28" Type="http://schemas.openxmlformats.org/officeDocument/2006/relationships/hyperlink" Target="https://eur-lex.europa.eu/legal-content/RO/TXT/?uri=CELEX%3A32021R1060&amp;qid=1743062813907#ntr1-L_2021231RO.01028201-E0001" TargetMode="External"/><Relationship Id="rId10" Type="http://schemas.openxmlformats.org/officeDocument/2006/relationships/hyperlink" Target="https://eur-lex.europa.eu/legal-content/RO/TXT/?uri=CELEX%3A32021R1060&amp;qid=1742993390348#ntr36-L_2021231RO.01015901-E0036" TargetMode="External"/><Relationship Id="rId19" Type="http://schemas.openxmlformats.org/officeDocument/2006/relationships/hyperlink" Target="https://eur-lex.europa.eu/legal-content/RO/TXT/?uri=CELEX%3A32021R1060&amp;qid=1742994643224#ntr45-L_2021231RO.01015901-E0045"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RO/TXT/?uri=CELEX%3A32021R1060&amp;qid=1742993390348#ntr35-L_2021231RO.01015901-E0035" TargetMode="External"/><Relationship Id="rId14" Type="http://schemas.openxmlformats.org/officeDocument/2006/relationships/hyperlink" Target="https://eur-lex.europa.eu/legal-content/RO/TXT/?uri=CELEX%3A32021R1060&amp;qid=1742994643224#ntr40-L_2021231RO.01015901-E0040" TargetMode="External"/><Relationship Id="rId22" Type="http://schemas.openxmlformats.org/officeDocument/2006/relationships/hyperlink" Target="https://eur-lex.europa.eu/legal-content/RO/TXT/?uri=CELEX%3A32021R1060&amp;qid=1742994643224#ntr48-L_2021231RO.01015901-E0048" TargetMode="External"/><Relationship Id="rId27" Type="http://schemas.openxmlformats.org/officeDocument/2006/relationships/hyperlink" Target="https://eur-lex.europa.eu/legal-content/RO/TXT/?uri=CELEX%3A32021R1060&amp;qid=1743062813907#ntr53-L_2021231RO.01015901-E0053"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45081</Words>
  <Characters>261476</Characters>
  <Application>Microsoft Office Word</Application>
  <DocSecurity>0</DocSecurity>
  <Lines>2178</Lines>
  <Paragraphs>611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305946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Eugenia Cîrlig</dc:creator>
  <dc:description/>
  <cp:lastModifiedBy>Corneliu Magurean</cp:lastModifiedBy>
  <cp:revision>2</cp:revision>
  <dcterms:created xsi:type="dcterms:W3CDTF">2025-04-17T12:37:00Z</dcterms:created>
  <dcterms:modified xsi:type="dcterms:W3CDTF">2025-04-17T12:37:00Z</dcterms:modified>
</cp:coreProperties>
</file>