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A4" w:rsidRPr="00ED14C6" w:rsidRDefault="00E219A4" w:rsidP="00661262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D14C6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E219A4" w:rsidRPr="00ED14C6" w:rsidRDefault="00E219A4" w:rsidP="00E219A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 w:rsidRPr="00ED14C6">
        <w:rPr>
          <w:rFonts w:ascii="Times New Roman" w:hAnsi="Times New Roman" w:cs="Times New Roman"/>
          <w:b/>
          <w:caps/>
          <w:sz w:val="24"/>
          <w:szCs w:val="24"/>
          <w:lang w:val="ro-RO"/>
        </w:rPr>
        <w:t>Guvernul republicii Moldova</w:t>
      </w:r>
    </w:p>
    <w:p w:rsidR="00E219A4" w:rsidRPr="00ED14C6" w:rsidRDefault="00E219A4" w:rsidP="00E219A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D14C6">
        <w:rPr>
          <w:rFonts w:ascii="Times New Roman" w:hAnsi="Times New Roman" w:cs="Times New Roman"/>
          <w:b/>
          <w:caps/>
          <w:sz w:val="24"/>
          <w:szCs w:val="24"/>
          <w:lang w:val="ro-RO"/>
        </w:rPr>
        <w:t xml:space="preserve">H o t ă r â r e  </w:t>
      </w:r>
      <w:r w:rsidRPr="00ED14C6">
        <w:rPr>
          <w:rFonts w:ascii="Times New Roman" w:hAnsi="Times New Roman" w:cs="Times New Roman"/>
          <w:sz w:val="24"/>
          <w:szCs w:val="24"/>
          <w:lang w:val="ro-RO"/>
        </w:rPr>
        <w:t>nr. _____</w:t>
      </w:r>
    </w:p>
    <w:p w:rsidR="00E219A4" w:rsidRPr="00ED14C6" w:rsidRDefault="00E219A4" w:rsidP="00E219A4">
      <w:pPr>
        <w:pStyle w:val="cn"/>
        <w:spacing w:line="276" w:lineRule="auto"/>
        <w:rPr>
          <w:b/>
          <w:lang w:val="ro-RO"/>
        </w:rPr>
      </w:pPr>
      <w:r w:rsidRPr="00ED14C6">
        <w:rPr>
          <w:b/>
          <w:lang w:val="ro-RO"/>
        </w:rPr>
        <w:t xml:space="preserve">cu privire la modificarea </w:t>
      </w:r>
      <w:r w:rsidR="007B375B" w:rsidRPr="00ED14C6">
        <w:rPr>
          <w:b/>
          <w:lang w:val="ro-RO"/>
        </w:rPr>
        <w:t xml:space="preserve">și completarea anexelor nr.1 și </w:t>
      </w:r>
      <w:r w:rsidRPr="00ED14C6">
        <w:rPr>
          <w:b/>
          <w:lang w:val="ro-RO"/>
        </w:rPr>
        <w:t xml:space="preserve"> nr. 2 la Hotărârea</w:t>
      </w:r>
    </w:p>
    <w:p w:rsidR="00E219A4" w:rsidRPr="00ED14C6" w:rsidRDefault="00E219A4" w:rsidP="00E219A4">
      <w:pPr>
        <w:pStyle w:val="cn"/>
        <w:spacing w:line="276" w:lineRule="auto"/>
        <w:rPr>
          <w:b/>
          <w:bCs/>
          <w:lang w:val="ro-RO"/>
        </w:rPr>
      </w:pPr>
      <w:r w:rsidRPr="00ED14C6">
        <w:rPr>
          <w:b/>
          <w:lang w:val="ro-RO"/>
        </w:rPr>
        <w:t xml:space="preserve"> Guvernului  </w:t>
      </w:r>
      <w:r w:rsidRPr="00ED14C6">
        <w:rPr>
          <w:b/>
          <w:bCs/>
          <w:lang w:val="ro-RO"/>
        </w:rPr>
        <w:t>nr. 919  din  30 iulie 2008</w:t>
      </w:r>
    </w:p>
    <w:p w:rsidR="00E219A4" w:rsidRPr="00ED14C6" w:rsidRDefault="00E219A4" w:rsidP="00E219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219A4" w:rsidRPr="00ED14C6" w:rsidRDefault="00E219A4" w:rsidP="00E219A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D14C6">
        <w:rPr>
          <w:rFonts w:ascii="Times New Roman" w:hAnsi="Times New Roman" w:cs="Times New Roman"/>
          <w:sz w:val="24"/>
          <w:szCs w:val="24"/>
          <w:lang w:val="ro-RO"/>
        </w:rPr>
        <w:t>din  _______________________ 201</w:t>
      </w:r>
      <w:r w:rsidR="00ED14C6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E219A4" w:rsidRPr="00ED14C6" w:rsidRDefault="00E219A4" w:rsidP="00E219A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D14C6">
        <w:rPr>
          <w:rFonts w:ascii="Times New Roman" w:hAnsi="Times New Roman" w:cs="Times New Roman"/>
          <w:sz w:val="24"/>
          <w:szCs w:val="24"/>
          <w:lang w:val="ro-RO"/>
        </w:rPr>
        <w:t>Chişinău</w:t>
      </w:r>
    </w:p>
    <w:p w:rsidR="00E219A4" w:rsidRPr="00ED14C6" w:rsidRDefault="00E219A4" w:rsidP="00E21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219A4" w:rsidRPr="00ED14C6" w:rsidRDefault="00E219A4" w:rsidP="004745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14C6">
        <w:rPr>
          <w:rFonts w:ascii="Times New Roman" w:hAnsi="Times New Roman" w:cs="Times New Roman"/>
          <w:sz w:val="24"/>
          <w:szCs w:val="24"/>
          <w:lang w:val="ro-RO"/>
        </w:rPr>
        <w:t xml:space="preserve">Guvernul </w:t>
      </w:r>
      <w:r w:rsidRPr="00ED14C6">
        <w:rPr>
          <w:rFonts w:ascii="Times New Roman" w:hAnsi="Times New Roman" w:cs="Times New Roman"/>
          <w:b/>
          <w:sz w:val="24"/>
          <w:szCs w:val="24"/>
          <w:lang w:val="ro-RO"/>
        </w:rPr>
        <w:t>HOTĂRĂŞTE:</w:t>
      </w:r>
    </w:p>
    <w:p w:rsidR="007B375B" w:rsidRPr="00474773" w:rsidRDefault="007B375B" w:rsidP="00474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7B375B" w:rsidRPr="009B314E" w:rsidRDefault="007B375B" w:rsidP="008D400C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2105">
        <w:rPr>
          <w:rFonts w:ascii="Times New Roman" w:hAnsi="Times New Roman" w:cs="Times New Roman"/>
          <w:sz w:val="24"/>
          <w:szCs w:val="24"/>
          <w:lang w:val="ro-RO"/>
        </w:rPr>
        <w:t>Anexele nr.1 și</w:t>
      </w:r>
      <w:r w:rsidR="00E219A4" w:rsidRPr="00E12105">
        <w:rPr>
          <w:rFonts w:ascii="Times New Roman" w:hAnsi="Times New Roman" w:cs="Times New Roman"/>
          <w:sz w:val="24"/>
          <w:szCs w:val="24"/>
          <w:lang w:val="ro-RO"/>
        </w:rPr>
        <w:t xml:space="preserve"> nr.2</w:t>
      </w:r>
      <w:r w:rsidR="00E219A4" w:rsidRPr="00E12105">
        <w:rPr>
          <w:rFonts w:ascii="Times New Roman" w:hAnsi="Times New Roman" w:cs="Times New Roman"/>
          <w:sz w:val="28"/>
          <w:szCs w:val="24"/>
          <w:lang w:val="ro-RO"/>
        </w:rPr>
        <w:t xml:space="preserve"> </w:t>
      </w:r>
      <w:r w:rsidR="00E219A4" w:rsidRPr="009B314E">
        <w:rPr>
          <w:rFonts w:ascii="Times New Roman" w:hAnsi="Times New Roman" w:cs="Times New Roman"/>
          <w:sz w:val="24"/>
          <w:szCs w:val="24"/>
          <w:lang w:val="ro-RO"/>
        </w:rPr>
        <w:t xml:space="preserve">la Hotărârea Guvernului nr. 919 din 30 iulie 2008 „Cu privire la organizarea și desfășurarea concursurilor comerciale și investiționale de privatizare a proprietății </w:t>
      </w:r>
      <w:r w:rsidR="00312301">
        <w:rPr>
          <w:rFonts w:ascii="Times New Roman" w:hAnsi="Times New Roman" w:cs="Times New Roman"/>
          <w:sz w:val="24"/>
          <w:szCs w:val="24"/>
          <w:lang w:val="ro-RO"/>
        </w:rPr>
        <w:t>publice” (Monitorul Oficial al R</w:t>
      </w:r>
      <w:r w:rsidR="00E219A4" w:rsidRPr="009B314E">
        <w:rPr>
          <w:rFonts w:ascii="Times New Roman" w:hAnsi="Times New Roman" w:cs="Times New Roman"/>
          <w:sz w:val="24"/>
          <w:szCs w:val="24"/>
          <w:lang w:val="ro-RO"/>
        </w:rPr>
        <w:t>epublicii Moldova, 2008, nr. 143-144, art. 9</w:t>
      </w:r>
      <w:r w:rsidR="00D56216">
        <w:rPr>
          <w:rFonts w:ascii="Times New Roman" w:hAnsi="Times New Roman" w:cs="Times New Roman"/>
          <w:sz w:val="24"/>
          <w:szCs w:val="24"/>
          <w:lang w:val="ro-RO"/>
        </w:rPr>
        <w:t xml:space="preserve">24), cu modificările și completările ulterioare, </w:t>
      </w:r>
      <w:r w:rsidR="004B2384" w:rsidRPr="009B314E">
        <w:rPr>
          <w:rFonts w:ascii="Times New Roman" w:hAnsi="Times New Roman" w:cs="Times New Roman"/>
          <w:sz w:val="24"/>
          <w:szCs w:val="24"/>
          <w:lang w:val="ro-RO"/>
        </w:rPr>
        <w:t xml:space="preserve"> se modifică </w:t>
      </w:r>
      <w:r w:rsidRPr="009B314E">
        <w:rPr>
          <w:rFonts w:ascii="Times New Roman" w:hAnsi="Times New Roman" w:cs="Times New Roman"/>
          <w:sz w:val="24"/>
          <w:szCs w:val="24"/>
          <w:lang w:val="ro-RO"/>
        </w:rPr>
        <w:t xml:space="preserve">și se completează </w:t>
      </w:r>
      <w:r w:rsidR="004B2384" w:rsidRPr="009B314E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:rsidR="00D42B6D" w:rsidRPr="00606781" w:rsidRDefault="00824AC2" w:rsidP="00D42B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</w:p>
    <w:p w:rsidR="00D56216" w:rsidRPr="005553F9" w:rsidRDefault="005553F9" w:rsidP="007F63B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7F6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42B6D" w:rsidRPr="005553F9">
        <w:rPr>
          <w:rFonts w:ascii="Times New Roman" w:hAnsi="Times New Roman" w:cs="Times New Roman"/>
          <w:sz w:val="24"/>
          <w:szCs w:val="24"/>
          <w:lang w:val="ro-RO"/>
        </w:rPr>
        <w:t xml:space="preserve">nexa nr.1 „Regulamentul </w:t>
      </w:r>
      <w:r w:rsidR="00D42B6D" w:rsidRPr="005553F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concursurilor comerciale şi investiţionale de privatizare a proprietăţii publice”:</w:t>
      </w:r>
    </w:p>
    <w:p w:rsidR="00D56216" w:rsidRDefault="00D56216" w:rsidP="00010063">
      <w:pPr>
        <w:pStyle w:val="a4"/>
        <w:numPr>
          <w:ilvl w:val="0"/>
          <w:numId w:val="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56216">
        <w:rPr>
          <w:rFonts w:ascii="Times New Roman" w:hAnsi="Times New Roman" w:cs="Times New Roman"/>
          <w:sz w:val="24"/>
          <w:szCs w:val="24"/>
          <w:lang w:val="ro-RO"/>
        </w:rPr>
        <w:t>în tot textul anexei</w:t>
      </w:r>
      <w:r w:rsidRPr="00D5621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</w:t>
      </w:r>
      <w:r w:rsidR="003D3299"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sintagma “Ministerul Economiei şi Comerţului” se substituie cu sintagma “Ministerul Economiei”, la cazul gramatical corespunzător; </w:t>
      </w:r>
    </w:p>
    <w:p w:rsidR="008D400C" w:rsidRPr="008D400C" w:rsidRDefault="008D400C" w:rsidP="00010063">
      <w:pPr>
        <w:pStyle w:val="a4"/>
        <w:tabs>
          <w:tab w:val="left" w:pos="0"/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56216" w:rsidRPr="00D56216" w:rsidRDefault="00616A31" w:rsidP="00010063">
      <w:pPr>
        <w:pStyle w:val="a4"/>
        <w:numPr>
          <w:ilvl w:val="0"/>
          <w:numId w:val="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la </w:t>
      </w:r>
      <w:r w:rsidR="007B375B" w:rsidRPr="00D5621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pct.7, alin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iatul</w:t>
      </w:r>
      <w:r w:rsidR="007B375B" w:rsidRPr="00D5621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doi se modifică și va avea următorul cuprins</w:t>
      </w:r>
      <w:r w:rsidR="00B62DF1" w:rsidRPr="00D5621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</w:p>
    <w:p w:rsidR="00D56216" w:rsidRDefault="00D56216" w:rsidP="007F63B4">
      <w:pPr>
        <w:pStyle w:val="a4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”Reprezentanţii Ministerului Economiei, Ministerului Finanțelor, Ministerului Justiției și Agenției Proprietății Publice participă </w:t>
      </w:r>
      <w:r w:rsidR="00C85E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au drept de vot </w:t>
      </w:r>
      <w:r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toate ședințele Comisiei</w:t>
      </w:r>
      <w:r w:rsidR="007F63B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iar</w:t>
      </w:r>
      <w:r w:rsidR="00C85E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reprezentanții autorităţilor </w:t>
      </w:r>
      <w:r w:rsidR="00C85E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administrației publice </w:t>
      </w:r>
      <w:r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centrale particip</w:t>
      </w:r>
      <w:r w:rsidR="00D42B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C85E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1651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au</w:t>
      </w:r>
      <w:r w:rsidR="00C85E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drept de vot </w:t>
      </w:r>
      <w:r w:rsidR="007F63B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</w:t>
      </w:r>
      <w:r w:rsidR="00C85E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umai </w:t>
      </w:r>
      <w:r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cazurile de privatizare a bunurilor aflate în administrarea </w:t>
      </w:r>
      <w:r w:rsidR="0081651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acestor autorități</w:t>
      </w:r>
      <w:r w:rsidRP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”. </w:t>
      </w:r>
    </w:p>
    <w:p w:rsidR="008D400C" w:rsidRPr="008D400C" w:rsidRDefault="008D400C" w:rsidP="0001006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F63B4" w:rsidRPr="00D56216" w:rsidRDefault="007F63B4" w:rsidP="007F63B4">
      <w:pPr>
        <w:pStyle w:val="a4"/>
        <w:numPr>
          <w:ilvl w:val="0"/>
          <w:numId w:val="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D56216" w:rsidRPr="006847F1">
        <w:rPr>
          <w:rFonts w:ascii="Times New Roman" w:hAnsi="Times New Roman" w:cs="Times New Roman"/>
          <w:sz w:val="24"/>
          <w:szCs w:val="24"/>
          <w:lang w:val="ro-RO"/>
        </w:rPr>
        <w:t xml:space="preserve"> pct. 9</w:t>
      </w:r>
      <w:r>
        <w:rPr>
          <w:rFonts w:ascii="Times New Roman" w:hAnsi="Times New Roman" w:cs="Times New Roman"/>
          <w:sz w:val="24"/>
          <w:szCs w:val="24"/>
          <w:lang w:val="ro-RO"/>
        </w:rPr>
        <w:t>, primul al</w:t>
      </w:r>
      <w:r w:rsidRPr="00D5621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se modifică și va avea următorul cuprins</w:t>
      </w:r>
      <w:r w:rsidRPr="00D5621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</w:p>
    <w:p w:rsidR="00D56216" w:rsidRDefault="007F63B4" w:rsidP="007F63B4">
      <w:pPr>
        <w:pStyle w:val="a4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63B4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6F4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Şedinţele Comisiei </w:t>
      </w:r>
      <w:r w:rsidRPr="007F63B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sânt</w:t>
      </w:r>
      <w:r w:rsidRPr="006F4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deliberative, dacă la ele participă cel puţin două treimi din </w:t>
      </w:r>
      <w:r w:rsidRPr="00CF58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membri, </w:t>
      </w:r>
      <w:r w:rsidRPr="007F63B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ținându-se</w:t>
      </w:r>
      <w:r w:rsidRPr="00CF58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 de prevederile </w:t>
      </w:r>
      <w:r w:rsidRPr="006F4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punctelor 7 şi 8 ale prezentului Regulament, iar deciziile ei se adoptă prin vot deschis, cu simpla majoritate de voturi. Deciziile Comisiei se consemnează în procese-verbale, semnate de toţi membrii prezenţi la şedinţă.</w:t>
      </w:r>
      <w:r w:rsidRPr="007F63B4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56216" w:rsidRPr="006847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D6B9D" w:rsidRDefault="008D6B9D" w:rsidP="008D6B9D">
      <w:pPr>
        <w:pStyle w:val="a4"/>
        <w:tabs>
          <w:tab w:val="left" w:pos="0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56216" w:rsidRPr="00D56216" w:rsidRDefault="005553F9" w:rsidP="00010063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D562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nexa nr. 2</w:t>
      </w:r>
      <w:r w:rsidR="00D42B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42B6D" w:rsidRPr="00ED14C6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42B6D" w:rsidRPr="00ED14C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Componența nominală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a</w:t>
      </w:r>
      <w:r w:rsidR="00D42B6D" w:rsidRPr="00ED14C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Comisiei pentru desfăşurarea concursurilor comerciale şi investiţionale de privatizare a proprietăţii publice”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se completează cu pozițiile</w:t>
      </w:r>
      <w:r w:rsidR="00D42B6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</w:p>
    <w:p w:rsidR="00220CD5" w:rsidRDefault="00220CD5" w:rsidP="00474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486"/>
      </w:tblGrid>
      <w:tr w:rsidR="00D42B6D" w:rsidRPr="00616A31" w:rsidTr="00474773">
        <w:trPr>
          <w:trHeight w:val="418"/>
        </w:trPr>
        <w:tc>
          <w:tcPr>
            <w:tcW w:w="2127" w:type="dxa"/>
          </w:tcPr>
          <w:p w:rsidR="00D42B6D" w:rsidRDefault="00474773" w:rsidP="00BA3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BA3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RIBOI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Valeriu            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D42B6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D42B6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6486" w:type="dxa"/>
          </w:tcPr>
          <w:p w:rsidR="00D42B6D" w:rsidRPr="00BA32DB" w:rsidRDefault="00D42B6D" w:rsidP="00474773">
            <w:pPr>
              <w:pStyle w:val="a4"/>
              <w:numPr>
                <w:ilvl w:val="0"/>
                <w:numId w:val="6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A32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director al Agenţiei Proprietăţii Publice, preşedinte al Comisiei </w:t>
            </w:r>
          </w:p>
        </w:tc>
      </w:tr>
      <w:tr w:rsidR="00D42B6D" w:rsidTr="00474773">
        <w:tc>
          <w:tcPr>
            <w:tcW w:w="2127" w:type="dxa"/>
          </w:tcPr>
          <w:p w:rsidR="00D42B6D" w:rsidRDefault="007F63B4" w:rsidP="00BA3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BA3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AROV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Igor                       </w:t>
            </w:r>
            <w:r w:rsidR="00D4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D42B6D"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6486" w:type="dxa"/>
          </w:tcPr>
          <w:p w:rsidR="00D42B6D" w:rsidRPr="00BA32DB" w:rsidRDefault="00D42B6D" w:rsidP="00474773">
            <w:pPr>
              <w:pStyle w:val="a4"/>
              <w:numPr>
                <w:ilvl w:val="0"/>
                <w:numId w:val="6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BA32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viceministru</w:t>
            </w:r>
            <w:proofErr w:type="spellEnd"/>
            <w:r w:rsidRPr="00BA32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al culturii</w:t>
            </w:r>
            <w:r w:rsidR="00474773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="00A51CB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</w:p>
        </w:tc>
      </w:tr>
    </w:tbl>
    <w:p w:rsidR="00D42B6D" w:rsidRPr="007F63B4" w:rsidRDefault="00D42B6D" w:rsidP="00474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5553F9" w:rsidRDefault="00A51CBB" w:rsidP="00636D2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>i</w:t>
      </w:r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>ar poziția:</w:t>
      </w:r>
    </w:p>
    <w:p w:rsidR="005553F9" w:rsidRDefault="007F63B4" w:rsidP="004B23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„GODOROJA Dumitru</w:t>
      </w:r>
      <w:r w:rsidR="00474773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</w:t>
      </w:r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474773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-   </w:t>
      </w:r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>viceministru</w:t>
      </w:r>
      <w:proofErr w:type="spellEnd"/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7E22D9">
        <w:rPr>
          <w:rFonts w:ascii="Times New Roman" w:hAnsi="Times New Roman" w:cs="Times New Roman"/>
          <w:sz w:val="24"/>
          <w:szCs w:val="24"/>
          <w:lang w:val="ro-RO" w:eastAsia="ru-RU"/>
        </w:rPr>
        <w:t>al economiei, președinte al C</w:t>
      </w:r>
      <w:r w:rsidR="005553F9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omisiei”, </w:t>
      </w:r>
    </w:p>
    <w:p w:rsidR="005553F9" w:rsidRDefault="005553F9" w:rsidP="00636D2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se modifică și va avea următorul cuprins:</w:t>
      </w:r>
    </w:p>
    <w:tbl>
      <w:tblPr>
        <w:tblStyle w:val="a5"/>
        <w:tblW w:w="903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486"/>
      </w:tblGrid>
      <w:tr w:rsidR="005553F9" w:rsidRPr="00BA32DB" w:rsidTr="00474773">
        <w:trPr>
          <w:trHeight w:val="423"/>
        </w:trPr>
        <w:tc>
          <w:tcPr>
            <w:tcW w:w="2552" w:type="dxa"/>
          </w:tcPr>
          <w:p w:rsidR="005553F9" w:rsidRDefault="005553F9" w:rsidP="00474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ODOROJA</w:t>
            </w:r>
            <w:r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4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umitru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ED1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486" w:type="dxa"/>
          </w:tcPr>
          <w:p w:rsidR="005553F9" w:rsidRPr="00BA32DB" w:rsidRDefault="00474773" w:rsidP="00474773">
            <w:pPr>
              <w:pStyle w:val="a4"/>
              <w:numPr>
                <w:ilvl w:val="0"/>
                <w:numId w:val="6"/>
              </w:numPr>
              <w:ind w:left="17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="005553F9" w:rsidRPr="00BA3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viceministru</w:t>
            </w:r>
            <w:proofErr w:type="spellEnd"/>
            <w:r w:rsidR="005553F9" w:rsidRPr="00BA32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economiei, </w:t>
            </w:r>
            <w:r w:rsidR="005553F9" w:rsidRPr="00BA32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vicepreşedinte al Comisiei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="007F63B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</w:tbl>
    <w:p w:rsidR="00E219A4" w:rsidRPr="00474773" w:rsidRDefault="00E219A4" w:rsidP="004B2384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ro-RO" w:eastAsia="ru-RU"/>
        </w:rPr>
      </w:pPr>
    </w:p>
    <w:p w:rsidR="00E219A4" w:rsidRPr="007F63B4" w:rsidRDefault="00E219A4" w:rsidP="00E21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o-RO" w:eastAsia="ru-RU"/>
        </w:rPr>
      </w:pPr>
      <w:r w:rsidRPr="007F63B4">
        <w:rPr>
          <w:rFonts w:ascii="Times New Roman" w:hAnsi="Times New Roman" w:cs="Times New Roman"/>
          <w:sz w:val="16"/>
          <w:szCs w:val="16"/>
          <w:lang w:val="ro-RO" w:eastAsia="ru-RU"/>
        </w:rPr>
        <w:t> </w:t>
      </w:r>
    </w:p>
    <w:tbl>
      <w:tblPr>
        <w:tblW w:w="858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2693"/>
      </w:tblGrid>
      <w:tr w:rsidR="00E219A4" w:rsidRPr="00ED14C6" w:rsidTr="004307DD">
        <w:trPr>
          <w:tblCellSpacing w:w="15" w:type="dxa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219A4" w:rsidRPr="00ED14C6" w:rsidRDefault="00E219A4" w:rsidP="0084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D1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219A4" w:rsidRPr="00ED14C6" w:rsidRDefault="00E219A4" w:rsidP="0084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D14C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Iurie LEANCĂ</w:t>
            </w:r>
          </w:p>
        </w:tc>
      </w:tr>
      <w:tr w:rsidR="00E219A4" w:rsidRPr="00ED14C6" w:rsidTr="004307DD">
        <w:trPr>
          <w:tblCellSpacing w:w="15" w:type="dxa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B2384" w:rsidRPr="007F63B4" w:rsidRDefault="004B2384" w:rsidP="0084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</w:p>
          <w:p w:rsidR="00E219A4" w:rsidRPr="00ED14C6" w:rsidRDefault="00E219A4" w:rsidP="0084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D1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Contrasemnează: </w:t>
            </w:r>
          </w:p>
        </w:tc>
        <w:tc>
          <w:tcPr>
            <w:tcW w:w="2648" w:type="dxa"/>
            <w:vAlign w:val="center"/>
            <w:hideMark/>
          </w:tcPr>
          <w:p w:rsidR="00E219A4" w:rsidRPr="00ED14C6" w:rsidRDefault="00E219A4" w:rsidP="00843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219A4" w:rsidRPr="00ED14C6" w:rsidTr="004307DD">
        <w:trPr>
          <w:tblCellSpacing w:w="15" w:type="dxa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219A4" w:rsidRPr="00ED14C6" w:rsidRDefault="00E219A4" w:rsidP="0084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D1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Viceprim-ministru, ministrul economiei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219A4" w:rsidRPr="00ED14C6" w:rsidRDefault="00E219A4" w:rsidP="00430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D1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Valeriu L</w:t>
            </w:r>
            <w:r w:rsidR="00430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AZĂR</w:t>
            </w:r>
            <w:r w:rsidRPr="00ED1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</w:tr>
    </w:tbl>
    <w:p w:rsidR="00641A18" w:rsidRPr="00ED14C6" w:rsidRDefault="00641A18" w:rsidP="007F63B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41A18" w:rsidRPr="00ED14C6" w:rsidSect="007F63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DD6"/>
    <w:multiLevelType w:val="hybridMultilevel"/>
    <w:tmpl w:val="9E00E370"/>
    <w:lvl w:ilvl="0" w:tplc="69E62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6A0091"/>
    <w:multiLevelType w:val="hybridMultilevel"/>
    <w:tmpl w:val="721E828C"/>
    <w:lvl w:ilvl="0" w:tplc="D05C04F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F31"/>
    <w:multiLevelType w:val="hybridMultilevel"/>
    <w:tmpl w:val="E124E340"/>
    <w:lvl w:ilvl="0" w:tplc="979E2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E5EF3"/>
    <w:multiLevelType w:val="hybridMultilevel"/>
    <w:tmpl w:val="24A4EBA0"/>
    <w:lvl w:ilvl="0" w:tplc="61D6CE76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55445A18"/>
    <w:multiLevelType w:val="hybridMultilevel"/>
    <w:tmpl w:val="C2E0BE6A"/>
    <w:lvl w:ilvl="0" w:tplc="AA8E8D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764E3C"/>
    <w:multiLevelType w:val="hybridMultilevel"/>
    <w:tmpl w:val="2006E3DE"/>
    <w:lvl w:ilvl="0" w:tplc="FBBCF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A145F"/>
    <w:multiLevelType w:val="hybridMultilevel"/>
    <w:tmpl w:val="7C60F10A"/>
    <w:lvl w:ilvl="0" w:tplc="1854C08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9C"/>
    <w:rsid w:val="00006F11"/>
    <w:rsid w:val="00010063"/>
    <w:rsid w:val="00094DEF"/>
    <w:rsid w:val="000D2D95"/>
    <w:rsid w:val="00194805"/>
    <w:rsid w:val="00220CD5"/>
    <w:rsid w:val="002553E8"/>
    <w:rsid w:val="002941DC"/>
    <w:rsid w:val="002B7F81"/>
    <w:rsid w:val="002D5BAD"/>
    <w:rsid w:val="00312301"/>
    <w:rsid w:val="00337DD2"/>
    <w:rsid w:val="003456A5"/>
    <w:rsid w:val="00385F1C"/>
    <w:rsid w:val="003B5EA2"/>
    <w:rsid w:val="003D3299"/>
    <w:rsid w:val="003F2683"/>
    <w:rsid w:val="00403D3B"/>
    <w:rsid w:val="004307DD"/>
    <w:rsid w:val="00474594"/>
    <w:rsid w:val="00474773"/>
    <w:rsid w:val="004B2384"/>
    <w:rsid w:val="004B58E7"/>
    <w:rsid w:val="0052049C"/>
    <w:rsid w:val="00540504"/>
    <w:rsid w:val="005553F9"/>
    <w:rsid w:val="005F78F6"/>
    <w:rsid w:val="00616A31"/>
    <w:rsid w:val="00636D20"/>
    <w:rsid w:val="00641A18"/>
    <w:rsid w:val="00661262"/>
    <w:rsid w:val="00661EE2"/>
    <w:rsid w:val="006847F1"/>
    <w:rsid w:val="00684843"/>
    <w:rsid w:val="006D51C7"/>
    <w:rsid w:val="006F7927"/>
    <w:rsid w:val="007921C4"/>
    <w:rsid w:val="00797A5D"/>
    <w:rsid w:val="007B375B"/>
    <w:rsid w:val="007B70E9"/>
    <w:rsid w:val="007E22D9"/>
    <w:rsid w:val="007F63B4"/>
    <w:rsid w:val="00816517"/>
    <w:rsid w:val="00817988"/>
    <w:rsid w:val="00824AC2"/>
    <w:rsid w:val="00881839"/>
    <w:rsid w:val="008D03C2"/>
    <w:rsid w:val="008D2C5F"/>
    <w:rsid w:val="008D400C"/>
    <w:rsid w:val="008D6B9D"/>
    <w:rsid w:val="008D76CD"/>
    <w:rsid w:val="008F5450"/>
    <w:rsid w:val="009021ED"/>
    <w:rsid w:val="009140D0"/>
    <w:rsid w:val="00927739"/>
    <w:rsid w:val="00991E1C"/>
    <w:rsid w:val="009B314E"/>
    <w:rsid w:val="009E5E0B"/>
    <w:rsid w:val="00A10C0C"/>
    <w:rsid w:val="00A140E2"/>
    <w:rsid w:val="00A428CD"/>
    <w:rsid w:val="00A47BC7"/>
    <w:rsid w:val="00A51CBB"/>
    <w:rsid w:val="00A91290"/>
    <w:rsid w:val="00B62DF1"/>
    <w:rsid w:val="00B77012"/>
    <w:rsid w:val="00B94572"/>
    <w:rsid w:val="00BA32DB"/>
    <w:rsid w:val="00C02227"/>
    <w:rsid w:val="00C02A33"/>
    <w:rsid w:val="00C12F9D"/>
    <w:rsid w:val="00C85E18"/>
    <w:rsid w:val="00D42B6D"/>
    <w:rsid w:val="00D56216"/>
    <w:rsid w:val="00D94BE4"/>
    <w:rsid w:val="00DA10C0"/>
    <w:rsid w:val="00E12105"/>
    <w:rsid w:val="00E219A4"/>
    <w:rsid w:val="00E341BA"/>
    <w:rsid w:val="00ED14C6"/>
    <w:rsid w:val="00F06051"/>
    <w:rsid w:val="00F113A4"/>
    <w:rsid w:val="00FA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4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E219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2384"/>
    <w:pPr>
      <w:ind w:left="720"/>
      <w:contextualSpacing/>
    </w:pPr>
  </w:style>
  <w:style w:type="paragraph" w:customStyle="1" w:styleId="tt">
    <w:name w:val="tt"/>
    <w:basedOn w:val="a"/>
    <w:rsid w:val="007B70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rsid w:val="007B3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7B3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4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4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E219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2384"/>
    <w:pPr>
      <w:ind w:left="720"/>
      <w:contextualSpacing/>
    </w:pPr>
  </w:style>
  <w:style w:type="paragraph" w:customStyle="1" w:styleId="tt">
    <w:name w:val="tt"/>
    <w:basedOn w:val="a"/>
    <w:rsid w:val="007B70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rsid w:val="007B3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7B3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4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BB25-7B81-468A-A1A8-99E287FB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Cebotarean</dc:creator>
  <cp:lastModifiedBy>admin</cp:lastModifiedBy>
  <cp:revision>19</cp:revision>
  <cp:lastPrinted>2014-02-04T13:40:00Z</cp:lastPrinted>
  <dcterms:created xsi:type="dcterms:W3CDTF">2014-02-03T12:49:00Z</dcterms:created>
  <dcterms:modified xsi:type="dcterms:W3CDTF">2014-02-04T10:03:00Z</dcterms:modified>
</cp:coreProperties>
</file>