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FD" w:rsidRPr="006678A7" w:rsidRDefault="00710CF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003C" w:rsidRPr="006678A7" w:rsidRDefault="0093003C" w:rsidP="00930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A7">
        <w:rPr>
          <w:rFonts w:ascii="Times New Roman" w:hAnsi="Times New Roman" w:cs="Times New Roman"/>
          <w:b/>
          <w:sz w:val="28"/>
          <w:szCs w:val="28"/>
        </w:rPr>
        <w:t xml:space="preserve">NOTĂ </w:t>
      </w:r>
      <w:r w:rsidR="003221F3" w:rsidRPr="006678A7">
        <w:rPr>
          <w:rFonts w:ascii="Times New Roman" w:hAnsi="Times New Roman" w:cs="Times New Roman"/>
          <w:b/>
          <w:sz w:val="28"/>
          <w:szCs w:val="28"/>
        </w:rPr>
        <w:t>DE FUNDAMENTARE</w:t>
      </w:r>
    </w:p>
    <w:p w:rsidR="003221F3" w:rsidRPr="006678A7" w:rsidRDefault="004620DB" w:rsidP="003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la proiectul hotărârii </w:t>
      </w:r>
      <w:r w:rsidR="003221F3" w:rsidRPr="006678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de Guvern </w:t>
      </w:r>
      <w:r w:rsidR="00582CCF" w:rsidRPr="006678A7">
        <w:rPr>
          <w:rFonts w:ascii="Times New Roman" w:hAnsi="Times New Roman" w:cs="Times New Roman"/>
          <w:b/>
          <w:sz w:val="28"/>
          <w:szCs w:val="28"/>
        </w:rPr>
        <w:t xml:space="preserve">cu privire la încorporarea cetățenilor </w:t>
      </w:r>
    </w:p>
    <w:p w:rsidR="003221F3" w:rsidRPr="006678A7" w:rsidRDefault="00582CCF" w:rsidP="003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A7">
        <w:rPr>
          <w:rFonts w:ascii="Times New Roman" w:hAnsi="Times New Roman" w:cs="Times New Roman"/>
          <w:b/>
          <w:sz w:val="28"/>
          <w:szCs w:val="28"/>
        </w:rPr>
        <w:t>în serviciul militar</w:t>
      </w:r>
      <w:r w:rsidR="003221F3" w:rsidRPr="00667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78A7">
        <w:rPr>
          <w:rFonts w:ascii="Times New Roman" w:hAnsi="Times New Roman" w:cs="Times New Roman"/>
          <w:b/>
          <w:sz w:val="28"/>
          <w:szCs w:val="28"/>
        </w:rPr>
        <w:t xml:space="preserve">în termen şi cu termen redus </w:t>
      </w:r>
    </w:p>
    <w:p w:rsidR="00013F63" w:rsidRPr="006678A7" w:rsidRDefault="00582CCF" w:rsidP="00322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8A7">
        <w:rPr>
          <w:rFonts w:ascii="Times New Roman" w:hAnsi="Times New Roman" w:cs="Times New Roman"/>
          <w:b/>
          <w:sz w:val="28"/>
          <w:szCs w:val="28"/>
        </w:rPr>
        <w:t xml:space="preserve">în perioada </w:t>
      </w:r>
      <w:r w:rsidR="00710D5C">
        <w:rPr>
          <w:rFonts w:ascii="Times New Roman" w:hAnsi="Times New Roman" w:cs="Times New Roman"/>
          <w:b/>
          <w:sz w:val="28"/>
          <w:szCs w:val="28"/>
        </w:rPr>
        <w:t xml:space="preserve">aprilie </w:t>
      </w:r>
      <w:r w:rsidRPr="006678A7">
        <w:rPr>
          <w:rFonts w:ascii="Times New Roman" w:hAnsi="Times New Roman" w:cs="Times New Roman"/>
          <w:b/>
          <w:sz w:val="28"/>
          <w:szCs w:val="28"/>
        </w:rPr>
        <w:t>-</w:t>
      </w:r>
      <w:r w:rsidR="00710D5C">
        <w:rPr>
          <w:rFonts w:ascii="Times New Roman" w:hAnsi="Times New Roman" w:cs="Times New Roman"/>
          <w:b/>
          <w:sz w:val="28"/>
          <w:szCs w:val="28"/>
        </w:rPr>
        <w:t xml:space="preserve"> iulie</w:t>
      </w:r>
      <w:r w:rsidR="00E30846" w:rsidRPr="006678A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1452" w:rsidRPr="006678A7">
        <w:rPr>
          <w:rFonts w:ascii="Times New Roman" w:hAnsi="Times New Roman" w:cs="Times New Roman"/>
          <w:b/>
          <w:sz w:val="28"/>
          <w:szCs w:val="28"/>
        </w:rPr>
        <w:t>5</w:t>
      </w:r>
    </w:p>
    <w:p w:rsidR="004620DB" w:rsidRPr="006678A7" w:rsidRDefault="004620DB" w:rsidP="00013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"/>
        <w:tblW w:w="1080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C6908" w:rsidRPr="006678A7" w:rsidTr="00C40A93">
        <w:tc>
          <w:tcPr>
            <w:tcW w:w="10800" w:type="dxa"/>
            <w:shd w:val="clear" w:color="auto" w:fill="D9D9D9" w:themeFill="background1" w:themeFillShade="D9"/>
          </w:tcPr>
          <w:p w:rsidR="007C6908" w:rsidRPr="006678A7" w:rsidRDefault="00C40A93" w:rsidP="00DA4F8C">
            <w:pPr>
              <w:pStyle w:val="Normal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435"/>
              </w:tabs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Denumirea sau numele autorului şi, după caz, a/al participanţilor la elaborarea proiectului actului normativ</w:t>
            </w:r>
          </w:p>
        </w:tc>
      </w:tr>
      <w:tr w:rsidR="007C6908" w:rsidRPr="006678A7" w:rsidTr="004620DB">
        <w:trPr>
          <w:trHeight w:val="264"/>
        </w:trPr>
        <w:tc>
          <w:tcPr>
            <w:tcW w:w="10800" w:type="dxa"/>
          </w:tcPr>
          <w:p w:rsidR="007C6908" w:rsidRPr="006678A7" w:rsidRDefault="004620DB" w:rsidP="004620D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Style w:val="fontstyle01"/>
              </w:rPr>
              <w:t xml:space="preserve">    </w:t>
            </w:r>
            <w:r w:rsidR="00B21452" w:rsidRPr="006678A7">
              <w:rPr>
                <w:rStyle w:val="fontstyle01"/>
                <w:i/>
              </w:rPr>
              <w:t>Autor</w:t>
            </w:r>
            <w:r w:rsidR="00B21452" w:rsidRPr="006678A7">
              <w:rPr>
                <w:rStyle w:val="fontstyle01"/>
              </w:rPr>
              <w:t>:</w:t>
            </w:r>
            <w:r w:rsidRPr="006678A7">
              <w:rPr>
                <w:rStyle w:val="fontstyle01"/>
              </w:rPr>
              <w:t xml:space="preserve"> Ministerul Apărării.</w:t>
            </w:r>
          </w:p>
        </w:tc>
      </w:tr>
      <w:tr w:rsidR="007C6908" w:rsidRPr="006678A7" w:rsidTr="00C40A93">
        <w:tc>
          <w:tcPr>
            <w:tcW w:w="10800" w:type="dxa"/>
            <w:shd w:val="clear" w:color="auto" w:fill="D9D9D9" w:themeFill="background1" w:themeFillShade="D9"/>
          </w:tcPr>
          <w:p w:rsidR="007C6908" w:rsidRPr="006678A7" w:rsidRDefault="00DA4F8C" w:rsidP="00C40A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515D9E" w:rsidRPr="006678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="00515D9E" w:rsidRPr="006678A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Condiţiile ce au impus elaborarea </w:t>
            </w:r>
            <w:r w:rsidR="00515D9E" w:rsidRPr="00B06B6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proiectului de act</w:t>
            </w:r>
            <w:r w:rsidR="00C40A93" w:rsidRPr="00B06B6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ului</w:t>
            </w:r>
            <w:r w:rsidR="00515D9E" w:rsidRPr="00B06B6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normativ</w:t>
            </w:r>
            <w:r w:rsidR="00515D9E" w:rsidRPr="00B06B6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4009E" w:rsidRPr="006678A7" w:rsidTr="0044009E">
        <w:tc>
          <w:tcPr>
            <w:tcW w:w="10800" w:type="dxa"/>
            <w:shd w:val="clear" w:color="auto" w:fill="FFFFFF" w:themeFill="background1"/>
          </w:tcPr>
          <w:p w:rsidR="0044009E" w:rsidRPr="006678A7" w:rsidRDefault="0044009E" w:rsidP="00C40A9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2.1. Temeiul legal sau, după caz</w:t>
            </w:r>
            <w:r w:rsidR="009974E4"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sursa proiectului actului normativ</w:t>
            </w:r>
          </w:p>
        </w:tc>
      </w:tr>
      <w:tr w:rsidR="002A2FF1" w:rsidRPr="006678A7" w:rsidTr="0044009E">
        <w:tc>
          <w:tcPr>
            <w:tcW w:w="10800" w:type="dxa"/>
            <w:shd w:val="clear" w:color="auto" w:fill="FFFFFF" w:themeFill="background1"/>
          </w:tcPr>
          <w:p w:rsidR="002A2FF1" w:rsidRPr="006678A7" w:rsidRDefault="002A2FF1" w:rsidP="003A5D4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Proiectul hotărârii Guvernului a fost elaborat în scopul implementării pct. 4 din Decretul Președintelui Republicii Moldova nr. </w:t>
            </w:r>
            <w:r w:rsidR="003A5D4A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85/2025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și Legilor speciale (art. 28 alin. (3) și art. 34 din Legea nr.1245/2002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art. art. 11, 27 alin. (2) lit. e), 28 alin. (2) lit. h), 39 alin. (2) lit. a) din Legea nr. 345/2003).</w:t>
            </w:r>
          </w:p>
        </w:tc>
      </w:tr>
      <w:tr w:rsidR="002A2FF1" w:rsidRPr="006678A7" w:rsidTr="0044009E">
        <w:tc>
          <w:tcPr>
            <w:tcW w:w="10800" w:type="dxa"/>
            <w:shd w:val="clear" w:color="auto" w:fill="FFFFFF" w:themeFill="background1"/>
          </w:tcPr>
          <w:p w:rsidR="002A2FF1" w:rsidRPr="006678A7" w:rsidRDefault="002A2FF1" w:rsidP="002A2FF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7C6908" w:rsidRPr="006678A7" w:rsidTr="0091359E">
        <w:tc>
          <w:tcPr>
            <w:tcW w:w="10800" w:type="dxa"/>
          </w:tcPr>
          <w:p w:rsidR="004620DB" w:rsidRPr="006678A7" w:rsidRDefault="004620DB" w:rsidP="004620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Prin proiect se urmărește:</w:t>
            </w:r>
          </w:p>
          <w:p w:rsidR="004620DB" w:rsidRPr="006678A7" w:rsidRDefault="004620DB" w:rsidP="004620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stabilirea numărului de recruți, necesar de încorporat în Armata Națională;</w:t>
            </w:r>
          </w:p>
          <w:p w:rsidR="004620DB" w:rsidRPr="006678A7" w:rsidRDefault="004620DB" w:rsidP="004620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elaborarea măsurilor organizatorice în vederea asigurării încorporării cetățenilor</w:t>
            </w:r>
            <w:r w:rsidR="00AE3BCE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în serviciul militar în termen şi cu termen redus;</w:t>
            </w:r>
          </w:p>
          <w:p w:rsidR="004620DB" w:rsidRPr="006678A7" w:rsidRDefault="004620DB" w:rsidP="004620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asigurarea </w:t>
            </w:r>
            <w:r w:rsidR="0020662A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corespunzătoare cu resurse </w:t>
            </w:r>
            <w:r w:rsidR="0080297F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umane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proceselo</w:t>
            </w:r>
            <w:r w:rsidR="009E655D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 de consolidare, dezvoltare şi 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modernizare a sistemului național de apărare;</w:t>
            </w:r>
          </w:p>
          <w:p w:rsidR="004620DB" w:rsidRPr="006678A7" w:rsidRDefault="004620DB" w:rsidP="004620D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menținerea temporară a sistemului mixt de compl</w:t>
            </w:r>
            <w:r w:rsidR="009E655D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etare a Forțelor Armate până la 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determinarea configurației optime a sistemului național de apărare.</w:t>
            </w:r>
          </w:p>
          <w:p w:rsidR="003F0CCA" w:rsidRPr="006678A7" w:rsidRDefault="004620DB" w:rsidP="00140A1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Adițional, sarcina de încorporare a fost stab</w:t>
            </w:r>
            <w:r w:rsidR="00470A89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ilită în limitele și în vederea 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completării efectivului Armatei Naționale şi a instituț</w:t>
            </w:r>
            <w:r w:rsidR="00470A89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iilor Ministerului Apărării, de 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6500 militari şi de 2000 persoane civile, care </w:t>
            </w:r>
            <w:r w:rsidR="00470A89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sunt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întreținute din </w:t>
            </w:r>
            <w:r w:rsidR="00470A89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surse bugetare, </w:t>
            </w:r>
            <w:r w:rsidR="00041B21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conform art. 1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40A1E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 Hotărârea Parlamentului nr. 679/2</w:t>
            </w:r>
            <w:r w:rsidR="00470A89" w:rsidRPr="003A5D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001 pentru </w:t>
            </w:r>
            <w:r w:rsidR="00470A89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aprobarea structurii 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generale şi a efectivului Armatei Naționale şi a instituțiilor Ministerului Apărăr</w:t>
            </w:r>
            <w:r w:rsidR="00E5143B"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6678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</w:t>
            </w:r>
          </w:p>
        </w:tc>
      </w:tr>
      <w:tr w:rsidR="00BE237B" w:rsidRPr="006678A7" w:rsidTr="00BE237B">
        <w:tc>
          <w:tcPr>
            <w:tcW w:w="10800" w:type="dxa"/>
            <w:shd w:val="clear" w:color="auto" w:fill="D9D9D9" w:themeFill="background1" w:themeFillShade="D9"/>
          </w:tcPr>
          <w:p w:rsidR="00BE237B" w:rsidRPr="006678A7" w:rsidRDefault="00BE237B" w:rsidP="001A0AE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ind w:left="9" w:firstLine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3. Obiectivele urmărite și soluțiile propuse</w:t>
            </w:r>
          </w:p>
        </w:tc>
      </w:tr>
      <w:tr w:rsidR="007C6908" w:rsidRPr="006678A7" w:rsidTr="0091359E">
        <w:tc>
          <w:tcPr>
            <w:tcW w:w="10800" w:type="dxa"/>
          </w:tcPr>
          <w:p w:rsidR="00253ABC" w:rsidRPr="006678A7" w:rsidRDefault="006F0702" w:rsidP="002242F8">
            <w:pPr>
              <w:pStyle w:val="Normal1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Principalele prevederi ale proiectului şi evidenţierea elementelor noi</w:t>
            </w:r>
          </w:p>
        </w:tc>
      </w:tr>
      <w:tr w:rsidR="006F0702" w:rsidRPr="006678A7" w:rsidTr="0091359E">
        <w:tc>
          <w:tcPr>
            <w:tcW w:w="10800" w:type="dxa"/>
          </w:tcPr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Prin proiect: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stabilește sarcina (limita maximă) de încorporare a cetățenilor:</w:t>
            </w:r>
          </w:p>
          <w:p w:rsidR="004620DB" w:rsidRPr="003A5D4A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4E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</w:t>
            </w:r>
            <w:r w:rsidRPr="001C4E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de până la 1 </w:t>
            </w:r>
            <w:r w:rsidR="003A5D4A"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2242F8"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723A45"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recruți, în serviciul militar în termen în Armata Națională;</w:t>
            </w:r>
          </w:p>
          <w:p w:rsidR="004620DB" w:rsidRPr="001C4E6B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D4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2)</w:t>
            </w:r>
            <w:r w:rsidRPr="003A5D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până la 10 recruți</w:t>
            </w:r>
            <w:r w:rsidRPr="001C4E6B">
              <w:rPr>
                <w:rFonts w:ascii="Times New Roman" w:hAnsi="Times New Roman" w:cs="Times New Roman"/>
                <w:b/>
                <w:sz w:val="28"/>
                <w:szCs w:val="28"/>
              </w:rPr>
              <w:t>, în serviciul militar cu t</w:t>
            </w:r>
            <w:r w:rsidR="003221F3" w:rsidRPr="001C4E6B">
              <w:rPr>
                <w:rFonts w:ascii="Times New Roman" w:hAnsi="Times New Roman" w:cs="Times New Roman"/>
                <w:b/>
                <w:sz w:val="28"/>
                <w:szCs w:val="28"/>
              </w:rPr>
              <w:t>ermen redus în Armata Națională;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indică condițiile și modalitatea de efectuare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a procesul</w:t>
            </w:r>
            <w:r w:rsidR="00CD7210" w:rsidRPr="006678A7">
              <w:rPr>
                <w:rFonts w:ascii="Times New Roman" w:hAnsi="Times New Roman" w:cs="Times New Roman"/>
                <w:sz w:val="28"/>
                <w:szCs w:val="28"/>
              </w:rPr>
              <w:t>ui de încorporare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cetățenilor în serviciul militar, cu instituirea obligaț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iei Ministerului Apărării de 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elabora și aproba graficul de încorporare a cetățenilor în serviciul militar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se propune autorităților administrației publice de 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>nivelu</w:t>
            </w:r>
            <w:r w:rsidR="00140D03" w:rsidRPr="006678A7">
              <w:rPr>
                <w:rFonts w:ascii="Times New Roman" w:hAnsi="Times New Roman" w:cs="Times New Roman"/>
                <w:sz w:val="28"/>
                <w:szCs w:val="28"/>
              </w:rPr>
              <w:t>l al doilea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să întreprindă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măsurile de rigoare pentru înlăturarea neajunsurilor dep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istate în perioada desfășurării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campaniei de încorporare menționate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0A89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instituie obligația comună a Ministerului Apărări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i, autorităților administrației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publice locale și a centrelor militare de a stabil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 sarcina de încorporare pentru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primăriile municipiilor, orașelor, comunelor și satelor; 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instituie obligația comună a autorităților adm</w:t>
            </w:r>
            <w:r w:rsidR="00470A89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inistrației publice locale și 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centrelor militare de a stabili sarcina de încorporare 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pentru primăriile municipiilor,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orașelor, comunelor și satelor;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se instituie obligația comună a autorităților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administrației publice locale,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Ministerului Educației și Cercetării și a centrelor mil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itare de a asigura desfășurarea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activităților educative cu tematică militar-patriotică,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consacrate datelor remarcabile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din istoria Armatei Naționale, în scopul susține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rii campaniei de încorporare și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propagării prestigiului s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erviciului militar în societate;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instituie obligația comună a unităților administ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rativ-teritoriale de nivelul al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doilea şi a unității teritorial autonome cu statut special de a asigura organizarea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efectuării examenului medical preliminar şi a expertiz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ei medico-militare a recruților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de către comisiile medico-militare de pe lângă orga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nele administrativ-militare, în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volumul şi modul pre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văzute de legislație;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se instituie obligațiile Ministerului Apărării: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1)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de a elabora planul de repartizare a recruților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şi de a redistribui sarcina de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încorporare între centrele militare, fără emiterea altei h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otărâri a Guvernului, în scopul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îndeplinirii în volum deplin a sarcinii de încorporare;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2)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de a generaliza (la sfârşitul încorporării) neaj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unsurile, depistate în perioada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desfășurării campaniei de încorporare, în activitatea c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omisiilor medico-militare de pe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lângă organele administrativ-militare, precum și d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e a informa ulterior Ministerul 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Sănătății;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se dispune eliberarea, în perioada </w:t>
            </w:r>
            <w:r w:rsidR="008075CC">
              <w:rPr>
                <w:rStyle w:val="Bodytext2"/>
                <w:color w:val="000000"/>
              </w:rPr>
              <w:t>aprilie</w:t>
            </w:r>
            <w:r w:rsidR="00E119FE" w:rsidRPr="006678A7">
              <w:rPr>
                <w:rStyle w:val="Bodytext2"/>
                <w:color w:val="000000"/>
              </w:rPr>
              <w:t xml:space="preserve"> - </w:t>
            </w:r>
            <w:r w:rsidR="008075CC">
              <w:rPr>
                <w:rStyle w:val="Bodytext2"/>
                <w:color w:val="000000"/>
              </w:rPr>
              <w:t>iulie</w:t>
            </w:r>
            <w:r w:rsidR="00E119FE" w:rsidRPr="006678A7">
              <w:rPr>
                <w:rStyle w:val="Bodytext2"/>
                <w:color w:val="000000"/>
              </w:rPr>
              <w:t xml:space="preserve"> 202</w:t>
            </w:r>
            <w:r w:rsidR="00D60EB3">
              <w:rPr>
                <w:rStyle w:val="Bodytext2"/>
                <w:color w:val="000000"/>
              </w:rPr>
              <w:t>5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, din serviciul militar şi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trecerea în rezerva Forțelor Armate (la expirarea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duratei serviciului militar) 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militarilor încorporați în perioada </w:t>
            </w:r>
            <w:r w:rsidR="003A5D4A">
              <w:rPr>
                <w:rStyle w:val="Bodytext2"/>
                <w:color w:val="000000"/>
              </w:rPr>
              <w:t>aprilie</w:t>
            </w:r>
            <w:r w:rsidR="003A5D4A" w:rsidRPr="006678A7">
              <w:rPr>
                <w:rStyle w:val="Bodytext2"/>
                <w:color w:val="000000"/>
              </w:rPr>
              <w:t xml:space="preserve"> - </w:t>
            </w:r>
            <w:r w:rsidR="003A5D4A">
              <w:rPr>
                <w:rStyle w:val="Bodytext2"/>
                <w:color w:val="000000"/>
              </w:rPr>
              <w:t>iulie</w:t>
            </w:r>
            <w:r w:rsidR="003A5D4A" w:rsidRPr="006678A7">
              <w:rPr>
                <w:rStyle w:val="Bodytext2"/>
                <w:color w:val="000000"/>
              </w:rPr>
              <w:t xml:space="preserve"> 202</w:t>
            </w:r>
            <w:r w:rsidR="003A5D4A">
              <w:rPr>
                <w:rStyle w:val="Bodytext2"/>
                <w:color w:val="000000"/>
              </w:rPr>
              <w:t>4</w:t>
            </w:r>
            <w:r w:rsidR="00E119FE" w:rsidRPr="006678A7">
              <w:rPr>
                <w:rStyle w:val="Bodytext2"/>
              </w:rPr>
              <w:t xml:space="preserve">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în serviciul militar în termen;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dispune eliberarea, în luna </w:t>
            </w:r>
            <w:r w:rsidR="003A5D4A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aprilie 2025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din s</w:t>
            </w:r>
            <w:r w:rsidR="009E655D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erviciul militar şi trecerea în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rezerva Forțelor Armate (la data îndeplinirii duratei ser</w:t>
            </w:r>
            <w:r w:rsidR="009E655D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viciului militar) a militarilor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încorporați în luna </w:t>
            </w:r>
            <w:r w:rsidR="003A5D4A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ianuarie 2025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în serviciul militar cu termen redus</w:t>
            </w:r>
            <w:r w:rsidR="003221F3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4620DB" w:rsidRPr="006678A7" w:rsidRDefault="004620DB" w:rsidP="004620DB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se instituie obligația președintelui Comisiei </w:t>
            </w:r>
            <w:r w:rsidR="009E655D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de Stat pentru Încorporare de 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efectua contro</w:t>
            </w:r>
            <w:r w:rsidR="003221F3" w:rsidRPr="006678A7">
              <w:rPr>
                <w:rFonts w:ascii="Times New Roman" w:hAnsi="Times New Roman" w:cs="Times New Roman"/>
                <w:sz w:val="28"/>
                <w:szCs w:val="28"/>
              </w:rPr>
              <w:t>lul asupra executării hotărârii;</w:t>
            </w:r>
          </w:p>
          <w:p w:rsidR="006A06B5" w:rsidRPr="00223F07" w:rsidRDefault="004620DB" w:rsidP="00F56780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- stabilește intrarea în vigoare a hotărârii la data publicării în Monitorul Oficial</w:t>
            </w:r>
            <w:r w:rsidR="00F56780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, luând în considerare necesitatea stringentă de completare a unităților militare cu militari în termen, necesară pentru a asigura continuitatea menținerii capacității de apărare a </w:t>
            </w:r>
            <w:r w:rsidR="00F56780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statului.</w:t>
            </w:r>
            <w:r w:rsidR="00D45D32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A06B5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Sau, </w:t>
            </w:r>
            <w:r w:rsidR="006A06B5"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procesul de eliberare/încorporare în serviciu militar în termen este un exercițiu național repetativ, condițiile căruia rămân neschimbate, cu excepția celor cantitative. Respectiv, datorită periodicității și lipsei de pauze, este posibil de a garanta completarea unităților militare cu militari în termen, avînd un randament continuu de instruire militară și folosirea rațională a resurselor administrative în acest sens. </w:t>
            </w:r>
          </w:p>
          <w:p w:rsidR="00D45D32" w:rsidRPr="00223F07" w:rsidRDefault="006A06B5" w:rsidP="00F56780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07">
              <w:rPr>
                <w:rFonts w:ascii="Times New Roman" w:hAnsi="Times New Roman" w:cs="Times New Roman"/>
                <w:sz w:val="28"/>
                <w:szCs w:val="28"/>
              </w:rPr>
              <w:t>În aceiași perspectivă</w:t>
            </w:r>
            <w:r w:rsidR="00D45D32" w:rsidRPr="00223F07">
              <w:rPr>
                <w:rFonts w:ascii="Times New Roman" w:hAnsi="Times New Roman" w:cs="Times New Roman"/>
                <w:sz w:val="28"/>
                <w:szCs w:val="28"/>
              </w:rPr>
              <w:t>, hotărîrea stabilește sarcini exclusiv pentru autoritățile publice, care participă nemijlocit în procedura de avizare și care la momentul adoptării</w:t>
            </w:r>
            <w:r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 acesteia</w:t>
            </w:r>
            <w:r w:rsidR="00D45D32"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 sunt în cunoștință</w:t>
            </w:r>
            <w:r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 de cauză de dispozițiile actului normativ, respectiv nu este necesar un termen de familiarizare cu acesta.</w:t>
            </w:r>
          </w:p>
          <w:p w:rsidR="00E30F7E" w:rsidRPr="00E172DF" w:rsidRDefault="006A06B5" w:rsidP="00E172DF">
            <w:pPr>
              <w:spacing w:after="0" w:line="240" w:lineRule="auto"/>
              <w:ind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Luînd în considerare cumulul acestor circumstanțe obiective,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inclusiv practica cutumiară a</w:t>
            </w:r>
            <w:r w:rsidRPr="00223F07">
              <w:rPr>
                <w:rFonts w:ascii="Times New Roman" w:hAnsi="Times New Roman" w:cs="Times New Roman"/>
                <w:sz w:val="28"/>
                <w:szCs w:val="28"/>
              </w:rPr>
              <w:t xml:space="preserve"> hotărârilor similare adoptate, considerăm necesară intrarea în vigoare a hotărârii la data publicării în Monitorul Oficial, fapt ce corespunde cerințelor art.56 alin.(3) al Legii nr.100/2017 cu privire la actele normative.</w:t>
            </w:r>
          </w:p>
        </w:tc>
      </w:tr>
      <w:tr w:rsidR="007C6908" w:rsidRPr="006678A7" w:rsidTr="0091359E">
        <w:tc>
          <w:tcPr>
            <w:tcW w:w="10800" w:type="dxa"/>
          </w:tcPr>
          <w:p w:rsidR="007C6908" w:rsidRPr="006678A7" w:rsidRDefault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3.2. Opțiunile alternative analizate și motivate pentru care acestea nu au fost luate în considerare</w:t>
            </w:r>
          </w:p>
        </w:tc>
      </w:tr>
      <w:tr w:rsidR="00140D03" w:rsidRPr="006678A7" w:rsidTr="00140D03">
        <w:tc>
          <w:tcPr>
            <w:tcW w:w="10800" w:type="dxa"/>
            <w:shd w:val="clear" w:color="auto" w:fill="D9D9D9" w:themeFill="background1" w:themeFillShade="D9"/>
          </w:tcPr>
          <w:p w:rsidR="00140D03" w:rsidRPr="006678A7" w:rsidRDefault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4. Analiza impactului de reglementare</w:t>
            </w:r>
          </w:p>
        </w:tc>
      </w:tr>
      <w:tr w:rsidR="00140D03" w:rsidRPr="006678A7" w:rsidTr="00140D03">
        <w:tc>
          <w:tcPr>
            <w:tcW w:w="10800" w:type="dxa"/>
            <w:shd w:val="clear" w:color="auto" w:fill="FFFFFF" w:themeFill="background1"/>
          </w:tcPr>
          <w:p w:rsidR="00140D03" w:rsidRPr="006678A7" w:rsidRDefault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4.1. Impactul asupra sectorului public</w:t>
            </w:r>
          </w:p>
        </w:tc>
      </w:tr>
      <w:tr w:rsidR="00140D03" w:rsidRPr="006678A7" w:rsidTr="00140D03">
        <w:tc>
          <w:tcPr>
            <w:tcW w:w="10800" w:type="dxa"/>
            <w:shd w:val="clear" w:color="auto" w:fill="FFFFFF" w:themeFill="background1"/>
          </w:tcPr>
          <w:p w:rsidR="00140D03" w:rsidRPr="006678A7" w:rsidRDefault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Nu se aplică.</w:t>
            </w:r>
          </w:p>
        </w:tc>
      </w:tr>
      <w:tr w:rsidR="00140D03" w:rsidRPr="006678A7" w:rsidTr="00140D03">
        <w:tc>
          <w:tcPr>
            <w:tcW w:w="10800" w:type="dxa"/>
            <w:shd w:val="clear" w:color="auto" w:fill="FFFFFF" w:themeFill="background1"/>
          </w:tcPr>
          <w:p w:rsidR="00140D03" w:rsidRPr="006678A7" w:rsidRDefault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4.2. Impactul financiar și argumentarea costurilor estimative</w:t>
            </w:r>
          </w:p>
        </w:tc>
      </w:tr>
      <w:tr w:rsidR="00140D03" w:rsidRPr="006678A7" w:rsidTr="0091359E">
        <w:tc>
          <w:tcPr>
            <w:tcW w:w="10800" w:type="dxa"/>
          </w:tcPr>
          <w:p w:rsidR="00140D03" w:rsidRPr="006678A7" w:rsidRDefault="00140D03" w:rsidP="00140D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   Implementarea prezentei hotărâri nu va implica cheltuieli financiare suplimentare din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contul bugetului de stat.</w:t>
            </w:r>
          </w:p>
          <w:p w:rsidR="00140D03" w:rsidRPr="006678A7" w:rsidRDefault="00140D03" w:rsidP="00140D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   Realizarea acțiunilor organizatorice prevăzute de proiect se va realiza în limitele bugetelor aprobate ale administrațiilor publice locale și Ministerului Apărării.</w:t>
            </w:r>
          </w:p>
          <w:p w:rsidR="00140D03" w:rsidRPr="006678A7" w:rsidRDefault="00140D03" w:rsidP="00140D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   În concret:</w:t>
            </w:r>
          </w:p>
          <w:p w:rsidR="00140D03" w:rsidRPr="006678A7" w:rsidRDefault="00140D03" w:rsidP="00140D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  - asigurarea financiară a activității comisiilor de recrutare-încorporare, precum şi a măsurilor organizate la nivel local privind încorporarea cetățenilor în serviciul militar, transportarea acestora la comisiile de recrutare-încorporare, în organele administrativ-militare teritoriale se va efectua din contul bugetelor administrațiilor publice locale;</w:t>
            </w:r>
          </w:p>
          <w:p w:rsidR="00140D03" w:rsidRPr="006678A7" w:rsidRDefault="00140D03" w:rsidP="00140D0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  - transportarea recruților la locul de îndeplinire a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serviciului </w:t>
            </w:r>
            <w:r w:rsidR="00534A21"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militar </w:t>
            </w:r>
            <w:r w:rsidRPr="003A5D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se va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asigura din contul bugetului Ministerului Apărării.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4.3. Impactul asupra sectorului privat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Nu se aplică.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4.4. Impactul social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4.4.1. Impactul asupra datelor cu caracter personal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4.4.2. Impactul asupra echității și egalității de gen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Nu se aplică.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4.5. Impactul asupra mediului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Nu se aplică.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4.6. Alte impacturi și informații relevante</w:t>
            </w:r>
          </w:p>
        </w:tc>
      </w:tr>
      <w:tr w:rsidR="00140D03" w:rsidRPr="006678A7" w:rsidTr="00140D03">
        <w:trPr>
          <w:trHeight w:val="381"/>
        </w:trPr>
        <w:tc>
          <w:tcPr>
            <w:tcW w:w="10800" w:type="dxa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Nu se aplică.</w:t>
            </w:r>
          </w:p>
        </w:tc>
      </w:tr>
      <w:tr w:rsidR="00140D03" w:rsidRPr="006678A7" w:rsidTr="00D223CA">
        <w:trPr>
          <w:trHeight w:val="381"/>
        </w:trPr>
        <w:tc>
          <w:tcPr>
            <w:tcW w:w="10800" w:type="dxa"/>
            <w:shd w:val="clear" w:color="auto" w:fill="D9D9D9" w:themeFill="background1" w:themeFillShade="D9"/>
          </w:tcPr>
          <w:p w:rsidR="00140D03" w:rsidRPr="006678A7" w:rsidRDefault="00140D03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7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Compatibilitatea proiectului actului normativ cu legislația UE</w:t>
            </w:r>
          </w:p>
        </w:tc>
      </w:tr>
      <w:tr w:rsidR="00D223CA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D223CA" w:rsidRPr="006678A7" w:rsidRDefault="00D223CA" w:rsidP="009E655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5.1. Măsuri normative necesare pentru transpunerea actelor juridice ale UE în legislația națională</w:t>
            </w:r>
          </w:p>
        </w:tc>
      </w:tr>
      <w:tr w:rsidR="00D223CA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D223CA" w:rsidRPr="006678A7" w:rsidRDefault="00D223CA" w:rsidP="009E655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Prezentul proiect nu are drept scop armonizarea legislaţiei naţionale la prevederile legislației Uniunii Europene şi nu contravine legislaţiei comunitare.</w:t>
            </w:r>
          </w:p>
        </w:tc>
      </w:tr>
      <w:tr w:rsidR="00D223CA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D223CA" w:rsidRPr="006678A7" w:rsidRDefault="00D223CA" w:rsidP="009E655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i/>
                <w:sz w:val="28"/>
                <w:szCs w:val="28"/>
              </w:rPr>
              <w:t>5.2. Măsuri normative care urmăresc crearea cadrului juridic intern necesar pentru implementarea legislației UE</w:t>
            </w:r>
          </w:p>
        </w:tc>
      </w:tr>
      <w:tr w:rsidR="00D223CA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D223CA" w:rsidRPr="006678A7" w:rsidRDefault="00D223CA" w:rsidP="009E655D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Nu se aplică.</w:t>
            </w:r>
          </w:p>
        </w:tc>
      </w:tr>
      <w:tr w:rsidR="00C46711" w:rsidRPr="006678A7" w:rsidTr="00F5387E">
        <w:trPr>
          <w:trHeight w:val="381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C46711" w:rsidRPr="006678A7" w:rsidRDefault="00F5387E" w:rsidP="009E655D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6. Avizarea şi consultarea publică a proiectului actului normativ</w:t>
            </w:r>
          </w:p>
        </w:tc>
      </w:tr>
      <w:tr w:rsidR="00C46711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F5387E" w:rsidRDefault="00E735B2" w:rsidP="00F538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o-MO"/>
              </w:rPr>
            </w:pPr>
            <w:r w:rsidRPr="006678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F5387E" w:rsidRPr="006678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În vederea respectării </w:t>
            </w:r>
            <w:r w:rsidR="00F5387E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Legii nr.100/2017 cu privire la actele normative </w:t>
            </w:r>
            <w:r w:rsidR="00F5387E" w:rsidRPr="006678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și Legii nr.239/2008 privind transparența în procesul decizional, anunțul </w:t>
            </w:r>
            <w:r w:rsidR="00F5387E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privind </w:t>
            </w:r>
            <w:r w:rsidR="00223F0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consultarea publică</w:t>
            </w:r>
            <w:r w:rsidR="0050164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223F0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F5387E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proiectului hotărârii de Guvern cu privire la încorporarea cetățenilor în serviciul militar în termen şi cu termen redus în perioada </w:t>
            </w:r>
            <w:r w:rsidR="00501643">
              <w:rPr>
                <w:rFonts w:ascii="Times New Roman" w:hAnsi="Times New Roman" w:cs="Times New Roman"/>
                <w:sz w:val="28"/>
                <w:szCs w:val="28"/>
              </w:rPr>
              <w:t xml:space="preserve">aprilie </w:t>
            </w:r>
            <w:r w:rsidR="00F5387E" w:rsidRPr="006678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1643">
              <w:rPr>
                <w:rFonts w:ascii="Times New Roman" w:hAnsi="Times New Roman" w:cs="Times New Roman"/>
                <w:sz w:val="28"/>
                <w:szCs w:val="28"/>
              </w:rPr>
              <w:t xml:space="preserve"> iulie</w:t>
            </w:r>
            <w:r w:rsidR="00F5387E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2025, </w:t>
            </w:r>
            <w:r w:rsidR="00F5387E" w:rsidRPr="006678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 fost  plasat pe paginile web</w:t>
            </w:r>
            <w:r w:rsidR="00F5387E" w:rsidRPr="006678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:rsidR="00CC4A92" w:rsidRDefault="0023050D" w:rsidP="008A29D1">
            <w:pPr>
              <w:spacing w:after="0" w:line="240" w:lineRule="auto"/>
              <w:jc w:val="both"/>
            </w:pPr>
            <w:hyperlink r:id="rId8" w:history="1">
              <w:r w:rsidR="00CC4A92" w:rsidRPr="00745CA9">
                <w:rPr>
                  <w:rStyle w:val="Hyperlink"/>
                </w:rPr>
                <w:t>https://particip.gov.md/ro/document/stages/proiectul-hotararii-guvernului-cu-privire-la-incorporarea-cetatenilor-in-serviciul-militar-in-termen-si-cu-termen-redus-in-perioada-aprilie-iulie-2025/14073</w:t>
              </w:r>
            </w:hyperlink>
          </w:p>
          <w:p w:rsidR="006D410B" w:rsidRDefault="006D410B" w:rsidP="008A29D1">
            <w:pPr>
              <w:spacing w:after="0" w:line="240" w:lineRule="auto"/>
              <w:jc w:val="both"/>
            </w:pPr>
            <w:hyperlink r:id="rId9" w:history="1">
              <w:r w:rsidRPr="006E1B8D">
                <w:rPr>
                  <w:rStyle w:val="Hyperlink"/>
                </w:rPr>
                <w:t>https://www.army.md/?lng=2&amp;action=show&amp;cat=169&amp;submenuheader=0</w:t>
              </w:r>
            </w:hyperlink>
          </w:p>
          <w:bookmarkStart w:id="0" w:name="_GoBack"/>
          <w:bookmarkEnd w:id="0"/>
          <w:p w:rsidR="003A5D4A" w:rsidRPr="003A5D4A" w:rsidRDefault="0023050D" w:rsidP="008A2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"https://legiferare.gov.md/" </w:instrText>
            </w:r>
            <w:r>
              <w:fldChar w:fldCharType="separate"/>
            </w:r>
            <w:r w:rsidR="003A5D4A" w:rsidRPr="00B06B6E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https://legiferare.gov.md/</w:t>
            </w:r>
            <w:r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="003A5D4A" w:rsidRPr="00B06B6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46711" w:rsidRPr="006678A7" w:rsidTr="00E735B2">
        <w:trPr>
          <w:trHeight w:val="381"/>
        </w:trPr>
        <w:tc>
          <w:tcPr>
            <w:tcW w:w="10800" w:type="dxa"/>
            <w:shd w:val="clear" w:color="auto" w:fill="D9D9D9" w:themeFill="background1" w:themeFillShade="D9"/>
            <w:vAlign w:val="center"/>
          </w:tcPr>
          <w:p w:rsidR="00C46711" w:rsidRPr="006678A7" w:rsidRDefault="00F5387E" w:rsidP="009E655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Concluziile expertizelor</w:t>
            </w:r>
          </w:p>
        </w:tc>
      </w:tr>
      <w:tr w:rsidR="00E735B2" w:rsidRPr="006678A7" w:rsidTr="004D7396">
        <w:trPr>
          <w:trHeight w:val="381"/>
        </w:trPr>
        <w:tc>
          <w:tcPr>
            <w:tcW w:w="10800" w:type="dxa"/>
            <w:vAlign w:val="center"/>
          </w:tcPr>
          <w:p w:rsidR="00E735B2" w:rsidRPr="006678A7" w:rsidRDefault="00E735B2" w:rsidP="00B06B6E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  Proiectul </w:t>
            </w:r>
            <w:r w:rsidR="00B06B6E">
              <w:rPr>
                <w:rFonts w:ascii="Times New Roman" w:hAnsi="Times New Roman" w:cs="Times New Roman"/>
                <w:sz w:val="28"/>
                <w:szCs w:val="28"/>
              </w:rPr>
              <w:t xml:space="preserve">urmează </w:t>
            </w:r>
            <w:r w:rsidR="000F4C0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 f</w:t>
            </w:r>
            <w:r w:rsidR="00B06B6E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</w:t>
            </w:r>
            <w:r w:rsidRPr="003D2AF1">
              <w:rPr>
                <w:rFonts w:ascii="Times New Roman" w:hAnsi="Times New Roman" w:cs="Times New Roman"/>
                <w:sz w:val="28"/>
                <w:szCs w:val="28"/>
              </w:rPr>
              <w:t xml:space="preserve"> supus expertizelor anticorupţie și expertizei juridice, conform </w:t>
            </w: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art.36 și 37 din  Legea nr.100/2017 cu privire la actele normative.</w:t>
            </w:r>
          </w:p>
        </w:tc>
      </w:tr>
      <w:tr w:rsidR="00D223CA" w:rsidRPr="006678A7" w:rsidTr="00E735B2">
        <w:tc>
          <w:tcPr>
            <w:tcW w:w="10800" w:type="dxa"/>
            <w:shd w:val="clear" w:color="auto" w:fill="D9D9D9" w:themeFill="background1" w:themeFillShade="D9"/>
          </w:tcPr>
          <w:p w:rsidR="00D223CA" w:rsidRPr="006678A7" w:rsidRDefault="00C46711" w:rsidP="00C467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6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223CA" w:rsidRPr="0066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Modul de încorporare a actului în cadrul normativ </w:t>
            </w:r>
            <w:r w:rsidRPr="00667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existent</w:t>
            </w:r>
          </w:p>
        </w:tc>
      </w:tr>
      <w:tr w:rsidR="00E735B2" w:rsidRPr="006678A7" w:rsidTr="0091359E">
        <w:tc>
          <w:tcPr>
            <w:tcW w:w="10800" w:type="dxa"/>
          </w:tcPr>
          <w:p w:rsidR="00E735B2" w:rsidRPr="006678A7" w:rsidRDefault="00E735B2" w:rsidP="00C467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Proiectul elaborat se încadrează în prevederile cadrului normativ în vigoare, respectiv aprobarea acestuia nu implică necesitatea modificării altor acte normative.</w:t>
            </w:r>
          </w:p>
        </w:tc>
      </w:tr>
      <w:tr w:rsidR="00E735B2" w:rsidRPr="006678A7" w:rsidTr="00E735B2">
        <w:tc>
          <w:tcPr>
            <w:tcW w:w="10800" w:type="dxa"/>
            <w:shd w:val="clear" w:color="auto" w:fill="D9D9D9" w:themeFill="background1" w:themeFillShade="D9"/>
          </w:tcPr>
          <w:p w:rsidR="00E735B2" w:rsidRPr="006678A7" w:rsidRDefault="00E735B2" w:rsidP="00C467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 Măsurile necesare pentru implementarea prevederilor proiectului actului normativ</w:t>
            </w:r>
          </w:p>
        </w:tc>
      </w:tr>
      <w:tr w:rsidR="00E735B2" w:rsidRPr="006678A7" w:rsidTr="0091359E">
        <w:tc>
          <w:tcPr>
            <w:tcW w:w="10800" w:type="dxa"/>
          </w:tcPr>
          <w:p w:rsidR="00E735B2" w:rsidRPr="006678A7" w:rsidRDefault="00E735B2" w:rsidP="00E735B2">
            <w:pPr>
              <w:pStyle w:val="Default"/>
              <w:ind w:firstLine="284"/>
              <w:jc w:val="both"/>
              <w:rPr>
                <w:color w:val="auto"/>
                <w:sz w:val="28"/>
                <w:szCs w:val="28"/>
              </w:rPr>
            </w:pPr>
            <w:r w:rsidRPr="006678A7">
              <w:rPr>
                <w:color w:val="auto"/>
                <w:sz w:val="28"/>
                <w:szCs w:val="28"/>
              </w:rPr>
              <w:t xml:space="preserve">Proiectul hotărârii de Guvern stabilește sarcini pentru următoarele instituții implicate în </w:t>
            </w:r>
            <w:r w:rsidRPr="006678A7">
              <w:rPr>
                <w:color w:val="auto"/>
                <w:sz w:val="28"/>
                <w:szCs w:val="28"/>
              </w:rPr>
              <w:lastRenderedPageBreak/>
              <w:t>realizarea acesteia, după cum urmează:</w:t>
            </w:r>
          </w:p>
          <w:p w:rsidR="00E735B2" w:rsidRPr="006678A7" w:rsidRDefault="00E735B2" w:rsidP="003D5B8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5B82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Ministerul Educației și Cercetării, în comun cu </w:t>
            </w:r>
            <w:bookmarkStart w:id="1" w:name="_Hlk128578419"/>
            <w:r w:rsidR="003D5B82" w:rsidRPr="006678A7">
              <w:rPr>
                <w:rStyle w:val="Bodytext2"/>
              </w:rPr>
              <w:t>autoritățile administrației publice locale</w:t>
            </w:r>
            <w:bookmarkEnd w:id="1"/>
            <w:r w:rsidR="003D5B82" w:rsidRPr="006678A7">
              <w:rPr>
                <w:rStyle w:val="Bodytext2"/>
              </w:rPr>
              <w:t xml:space="preserve"> de nivelul al doilea</w:t>
            </w:r>
            <w:r w:rsidR="003D5B82"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 și centrele militare, va asigura desfășurarea activităților educative cu tematică militar</w:t>
            </w:r>
            <w:r w:rsidR="003D5B82" w:rsidRPr="006678A7">
              <w:rPr>
                <w:rFonts w:ascii="Times New Roman" w:hAnsi="Times New Roman" w:cs="Times New Roman"/>
                <w:strike/>
                <w:sz w:val="28"/>
                <w:szCs w:val="28"/>
              </w:rPr>
              <w:t>-</w:t>
            </w:r>
            <w:r w:rsidR="003D5B82" w:rsidRPr="006678A7">
              <w:rPr>
                <w:rFonts w:ascii="Times New Roman" w:hAnsi="Times New Roman" w:cs="Times New Roman"/>
                <w:sz w:val="28"/>
                <w:szCs w:val="28"/>
              </w:rPr>
              <w:t>patriotică, consacrate datelor remarcabile din istoria Armatei Naționale, în scopul susținerii campaniei de încorporare și propagării prestigiului serviciului militar în societate;</w:t>
            </w:r>
          </w:p>
          <w:p w:rsidR="003D5B82" w:rsidRPr="006678A7" w:rsidRDefault="003D5B82" w:rsidP="003D5B82">
            <w:pPr>
              <w:pStyle w:val="Bodytext20"/>
              <w:shd w:val="clear" w:color="auto" w:fill="auto"/>
              <w:tabs>
                <w:tab w:val="left" w:pos="709"/>
                <w:tab w:val="left" w:pos="993"/>
              </w:tabs>
              <w:spacing w:line="240" w:lineRule="auto"/>
              <w:jc w:val="both"/>
            </w:pPr>
            <w:r w:rsidRPr="006678A7">
              <w:t xml:space="preserve">- Ministerul Sănătății, în comun cu </w:t>
            </w:r>
            <w:r w:rsidRPr="006678A7">
              <w:rPr>
                <w:rStyle w:val="Bodytext2"/>
              </w:rPr>
              <w:t>autoritățile administrației publice locale de nivelul al doilea,</w:t>
            </w:r>
            <w:r w:rsidRPr="006678A7">
              <w:t xml:space="preserve"> va asigura efectuarea la nivel înalt a examenului medical și a expertizei medico-militare a recruților și rezerviștilor, </w:t>
            </w:r>
          </w:p>
          <w:p w:rsidR="003D5B82" w:rsidRPr="006678A7" w:rsidRDefault="003D5B82" w:rsidP="003D5B82">
            <w:pPr>
              <w:tabs>
                <w:tab w:val="left" w:pos="99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78A7">
              <w:rPr>
                <w:rFonts w:ascii="Times New Roman" w:hAnsi="Times New Roman" w:cs="Times New Roman"/>
                <w:sz w:val="28"/>
                <w:szCs w:val="28"/>
              </w:rPr>
              <w:t xml:space="preserve">- Unitățile administrativ-teritoriale de nivelul al doilea și unitatea teritorială autonomă cu statut special vor asigura organizarea efectuării examenului medical și a expertizei medico-militare a recruților de către comisiile medico-militare de pe lângă organele administrativ-militare, în volumul și modul prevăzute de </w:t>
            </w:r>
            <w:bookmarkStart w:id="2" w:name="_Hlk128579707"/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legislație</w:t>
            </w:r>
            <w:bookmarkEnd w:id="2"/>
            <w:r w:rsidRPr="006678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B32A2" w:rsidRPr="006678A7" w:rsidRDefault="009B32A2" w:rsidP="009B32A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9B32A2" w:rsidRPr="00CF5B51" w:rsidRDefault="009B32A2" w:rsidP="009B32A2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CF5B51" w:rsidRPr="00D76DF5" w:rsidRDefault="004B03F7" w:rsidP="00CF5B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CF5B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CF5B5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 w:rsidR="00CF5B51" w:rsidRPr="00D76D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Ministru    </w:t>
      </w:r>
      <w:r w:rsidR="00CF5B51" w:rsidRPr="00D76DF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CF5B51" w:rsidRPr="00D76DF5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CF5B51" w:rsidRPr="00D76DF5">
        <w:rPr>
          <w:rFonts w:ascii="Times New Roman" w:hAnsi="Times New Roman" w:cs="Times New Roman"/>
          <w:b/>
          <w:sz w:val="28"/>
          <w:szCs w:val="28"/>
          <w:lang w:val="ro-MO"/>
        </w:rPr>
        <w:tab/>
        <w:t xml:space="preserve">                   </w:t>
      </w:r>
      <w:r w:rsidR="00DE4B89" w:rsidRPr="00D76DF5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Anatolie NOSATÎ</w:t>
      </w:r>
      <w:r w:rsidR="00CF5B51" w:rsidRPr="00D76DF5"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</w:p>
    <w:p w:rsidR="003D2AF1" w:rsidRPr="003D2AF1" w:rsidRDefault="003D2AF1" w:rsidP="003D2AF1">
      <w:pPr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AE2E39" w:rsidRPr="006678A7" w:rsidRDefault="00AE2E39" w:rsidP="00AE2E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2A2" w:rsidRPr="006678A7" w:rsidRDefault="009B32A2" w:rsidP="009B32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331D" w:rsidRPr="006678A7" w:rsidRDefault="00A7331D" w:rsidP="00A7331D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AAF" w:rsidRPr="006678A7" w:rsidRDefault="00A7331D" w:rsidP="00C87C3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678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AE2E39" w:rsidP="00AE2E39">
      <w:pPr>
        <w:tabs>
          <w:tab w:val="left" w:pos="4904"/>
        </w:tabs>
        <w:rPr>
          <w:rFonts w:ascii="Times New Roman" w:hAnsi="Times New Roman" w:cs="Times New Roman"/>
          <w:sz w:val="28"/>
          <w:szCs w:val="28"/>
        </w:rPr>
      </w:pPr>
      <w:r w:rsidRPr="006678A7">
        <w:rPr>
          <w:rFonts w:ascii="Times New Roman" w:hAnsi="Times New Roman" w:cs="Times New Roman"/>
          <w:sz w:val="28"/>
          <w:szCs w:val="28"/>
        </w:rPr>
        <w:tab/>
      </w:r>
    </w:p>
    <w:p w:rsidR="00643AAF" w:rsidRPr="006678A7" w:rsidRDefault="00643AAF" w:rsidP="00643AA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p w:rsidR="00643AAF" w:rsidRPr="006678A7" w:rsidRDefault="00643AAF" w:rsidP="00643AA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</w:p>
    <w:sectPr w:rsidR="00643AAF" w:rsidRPr="006678A7" w:rsidSect="00863E39">
      <w:headerReference w:type="default" r:id="rId10"/>
      <w:footerReference w:type="even" r:id="rId11"/>
      <w:pgSz w:w="11906" w:h="16838"/>
      <w:pgMar w:top="284" w:right="289" w:bottom="709" w:left="289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0D" w:rsidRDefault="0023050D" w:rsidP="007C6908">
      <w:pPr>
        <w:spacing w:after="0" w:line="240" w:lineRule="auto"/>
      </w:pPr>
      <w:r>
        <w:separator/>
      </w:r>
    </w:p>
  </w:endnote>
  <w:endnote w:type="continuationSeparator" w:id="0">
    <w:p w:rsidR="0023050D" w:rsidRDefault="0023050D" w:rsidP="007C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08" w:rsidRDefault="00C54F6F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515D9E">
      <w:rPr>
        <w:color w:val="000000"/>
      </w:rPr>
      <w:instrText>PAGE</w:instrText>
    </w:r>
    <w:r>
      <w:rPr>
        <w:color w:val="000000"/>
      </w:rPr>
      <w:fldChar w:fldCharType="end"/>
    </w:r>
  </w:p>
  <w:p w:rsidR="007C6908" w:rsidRDefault="007C690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0D" w:rsidRDefault="0023050D" w:rsidP="007C6908">
      <w:pPr>
        <w:spacing w:after="0" w:line="240" w:lineRule="auto"/>
      </w:pPr>
      <w:r>
        <w:separator/>
      </w:r>
    </w:p>
  </w:footnote>
  <w:footnote w:type="continuationSeparator" w:id="0">
    <w:p w:rsidR="0023050D" w:rsidRDefault="0023050D" w:rsidP="007C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08" w:rsidRDefault="007C690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31438E8"/>
    <w:lvl w:ilvl="0" w:tplc="9116948C">
      <w:start w:val="1"/>
      <w:numFmt w:val="decimal"/>
      <w:lvlText w:val="%1."/>
      <w:lvlJc w:val="left"/>
      <w:rPr>
        <w:lang w:val="ro-R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7724C67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C482A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7061478"/>
    <w:multiLevelType w:val="hybridMultilevel"/>
    <w:tmpl w:val="FF6ED2C2"/>
    <w:lvl w:ilvl="0" w:tplc="C77EC71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17AD2"/>
    <w:multiLevelType w:val="hybridMultilevel"/>
    <w:tmpl w:val="1F88EC8C"/>
    <w:lvl w:ilvl="0" w:tplc="DB5865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D72B99"/>
    <w:multiLevelType w:val="hybridMultilevel"/>
    <w:tmpl w:val="8B7A5938"/>
    <w:lvl w:ilvl="0" w:tplc="4E383FE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2361A9D"/>
    <w:multiLevelType w:val="hybridMultilevel"/>
    <w:tmpl w:val="90CC6F74"/>
    <w:lvl w:ilvl="0" w:tplc="3356DDD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1B037F"/>
    <w:multiLevelType w:val="multilevel"/>
    <w:tmpl w:val="A25C2E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DC527A6"/>
    <w:multiLevelType w:val="hybridMultilevel"/>
    <w:tmpl w:val="945E783A"/>
    <w:lvl w:ilvl="0" w:tplc="D882A2A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74933B8"/>
    <w:multiLevelType w:val="multilevel"/>
    <w:tmpl w:val="4DE4A69C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i/>
      </w:rPr>
    </w:lvl>
  </w:abstractNum>
  <w:abstractNum w:abstractNumId="10">
    <w:nsid w:val="3BA610FC"/>
    <w:multiLevelType w:val="hybridMultilevel"/>
    <w:tmpl w:val="26A27266"/>
    <w:lvl w:ilvl="0" w:tplc="25FA5962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94055B5"/>
    <w:multiLevelType w:val="hybridMultilevel"/>
    <w:tmpl w:val="89F270A4"/>
    <w:lvl w:ilvl="0" w:tplc="E014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C1DE2"/>
    <w:multiLevelType w:val="hybridMultilevel"/>
    <w:tmpl w:val="C3261BB8"/>
    <w:lvl w:ilvl="0" w:tplc="47CEF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F27F8"/>
    <w:multiLevelType w:val="hybridMultilevel"/>
    <w:tmpl w:val="FA4CF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08"/>
    <w:rsid w:val="000113A9"/>
    <w:rsid w:val="00013F63"/>
    <w:rsid w:val="000142F7"/>
    <w:rsid w:val="00014D1E"/>
    <w:rsid w:val="000409DF"/>
    <w:rsid w:val="00041B21"/>
    <w:rsid w:val="00042962"/>
    <w:rsid w:val="0005195E"/>
    <w:rsid w:val="000615C8"/>
    <w:rsid w:val="00062B97"/>
    <w:rsid w:val="0006604E"/>
    <w:rsid w:val="0007081D"/>
    <w:rsid w:val="00085DCE"/>
    <w:rsid w:val="000A46B6"/>
    <w:rsid w:val="000D6BEB"/>
    <w:rsid w:val="000F4C09"/>
    <w:rsid w:val="001036F6"/>
    <w:rsid w:val="00112B3A"/>
    <w:rsid w:val="00140A1E"/>
    <w:rsid w:val="00140D03"/>
    <w:rsid w:val="001517B3"/>
    <w:rsid w:val="00156061"/>
    <w:rsid w:val="00156F8A"/>
    <w:rsid w:val="00161956"/>
    <w:rsid w:val="0016228C"/>
    <w:rsid w:val="00165997"/>
    <w:rsid w:val="00174CCB"/>
    <w:rsid w:val="001765AE"/>
    <w:rsid w:val="0019616D"/>
    <w:rsid w:val="00196DE6"/>
    <w:rsid w:val="00197303"/>
    <w:rsid w:val="001A0AE5"/>
    <w:rsid w:val="001C481A"/>
    <w:rsid w:val="001C4E6B"/>
    <w:rsid w:val="001C4FE0"/>
    <w:rsid w:val="001D5AAD"/>
    <w:rsid w:val="001D7201"/>
    <w:rsid w:val="00201D61"/>
    <w:rsid w:val="00202856"/>
    <w:rsid w:val="0020662A"/>
    <w:rsid w:val="0020698D"/>
    <w:rsid w:val="00212FAA"/>
    <w:rsid w:val="00221633"/>
    <w:rsid w:val="00223F07"/>
    <w:rsid w:val="002242F8"/>
    <w:rsid w:val="0022717C"/>
    <w:rsid w:val="0023050D"/>
    <w:rsid w:val="00245F4B"/>
    <w:rsid w:val="00253ABC"/>
    <w:rsid w:val="0026059F"/>
    <w:rsid w:val="0026250B"/>
    <w:rsid w:val="00263D27"/>
    <w:rsid w:val="00270466"/>
    <w:rsid w:val="00271E5F"/>
    <w:rsid w:val="00280711"/>
    <w:rsid w:val="00280C6C"/>
    <w:rsid w:val="0028615B"/>
    <w:rsid w:val="00296915"/>
    <w:rsid w:val="002A0462"/>
    <w:rsid w:val="002A2FF1"/>
    <w:rsid w:val="002C091F"/>
    <w:rsid w:val="002C7580"/>
    <w:rsid w:val="002E753D"/>
    <w:rsid w:val="002F6503"/>
    <w:rsid w:val="003055F1"/>
    <w:rsid w:val="003059F2"/>
    <w:rsid w:val="003077F2"/>
    <w:rsid w:val="00320151"/>
    <w:rsid w:val="003221F3"/>
    <w:rsid w:val="00323025"/>
    <w:rsid w:val="00332073"/>
    <w:rsid w:val="00333BFB"/>
    <w:rsid w:val="00337960"/>
    <w:rsid w:val="0034596B"/>
    <w:rsid w:val="00363C90"/>
    <w:rsid w:val="00372AF3"/>
    <w:rsid w:val="00376A90"/>
    <w:rsid w:val="003908E3"/>
    <w:rsid w:val="00394EB4"/>
    <w:rsid w:val="00397797"/>
    <w:rsid w:val="003A21DA"/>
    <w:rsid w:val="003A5D4A"/>
    <w:rsid w:val="003C1603"/>
    <w:rsid w:val="003D2AF1"/>
    <w:rsid w:val="003D5B82"/>
    <w:rsid w:val="003F0CCA"/>
    <w:rsid w:val="004136F7"/>
    <w:rsid w:val="00421724"/>
    <w:rsid w:val="00430508"/>
    <w:rsid w:val="00433575"/>
    <w:rsid w:val="004366D6"/>
    <w:rsid w:val="0044009E"/>
    <w:rsid w:val="00440150"/>
    <w:rsid w:val="00440812"/>
    <w:rsid w:val="00446E82"/>
    <w:rsid w:val="00453DE7"/>
    <w:rsid w:val="00453DEA"/>
    <w:rsid w:val="004620DB"/>
    <w:rsid w:val="004634F8"/>
    <w:rsid w:val="0046685E"/>
    <w:rsid w:val="00470A89"/>
    <w:rsid w:val="00473335"/>
    <w:rsid w:val="0047386F"/>
    <w:rsid w:val="00476401"/>
    <w:rsid w:val="00487EF3"/>
    <w:rsid w:val="004902A1"/>
    <w:rsid w:val="004A2B0F"/>
    <w:rsid w:val="004B03F7"/>
    <w:rsid w:val="004B04AC"/>
    <w:rsid w:val="004B3F3D"/>
    <w:rsid w:val="004B5AB1"/>
    <w:rsid w:val="004C3119"/>
    <w:rsid w:val="004C74A1"/>
    <w:rsid w:val="004C7DBA"/>
    <w:rsid w:val="004D0F5A"/>
    <w:rsid w:val="004F0B23"/>
    <w:rsid w:val="005001D7"/>
    <w:rsid w:val="00501643"/>
    <w:rsid w:val="00502E16"/>
    <w:rsid w:val="00510E0E"/>
    <w:rsid w:val="00515D9E"/>
    <w:rsid w:val="0052707E"/>
    <w:rsid w:val="00534A21"/>
    <w:rsid w:val="00546CF8"/>
    <w:rsid w:val="005512FF"/>
    <w:rsid w:val="00556245"/>
    <w:rsid w:val="00564218"/>
    <w:rsid w:val="00571776"/>
    <w:rsid w:val="00582CCF"/>
    <w:rsid w:val="005932F4"/>
    <w:rsid w:val="005A45B7"/>
    <w:rsid w:val="005A47E2"/>
    <w:rsid w:val="005A4C98"/>
    <w:rsid w:val="005C557D"/>
    <w:rsid w:val="005C618E"/>
    <w:rsid w:val="005E0D99"/>
    <w:rsid w:val="00607B50"/>
    <w:rsid w:val="006101BA"/>
    <w:rsid w:val="006106EF"/>
    <w:rsid w:val="00621171"/>
    <w:rsid w:val="00623B2B"/>
    <w:rsid w:val="00634957"/>
    <w:rsid w:val="00643AAF"/>
    <w:rsid w:val="006558F8"/>
    <w:rsid w:val="00656C60"/>
    <w:rsid w:val="0066107F"/>
    <w:rsid w:val="006678A7"/>
    <w:rsid w:val="00685B4C"/>
    <w:rsid w:val="0069110A"/>
    <w:rsid w:val="00692F17"/>
    <w:rsid w:val="00695F2C"/>
    <w:rsid w:val="006A06B5"/>
    <w:rsid w:val="006B46FB"/>
    <w:rsid w:val="006D410B"/>
    <w:rsid w:val="006D51CB"/>
    <w:rsid w:val="006E221D"/>
    <w:rsid w:val="006F0702"/>
    <w:rsid w:val="00707E70"/>
    <w:rsid w:val="00710CFD"/>
    <w:rsid w:val="00710D5C"/>
    <w:rsid w:val="0071448A"/>
    <w:rsid w:val="00723A45"/>
    <w:rsid w:val="00723AFC"/>
    <w:rsid w:val="00731F53"/>
    <w:rsid w:val="00735799"/>
    <w:rsid w:val="007425E5"/>
    <w:rsid w:val="00751177"/>
    <w:rsid w:val="00757098"/>
    <w:rsid w:val="00760229"/>
    <w:rsid w:val="00765747"/>
    <w:rsid w:val="00765F3D"/>
    <w:rsid w:val="00781C2A"/>
    <w:rsid w:val="00782796"/>
    <w:rsid w:val="007B59DD"/>
    <w:rsid w:val="007C2887"/>
    <w:rsid w:val="007C6908"/>
    <w:rsid w:val="007D509D"/>
    <w:rsid w:val="007D60CA"/>
    <w:rsid w:val="007D6883"/>
    <w:rsid w:val="007D7CDB"/>
    <w:rsid w:val="007F60F5"/>
    <w:rsid w:val="0080297F"/>
    <w:rsid w:val="00805972"/>
    <w:rsid w:val="008075CC"/>
    <w:rsid w:val="00824DAB"/>
    <w:rsid w:val="0083089B"/>
    <w:rsid w:val="0085537F"/>
    <w:rsid w:val="00863E39"/>
    <w:rsid w:val="00881B01"/>
    <w:rsid w:val="008837DA"/>
    <w:rsid w:val="00890FBE"/>
    <w:rsid w:val="008A29D1"/>
    <w:rsid w:val="008A3499"/>
    <w:rsid w:val="008D0DA5"/>
    <w:rsid w:val="008E41DF"/>
    <w:rsid w:val="008E486D"/>
    <w:rsid w:val="008F29FE"/>
    <w:rsid w:val="00900F67"/>
    <w:rsid w:val="009025B1"/>
    <w:rsid w:val="00912AF1"/>
    <w:rsid w:val="0091359E"/>
    <w:rsid w:val="0093003C"/>
    <w:rsid w:val="00931E91"/>
    <w:rsid w:val="00950690"/>
    <w:rsid w:val="00962D81"/>
    <w:rsid w:val="009646CC"/>
    <w:rsid w:val="00971683"/>
    <w:rsid w:val="009974E4"/>
    <w:rsid w:val="009A5332"/>
    <w:rsid w:val="009B32A2"/>
    <w:rsid w:val="009C69BF"/>
    <w:rsid w:val="009E655D"/>
    <w:rsid w:val="009E79C5"/>
    <w:rsid w:val="00A01CB7"/>
    <w:rsid w:val="00A063D6"/>
    <w:rsid w:val="00A156A1"/>
    <w:rsid w:val="00A3659E"/>
    <w:rsid w:val="00A42C35"/>
    <w:rsid w:val="00A44581"/>
    <w:rsid w:val="00A525B0"/>
    <w:rsid w:val="00A56873"/>
    <w:rsid w:val="00A651C6"/>
    <w:rsid w:val="00A65E41"/>
    <w:rsid w:val="00A6623E"/>
    <w:rsid w:val="00A668DC"/>
    <w:rsid w:val="00A720B7"/>
    <w:rsid w:val="00A7331D"/>
    <w:rsid w:val="00A861FA"/>
    <w:rsid w:val="00A87B32"/>
    <w:rsid w:val="00A9174D"/>
    <w:rsid w:val="00AC70C1"/>
    <w:rsid w:val="00AD0A2C"/>
    <w:rsid w:val="00AE2E39"/>
    <w:rsid w:val="00AE3BCE"/>
    <w:rsid w:val="00AF4102"/>
    <w:rsid w:val="00B01CBB"/>
    <w:rsid w:val="00B048D9"/>
    <w:rsid w:val="00B06B6E"/>
    <w:rsid w:val="00B21452"/>
    <w:rsid w:val="00B22E75"/>
    <w:rsid w:val="00B33299"/>
    <w:rsid w:val="00B61274"/>
    <w:rsid w:val="00B61452"/>
    <w:rsid w:val="00B62A6A"/>
    <w:rsid w:val="00B64876"/>
    <w:rsid w:val="00B74014"/>
    <w:rsid w:val="00B77E93"/>
    <w:rsid w:val="00B86FC3"/>
    <w:rsid w:val="00BB71AB"/>
    <w:rsid w:val="00BC48D6"/>
    <w:rsid w:val="00BC5EB4"/>
    <w:rsid w:val="00BE237B"/>
    <w:rsid w:val="00BF2B7F"/>
    <w:rsid w:val="00C0599F"/>
    <w:rsid w:val="00C21EDC"/>
    <w:rsid w:val="00C3502E"/>
    <w:rsid w:val="00C40A93"/>
    <w:rsid w:val="00C46711"/>
    <w:rsid w:val="00C54F6F"/>
    <w:rsid w:val="00C55C94"/>
    <w:rsid w:val="00C611A0"/>
    <w:rsid w:val="00C63D40"/>
    <w:rsid w:val="00C87C39"/>
    <w:rsid w:val="00C944A2"/>
    <w:rsid w:val="00C96752"/>
    <w:rsid w:val="00CA698D"/>
    <w:rsid w:val="00CB2BDE"/>
    <w:rsid w:val="00CB52A4"/>
    <w:rsid w:val="00CC4A92"/>
    <w:rsid w:val="00CD7083"/>
    <w:rsid w:val="00CD7210"/>
    <w:rsid w:val="00CF5B51"/>
    <w:rsid w:val="00D079FB"/>
    <w:rsid w:val="00D223CA"/>
    <w:rsid w:val="00D449CF"/>
    <w:rsid w:val="00D453EE"/>
    <w:rsid w:val="00D45D32"/>
    <w:rsid w:val="00D51121"/>
    <w:rsid w:val="00D53194"/>
    <w:rsid w:val="00D60EB3"/>
    <w:rsid w:val="00D76DF5"/>
    <w:rsid w:val="00D80AEC"/>
    <w:rsid w:val="00D93CBF"/>
    <w:rsid w:val="00DA4F8C"/>
    <w:rsid w:val="00DB6DA8"/>
    <w:rsid w:val="00DC1953"/>
    <w:rsid w:val="00DC5F98"/>
    <w:rsid w:val="00DD4565"/>
    <w:rsid w:val="00DD6601"/>
    <w:rsid w:val="00DE053D"/>
    <w:rsid w:val="00DE4B89"/>
    <w:rsid w:val="00DF2222"/>
    <w:rsid w:val="00E065A6"/>
    <w:rsid w:val="00E10001"/>
    <w:rsid w:val="00E119FE"/>
    <w:rsid w:val="00E172DF"/>
    <w:rsid w:val="00E228B3"/>
    <w:rsid w:val="00E30846"/>
    <w:rsid w:val="00E30F7E"/>
    <w:rsid w:val="00E5143B"/>
    <w:rsid w:val="00E5525D"/>
    <w:rsid w:val="00E7028F"/>
    <w:rsid w:val="00E708FF"/>
    <w:rsid w:val="00E735B2"/>
    <w:rsid w:val="00E80D6A"/>
    <w:rsid w:val="00E85A6F"/>
    <w:rsid w:val="00E906B8"/>
    <w:rsid w:val="00EA2C16"/>
    <w:rsid w:val="00EB19C8"/>
    <w:rsid w:val="00EB2E04"/>
    <w:rsid w:val="00ED1784"/>
    <w:rsid w:val="00EF286E"/>
    <w:rsid w:val="00F12ABE"/>
    <w:rsid w:val="00F5387E"/>
    <w:rsid w:val="00F56780"/>
    <w:rsid w:val="00F80C28"/>
    <w:rsid w:val="00FA66E5"/>
    <w:rsid w:val="00FB3759"/>
    <w:rsid w:val="00FB7EBB"/>
    <w:rsid w:val="00FC09DB"/>
    <w:rsid w:val="00FC1683"/>
    <w:rsid w:val="00FC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73"/>
  </w:style>
  <w:style w:type="paragraph" w:styleId="Heading1">
    <w:name w:val="heading 1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6908"/>
  </w:style>
  <w:style w:type="table" w:customStyle="1" w:styleId="TableNormal1">
    <w:name w:val="Table Normal1"/>
    <w:rsid w:val="007C69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C690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rsid w:val="006F0702"/>
    <w:rPr>
      <w:color w:val="0563C1"/>
      <w:u w:val="single"/>
    </w:rPr>
  </w:style>
  <w:style w:type="character" w:customStyle="1" w:styleId="fontstyle01">
    <w:name w:val="fontstyle01"/>
    <w:basedOn w:val="DefaultParagraphFont"/>
    <w:rsid w:val="00A917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9174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Normal"/>
    <w:link w:val="ListParagraphChar"/>
    <w:uiPriority w:val="34"/>
    <w:qFormat/>
    <w:rsid w:val="00C87C3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o-RO"/>
    </w:rPr>
  </w:style>
  <w:style w:type="character" w:customStyle="1" w:styleId="ListParagraphChar">
    <w:name w:val="List Paragraph Char"/>
    <w:aliases w:val="Scriptoria bullet points Char,HotarirePunct1 Char1,Абзац списка1 Char1,List Paragraph 1 Char1,Bullets Char1,List Paragraph (numbered (a)) Char1,Bullet Char1,Заголовок 3 глава Char1,Akapit z listą BS Char1,Outlines a.b.c. Char1"/>
    <w:link w:val="ListParagraph"/>
    <w:uiPriority w:val="34"/>
    <w:locked/>
    <w:rsid w:val="00C87C39"/>
    <w:rPr>
      <w:rFonts w:ascii="Courier New" w:eastAsia="Courier New" w:hAnsi="Courier New" w:cs="Courier New"/>
      <w:color w:val="000000"/>
      <w:sz w:val="24"/>
      <w:szCs w:val="24"/>
      <w:lang w:bidi="ro-RO"/>
    </w:rPr>
  </w:style>
  <w:style w:type="character" w:customStyle="1" w:styleId="ListParagraphChar1">
    <w:name w:val="List Paragraph Char1"/>
    <w:aliases w:val="Scriptoria bullet points Char1,HotarirePunct1 Char,Абзац списка1 Char,List Paragraph 1 Char,Bullets Char,List Paragraph (numbered (a)) Char,Bullet Char,Заголовок 3 глава Char,Akapit z listą BS Char,Outlines a.b.c. Char"/>
    <w:uiPriority w:val="34"/>
    <w:qFormat/>
    <w:locked/>
    <w:rsid w:val="00C87C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3003C"/>
    <w:pPr>
      <w:spacing w:after="0" w:line="240" w:lineRule="auto"/>
      <w:ind w:left="567" w:right="567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NoSpacing">
    <w:name w:val="No Spacing"/>
    <w:uiPriority w:val="1"/>
    <w:qFormat/>
    <w:rsid w:val="004620DB"/>
    <w:pPr>
      <w:spacing w:after="0" w:line="240" w:lineRule="auto"/>
    </w:pPr>
  </w:style>
  <w:style w:type="paragraph" w:styleId="NormalWeb">
    <w:name w:val="Normal (Web)"/>
    <w:basedOn w:val="Normal"/>
    <w:rsid w:val="00643AAF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E119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119F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30508"/>
    <w:rPr>
      <w:color w:val="800080" w:themeColor="followedHyperlink"/>
      <w:u w:val="single"/>
    </w:rPr>
  </w:style>
  <w:style w:type="paragraph" w:customStyle="1" w:styleId="Default">
    <w:name w:val="Default"/>
    <w:rsid w:val="00E73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73"/>
  </w:style>
  <w:style w:type="paragraph" w:styleId="Heading1">
    <w:name w:val="heading 1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C6908"/>
  </w:style>
  <w:style w:type="table" w:customStyle="1" w:styleId="TableNormal1">
    <w:name w:val="Table Normal1"/>
    <w:rsid w:val="007C69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7C69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C690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rsid w:val="006F0702"/>
    <w:rPr>
      <w:color w:val="0563C1"/>
      <w:u w:val="single"/>
    </w:rPr>
  </w:style>
  <w:style w:type="character" w:customStyle="1" w:styleId="fontstyle01">
    <w:name w:val="fontstyle01"/>
    <w:basedOn w:val="DefaultParagraphFont"/>
    <w:rsid w:val="00A9174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9174D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aliases w:val="Scriptoria bullet points,HotarirePunct1,Абзац списка1,List Paragraph 1,Bullets,List Paragraph (numbered (a)),Bullet,Заголовок 3 глава,Akapit z listą BS,Outlines a.b.c.,List_Paragraph,Multilevel para_II,Akapit z lista BS,List Paragraph1"/>
    <w:basedOn w:val="Normal"/>
    <w:link w:val="ListParagraphChar"/>
    <w:uiPriority w:val="34"/>
    <w:qFormat/>
    <w:rsid w:val="00C87C3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o-RO"/>
    </w:rPr>
  </w:style>
  <w:style w:type="character" w:customStyle="1" w:styleId="ListParagraphChar">
    <w:name w:val="List Paragraph Char"/>
    <w:aliases w:val="Scriptoria bullet points Char,HotarirePunct1 Char1,Абзац списка1 Char1,List Paragraph 1 Char1,Bullets Char1,List Paragraph (numbered (a)) Char1,Bullet Char1,Заголовок 3 глава Char1,Akapit z listą BS Char1,Outlines a.b.c. Char1"/>
    <w:link w:val="ListParagraph"/>
    <w:uiPriority w:val="34"/>
    <w:locked/>
    <w:rsid w:val="00C87C39"/>
    <w:rPr>
      <w:rFonts w:ascii="Courier New" w:eastAsia="Courier New" w:hAnsi="Courier New" w:cs="Courier New"/>
      <w:color w:val="000000"/>
      <w:sz w:val="24"/>
      <w:szCs w:val="24"/>
      <w:lang w:bidi="ro-RO"/>
    </w:rPr>
  </w:style>
  <w:style w:type="character" w:customStyle="1" w:styleId="ListParagraphChar1">
    <w:name w:val="List Paragraph Char1"/>
    <w:aliases w:val="Scriptoria bullet points Char1,HotarirePunct1 Char,Абзац списка1 Char,List Paragraph 1 Char,Bullets Char,List Paragraph (numbered (a)) Char,Bullet Char,Заголовок 3 глава Char,Akapit z listą BS Char,Outlines a.b.c. Char"/>
    <w:uiPriority w:val="34"/>
    <w:qFormat/>
    <w:locked/>
    <w:rsid w:val="00C87C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93003C"/>
    <w:pPr>
      <w:spacing w:after="0" w:line="240" w:lineRule="auto"/>
      <w:ind w:left="567" w:right="567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NoSpacing">
    <w:name w:val="No Spacing"/>
    <w:uiPriority w:val="1"/>
    <w:qFormat/>
    <w:rsid w:val="004620DB"/>
    <w:pPr>
      <w:spacing w:after="0" w:line="240" w:lineRule="auto"/>
    </w:pPr>
  </w:style>
  <w:style w:type="paragraph" w:styleId="NormalWeb">
    <w:name w:val="Normal (Web)"/>
    <w:basedOn w:val="Normal"/>
    <w:rsid w:val="00643AAF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E119F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119FE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30508"/>
    <w:rPr>
      <w:color w:val="800080" w:themeColor="followedHyperlink"/>
      <w:u w:val="single"/>
    </w:rPr>
  </w:style>
  <w:style w:type="paragraph" w:customStyle="1" w:styleId="Default">
    <w:name w:val="Default"/>
    <w:rsid w:val="00E73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proiectul-hotararii-guvernului-cu-privire-la-incorporarea-cetatenilor-in-serviciul-militar-in-termen-si-cu-termen-redus-in-perioada-aprilie-iulie-2025/1407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my.md/?lng=2&amp;action=show&amp;cat=169&amp;submenuhead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MMPSF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Minodora</cp:lastModifiedBy>
  <cp:revision>4</cp:revision>
  <cp:lastPrinted>2025-03-12T07:02:00Z</cp:lastPrinted>
  <dcterms:created xsi:type="dcterms:W3CDTF">2025-03-10T11:24:00Z</dcterms:created>
  <dcterms:modified xsi:type="dcterms:W3CDTF">2025-03-12T07:02:00Z</dcterms:modified>
</cp:coreProperties>
</file>