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2CC6D" w14:textId="56081D6A" w:rsidR="00A610CC" w:rsidRPr="003A36E3" w:rsidRDefault="009048C9" w:rsidP="00A610CC">
      <w:pPr>
        <w:ind w:right="-598"/>
        <w:jc w:val="center"/>
        <w:rPr>
          <w:rFonts w:ascii="Arial" w:hAnsi="Arial" w:cs="Arial"/>
          <w:sz w:val="18"/>
          <w:szCs w:val="18"/>
          <w:lang w:val="ro-MD"/>
        </w:rPr>
      </w:pPr>
      <w:bookmarkStart w:id="0" w:name="_Hlk192792648"/>
      <w:r w:rsidRPr="003A36E3">
        <w:rPr>
          <w:rFonts w:ascii="Arial" w:hAnsi="Arial" w:cs="Arial"/>
          <w:sz w:val="18"/>
          <w:szCs w:val="18"/>
          <w:lang w:val="ro-MD"/>
        </w:rPr>
        <w:t>Agenda de reformă a MD</w:t>
      </w:r>
      <w:r w:rsidR="00A610CC" w:rsidRPr="003A36E3">
        <w:rPr>
          <w:rFonts w:ascii="Arial" w:hAnsi="Arial" w:cs="Arial"/>
          <w:sz w:val="18"/>
          <w:szCs w:val="18"/>
          <w:lang w:val="ro-MD"/>
        </w:rPr>
        <w:t>, 15 martie</w:t>
      </w:r>
    </w:p>
    <w:p w14:paraId="56B76F33" w14:textId="09393650" w:rsidR="00045DA7" w:rsidRPr="003A36E3" w:rsidRDefault="00A610CC" w:rsidP="00A610CC">
      <w:pPr>
        <w:ind w:right="-598"/>
        <w:jc w:val="center"/>
        <w:rPr>
          <w:rFonts w:ascii="Arial" w:hAnsi="Arial" w:cs="Arial"/>
          <w:sz w:val="18"/>
          <w:szCs w:val="18"/>
          <w:lang w:val="ro-MD"/>
        </w:rPr>
      </w:pPr>
      <w:r w:rsidRPr="003A36E3">
        <w:rPr>
          <w:rFonts w:ascii="Arial" w:hAnsi="Arial" w:cs="Arial"/>
          <w:sz w:val="18"/>
          <w:szCs w:val="18"/>
          <w:lang w:val="ro-MD"/>
        </w:rPr>
        <w:t>Pilonul 1: Dezvoltarea sectorului privat</w:t>
      </w:r>
    </w:p>
    <w:p w14:paraId="5631DC15" w14:textId="77777777" w:rsidR="00045DA7" w:rsidRPr="003A36E3" w:rsidRDefault="00045DA7" w:rsidP="002F7854">
      <w:pPr>
        <w:spacing w:after="0"/>
        <w:jc w:val="both"/>
        <w:rPr>
          <w:rFonts w:ascii="Arial" w:eastAsiaTheme="minorEastAsia" w:hAnsi="Arial" w:cs="Arial"/>
          <w:sz w:val="18"/>
          <w:szCs w:val="18"/>
          <w:lang w:val="ro-MD"/>
        </w:rPr>
      </w:pPr>
    </w:p>
    <w:tbl>
      <w:tblPr>
        <w:tblW w:w="13887" w:type="dxa"/>
        <w:tblLayout w:type="fixed"/>
        <w:tblCellMar>
          <w:left w:w="115" w:type="dxa"/>
          <w:right w:w="115" w:type="dxa"/>
        </w:tblCellMar>
        <w:tblLook w:val="0400" w:firstRow="0" w:lastRow="0" w:firstColumn="0" w:lastColumn="0" w:noHBand="0" w:noVBand="1"/>
      </w:tblPr>
      <w:tblGrid>
        <w:gridCol w:w="1271"/>
        <w:gridCol w:w="712"/>
        <w:gridCol w:w="1460"/>
        <w:gridCol w:w="527"/>
        <w:gridCol w:w="930"/>
        <w:gridCol w:w="1221"/>
        <w:gridCol w:w="4647"/>
        <w:gridCol w:w="3119"/>
      </w:tblGrid>
      <w:tr w:rsidR="00763B45" w:rsidRPr="003A36E3" w14:paraId="0EBE0D2A"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4E253" w14:textId="1B2E795C" w:rsidR="00763B45" w:rsidRPr="003A36E3" w:rsidRDefault="00A610CC" w:rsidP="002F7854">
            <w:pPr>
              <w:spacing w:after="0" w:line="240" w:lineRule="auto"/>
              <w:jc w:val="both"/>
              <w:rPr>
                <w:rFonts w:ascii="Arial" w:eastAsiaTheme="minorEastAsia" w:hAnsi="Arial" w:cs="Arial"/>
                <w:sz w:val="18"/>
                <w:szCs w:val="18"/>
                <w:lang w:val="ro-MD"/>
              </w:rPr>
            </w:pPr>
            <w:bookmarkStart w:id="1" w:name="_Hlk186819666"/>
            <w:r w:rsidRPr="003A36E3">
              <w:rPr>
                <w:rFonts w:ascii="Arial" w:eastAsiaTheme="minorEastAsia" w:hAnsi="Arial" w:cs="Arial"/>
                <w:sz w:val="18"/>
                <w:szCs w:val="18"/>
                <w:lang w:val="ro-MD"/>
              </w:rPr>
              <w:t>Subdomeniu</w:t>
            </w:r>
            <w:r w:rsidRPr="003A36E3">
              <w:rPr>
                <w:rFonts w:ascii="Arial" w:eastAsiaTheme="minorEastAsia" w:hAnsi="Arial" w:cs="Arial"/>
                <w:sz w:val="18"/>
                <w:szCs w:val="18"/>
                <w:lang w:val="ro-MD"/>
              </w:rPr>
              <w:tab/>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B7C0A" w14:textId="4F2090FB" w:rsidR="00763B45" w:rsidRPr="003A36E3" w:rsidRDefault="00A610CC"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Reformă nr.</w:t>
            </w:r>
            <w:r w:rsidRPr="003A36E3">
              <w:rPr>
                <w:rFonts w:ascii="Arial" w:eastAsiaTheme="minorEastAsia" w:hAnsi="Arial" w:cs="Arial"/>
                <w:sz w:val="18"/>
                <w:szCs w:val="18"/>
                <w:lang w:val="ro-MD"/>
              </w:rPr>
              <w:tab/>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28F6F" w14:textId="7A1D8C89"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w:t>
            </w:r>
            <w:r w:rsidR="00A610CC" w:rsidRPr="003A36E3">
              <w:rPr>
                <w:rFonts w:ascii="Arial" w:eastAsiaTheme="minorEastAsia" w:hAnsi="Arial" w:cs="Arial"/>
                <w:sz w:val="18"/>
                <w:szCs w:val="18"/>
                <w:lang w:val="ro-MD"/>
              </w:rPr>
              <w:t xml:space="preserve">  Titlul reformei</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D55C47" w14:textId="34F58770" w:rsidR="00763B45" w:rsidRPr="003A36E3" w:rsidRDefault="00A610CC"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Etapa nr.</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21085" w14:textId="7B128BF4" w:rsidR="00763B45" w:rsidRPr="003A36E3" w:rsidRDefault="00A610CC"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Termen de punere în aplicare</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09A67" w14:textId="7BDDCC8D" w:rsidR="00763B45" w:rsidRPr="003A36E3" w:rsidRDefault="00A610CC"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Instituția</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4BC5E" w14:textId="0B784871" w:rsidR="00763B45" w:rsidRPr="003A36E3" w:rsidRDefault="00A610CC" w:rsidP="0010549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Condiția de plată și termenul de punere în aplicare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BA2E2" w14:textId="17FB5CF2" w:rsidR="00763B45" w:rsidRPr="003A36E3" w:rsidRDefault="00F00CC6"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Descrierea și definirea clară a ceea ce presupune fiecare etapă</w:t>
            </w:r>
          </w:p>
          <w:p w14:paraId="341E3DCB" w14:textId="77777777" w:rsidR="00763B45" w:rsidRPr="003A36E3" w:rsidRDefault="00763B45" w:rsidP="00105494">
            <w:pPr>
              <w:spacing w:after="0" w:line="240" w:lineRule="auto"/>
              <w:jc w:val="both"/>
              <w:rPr>
                <w:rFonts w:ascii="Arial" w:eastAsiaTheme="minorEastAsia" w:hAnsi="Arial" w:cs="Arial"/>
                <w:sz w:val="18"/>
                <w:szCs w:val="18"/>
                <w:lang w:val="ro-MD"/>
              </w:rPr>
            </w:pPr>
          </w:p>
        </w:tc>
        <w:bookmarkEnd w:id="1"/>
      </w:tr>
      <w:tr w:rsidR="00763B45" w:rsidRPr="00F026FE" w14:paraId="14C05086"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3DBA51" w14:textId="643E9318" w:rsidR="00763B45" w:rsidRPr="003A36E3" w:rsidRDefault="00F00CC6" w:rsidP="002F7854">
            <w:pPr>
              <w:spacing w:line="240" w:lineRule="auto"/>
              <w:jc w:val="both"/>
              <w:rPr>
                <w:rFonts w:ascii="Arial" w:eastAsiaTheme="minorEastAsia" w:hAnsi="Arial" w:cs="Arial"/>
                <w:sz w:val="18"/>
                <w:szCs w:val="18"/>
                <w:lang w:val="ro-MD" w:eastAsia="en-IE"/>
              </w:rPr>
            </w:pPr>
            <w:bookmarkStart w:id="2" w:name="_Hlk192791622"/>
            <w:bookmarkStart w:id="3" w:name="_Hlk192791406"/>
            <w:r w:rsidRPr="003A36E3">
              <w:rPr>
                <w:rFonts w:ascii="Arial" w:eastAsiaTheme="minorEastAsia" w:hAnsi="Arial" w:cs="Arial"/>
                <w:sz w:val="18"/>
                <w:szCs w:val="18"/>
                <w:lang w:val="ro-MD"/>
              </w:rPr>
              <w:t>Mediul de afaceri</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1A391"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955A2" w14:textId="033D4DD4" w:rsidR="00763B45" w:rsidRPr="003A36E3" w:rsidRDefault="002A5E36"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Creșterea competitivității mediului antreprenorial prin îmbunătățirea cadrului de reglementare și administrativ și printr-o digitalizare îmbunătățită</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70EE0"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29E36" w14:textId="2BA6300C" w:rsidR="00763B45" w:rsidRPr="003A36E3" w:rsidRDefault="00F00CC6"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 2025</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CAFBF" w14:textId="2AA67CE4" w:rsidR="00763B45" w:rsidRPr="003A36E3" w:rsidRDefault="00F00CC6"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Dezvoltării Economice și Digitalizării/ Ministerele de resort relevante</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07063" w14:textId="77777777" w:rsidR="00083EB3" w:rsidRPr="003A36E3" w:rsidRDefault="00083EB3" w:rsidP="00083EB3">
            <w:pPr>
              <w:spacing w:after="0" w:line="257" w:lineRule="auto"/>
              <w:jc w:val="both"/>
              <w:rPr>
                <w:rFonts w:ascii="Arial" w:hAnsi="Arial" w:cs="Arial"/>
                <w:sz w:val="18"/>
                <w:szCs w:val="18"/>
                <w:lang w:val="ro-MD"/>
              </w:rPr>
            </w:pPr>
            <w:r w:rsidRPr="003A36E3">
              <w:rPr>
                <w:rFonts w:ascii="Arial" w:hAnsi="Arial" w:cs="Arial"/>
                <w:sz w:val="18"/>
                <w:szCs w:val="18"/>
                <w:lang w:val="ro-MD"/>
              </w:rPr>
              <w:t>Autorizațiile de funcționare sunt optimizate și se aplică abordarea unificată privind autorizațiile, cel puțin 20 de autorizații fiind eliminate și cel puțin 80 de autorizații fiind revizuite în conformitate cu principiile unei mai bune reglementări și cu normele UE.  Pe baza cartografierii reglementărilor, este adoptat un pachet normativ de dereglementare, care cuprinde cel puțin 15 măsuri de dereglementare specifice.</w:t>
            </w:r>
          </w:p>
          <w:p w14:paraId="6C2448E0" w14:textId="77777777" w:rsidR="00083EB3" w:rsidRPr="003A36E3" w:rsidRDefault="00083EB3" w:rsidP="00083EB3">
            <w:pPr>
              <w:spacing w:after="0" w:line="257" w:lineRule="auto"/>
              <w:jc w:val="both"/>
              <w:rPr>
                <w:rFonts w:ascii="Arial" w:hAnsi="Arial" w:cs="Arial"/>
                <w:sz w:val="18"/>
                <w:szCs w:val="18"/>
                <w:lang w:val="ro-MD"/>
              </w:rPr>
            </w:pPr>
          </w:p>
          <w:p w14:paraId="222B1DB8" w14:textId="470C9B15" w:rsidR="00763B45" w:rsidRPr="003A36E3" w:rsidRDefault="00083EB3" w:rsidP="00083EB3">
            <w:pPr>
              <w:spacing w:line="257" w:lineRule="auto"/>
              <w:jc w:val="both"/>
              <w:rPr>
                <w:rFonts w:ascii="Arial" w:hAnsi="Arial" w:cs="Arial"/>
                <w:sz w:val="18"/>
                <w:szCs w:val="18"/>
                <w:lang w:val="ro-MD"/>
              </w:rPr>
            </w:pPr>
            <w:r w:rsidRPr="003A36E3">
              <w:rPr>
                <w:rFonts w:ascii="Arial" w:hAnsi="Arial" w:cs="Arial"/>
                <w:sz w:val="18"/>
                <w:szCs w:val="18"/>
                <w:lang w:val="ro-MD"/>
              </w:rPr>
              <w:t xml:space="preserve">Linia de referință: Până în decembrie 2024, sarcina de reglementare impusă de autorizații este ridicată. În temeiul Legii-cadru nr. 160/2011 sunt reglementate 139 de autorizații, cu cel puțin 57 de autorizații suplimentare care funcționează în afara cadrului (autorizații ascunse), dintre care majoritatea nu au mai fost evaluate de peste un deceniu, ceea ce conduce la incoerențe semnificative în materie de reglementare și la constrângeri și costuri nejustificate.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153A7" w14:textId="77777777" w:rsidR="00083EB3" w:rsidRPr="003A36E3" w:rsidRDefault="00083EB3" w:rsidP="00083EB3">
            <w:pPr>
              <w:spacing w:after="0" w:line="257" w:lineRule="auto"/>
              <w:jc w:val="both"/>
              <w:rPr>
                <w:rFonts w:ascii="Arial" w:hAnsi="Arial" w:cs="Arial"/>
                <w:sz w:val="18"/>
                <w:szCs w:val="18"/>
                <w:lang w:val="ro-MD"/>
              </w:rPr>
            </w:pPr>
            <w:r w:rsidRPr="003A36E3">
              <w:rPr>
                <w:rFonts w:ascii="Arial" w:hAnsi="Arial" w:cs="Arial"/>
                <w:sz w:val="18"/>
                <w:szCs w:val="18"/>
                <w:lang w:val="ro-MD"/>
              </w:rPr>
              <w:t xml:space="preserve">Legea-cadru 160/2011 este revizuită pentru a consolida punerea în aplicare a unei mai bune reglementări și pentru a prescrie o abordare reformatoare cu privire la autorizațiile care există în afara acestei legi (autorizații ascunse). Legislația sectorială referitoare la cele 20 și 80 de autorizații este revizuită. Modificările legislative sunt conforme cu acquis-ul UE. </w:t>
            </w:r>
          </w:p>
          <w:p w14:paraId="5112F35A" w14:textId="77777777" w:rsidR="00083EB3" w:rsidRPr="003A36E3" w:rsidRDefault="00083EB3" w:rsidP="00083EB3">
            <w:pPr>
              <w:spacing w:after="0" w:line="257" w:lineRule="auto"/>
              <w:jc w:val="both"/>
              <w:rPr>
                <w:rFonts w:ascii="Arial" w:hAnsi="Arial" w:cs="Arial"/>
                <w:sz w:val="18"/>
                <w:szCs w:val="18"/>
                <w:lang w:val="ro-MD"/>
              </w:rPr>
            </w:pPr>
          </w:p>
          <w:p w14:paraId="07961064" w14:textId="3EAD3724" w:rsidR="00763B45" w:rsidRPr="003A36E3" w:rsidRDefault="00083EB3" w:rsidP="00083EB3">
            <w:pPr>
              <w:spacing w:after="0" w:line="240" w:lineRule="auto"/>
              <w:jc w:val="both"/>
              <w:rPr>
                <w:rFonts w:ascii="Arial" w:eastAsiaTheme="minorEastAsia" w:hAnsi="Arial" w:cs="Arial"/>
                <w:sz w:val="18"/>
                <w:szCs w:val="18"/>
                <w:lang w:val="ro-MD"/>
              </w:rPr>
            </w:pPr>
            <w:r w:rsidRPr="003A36E3">
              <w:rPr>
                <w:rFonts w:ascii="Arial" w:hAnsi="Arial" w:cs="Arial"/>
                <w:sz w:val="18"/>
                <w:szCs w:val="18"/>
                <w:lang w:val="ro-MD"/>
              </w:rPr>
              <w:t xml:space="preserve">Sursa de verificare: </w:t>
            </w:r>
            <w:r w:rsidR="0059048A">
              <w:rPr>
                <w:rFonts w:ascii="Arial" w:hAnsi="Arial" w:cs="Arial"/>
                <w:sz w:val="18"/>
                <w:szCs w:val="18"/>
                <w:lang w:val="ro-MD"/>
              </w:rPr>
              <w:t>Monitorul</w:t>
            </w:r>
            <w:r w:rsidRPr="003A36E3">
              <w:rPr>
                <w:rFonts w:ascii="Arial" w:hAnsi="Arial" w:cs="Arial"/>
                <w:sz w:val="18"/>
                <w:szCs w:val="18"/>
                <w:lang w:val="ro-MD"/>
              </w:rPr>
              <w:t xml:space="preserve"> Oficial; rapoarte ale Ministerului Dezvoltării Economice privind autorizațiile reformate, explicate prin modificările normative publicate</w:t>
            </w:r>
          </w:p>
          <w:p w14:paraId="22FF76AA" w14:textId="77777777" w:rsidR="00763B45" w:rsidRPr="003A36E3" w:rsidRDefault="00763B45" w:rsidP="002F7854">
            <w:pPr>
              <w:spacing w:after="0" w:line="240" w:lineRule="auto"/>
              <w:jc w:val="both"/>
              <w:rPr>
                <w:rFonts w:ascii="Arial" w:eastAsiaTheme="minorEastAsia" w:hAnsi="Arial" w:cs="Arial"/>
                <w:sz w:val="18"/>
                <w:szCs w:val="18"/>
                <w:lang w:val="ro-MD"/>
              </w:rPr>
            </w:pPr>
          </w:p>
        </w:tc>
      </w:tr>
      <w:bookmarkEnd w:id="2"/>
      <w:tr w:rsidR="00763B45" w:rsidRPr="00F026FE" w14:paraId="11D9C777"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DD2B0"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E871A5"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6D595" w14:textId="016C6D61" w:rsidR="00763B45" w:rsidRPr="003A36E3" w:rsidRDefault="002A5E36"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Creșterea competitivității mediului antreprenorial prin îmbunătățirea cadrului de reglementare și administrativ și printr-o digitalizare îmbunătățită</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C756B"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15DDD" w14:textId="4033F291" w:rsidR="00763B45" w:rsidRPr="003A36E3" w:rsidRDefault="002A5E36"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2026 </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AD8E0"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A52A3" w14:textId="77777777" w:rsidR="0052441F" w:rsidRPr="003A36E3" w:rsidRDefault="0052441F" w:rsidP="0052441F">
            <w:pPr>
              <w:spacing w:after="0" w:line="257" w:lineRule="auto"/>
              <w:jc w:val="both"/>
              <w:rPr>
                <w:rFonts w:ascii="Arial" w:hAnsi="Arial" w:cs="Arial"/>
                <w:sz w:val="18"/>
                <w:szCs w:val="18"/>
                <w:lang w:val="ro-MD"/>
              </w:rPr>
            </w:pPr>
            <w:r w:rsidRPr="003A36E3">
              <w:rPr>
                <w:rFonts w:ascii="Arial" w:hAnsi="Arial" w:cs="Arial"/>
                <w:sz w:val="18"/>
                <w:szCs w:val="18"/>
                <w:lang w:val="ro-MD"/>
              </w:rPr>
              <w:t xml:space="preserve">Se pun în aplicare noi reforme de dereglementare, prin eliminarea a cel puțin 20 de alte autorizații și suspendarea celorlalte „autorizații ascunse” prin eliminarea sau integrarea în legea-cadru, dacă acest lucru este justificat de evaluarea impactului reglementării. Nu vor exista autorizații în afara legii-cadru. </w:t>
            </w:r>
          </w:p>
          <w:p w14:paraId="635BEE56" w14:textId="4D8D8273" w:rsidR="00763B45" w:rsidRPr="003A36E3" w:rsidRDefault="0052441F" w:rsidP="0052441F">
            <w:pPr>
              <w:spacing w:after="0" w:line="257" w:lineRule="auto"/>
              <w:jc w:val="both"/>
              <w:rPr>
                <w:rFonts w:ascii="Arial" w:hAnsi="Arial" w:cs="Arial"/>
                <w:sz w:val="18"/>
                <w:szCs w:val="18"/>
                <w:lang w:val="ro-MD"/>
              </w:rPr>
            </w:pPr>
            <w:r w:rsidRPr="003A36E3">
              <w:rPr>
                <w:rFonts w:ascii="Arial" w:hAnsi="Arial" w:cs="Arial"/>
                <w:sz w:val="18"/>
                <w:szCs w:val="18"/>
                <w:lang w:val="ro-MD"/>
              </w:rPr>
              <w:t>Pe baza cartografierii reglementărilor, sunt adoptate cel puțin două pachete normative de dereglementare, care includ cel puțin 30 de măsuri de dereglementare specifice într-o serie de sectoare strategice/domenii de reglementare</w:t>
            </w:r>
            <w:r w:rsidR="00763B45" w:rsidRPr="003A36E3">
              <w:rPr>
                <w:rFonts w:ascii="Arial" w:hAnsi="Arial" w:cs="Arial"/>
                <w:sz w:val="18"/>
                <w:szCs w:val="18"/>
                <w:lang w:val="ro-MD"/>
              </w:rPr>
              <w:t xml:space="preserve">.     </w:t>
            </w:r>
          </w:p>
          <w:p w14:paraId="58D35180" w14:textId="03D52B23" w:rsidR="00763B45" w:rsidRPr="003A36E3" w:rsidRDefault="0052441F" w:rsidP="002F7854">
            <w:pPr>
              <w:spacing w:after="120" w:line="240" w:lineRule="auto"/>
              <w:jc w:val="both"/>
              <w:rPr>
                <w:rFonts w:ascii="Arial" w:hAnsi="Arial" w:cs="Arial"/>
                <w:sz w:val="18"/>
                <w:szCs w:val="18"/>
                <w:lang w:val="ro-MD"/>
              </w:rPr>
            </w:pPr>
            <w:r w:rsidRPr="003A36E3">
              <w:rPr>
                <w:rFonts w:ascii="Arial" w:eastAsiaTheme="minorEastAsia" w:hAnsi="Arial" w:cs="Arial"/>
                <w:sz w:val="18"/>
                <w:szCs w:val="18"/>
                <w:lang w:val="ro-MD"/>
              </w:rPr>
              <w:lastRenderedPageBreak/>
              <w:t>Linia de referință: Până în decembrie 2024, sarcina de reglementare impusă de autorizații este ridicată. În temeiul Legii-cadru nr. 160/2011 sunt reglementate 139 de autorizații, cu cel puțin 57 de autorizații suplimentare care funcționează în afara cadrului (autorizații ascunse), dintre care majoritatea nu au mai fost evaluate de peste un deceniu, ceea ce conduce la incoerențe semnificative în materie de reglementare și la constrângeri și costuri nejustificate.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CA686" w14:textId="77777777" w:rsidR="00C72060" w:rsidRPr="003A36E3" w:rsidRDefault="00C72060" w:rsidP="00C72060">
            <w:pPr>
              <w:spacing w:line="257" w:lineRule="auto"/>
              <w:jc w:val="both"/>
              <w:rPr>
                <w:rFonts w:ascii="Arial" w:hAnsi="Arial" w:cs="Arial"/>
                <w:sz w:val="18"/>
                <w:szCs w:val="18"/>
                <w:lang w:val="ro-MD"/>
              </w:rPr>
            </w:pPr>
            <w:r w:rsidRPr="003A36E3">
              <w:rPr>
                <w:rFonts w:ascii="Arial" w:hAnsi="Arial" w:cs="Arial"/>
                <w:sz w:val="18"/>
                <w:szCs w:val="18"/>
                <w:lang w:val="ro-MD"/>
              </w:rPr>
              <w:lastRenderedPageBreak/>
              <w:t xml:space="preserve">Revizuirile legislative se bazează pe examinări anuale ale reglementărilor în sectoare economice cheie (agroalimentar, transport, construcții, producție, IT&amp;BPO) și domenii de reglementare (inițierea unei afaceri, relațiile de muncă, administrarea fiscală, inspecțiile de stat, sănătatea și siguranța și alte reglementări), cu scopul de a reduce sarcina de reglementare. </w:t>
            </w:r>
          </w:p>
          <w:p w14:paraId="69B518F8" w14:textId="799D4B93" w:rsidR="00763B45" w:rsidRPr="003A36E3" w:rsidRDefault="00C72060" w:rsidP="00C72060">
            <w:pPr>
              <w:jc w:val="both"/>
              <w:rPr>
                <w:rFonts w:ascii="Arial" w:hAnsi="Arial" w:cs="Arial"/>
                <w:sz w:val="18"/>
                <w:szCs w:val="18"/>
                <w:lang w:val="ro-MD"/>
              </w:rPr>
            </w:pPr>
            <w:r w:rsidRPr="003A36E3">
              <w:rPr>
                <w:rFonts w:ascii="Arial" w:hAnsi="Arial" w:cs="Arial"/>
                <w:sz w:val="18"/>
                <w:szCs w:val="18"/>
                <w:lang w:val="ro-MD"/>
              </w:rPr>
              <w:lastRenderedPageBreak/>
              <w:t>Sursa de verificare: Monitorul Oficial; rapoarte ale Ministerului Dezvoltării Economice privind reformele, explicate prin modificările normative publicate.</w:t>
            </w:r>
          </w:p>
        </w:tc>
      </w:tr>
      <w:tr w:rsidR="00763B45" w:rsidRPr="00F026FE" w14:paraId="00874171"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5D401" w14:textId="2F5B8088" w:rsidR="00763B45" w:rsidRPr="003A36E3" w:rsidRDefault="00C7206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Mediul de afaceri</w:t>
            </w:r>
          </w:p>
          <w:p w14:paraId="426317E9"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90EB2"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5C6B1" w14:textId="396D6138" w:rsidR="00763B45" w:rsidRPr="003A36E3" w:rsidRDefault="00C7206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Creșterea competitivității mediului antreprenorial prin îmbunătățirea cadrului de reglementare și administrativ și printr-o digitalizare îmbunătățită</w:t>
            </w:r>
          </w:p>
          <w:p w14:paraId="243429E0"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74B59"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3</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2538F" w14:textId="1EB56851" w:rsidR="00763B45" w:rsidRPr="003A36E3" w:rsidRDefault="00C72060"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2026</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041CC" w14:textId="77777777" w:rsidR="00C72060" w:rsidRPr="003A36E3" w:rsidRDefault="00C72060" w:rsidP="00C72060">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Dezvoltării Economice și Digitalizării/ Ministerele de resort relevante</w:t>
            </w:r>
          </w:p>
          <w:p w14:paraId="0819F410" w14:textId="7D990340" w:rsidR="00763B45" w:rsidRPr="003A36E3" w:rsidRDefault="00C72060" w:rsidP="00C72060">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Justiției</w:t>
            </w:r>
          </w:p>
          <w:p w14:paraId="66B4CBF9"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BBDD2" w14:textId="4E969418" w:rsidR="00544117" w:rsidRPr="003A36E3" w:rsidRDefault="00544117" w:rsidP="00544117">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MD își consolidează procedurile de insolvență și faliment prin revizuirea legislației relevante, lansarea programului de sprijin pentru a doua șansă pentru IMM-uri și instituirea registrului electronic </w:t>
            </w:r>
            <w:r w:rsidR="000357FD" w:rsidRPr="003A36E3">
              <w:rPr>
                <w:rFonts w:ascii="Arial" w:hAnsi="Arial" w:cs="Arial"/>
                <w:sz w:val="18"/>
                <w:szCs w:val="18"/>
                <w:lang w:val="ro-MD"/>
              </w:rPr>
              <w:t>de insolvență</w:t>
            </w:r>
            <w:r w:rsidRPr="003A36E3">
              <w:rPr>
                <w:rFonts w:ascii="Arial" w:hAnsi="Arial" w:cs="Arial"/>
                <w:sz w:val="18"/>
                <w:szCs w:val="18"/>
                <w:lang w:val="ro-MD"/>
              </w:rPr>
              <w:t xml:space="preserve">.   </w:t>
            </w:r>
          </w:p>
          <w:p w14:paraId="2E9DEE18" w14:textId="77777777" w:rsidR="00544117" w:rsidRPr="003A36E3" w:rsidRDefault="00544117" w:rsidP="00544117">
            <w:pPr>
              <w:spacing w:after="0" w:line="240" w:lineRule="auto"/>
              <w:jc w:val="both"/>
              <w:rPr>
                <w:rFonts w:ascii="Arial" w:hAnsi="Arial" w:cs="Arial"/>
                <w:sz w:val="18"/>
                <w:szCs w:val="18"/>
                <w:lang w:val="ro-MD"/>
              </w:rPr>
            </w:pPr>
          </w:p>
          <w:p w14:paraId="0E0225CB" w14:textId="2910F5DB" w:rsidR="00763B45" w:rsidRPr="003A36E3" w:rsidRDefault="00544117" w:rsidP="00544117">
            <w:pPr>
              <w:spacing w:after="0" w:line="240" w:lineRule="auto"/>
              <w:jc w:val="both"/>
              <w:rPr>
                <w:rFonts w:ascii="Arial" w:eastAsiaTheme="minorEastAsia" w:hAnsi="Arial" w:cs="Arial"/>
                <w:sz w:val="18"/>
                <w:szCs w:val="18"/>
                <w:lang w:val="ro-MD"/>
              </w:rPr>
            </w:pPr>
            <w:r w:rsidRPr="003A36E3">
              <w:rPr>
                <w:rFonts w:ascii="Arial" w:hAnsi="Arial" w:cs="Arial"/>
                <w:sz w:val="18"/>
                <w:szCs w:val="18"/>
                <w:lang w:val="ro-MD"/>
              </w:rPr>
              <w:t xml:space="preserve">Linia de referință: Doar câteva elemente de bază ale programului de sprijin pentru a doua șansă pentru IMM-uri sunt în vigoare (de exemplu, exonerarea de datorii pentru antreprenorii persoane fizice); accesul la o a doua șansă prin intermediul unui plan de rambursare nu este o posibilitate; în plus, nu există sisteme de avertizare timpurie; nu este operațional niciun registru electronic </w:t>
            </w:r>
            <w:r w:rsidR="000357FD" w:rsidRPr="003A36E3">
              <w:rPr>
                <w:rFonts w:ascii="Arial" w:hAnsi="Arial" w:cs="Arial"/>
                <w:sz w:val="18"/>
                <w:szCs w:val="18"/>
                <w:lang w:val="ro-MD"/>
              </w:rPr>
              <w:t>de insolvență</w:t>
            </w:r>
            <w:r w:rsidRPr="003A36E3">
              <w:rPr>
                <w:rFonts w:ascii="Arial" w:hAnsi="Arial" w:cs="Arial"/>
                <w:sz w:val="18"/>
                <w:szCs w:val="18"/>
                <w:lang w:val="ro-MD"/>
              </w:rPr>
              <w:t>.</w:t>
            </w:r>
          </w:p>
          <w:p w14:paraId="03708270" w14:textId="77777777" w:rsidR="00763B45" w:rsidRPr="003A36E3" w:rsidRDefault="00763B45" w:rsidP="002F7854">
            <w:pPr>
              <w:spacing w:after="0" w:line="240" w:lineRule="auto"/>
              <w:jc w:val="both"/>
              <w:rPr>
                <w:rFonts w:ascii="Arial" w:eastAsiaTheme="minorEastAsia" w:hAnsi="Arial" w:cs="Arial"/>
                <w:sz w:val="18"/>
                <w:szCs w:val="18"/>
                <w:lang w:val="ro-MD"/>
              </w:rPr>
            </w:pPr>
          </w:p>
          <w:p w14:paraId="0E48C42E"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AC2C0" w14:textId="1FD2B69E" w:rsidR="00763B45" w:rsidRPr="003A36E3" w:rsidRDefault="00544117" w:rsidP="002F7854">
            <w:pPr>
              <w:pStyle w:val="ListParagraph"/>
              <w:spacing w:after="0" w:line="240" w:lineRule="auto"/>
              <w:ind w:left="-42"/>
              <w:jc w:val="both"/>
              <w:rPr>
                <w:rFonts w:ascii="Arial" w:hAnsi="Arial" w:cs="Arial"/>
                <w:sz w:val="18"/>
                <w:szCs w:val="18"/>
                <w:lang w:val="ro-MD"/>
              </w:rPr>
            </w:pPr>
            <w:r w:rsidRPr="003A36E3">
              <w:rPr>
                <w:rFonts w:ascii="Arial" w:hAnsi="Arial" w:cs="Arial"/>
                <w:sz w:val="18"/>
                <w:szCs w:val="18"/>
                <w:lang w:val="ro-MD"/>
              </w:rPr>
              <w:t xml:space="preserve">Pe baza unei revizuiri cuprinzătoare a cadrului actual de insolvență, MD va identifica ineficiențele procedurale, lacunele și domeniile de digitalizare și va adopta modificări legislative pentru a simplifica procedurile de insolvență, a reduce timpii de procesare și a îmbunătăți protecția drepturilor creditorilor. Aceste reforme vor include dispoziții pentru o soluționare mai rapidă a cazurilor și criterii uniforme pentru gestionarea cazurilor. MD va efectua, de asemenea, o analiză comparativă a legii sale privind insolvența în raport cu Directiva 2019/1023 a UE și își va alinia cadrul intern la standardele UE, inclusiv politica celei de-a doua șanse și adoptarea sistemelor de avertizare timpurie. Va fi lansat și operaționalizat registrul electronic </w:t>
            </w:r>
            <w:r w:rsidR="000357FD" w:rsidRPr="003A36E3">
              <w:rPr>
                <w:rFonts w:ascii="Arial" w:hAnsi="Arial" w:cs="Arial"/>
                <w:sz w:val="18"/>
                <w:szCs w:val="18"/>
                <w:lang w:val="ro-MD"/>
              </w:rPr>
              <w:t xml:space="preserve">de insolvență </w:t>
            </w:r>
            <w:r w:rsidRPr="003A36E3">
              <w:rPr>
                <w:rFonts w:ascii="Arial" w:hAnsi="Arial" w:cs="Arial"/>
                <w:sz w:val="18"/>
                <w:szCs w:val="18"/>
                <w:lang w:val="ro-MD"/>
              </w:rPr>
              <w:t>pentru a facilita gestionarea transparentă și eficientă a cazurilor de insolvență.</w:t>
            </w:r>
          </w:p>
          <w:p w14:paraId="042DEF69" w14:textId="77777777" w:rsidR="00763B45" w:rsidRPr="003A36E3" w:rsidRDefault="00763B45" w:rsidP="002F7854">
            <w:pPr>
              <w:spacing w:after="0" w:line="240" w:lineRule="auto"/>
              <w:jc w:val="both"/>
              <w:rPr>
                <w:rFonts w:ascii="Arial" w:eastAsiaTheme="minorEastAsia" w:hAnsi="Arial" w:cs="Arial"/>
                <w:sz w:val="18"/>
                <w:szCs w:val="18"/>
                <w:lang w:val="ro-MD"/>
              </w:rPr>
            </w:pPr>
          </w:p>
          <w:p w14:paraId="71463056" w14:textId="77302548" w:rsidR="00763B45" w:rsidRPr="003A36E3" w:rsidRDefault="000357FD"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Sursa de verificare: Monitorul Oficial, raportul MDED, rapoartele MJ, decizia guvernului de a lansa programul a doua șansă, decizia guvernului privind registrul de insolvență.</w:t>
            </w:r>
          </w:p>
        </w:tc>
      </w:tr>
      <w:bookmarkEnd w:id="3"/>
      <w:tr w:rsidR="00763B45" w:rsidRPr="00F026FE" w14:paraId="180B66AA"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E642D2" w14:textId="20B837C5" w:rsidR="00763B45" w:rsidRPr="003A36E3" w:rsidRDefault="00C7206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Mediul de afaceri</w:t>
            </w:r>
          </w:p>
          <w:p w14:paraId="1F9E6A07" w14:textId="77777777" w:rsidR="00763B45" w:rsidRPr="003A36E3" w:rsidRDefault="00763B45" w:rsidP="002F7854">
            <w:pPr>
              <w:spacing w:after="0" w:line="240" w:lineRule="auto"/>
              <w:jc w:val="both"/>
              <w:rPr>
                <w:rFonts w:ascii="Arial" w:eastAsiaTheme="minorEastAsia" w:hAnsi="Arial" w:cs="Arial"/>
                <w:sz w:val="18"/>
                <w:szCs w:val="18"/>
                <w:lang w:val="ro-MD"/>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65787"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1</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8865F" w14:textId="3A72DA79" w:rsidR="00763B45" w:rsidRPr="003A36E3" w:rsidRDefault="000357FD"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Creșterea competitivității </w:t>
            </w:r>
            <w:r w:rsidRPr="003A36E3">
              <w:rPr>
                <w:rFonts w:ascii="Arial" w:eastAsiaTheme="minorEastAsia" w:hAnsi="Arial" w:cs="Arial"/>
                <w:sz w:val="18"/>
                <w:szCs w:val="18"/>
                <w:lang w:val="ro-MD"/>
              </w:rPr>
              <w:lastRenderedPageBreak/>
              <w:t>mediului antreprenorial prin îmbunătățirea cadrului de reglementare și administrativ și printr-o digitalizare îmbunătățită</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7CA6B"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4</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D57E5" w14:textId="269FEF66" w:rsidR="00763B45" w:rsidRPr="003A36E3" w:rsidRDefault="000357FD"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2025</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0891A" w14:textId="77777777" w:rsidR="000357FD" w:rsidRPr="003A36E3" w:rsidRDefault="000357FD" w:rsidP="000357FD">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Ministerul Dezvoltării </w:t>
            </w:r>
            <w:r w:rsidRPr="003A36E3">
              <w:rPr>
                <w:rFonts w:ascii="Arial" w:eastAsiaTheme="minorEastAsia" w:hAnsi="Arial" w:cs="Arial"/>
                <w:sz w:val="18"/>
                <w:szCs w:val="18"/>
                <w:lang w:val="ro-MD"/>
              </w:rPr>
              <w:lastRenderedPageBreak/>
              <w:t>Economice și Digitalizării</w:t>
            </w:r>
          </w:p>
          <w:p w14:paraId="13C89D8A" w14:textId="77777777" w:rsidR="000357FD" w:rsidRPr="003A36E3" w:rsidRDefault="000357FD" w:rsidP="000357FD">
            <w:pPr>
              <w:spacing w:after="0" w:line="240" w:lineRule="auto"/>
              <w:jc w:val="both"/>
              <w:rPr>
                <w:rFonts w:ascii="Arial" w:eastAsiaTheme="minorEastAsia" w:hAnsi="Arial" w:cs="Arial"/>
                <w:sz w:val="18"/>
                <w:szCs w:val="18"/>
                <w:lang w:val="ro-MD"/>
              </w:rPr>
            </w:pPr>
          </w:p>
          <w:p w14:paraId="12506A9D" w14:textId="77777777" w:rsidR="000357FD" w:rsidRPr="003A36E3" w:rsidRDefault="000357FD" w:rsidP="000357FD">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Ministerul Justiției</w:t>
            </w:r>
          </w:p>
          <w:p w14:paraId="3216B458" w14:textId="77777777" w:rsidR="000357FD" w:rsidRPr="003A36E3" w:rsidRDefault="000357FD" w:rsidP="000357FD">
            <w:pPr>
              <w:spacing w:after="0" w:line="240" w:lineRule="auto"/>
              <w:jc w:val="both"/>
              <w:rPr>
                <w:rFonts w:ascii="Arial" w:eastAsiaTheme="minorEastAsia" w:hAnsi="Arial" w:cs="Arial"/>
                <w:sz w:val="18"/>
                <w:szCs w:val="18"/>
                <w:lang w:val="ro-MD"/>
              </w:rPr>
            </w:pPr>
          </w:p>
          <w:p w14:paraId="2C116D5C" w14:textId="77777777" w:rsidR="000357FD" w:rsidRPr="003A36E3" w:rsidRDefault="000357FD" w:rsidP="000357FD">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Agenția Servicii Publice</w:t>
            </w:r>
          </w:p>
          <w:p w14:paraId="339D30A6" w14:textId="77777777" w:rsidR="000357FD" w:rsidRPr="003A36E3" w:rsidRDefault="000357FD" w:rsidP="000357FD">
            <w:pPr>
              <w:spacing w:after="0" w:line="240" w:lineRule="auto"/>
              <w:jc w:val="both"/>
              <w:rPr>
                <w:rFonts w:ascii="Arial" w:eastAsiaTheme="minorEastAsia" w:hAnsi="Arial" w:cs="Arial"/>
                <w:sz w:val="18"/>
                <w:szCs w:val="18"/>
                <w:lang w:val="ro-MD"/>
              </w:rPr>
            </w:pPr>
          </w:p>
          <w:p w14:paraId="4FC1AAC2" w14:textId="30601C0F" w:rsidR="00763B45" w:rsidRPr="003A36E3" w:rsidRDefault="000357FD" w:rsidP="000357FD">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Agenția de Guvernare Electronică</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0A1A7" w14:textId="77777777" w:rsidR="00763B45" w:rsidRPr="003A36E3" w:rsidRDefault="00763B45" w:rsidP="002F7854">
            <w:pPr>
              <w:spacing w:after="0" w:line="240" w:lineRule="auto"/>
              <w:jc w:val="both"/>
              <w:rPr>
                <w:rFonts w:ascii="Arial" w:eastAsiaTheme="minorEastAsia" w:hAnsi="Arial" w:cs="Arial"/>
                <w:sz w:val="18"/>
                <w:szCs w:val="18"/>
                <w:lang w:val="ro-MD"/>
              </w:rPr>
            </w:pPr>
          </w:p>
          <w:p w14:paraId="5D000DA3" w14:textId="77777777" w:rsidR="00055704" w:rsidRPr="003A36E3" w:rsidRDefault="00055704" w:rsidP="0005570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Este instituit un ecosistem funcțional de e-guvernare care oferă întreprinderilor servicii digitale eficiente și accesibile, cu o disponibilitate sporită a serviciilor digitale de la guvernare la întreprinderi. Registrul de Stat al Unităților de Drept, care permite gestionarea afacerilor la distanță, inclusiv pentru investitorii străini, este pe deplin operațional și sigur. Metodologia privind instituționalizarea evenimentelor de viață pentru cetățeni și afaceri este aprobată.</w:t>
            </w:r>
          </w:p>
          <w:p w14:paraId="6618213F" w14:textId="77777777" w:rsidR="00055704" w:rsidRPr="003A36E3" w:rsidRDefault="00055704" w:rsidP="00055704">
            <w:pPr>
              <w:spacing w:after="0"/>
              <w:jc w:val="both"/>
              <w:rPr>
                <w:rFonts w:ascii="Arial" w:eastAsiaTheme="minorEastAsia" w:hAnsi="Arial" w:cs="Arial"/>
                <w:sz w:val="18"/>
                <w:szCs w:val="18"/>
                <w:lang w:val="ro-MD"/>
              </w:rPr>
            </w:pPr>
          </w:p>
          <w:p w14:paraId="31370878" w14:textId="46C05177" w:rsidR="00763B45" w:rsidRPr="003A36E3" w:rsidRDefault="00055704" w:rsidP="0005570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2024, 64% din totalul serviciilor sunt digitalizate în vederea utilizării de către utilizatorul final; niciun Registru de Stat al Unităților de Drept nu este operațional. Registrul este în faza de pilotare. 43 de instituții din MD sunt monitorizate și publicate trimestrial</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CA6CE" w14:textId="77777777" w:rsidR="00763B45" w:rsidRPr="003A36E3" w:rsidRDefault="00763B45" w:rsidP="002F7854">
            <w:pPr>
              <w:spacing w:after="0" w:line="240" w:lineRule="auto"/>
              <w:jc w:val="both"/>
              <w:rPr>
                <w:rFonts w:ascii="Arial" w:eastAsiaTheme="minorEastAsia" w:hAnsi="Arial" w:cs="Arial"/>
                <w:sz w:val="18"/>
                <w:szCs w:val="18"/>
                <w:lang w:val="ro-MD"/>
              </w:rPr>
            </w:pPr>
          </w:p>
          <w:p w14:paraId="79637B0D" w14:textId="77777777" w:rsidR="00055704" w:rsidRPr="003A36E3" w:rsidRDefault="00055704" w:rsidP="0005570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75% din totalul serviciilor publice legate de afaceri sunt disponibile în format digital. </w:t>
            </w:r>
          </w:p>
          <w:p w14:paraId="7874ADC3" w14:textId="2BFE6531" w:rsidR="00055704" w:rsidRPr="003A36E3" w:rsidRDefault="00055704" w:rsidP="0005570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Registrul de Stat al Unităților de Drept este complet </w:t>
            </w:r>
            <w:r w:rsidR="00FE50DE">
              <w:rPr>
                <w:rFonts w:ascii="Arial" w:eastAsiaTheme="minorEastAsia" w:hAnsi="Arial" w:cs="Arial"/>
                <w:sz w:val="18"/>
                <w:szCs w:val="18"/>
                <w:lang w:val="ro-MD"/>
              </w:rPr>
              <w:t>operațional</w:t>
            </w:r>
            <w:r w:rsidRPr="003A36E3">
              <w:rPr>
                <w:rFonts w:ascii="Arial" w:eastAsiaTheme="minorEastAsia" w:hAnsi="Arial" w:cs="Arial"/>
                <w:sz w:val="18"/>
                <w:szCs w:val="18"/>
                <w:lang w:val="ro-MD"/>
              </w:rPr>
              <w:t>, securizat și accesibil online.</w:t>
            </w:r>
          </w:p>
          <w:p w14:paraId="2F3AFE6A" w14:textId="77777777" w:rsidR="00055704" w:rsidRPr="003A36E3" w:rsidRDefault="00055704" w:rsidP="0005570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MD aprobă metodologia de identificare, descriere și instituționalizare a evenimentelor de viață pentru cetățeni și afaceri.</w:t>
            </w:r>
          </w:p>
          <w:p w14:paraId="053EE3A1" w14:textId="77777777" w:rsidR="00055704" w:rsidRPr="003A36E3" w:rsidRDefault="00055704" w:rsidP="00055704">
            <w:pPr>
              <w:spacing w:after="0" w:line="240" w:lineRule="auto"/>
              <w:jc w:val="both"/>
              <w:rPr>
                <w:rFonts w:ascii="Arial" w:eastAsiaTheme="minorEastAsia" w:hAnsi="Arial" w:cs="Arial"/>
                <w:sz w:val="18"/>
                <w:szCs w:val="18"/>
                <w:lang w:val="ro-MD"/>
              </w:rPr>
            </w:pPr>
          </w:p>
          <w:p w14:paraId="58AF5707" w14:textId="77777777" w:rsidR="00055704" w:rsidRPr="003A36E3" w:rsidRDefault="00055704" w:rsidP="00055704">
            <w:pPr>
              <w:spacing w:after="0" w:line="240" w:lineRule="auto"/>
              <w:jc w:val="both"/>
              <w:rPr>
                <w:rFonts w:ascii="Arial" w:eastAsiaTheme="minorEastAsia" w:hAnsi="Arial" w:cs="Arial"/>
                <w:sz w:val="18"/>
                <w:szCs w:val="18"/>
                <w:lang w:val="ro-MD"/>
              </w:rPr>
            </w:pPr>
          </w:p>
          <w:p w14:paraId="59AA8294" w14:textId="77777777" w:rsidR="00055704" w:rsidRPr="003A36E3" w:rsidRDefault="00055704" w:rsidP="00055704">
            <w:pPr>
              <w:spacing w:after="0" w:line="240" w:lineRule="auto"/>
              <w:jc w:val="both"/>
              <w:rPr>
                <w:rFonts w:ascii="Arial" w:eastAsiaTheme="minorEastAsia" w:hAnsi="Arial" w:cs="Arial"/>
                <w:sz w:val="18"/>
                <w:szCs w:val="18"/>
                <w:lang w:val="ro-MD"/>
              </w:rPr>
            </w:pPr>
          </w:p>
          <w:p w14:paraId="356C35E2" w14:textId="7D605C33" w:rsidR="00763B45" w:rsidRPr="003A36E3" w:rsidRDefault="00055704" w:rsidP="0005570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Statistici oficiale, rapoarte ale Ministerului Dezvoltării Economice și Digitalizării</w:t>
            </w:r>
          </w:p>
        </w:tc>
      </w:tr>
      <w:tr w:rsidR="00763B45" w:rsidRPr="00F026FE" w14:paraId="3728C454"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55559" w14:textId="1C11DA78" w:rsidR="00763B45" w:rsidRPr="003A36E3" w:rsidRDefault="00C15D5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Competitivitatea sectorului de afaceri</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7E437"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AE440" w14:textId="3D263EDA" w:rsidR="00763B45" w:rsidRPr="003A36E3" w:rsidRDefault="00C15D5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sistemului public de sprijinire a IMM-urilor, sporind eficiența și relevanța sprijinului guvernamental acordat antreprenorilor pentru a stimula competitivitatea</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35606"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7F7CE" w14:textId="7A17BC25" w:rsidR="00763B45" w:rsidRPr="003A36E3" w:rsidRDefault="00C15D5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2026</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9A513" w14:textId="77777777" w:rsidR="00C15D57" w:rsidRPr="003A36E3" w:rsidRDefault="00C15D57" w:rsidP="00C15D57">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Dezvoltării Economice și Digitalizării</w:t>
            </w:r>
          </w:p>
          <w:p w14:paraId="1DEE798F" w14:textId="77777777" w:rsidR="00C15D57" w:rsidRPr="003A36E3" w:rsidRDefault="00C15D57" w:rsidP="00C15D57">
            <w:pPr>
              <w:spacing w:after="0" w:line="240" w:lineRule="auto"/>
              <w:jc w:val="both"/>
              <w:rPr>
                <w:rFonts w:ascii="Arial" w:eastAsiaTheme="minorEastAsia" w:hAnsi="Arial" w:cs="Arial"/>
                <w:sz w:val="18"/>
                <w:szCs w:val="18"/>
                <w:lang w:val="ro-MD"/>
              </w:rPr>
            </w:pPr>
          </w:p>
          <w:p w14:paraId="08AA423A" w14:textId="60BA2A81" w:rsidR="00763B45" w:rsidRPr="003A36E3" w:rsidRDefault="00C15D57" w:rsidP="00C15D57">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ODA (Organizația pentru Dezvoltarea Antreprenoriatului)</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3951B" w14:textId="77777777" w:rsidR="00BB54A7" w:rsidRPr="003A36E3" w:rsidRDefault="00BB54A7" w:rsidP="00BB54A7">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Responsabilitatea și eficiența mecanismelor guvernamentale de sprijinire a IMM-urilor de către Organizația pentru Antreprenoriat ODA din Moldova sunt consolidate prin simplificarea mecanismelor de sprijinire a IMM-urilor, alinierea metodologiei de monitorizare și evaluare la cele mai bune practici, digitalizarea proceselor ODA și consolidarea capacităților de control intern și gestionare a riscurilor.  </w:t>
            </w:r>
          </w:p>
          <w:p w14:paraId="58BC0DD7" w14:textId="77777777" w:rsidR="00BB54A7" w:rsidRPr="003A36E3" w:rsidRDefault="00BB54A7" w:rsidP="00BB54A7">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 </w:t>
            </w:r>
          </w:p>
          <w:p w14:paraId="1EB8E028" w14:textId="416BD390" w:rsidR="00763B45" w:rsidRPr="003A36E3" w:rsidRDefault="00BB54A7" w:rsidP="00BB54A7">
            <w:pPr>
              <w:spacing w:after="0" w:line="257" w:lineRule="auto"/>
              <w:jc w:val="both"/>
              <w:rPr>
                <w:rFonts w:ascii="Arial" w:hAnsi="Arial" w:cs="Arial"/>
                <w:sz w:val="18"/>
                <w:szCs w:val="18"/>
                <w:lang w:val="ro-MD"/>
              </w:rPr>
            </w:pPr>
            <w:r w:rsidRPr="003A36E3">
              <w:rPr>
                <w:rFonts w:ascii="Arial" w:hAnsi="Arial" w:cs="Arial"/>
                <w:sz w:val="18"/>
                <w:szCs w:val="18"/>
                <w:lang w:val="ro-MD"/>
              </w:rPr>
              <w:t>Linia de referință: Metodologia de evaluare a proiectelor nu este aliniată la metodologia OCDE, în timp ce gestionarea riscurilor financiare este subdezvoltată. Automatizarea proceselor interne ale ODA este limitată. Guvernanța și supravegherea ODA sunt corespunzătoare, Consiliul de supraveghere și experții externi făcând parte din Comitetul de finanțare și risc (Comitetul director), însă controlul intern/gestionarea riscurilor este lipsită de capacitate.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99E9" w14:textId="4E608774" w:rsidR="00763B45" w:rsidRPr="003A36E3" w:rsidRDefault="00BB54A7"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Responsabilitatea și eficiența ODA sunt consolidate prin următoarele măsuri:  (i) cel puțin 5 mecanisme de sprijin sunt optimizate într-un singur cadru unificat pentru a simplifica cererile și a preveni suprapunerile; (ii) metodologia de monitorizare și evaluare a programului ODA este aliniată la criteriile OCDE-DAC și este adoptat un nou manual de gestionare a riscurilor financiare; (iii) digitalizarea ODA include: un proces de cerere complet digital pentru programele de sprijin sub formă de granturi; digitalizarea sistemului intern de gestionare a cazurilor și a proceselor de evaluare a cererilor; integrarea cu Mconnect și cu registrele publice relevante și cu infrastructura digitală EGOV; Module de analiză a datelor; Modul de monitorizare și raportare (iv) controalele interne și supravegherea sunt consolidate în continuare prin intermediul cadrului de evaluare a riscurilor și prin înființarea unei </w:t>
            </w:r>
            <w:r w:rsidRPr="003A36E3">
              <w:rPr>
                <w:rFonts w:ascii="Arial" w:hAnsi="Arial" w:cs="Arial"/>
                <w:sz w:val="18"/>
                <w:szCs w:val="18"/>
                <w:lang w:val="ro-MD"/>
              </w:rPr>
              <w:lastRenderedPageBreak/>
              <w:t xml:space="preserve">unități separate pentru gestionarea riscurilor. </w:t>
            </w:r>
            <w:r w:rsidR="00763B45" w:rsidRPr="003A36E3">
              <w:rPr>
                <w:rFonts w:ascii="Arial" w:hAnsi="Arial" w:cs="Arial"/>
                <w:sz w:val="18"/>
                <w:szCs w:val="18"/>
                <w:lang w:val="ro-MD"/>
              </w:rPr>
              <w:t xml:space="preserve"> </w:t>
            </w:r>
          </w:p>
          <w:p w14:paraId="25D67E33" w14:textId="4D99EB35" w:rsidR="00763B45" w:rsidRPr="003A36E3" w:rsidRDefault="00BB54A7"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Sursa de verificare: </w:t>
            </w:r>
            <w:r w:rsidR="00CE1E75">
              <w:rPr>
                <w:rFonts w:ascii="Arial" w:hAnsi="Arial" w:cs="Arial"/>
                <w:sz w:val="18"/>
                <w:szCs w:val="18"/>
                <w:lang w:val="ro-MD"/>
              </w:rPr>
              <w:t xml:space="preserve">Hotărârea de Guvern </w:t>
            </w:r>
            <w:r w:rsidRPr="003A36E3">
              <w:rPr>
                <w:rFonts w:ascii="Arial" w:hAnsi="Arial" w:cs="Arial"/>
                <w:sz w:val="18"/>
                <w:szCs w:val="18"/>
                <w:lang w:val="ro-MD"/>
              </w:rPr>
              <w:t>privind programele de granturi ODA pe portalul guvernului, rapoartele ODA și MDED.</w:t>
            </w:r>
          </w:p>
        </w:tc>
      </w:tr>
      <w:tr w:rsidR="00763B45" w:rsidRPr="003A36E3" w14:paraId="52C2D3B9"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389C0E" w14:textId="4F0D772F" w:rsidR="00763B45" w:rsidRPr="003A36E3" w:rsidRDefault="00BB54A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Competitivitatea sectorului de afaceri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7A991"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0E967" w14:textId="5579F65D" w:rsidR="00763B45" w:rsidRPr="003A36E3" w:rsidRDefault="00BB54A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sistemului public de sprijinire a IMM-urilor, sporind eficiența și relevanța sprijinului guvernamental acordat antreprenorilor pentru a stimula competitivitatea</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70A6E"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E7FB18" w14:textId="618FCA9A" w:rsidR="00763B45" w:rsidRPr="003A36E3" w:rsidRDefault="00BB54A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2026</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82185" w14:textId="77777777" w:rsidR="00D8293E" w:rsidRPr="003A36E3" w:rsidRDefault="00D8293E" w:rsidP="00D8293E">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MF </w:t>
            </w:r>
          </w:p>
          <w:p w14:paraId="7E9AC873" w14:textId="77777777" w:rsidR="00D8293E" w:rsidRPr="003A36E3" w:rsidRDefault="00D8293E" w:rsidP="00D8293E">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BNM</w:t>
            </w:r>
          </w:p>
          <w:p w14:paraId="0298BF75" w14:textId="1308DB84" w:rsidR="00763B45" w:rsidRPr="003A36E3" w:rsidRDefault="00D8293E" w:rsidP="00D8293E">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Justiției</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B96C9" w14:textId="77777777" w:rsidR="00D8293E" w:rsidRPr="003A36E3" w:rsidRDefault="00D8293E" w:rsidP="00D8293E">
            <w:pPr>
              <w:spacing w:after="0" w:line="257" w:lineRule="auto"/>
              <w:jc w:val="both"/>
              <w:rPr>
                <w:rFonts w:ascii="Arial" w:hAnsi="Arial" w:cs="Arial"/>
                <w:sz w:val="18"/>
                <w:szCs w:val="18"/>
                <w:lang w:val="ro-MD"/>
              </w:rPr>
            </w:pPr>
            <w:r w:rsidRPr="003A36E3">
              <w:rPr>
                <w:rFonts w:ascii="Arial" w:hAnsi="Arial" w:cs="Arial"/>
                <w:sz w:val="18"/>
                <w:szCs w:val="18"/>
                <w:lang w:val="ro-MD"/>
              </w:rPr>
              <w:t xml:space="preserve">Legea privind birourile istoriilor de credit este modificată pentru a îmbunătăți calitatea și transparența datelor, în timp ce normele privind garanțiile reale mobiliare sunt consolidate în cadrul registrului garanțiilor reale pentru a îmbunătăți accesul la finanțare. </w:t>
            </w:r>
          </w:p>
          <w:p w14:paraId="5A346E9D" w14:textId="77777777" w:rsidR="00D8293E" w:rsidRPr="003A36E3" w:rsidRDefault="00D8293E" w:rsidP="00D8293E">
            <w:pPr>
              <w:spacing w:after="0" w:line="257" w:lineRule="auto"/>
              <w:jc w:val="both"/>
              <w:rPr>
                <w:rFonts w:ascii="Arial" w:hAnsi="Arial" w:cs="Arial"/>
                <w:sz w:val="18"/>
                <w:szCs w:val="18"/>
                <w:lang w:val="ro-MD"/>
              </w:rPr>
            </w:pPr>
          </w:p>
          <w:p w14:paraId="288475D2" w14:textId="77777777" w:rsidR="00D8293E" w:rsidRPr="003A36E3" w:rsidRDefault="00D8293E" w:rsidP="00D8293E">
            <w:pPr>
              <w:spacing w:after="0" w:line="257" w:lineRule="auto"/>
              <w:jc w:val="both"/>
              <w:rPr>
                <w:rFonts w:ascii="Arial" w:hAnsi="Arial" w:cs="Arial"/>
                <w:sz w:val="18"/>
                <w:szCs w:val="18"/>
                <w:lang w:val="ro-MD"/>
              </w:rPr>
            </w:pPr>
          </w:p>
          <w:p w14:paraId="7CA8CBA2" w14:textId="77777777" w:rsidR="00D8293E" w:rsidRPr="003A36E3" w:rsidRDefault="00D8293E" w:rsidP="00D8293E">
            <w:pPr>
              <w:spacing w:after="0" w:line="257" w:lineRule="auto"/>
              <w:jc w:val="both"/>
              <w:rPr>
                <w:rFonts w:ascii="Arial" w:hAnsi="Arial" w:cs="Arial"/>
                <w:sz w:val="18"/>
                <w:szCs w:val="18"/>
                <w:lang w:val="ro-MD"/>
              </w:rPr>
            </w:pPr>
          </w:p>
          <w:p w14:paraId="1C957D4F" w14:textId="7298F797" w:rsidR="00763B45" w:rsidRPr="003A36E3" w:rsidRDefault="00D8293E" w:rsidP="00D8293E">
            <w:pPr>
              <w:spacing w:after="0" w:line="240" w:lineRule="auto"/>
              <w:jc w:val="both"/>
              <w:rPr>
                <w:rFonts w:ascii="Arial" w:hAnsi="Arial" w:cs="Arial"/>
                <w:sz w:val="18"/>
                <w:szCs w:val="18"/>
                <w:lang w:val="ro-MD"/>
              </w:rPr>
            </w:pPr>
            <w:r w:rsidRPr="003A36E3">
              <w:rPr>
                <w:rFonts w:ascii="Arial" w:hAnsi="Arial" w:cs="Arial"/>
                <w:sz w:val="18"/>
                <w:szCs w:val="18"/>
                <w:lang w:val="ro-MD"/>
              </w:rPr>
              <w:t>Linia de referință:  Birourile istoriilor de credit furnizează date limitate sau incomplete privind istoriile de credit. Registrul garanțiilor reale este disponibil, dar nu este utilizat pe scară largă în practică, în mare parte din cauza ineficienței în proiectare și funcționare.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510C6" w14:textId="50003723" w:rsidR="00763B45" w:rsidRPr="003A36E3" w:rsidRDefault="00020FCF"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Pentru îmbunătățirea accesului la finanțare, Legea privind birourile istoriilor de credit este modificată.  Legea are în vedere: (i) o gamă mai largă de puncte de date (inclusiv date de credit alternative); (ii) extinderea listei entităților care sunt obligate să raporteze informații privind obligațiile financiare ale subiecților istoriilor de credit (inclusiv asociațiile de economii și împrumuturi); (iii) accesul facil al IMM-urilor la propriile rapoarte de credit și mecanismele de corectare a erorilor consolidează încrederea în sistem; (iv) reducerea costurilor de accesare a informațiilor privind istoriile de credit.</w:t>
            </w:r>
          </w:p>
          <w:p w14:paraId="2D9143F0" w14:textId="77777777" w:rsidR="00763B45" w:rsidRPr="003A36E3" w:rsidRDefault="00763B45" w:rsidP="002F7854">
            <w:pPr>
              <w:spacing w:after="0" w:line="240" w:lineRule="auto"/>
              <w:jc w:val="both"/>
              <w:rPr>
                <w:rFonts w:ascii="Arial" w:hAnsi="Arial" w:cs="Arial"/>
                <w:sz w:val="18"/>
                <w:szCs w:val="18"/>
                <w:lang w:val="ro-MD"/>
              </w:rPr>
            </w:pPr>
          </w:p>
          <w:p w14:paraId="571F7D4E" w14:textId="77777777" w:rsidR="00020FCF" w:rsidRPr="003A36E3" w:rsidRDefault="00020FCF" w:rsidP="00020FCF">
            <w:pPr>
              <w:spacing w:after="0" w:line="240" w:lineRule="auto"/>
              <w:jc w:val="both"/>
              <w:rPr>
                <w:rFonts w:ascii="Arial" w:hAnsi="Arial" w:cs="Arial"/>
                <w:sz w:val="18"/>
                <w:szCs w:val="18"/>
                <w:lang w:val="ro-MD"/>
              </w:rPr>
            </w:pPr>
            <w:r w:rsidRPr="003A36E3">
              <w:rPr>
                <w:rFonts w:ascii="Arial" w:hAnsi="Arial" w:cs="Arial"/>
                <w:sz w:val="18"/>
                <w:szCs w:val="18"/>
                <w:lang w:val="ro-MD"/>
              </w:rPr>
              <w:t>MD își modernizează registrul de garanții reale, permițând o utilizare mai eficientă a drepturilor de securitate asupra garanțiilor reale mobiliare pentru a obține finanțare. Două reforme vor fi necesare pentru atingerea acestui obiectiv: (i) adoptarea de către Consiliul de Miniștri a unor noi reglementări care să reglementeze activitățile registrului de garanții reale și (ii) proiectarea și implementarea unei noi infrastructuri digitale (inclusiv depozit de date și interfață pentru clienți) pentru registrul de garanții reale.</w:t>
            </w:r>
          </w:p>
          <w:p w14:paraId="6E170528" w14:textId="77777777" w:rsidR="00020FCF" w:rsidRPr="003A36E3" w:rsidRDefault="00020FCF" w:rsidP="00020FCF">
            <w:pPr>
              <w:spacing w:after="0" w:line="240" w:lineRule="auto"/>
              <w:jc w:val="both"/>
              <w:rPr>
                <w:rFonts w:ascii="Arial" w:hAnsi="Arial" w:cs="Arial"/>
                <w:sz w:val="18"/>
                <w:szCs w:val="18"/>
                <w:lang w:val="ro-MD"/>
              </w:rPr>
            </w:pPr>
          </w:p>
          <w:p w14:paraId="21724031" w14:textId="042DB7FC" w:rsidR="00763B45" w:rsidRPr="003A36E3" w:rsidRDefault="00020FCF" w:rsidP="00020FCF">
            <w:pPr>
              <w:spacing w:after="0" w:line="240" w:lineRule="auto"/>
              <w:jc w:val="both"/>
              <w:rPr>
                <w:rFonts w:ascii="Arial" w:hAnsi="Arial" w:cs="Arial"/>
                <w:sz w:val="18"/>
                <w:szCs w:val="18"/>
                <w:lang w:val="ro-MD"/>
              </w:rPr>
            </w:pPr>
            <w:r w:rsidRPr="003A36E3">
              <w:rPr>
                <w:rFonts w:ascii="Arial" w:hAnsi="Arial" w:cs="Arial"/>
                <w:sz w:val="18"/>
                <w:szCs w:val="18"/>
                <w:lang w:val="ro-MD"/>
              </w:rPr>
              <w:lastRenderedPageBreak/>
              <w:t>Sursa de verificare: Monitorul Oficial pentru modificările legislative; Hotărâre de Guvern, Registrul funcțional al garanțiilor reale.</w:t>
            </w:r>
          </w:p>
        </w:tc>
      </w:tr>
      <w:tr w:rsidR="00763B45" w:rsidRPr="003A36E3" w14:paraId="743A695B"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413DDF"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F4970"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114B8"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4B82D"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A6E51" w14:textId="085F54F4" w:rsidR="00763B45" w:rsidRPr="003A36E3" w:rsidRDefault="00020FCF"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6D658" w14:textId="4A18E62D" w:rsidR="00763B45" w:rsidRPr="003A36E3" w:rsidRDefault="00FE50DE" w:rsidP="002F7854">
            <w:pPr>
              <w:pStyle w:val="Heading3"/>
              <w:spacing w:before="281" w:after="281"/>
              <w:jc w:val="both"/>
              <w:rPr>
                <w:rStyle w:val="Hyperlink"/>
                <w:rFonts w:ascii="Arial" w:hAnsi="Arial" w:cs="Arial"/>
                <w:color w:val="auto"/>
                <w:sz w:val="18"/>
                <w:szCs w:val="18"/>
                <w:lang w:val="ro-MD"/>
              </w:rPr>
            </w:pPr>
            <w:hyperlink r:id="rId8" w:history="1">
              <w:r w:rsidR="00020FCF" w:rsidRPr="003A36E3">
                <w:rPr>
                  <w:rStyle w:val="Hyperlink"/>
                  <w:rFonts w:ascii="Arial" w:hAnsi="Arial" w:cs="Arial"/>
                  <w:color w:val="auto"/>
                  <w:sz w:val="18"/>
                  <w:szCs w:val="18"/>
                  <w:lang w:val="ro-MD"/>
                </w:rPr>
                <w:t>Agenția Geodezie, Cartografie și Cadastru</w:t>
              </w:r>
              <w:r w:rsidR="00763B45" w:rsidRPr="003A36E3">
                <w:rPr>
                  <w:rStyle w:val="Hyperlink"/>
                  <w:rFonts w:ascii="Arial" w:hAnsi="Arial" w:cs="Arial"/>
                  <w:color w:val="auto"/>
                  <w:sz w:val="18"/>
                  <w:szCs w:val="18"/>
                  <w:lang w:val="ro-MD"/>
                </w:rPr>
                <w:t xml:space="preserve"> </w:t>
              </w:r>
            </w:hyperlink>
          </w:p>
          <w:p w14:paraId="2DB9BB4C"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F8BFC" w14:textId="77777777" w:rsidR="00020FCF" w:rsidRPr="003A36E3" w:rsidRDefault="00020FCF" w:rsidP="00020FCF">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Cadastrul digital acoperă 100% din teritoriul național. Datele sunt actualizate periodic și disponibile online.</w:t>
            </w:r>
          </w:p>
          <w:p w14:paraId="5A4A247A" w14:textId="77777777" w:rsidR="00020FCF" w:rsidRPr="003A36E3" w:rsidRDefault="00020FCF" w:rsidP="00020FCF">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aproximativ 80 % este complet și digitalizat.</w:t>
            </w:r>
          </w:p>
          <w:p w14:paraId="1BBC88C9" w14:textId="696645AB" w:rsidR="00763B45" w:rsidRPr="003A36E3" w:rsidRDefault="00020FCF" w:rsidP="00020FCF">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Obiectiv: 100% / acoperire națională a cadastrului. Cadastrul este digital și actualizat periodic</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8FF92" w14:textId="77777777" w:rsidR="00D65E68" w:rsidRPr="003A36E3" w:rsidRDefault="00D65E68" w:rsidP="00D65E68">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Înregistrările existente sunt digitalizate într-o singură platformă, inclusiv dimensiunea spațială a limitelor imobilelor (toate unitățile cadastrale) cu numărul lor de înregistrare cadastrală, suprafața, destinația, notele registratorului cadastral și alte date tehnice.</w:t>
            </w:r>
          </w:p>
          <w:p w14:paraId="69A14E5E" w14:textId="77777777" w:rsidR="00D65E68" w:rsidRPr="003A36E3" w:rsidRDefault="00D65E68" w:rsidP="00D65E68">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Accesul la informații (registru digital) a fost reglementat. Mecanismul de actualizare a informațiilor a fost definit.</w:t>
            </w:r>
          </w:p>
          <w:p w14:paraId="0D5161AB" w14:textId="6C484D2E" w:rsidR="00763B45" w:rsidRPr="003A36E3" w:rsidRDefault="00D65E68" w:rsidP="00D65E68">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Cadastrul național, portalul cadastral</w:t>
            </w:r>
          </w:p>
        </w:tc>
      </w:tr>
      <w:tr w:rsidR="00763B45" w:rsidRPr="003A36E3" w14:paraId="3171814F"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8ABB6"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05570"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A67F4"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62D34E"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1451B" w14:textId="63B12B8A" w:rsidR="00763B45" w:rsidRPr="003A36E3" w:rsidRDefault="00020FCF"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2026</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4FA9F" w14:textId="1D2DFB3B" w:rsidR="00763B45" w:rsidRPr="003A36E3" w:rsidRDefault="00D65E68"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Dezvoltării Economice și Digitalizării, ODA</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F6920" w14:textId="7C55B357" w:rsidR="00763B45" w:rsidRPr="003A36E3" w:rsidRDefault="006F516D" w:rsidP="002F7854">
            <w:pPr>
              <w:spacing w:after="0" w:line="257" w:lineRule="auto"/>
              <w:jc w:val="both"/>
              <w:rPr>
                <w:rFonts w:ascii="Arial" w:hAnsi="Arial" w:cs="Arial"/>
                <w:sz w:val="18"/>
                <w:szCs w:val="18"/>
                <w:lang w:val="ro-MD"/>
              </w:rPr>
            </w:pPr>
            <w:r w:rsidRPr="003A36E3">
              <w:rPr>
                <w:rFonts w:ascii="Arial" w:hAnsi="Arial" w:cs="Arial"/>
                <w:sz w:val="18"/>
                <w:szCs w:val="18"/>
                <w:lang w:val="ro-MD"/>
              </w:rPr>
              <w:t>Accesul IMM-urilor la finanțare facilitat de ODA prin: (i) îmbunătățirea procedurilor interne ale FGC, (ii) introducerea a două noi instrumente în cadrul Fondului de Garantare a Creditelor ODA pentru consolidarea capacităților de împrumut ale IMM-urilor, inclusiv vizând în special IMM-urile orientate spre export și (iii) 2 noi programe în cadrul Fondului pentru Antreprenoriat și Creștere Economică a Moldovei (FACEM), pentru a permite furnizarea unei game mai largi de instrumente de acces la finanțare, și (iv) furnizarea de servicii de consultanță în afaceri pentru IMM-uri.</w:t>
            </w:r>
            <w:r w:rsidR="00763B45" w:rsidRPr="003A36E3">
              <w:rPr>
                <w:rFonts w:ascii="Arial" w:hAnsi="Arial" w:cs="Arial"/>
                <w:sz w:val="18"/>
                <w:szCs w:val="18"/>
                <w:lang w:val="ro-MD"/>
              </w:rPr>
              <w:t xml:space="preserve"> </w:t>
            </w:r>
          </w:p>
          <w:p w14:paraId="1290AF6B" w14:textId="77777777" w:rsidR="00763B45" w:rsidRPr="003A36E3" w:rsidRDefault="00763B45" w:rsidP="002F7854">
            <w:pPr>
              <w:spacing w:after="0" w:line="257" w:lineRule="auto"/>
              <w:jc w:val="both"/>
              <w:rPr>
                <w:rFonts w:ascii="Arial" w:hAnsi="Arial" w:cs="Arial"/>
                <w:sz w:val="18"/>
                <w:szCs w:val="18"/>
                <w:lang w:val="ro-MD"/>
              </w:rPr>
            </w:pPr>
            <w:r w:rsidRPr="003A36E3">
              <w:rPr>
                <w:rFonts w:ascii="Arial" w:hAnsi="Arial" w:cs="Arial"/>
                <w:sz w:val="18"/>
                <w:szCs w:val="18"/>
                <w:lang w:val="ro-MD"/>
              </w:rPr>
              <w:t xml:space="preserve"> </w:t>
            </w:r>
          </w:p>
          <w:p w14:paraId="53A65797" w14:textId="00C28A0E" w:rsidR="00763B45" w:rsidRPr="003A36E3" w:rsidRDefault="006F516D"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Linia de referință: În 2024, FGC funcționează cu o gamă limitată de produse financiare, iar politicile interne trebuie să se alinieze la cele mai bune practici. FACEM, deși oferă sprijin financiar, are un domeniu de aplicare restrâns care nu răspunde pe deplin nevoilor financiare în continuă evoluție ale IMM-urilor. Nu sunt furnizate servicii de consultanță în afaceri.</w:t>
            </w:r>
          </w:p>
          <w:p w14:paraId="2F7B0CC8" w14:textId="77777777" w:rsidR="00763B45" w:rsidRPr="003A36E3" w:rsidRDefault="00763B45" w:rsidP="002F7854">
            <w:pPr>
              <w:spacing w:after="0" w:line="240" w:lineRule="auto"/>
              <w:jc w:val="both"/>
              <w:rPr>
                <w:rFonts w:ascii="Arial" w:eastAsiaTheme="minorEastAsia" w:hAnsi="Arial" w:cs="Arial"/>
                <w:sz w:val="18"/>
                <w:szCs w:val="18"/>
                <w:lang w:val="ro-MD"/>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0719C" w14:textId="77777777" w:rsidR="00381027" w:rsidRPr="003A36E3" w:rsidRDefault="00381027" w:rsidP="00381027">
            <w:pPr>
              <w:spacing w:after="0" w:line="257" w:lineRule="auto"/>
              <w:jc w:val="both"/>
              <w:rPr>
                <w:rFonts w:ascii="Arial" w:hAnsi="Arial" w:cs="Arial"/>
                <w:sz w:val="18"/>
                <w:szCs w:val="18"/>
                <w:lang w:val="ro-MD"/>
              </w:rPr>
            </w:pPr>
            <w:r w:rsidRPr="003A36E3">
              <w:rPr>
                <w:rFonts w:ascii="Arial" w:hAnsi="Arial" w:cs="Arial"/>
                <w:sz w:val="18"/>
                <w:szCs w:val="18"/>
                <w:lang w:val="ro-MD"/>
              </w:rPr>
              <w:t xml:space="preserve">(i) Procedurile interne ale Fondului de Garantare a Creditelor sunt îmbunătățite prin adoptarea unui nou manual privind riscurile, a unui nou manual de control intern, a unor documente privind politica de investiții și politica privind produsele; (ii) Operaționalizarea a 2 noi produse de garantare în cadrul Fondului de Garantare a Creditelor, inclusiv concentrarea asupra IMM-urilor orientate spre export, în conformitate cu Programul de promovare a exporturilor (garanții pentru creditele la export și garanții pentru creditele agricole); (iii) Operaționalizarea a 2 noi produse financiare ale Fondului pentru Antreprenoriat și Creștere Economică a Moldovei (FACEM) - (împrumuturi preferențiale pentru investiții și un mecanism de </w:t>
            </w:r>
            <w:r w:rsidRPr="003A36E3">
              <w:rPr>
                <w:rFonts w:ascii="Arial" w:hAnsi="Arial" w:cs="Arial"/>
                <w:sz w:val="18"/>
                <w:szCs w:val="18"/>
                <w:lang w:val="ro-MD"/>
              </w:rPr>
              <w:lastRenderedPageBreak/>
              <w:t xml:space="preserve">împrumut pentru portofoliul de credite) și extinderea programului 373 de compensare a ratei dobânzii pentru împrumuturile pentru IMM-uri. (iv) Furnizarea de servicii de consultanță în afaceri pentru IMM-uri. </w:t>
            </w:r>
          </w:p>
          <w:p w14:paraId="54633082" w14:textId="77777777" w:rsidR="00381027" w:rsidRPr="003A36E3" w:rsidRDefault="00381027" w:rsidP="00381027">
            <w:pPr>
              <w:spacing w:after="0" w:line="257" w:lineRule="auto"/>
              <w:jc w:val="both"/>
              <w:rPr>
                <w:rFonts w:ascii="Arial" w:hAnsi="Arial" w:cs="Arial"/>
                <w:sz w:val="18"/>
                <w:szCs w:val="18"/>
                <w:lang w:val="ro-MD"/>
              </w:rPr>
            </w:pPr>
          </w:p>
          <w:p w14:paraId="1DC46FF3" w14:textId="36E42928" w:rsidR="00763B45" w:rsidRPr="003A36E3" w:rsidRDefault="00381027" w:rsidP="00381027">
            <w:pPr>
              <w:spacing w:after="0" w:line="257" w:lineRule="auto"/>
              <w:jc w:val="both"/>
              <w:rPr>
                <w:rFonts w:ascii="Arial" w:hAnsi="Arial" w:cs="Arial"/>
                <w:sz w:val="18"/>
                <w:szCs w:val="18"/>
                <w:lang w:val="ro-MD"/>
              </w:rPr>
            </w:pPr>
            <w:r w:rsidRPr="003A36E3">
              <w:rPr>
                <w:rFonts w:ascii="Arial" w:hAnsi="Arial" w:cs="Arial"/>
                <w:sz w:val="18"/>
                <w:szCs w:val="18"/>
                <w:lang w:val="ro-MD"/>
              </w:rPr>
              <w:t xml:space="preserve">Sursa de verificare: </w:t>
            </w:r>
            <w:r w:rsidR="00CE1E75">
              <w:rPr>
                <w:rFonts w:ascii="Arial" w:hAnsi="Arial" w:cs="Arial"/>
                <w:sz w:val="18"/>
                <w:szCs w:val="18"/>
                <w:lang w:val="ro-MD"/>
              </w:rPr>
              <w:t xml:space="preserve">Hotărârea de Guvern </w:t>
            </w:r>
            <w:r w:rsidRPr="003A36E3">
              <w:rPr>
                <w:rFonts w:ascii="Arial" w:hAnsi="Arial" w:cs="Arial"/>
                <w:sz w:val="18"/>
                <w:szCs w:val="18"/>
                <w:lang w:val="ro-MD"/>
              </w:rPr>
              <w:t>privind instrumentele financiare (FACEM și FGC), rapoartele anuale ale ODA</w:t>
            </w:r>
          </w:p>
        </w:tc>
      </w:tr>
      <w:tr w:rsidR="00763B45" w:rsidRPr="003A36E3" w14:paraId="18A4D037"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7A872B"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063CB"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16786"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D2E10"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9</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CE000" w14:textId="3315A82B" w:rsidR="00763B45" w:rsidRPr="003A36E3" w:rsidRDefault="00020FCF"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A1EB8" w14:textId="40553CFF" w:rsidR="00763B45" w:rsidRPr="003A36E3" w:rsidRDefault="00381027"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Agriculturii, AIPA</w:t>
            </w:r>
          </w:p>
        </w:tc>
        <w:tc>
          <w:tcPr>
            <w:tcW w:w="4647" w:type="dxa"/>
            <w:tcBorders>
              <w:top w:val="single" w:sz="6" w:space="0" w:color="000000"/>
              <w:left w:val="single" w:sz="6" w:space="0" w:color="000000"/>
              <w:bottom w:val="single" w:sz="6" w:space="0" w:color="000000"/>
              <w:right w:val="single" w:sz="6" w:space="0" w:color="000000"/>
            </w:tcBorders>
            <w:shd w:val="clear" w:color="auto" w:fill="auto"/>
          </w:tcPr>
          <w:p w14:paraId="1515A40A" w14:textId="77777777" w:rsidR="00381027" w:rsidRPr="003A36E3" w:rsidRDefault="00381027" w:rsidP="00381027">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 xml:space="preserve">Accesul la finanțare prin subvenții pentru investiții pentru fermieri și operatori agroalimentari este îmbunătățit în cadrul Fondului național de dezvoltare a agriculturii și mediului rural, în conformitate cu noul program de subvenții care urmează să fie lansat și care stabilește condiții mai stricte pentru granturi. Numărul de beneficiari crește la cel puțin 300, inclusiv tineri fermieri (sub 40 de ani), mici fermieri (sub 10 ha) pentru start-upuri pentru anii 2026 și 2027. </w:t>
            </w:r>
          </w:p>
          <w:p w14:paraId="7A42CC6D" w14:textId="77777777" w:rsidR="00381027" w:rsidRPr="003A36E3" w:rsidRDefault="00381027" w:rsidP="00381027">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 xml:space="preserve"> </w:t>
            </w:r>
          </w:p>
          <w:p w14:paraId="20ABEB66" w14:textId="6FA965A9" w:rsidR="00763B45" w:rsidRPr="003A36E3" w:rsidRDefault="00381027" w:rsidP="00381027">
            <w:pPr>
              <w:spacing w:after="0" w:line="257" w:lineRule="auto"/>
              <w:jc w:val="both"/>
              <w:rPr>
                <w:rFonts w:ascii="Arial" w:eastAsiaTheme="minorEastAsia" w:hAnsi="Arial" w:cs="Arial"/>
                <w:sz w:val="18"/>
                <w:szCs w:val="18"/>
                <w:lang w:val="ro-MD"/>
              </w:rPr>
            </w:pPr>
            <w:r w:rsidRPr="003A36E3">
              <w:rPr>
                <w:rStyle w:val="normaltextrun"/>
                <w:rFonts w:ascii="Arial" w:hAnsi="Arial" w:cs="Arial"/>
                <w:sz w:val="18"/>
                <w:szCs w:val="18"/>
                <w:lang w:val="ro-MD"/>
              </w:rPr>
              <w:t>Linia de referință: În 2024, AIPA avea 126 de beneficiari din aceste trei grupuri țintă.</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E727CA5" w14:textId="40BF09ED" w:rsidR="00763B45" w:rsidRPr="003A36E3" w:rsidRDefault="00602103" w:rsidP="002F7854">
            <w:pPr>
              <w:pStyle w:val="paragraph"/>
              <w:spacing w:before="0" w:beforeAutospacing="0" w:after="0" w:afterAutospacing="0"/>
              <w:jc w:val="both"/>
              <w:textAlignment w:val="baseline"/>
              <w:rPr>
                <w:rFonts w:ascii="Arial" w:hAnsi="Arial" w:cs="Arial"/>
                <w:sz w:val="18"/>
                <w:szCs w:val="18"/>
                <w:lang w:val="ro-MD"/>
              </w:rPr>
            </w:pPr>
            <w:r w:rsidRPr="003A36E3">
              <w:rPr>
                <w:rStyle w:val="normaltextrun"/>
                <w:rFonts w:ascii="Arial" w:hAnsi="Arial" w:cs="Arial"/>
                <w:sz w:val="18"/>
                <w:szCs w:val="18"/>
                <w:lang w:val="ro-MD"/>
              </w:rPr>
              <w:t>Pentru a sprijini IMM-urile agricole, în cadrul Fondului național de dezvoltare a agriculturii și mediului rural, executat de AIPA, se îmbunătățește accesul la finanțare (contracte semnate cu AIPA).</w:t>
            </w:r>
            <w:r w:rsidR="00763B45" w:rsidRPr="003A36E3">
              <w:rPr>
                <w:rStyle w:val="eop"/>
                <w:rFonts w:ascii="Arial" w:hAnsi="Arial" w:cs="Arial"/>
                <w:sz w:val="18"/>
                <w:szCs w:val="18"/>
                <w:lang w:val="ro-MD"/>
              </w:rPr>
              <w:t> </w:t>
            </w:r>
          </w:p>
          <w:p w14:paraId="0924C8EB" w14:textId="77777777" w:rsidR="00763B45" w:rsidRPr="003A36E3" w:rsidRDefault="00763B45" w:rsidP="002F7854">
            <w:pPr>
              <w:pStyle w:val="paragraph"/>
              <w:spacing w:before="0" w:beforeAutospacing="0" w:after="0" w:afterAutospacing="0"/>
              <w:jc w:val="both"/>
              <w:textAlignment w:val="baseline"/>
              <w:rPr>
                <w:rFonts w:ascii="Arial" w:hAnsi="Arial" w:cs="Arial"/>
                <w:sz w:val="18"/>
                <w:szCs w:val="18"/>
                <w:lang w:val="ro-MD"/>
              </w:rPr>
            </w:pPr>
            <w:r w:rsidRPr="003A36E3">
              <w:rPr>
                <w:rStyle w:val="eop"/>
                <w:rFonts w:ascii="Arial" w:hAnsi="Arial" w:cs="Arial"/>
                <w:sz w:val="18"/>
                <w:szCs w:val="18"/>
                <w:lang w:val="ro-MD"/>
              </w:rPr>
              <w:t> </w:t>
            </w:r>
          </w:p>
          <w:p w14:paraId="633CA654" w14:textId="3896A189" w:rsidR="00763B45" w:rsidRPr="003A36E3" w:rsidRDefault="00602103" w:rsidP="002F7854">
            <w:pPr>
              <w:pStyle w:val="paragraph"/>
              <w:spacing w:before="0" w:beforeAutospacing="0" w:after="0" w:afterAutospacing="0"/>
              <w:jc w:val="both"/>
              <w:textAlignment w:val="baseline"/>
              <w:rPr>
                <w:rFonts w:ascii="Arial" w:hAnsi="Arial" w:cs="Arial"/>
                <w:sz w:val="18"/>
                <w:szCs w:val="18"/>
                <w:lang w:val="ro-MD"/>
              </w:rPr>
            </w:pPr>
            <w:r w:rsidRPr="003A36E3">
              <w:rPr>
                <w:rStyle w:val="normaltextrun"/>
                <w:rFonts w:ascii="Arial" w:hAnsi="Arial" w:cs="Arial"/>
                <w:sz w:val="18"/>
                <w:szCs w:val="18"/>
                <w:lang w:val="ro-MD"/>
              </w:rPr>
              <w:t xml:space="preserve">Start-upurile sunt acele firme care au accesat subvenții pentru prima dată; Tinerii - fermierii cu vârsta sub 40 de ani, Micii fermieri - cei care au declarat suprafețe de până la 10 hectare.  </w:t>
            </w:r>
            <w:r w:rsidR="00763B45" w:rsidRPr="003A36E3">
              <w:rPr>
                <w:rStyle w:val="normaltextrun"/>
                <w:rFonts w:ascii="Arial" w:hAnsi="Arial" w:cs="Arial"/>
                <w:sz w:val="18"/>
                <w:szCs w:val="18"/>
                <w:lang w:val="ro-MD"/>
              </w:rPr>
              <w:t>  </w:t>
            </w:r>
            <w:r w:rsidR="00763B45" w:rsidRPr="003A36E3">
              <w:rPr>
                <w:rStyle w:val="eop"/>
                <w:rFonts w:ascii="Arial" w:hAnsi="Arial" w:cs="Arial"/>
                <w:sz w:val="18"/>
                <w:szCs w:val="18"/>
                <w:lang w:val="ro-MD"/>
              </w:rPr>
              <w:t> </w:t>
            </w:r>
          </w:p>
          <w:p w14:paraId="453899D3" w14:textId="54F71BE2" w:rsidR="00763B45" w:rsidRPr="003A36E3" w:rsidRDefault="00763B45" w:rsidP="002F7854">
            <w:pPr>
              <w:pStyle w:val="paragraph"/>
              <w:spacing w:before="0" w:beforeAutospacing="0" w:after="0" w:afterAutospacing="0"/>
              <w:jc w:val="both"/>
              <w:textAlignment w:val="baseline"/>
              <w:rPr>
                <w:rFonts w:ascii="Arial" w:hAnsi="Arial" w:cs="Arial"/>
                <w:sz w:val="18"/>
                <w:szCs w:val="18"/>
                <w:lang w:val="ro-MD"/>
              </w:rPr>
            </w:pPr>
            <w:r w:rsidRPr="003A36E3">
              <w:rPr>
                <w:rStyle w:val="eop"/>
                <w:rFonts w:ascii="Arial" w:hAnsi="Arial" w:cs="Arial"/>
                <w:sz w:val="18"/>
                <w:szCs w:val="18"/>
                <w:lang w:val="ro-MD"/>
              </w:rPr>
              <w:t> </w:t>
            </w:r>
          </w:p>
          <w:p w14:paraId="2772168F" w14:textId="3293538C" w:rsidR="00763B45" w:rsidRPr="003A36E3" w:rsidRDefault="00602103" w:rsidP="002F7854">
            <w:pPr>
              <w:spacing w:line="257" w:lineRule="auto"/>
              <w:jc w:val="both"/>
              <w:rPr>
                <w:rFonts w:ascii="Arial" w:eastAsiaTheme="minorEastAsia" w:hAnsi="Arial" w:cs="Arial"/>
                <w:sz w:val="18"/>
                <w:szCs w:val="18"/>
                <w:lang w:val="ro-MD"/>
              </w:rPr>
            </w:pPr>
            <w:r w:rsidRPr="003A36E3">
              <w:rPr>
                <w:rStyle w:val="normaltextrun"/>
                <w:rFonts w:ascii="Arial" w:hAnsi="Arial" w:cs="Arial"/>
                <w:sz w:val="18"/>
                <w:szCs w:val="18"/>
                <w:lang w:val="ro-MD"/>
              </w:rPr>
              <w:t xml:space="preserve">Sursă de verificare: </w:t>
            </w:r>
            <w:r w:rsidR="00CE1E75">
              <w:rPr>
                <w:rStyle w:val="normaltextrun"/>
                <w:rFonts w:ascii="Arial" w:hAnsi="Arial" w:cs="Arial"/>
                <w:sz w:val="18"/>
                <w:szCs w:val="18"/>
                <w:lang w:val="ro-MD"/>
              </w:rPr>
              <w:t>Pagina</w:t>
            </w:r>
            <w:r w:rsidRPr="003A36E3">
              <w:rPr>
                <w:rStyle w:val="normaltextrun"/>
                <w:rFonts w:ascii="Arial" w:hAnsi="Arial" w:cs="Arial"/>
                <w:sz w:val="18"/>
                <w:szCs w:val="18"/>
                <w:lang w:val="ro-MD"/>
              </w:rPr>
              <w:t xml:space="preserve"> web a AIPA/rapoartele anuale ale AIPA.  </w:t>
            </w:r>
          </w:p>
        </w:tc>
      </w:tr>
      <w:tr w:rsidR="00763B45" w:rsidRPr="00F026FE" w14:paraId="25514850"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18C3D" w14:textId="5FD0C60C" w:rsidR="00763B45" w:rsidRPr="003A36E3" w:rsidRDefault="00BB54A7"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Competitivitatea sectorului de afaceri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DDE670"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E2E34" w14:textId="746232BB" w:rsidR="00763B45" w:rsidRPr="003A36E3" w:rsidRDefault="00602103"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Capacitatea producătorilor agricoli de a avea acces la piețe și la finanțare este consolidată prin introducerea de servicii de consiliere specifice, în conformitate cu </w:t>
            </w:r>
            <w:r w:rsidRPr="003A36E3">
              <w:rPr>
                <w:rFonts w:ascii="Arial" w:eastAsiaTheme="minorEastAsia" w:hAnsi="Arial" w:cs="Arial"/>
                <w:sz w:val="18"/>
                <w:szCs w:val="18"/>
                <w:lang w:val="ro-MD"/>
              </w:rPr>
              <w:lastRenderedPageBreak/>
              <w:t>standardele UE,</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F60B9"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10</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E7F55" w14:textId="3A964D48" w:rsidR="00763B45" w:rsidRPr="003A36E3" w:rsidRDefault="00602103"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2026</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7CFD3" w14:textId="11735594" w:rsidR="00763B45" w:rsidRPr="003A36E3" w:rsidRDefault="00602103"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Agriculturii și Industriei Alimentare</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E1A0E" w14:textId="77777777" w:rsidR="00602103" w:rsidRPr="003A36E3" w:rsidRDefault="00602103" w:rsidP="0060210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Serviciul de consultanță tehnică pentru agricultură (inițiere AKIS) este instituționalizat în regiuni, oferind un sprijin mai specific IMM-urilor agricole. Cel puțin 5 camere agricole înregistrate de către Agenția Servicii Publice furnizează servicii pentru cel puțin 200 de membri (IMM-uri agroalimentare, inclusiv fermieri) pe an.</w:t>
            </w:r>
          </w:p>
          <w:p w14:paraId="425A76E8" w14:textId="77777777" w:rsidR="00602103" w:rsidRPr="003A36E3" w:rsidRDefault="00602103" w:rsidP="00602103">
            <w:pPr>
              <w:spacing w:after="0" w:line="240" w:lineRule="auto"/>
              <w:jc w:val="both"/>
              <w:rPr>
                <w:rFonts w:ascii="Arial" w:eastAsiaTheme="minorEastAsia" w:hAnsi="Arial" w:cs="Arial"/>
                <w:sz w:val="18"/>
                <w:szCs w:val="18"/>
                <w:lang w:val="ro-MD"/>
              </w:rPr>
            </w:pPr>
          </w:p>
          <w:p w14:paraId="70340802" w14:textId="23908ACF" w:rsidR="00763B45" w:rsidRPr="003A36E3" w:rsidRDefault="00602103" w:rsidP="0060210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2024, a fost creat Centrul pentru servicii de consultanță tehnică. Acesta implementează activități pilot, dar nu există structuri locale pentru sprijin continuu.</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423C6" w14:textId="4D2288F2" w:rsidR="00763B45" w:rsidRPr="003A36E3" w:rsidRDefault="00890B4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Legea privind camerele agricole este în curs de consultare, legislația secundară este în curs de elaborare (definirea mecanismului de finanțare etc.).</w:t>
            </w:r>
          </w:p>
          <w:p w14:paraId="607D1DE6" w14:textId="77777777" w:rsidR="00763B45" w:rsidRPr="003A36E3" w:rsidRDefault="00763B45" w:rsidP="002F7854">
            <w:pPr>
              <w:spacing w:after="0" w:line="240" w:lineRule="auto"/>
              <w:jc w:val="both"/>
              <w:rPr>
                <w:rFonts w:ascii="Arial" w:eastAsiaTheme="minorEastAsia" w:hAnsi="Arial" w:cs="Arial"/>
                <w:sz w:val="18"/>
                <w:szCs w:val="18"/>
                <w:lang w:val="ro-MD"/>
              </w:rPr>
            </w:pPr>
          </w:p>
          <w:p w14:paraId="3AF0D885" w14:textId="77777777" w:rsidR="00763B45" w:rsidRPr="003A36E3" w:rsidRDefault="00763B45" w:rsidP="002F7854">
            <w:pPr>
              <w:spacing w:after="0" w:line="240" w:lineRule="auto"/>
              <w:jc w:val="both"/>
              <w:rPr>
                <w:rFonts w:ascii="Arial" w:eastAsiaTheme="minorEastAsia" w:hAnsi="Arial" w:cs="Arial"/>
                <w:sz w:val="18"/>
                <w:szCs w:val="18"/>
                <w:lang w:val="ro-MD"/>
              </w:rPr>
            </w:pPr>
          </w:p>
          <w:p w14:paraId="44AF4999" w14:textId="412F16FE" w:rsidR="00763B45" w:rsidRPr="003A36E3" w:rsidRDefault="00890B4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Registrul Agenției Servicii Publice; Rapoartele de activitate ale camerelor și acordurile de servicii (contracte, plata pentru servicii, listele participanților la formare etc.)</w:t>
            </w:r>
          </w:p>
        </w:tc>
      </w:tr>
      <w:tr w:rsidR="00763B45" w:rsidRPr="00F026FE" w14:paraId="24436333"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C64AB" w14:textId="6162F91A" w:rsidR="00763B45" w:rsidRPr="003A36E3" w:rsidRDefault="00BB54A7" w:rsidP="002F7854">
            <w:pPr>
              <w:pStyle w:val="paragraph"/>
              <w:spacing w:before="0" w:beforeAutospacing="0" w:after="0" w:afterAutospacing="0"/>
              <w:jc w:val="both"/>
              <w:textAlignment w:val="baseline"/>
              <w:rPr>
                <w:rFonts w:ascii="Arial" w:eastAsiaTheme="minorEastAsia" w:hAnsi="Arial" w:cs="Arial"/>
                <w:sz w:val="18"/>
                <w:szCs w:val="18"/>
                <w:lang w:val="ro-MD"/>
              </w:rPr>
            </w:pPr>
            <w:r w:rsidRPr="003A36E3">
              <w:rPr>
                <w:rFonts w:ascii="Arial" w:eastAsiaTheme="minorEastAsia" w:hAnsi="Arial" w:cs="Arial"/>
                <w:kern w:val="2"/>
                <w:sz w:val="18"/>
                <w:szCs w:val="18"/>
                <w:lang w:val="ro-MD" w:eastAsia="en-US"/>
              </w:rPr>
              <w:lastRenderedPageBreak/>
              <w:t>Competitivitatea sectorului de afaceri</w:t>
            </w:r>
            <w:r w:rsidR="00763B45" w:rsidRPr="003A36E3">
              <w:rPr>
                <w:rStyle w:val="eop"/>
                <w:rFonts w:ascii="Arial" w:eastAsiaTheme="minorEastAsia" w:hAnsi="Arial" w:cs="Arial"/>
                <w:sz w:val="18"/>
                <w:szCs w:val="18"/>
                <w:lang w:val="ro-MD"/>
              </w:rPr>
              <w:t> </w:t>
            </w:r>
          </w:p>
          <w:p w14:paraId="130EAB0C" w14:textId="77777777" w:rsidR="00763B45" w:rsidRPr="003A36E3" w:rsidRDefault="00763B45" w:rsidP="002F7854">
            <w:pPr>
              <w:spacing w:after="0" w:line="240" w:lineRule="auto"/>
              <w:jc w:val="both"/>
              <w:rPr>
                <w:rFonts w:ascii="Arial" w:eastAsiaTheme="minorEastAsia" w:hAnsi="Arial" w:cs="Arial"/>
                <w:sz w:val="18"/>
                <w:szCs w:val="18"/>
                <w:lang w:val="ro-MD"/>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4A44E"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01FF8" w14:textId="0D7DE559" w:rsidR="00763B45" w:rsidRPr="003A36E3" w:rsidRDefault="00890B4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Dezvoltare industrială</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3772EB"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064BB" w14:textId="157AB3FD" w:rsidR="00763B45" w:rsidRPr="003A36E3" w:rsidRDefault="00890B4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w:t>
            </w:r>
            <w:r w:rsidR="00763B45" w:rsidRPr="003A36E3">
              <w:rPr>
                <w:rFonts w:ascii="Arial" w:eastAsiaTheme="minorEastAsia" w:hAnsi="Arial" w:cs="Arial"/>
                <w:sz w:val="18"/>
                <w:szCs w:val="18"/>
                <w:lang w:val="ro-MD"/>
              </w:rPr>
              <w:t>ecemb</w:t>
            </w:r>
            <w:r w:rsidRPr="003A36E3">
              <w:rPr>
                <w:rFonts w:ascii="Arial" w:eastAsiaTheme="minorEastAsia" w:hAnsi="Arial" w:cs="Arial"/>
                <w:sz w:val="18"/>
                <w:szCs w:val="18"/>
                <w:lang w:val="ro-MD"/>
              </w:rPr>
              <w:t>rie</w:t>
            </w:r>
            <w:r w:rsidR="00763B45" w:rsidRPr="003A36E3">
              <w:rPr>
                <w:rFonts w:ascii="Arial" w:eastAsiaTheme="minorEastAsia" w:hAnsi="Arial" w:cs="Arial"/>
                <w:sz w:val="18"/>
                <w:szCs w:val="18"/>
                <w:lang w:val="ro-MD"/>
              </w:rPr>
              <w:t xml:space="preserve">  2025</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53F17" w14:textId="68EAE1F7" w:rsidR="00763B45" w:rsidRPr="003A36E3" w:rsidRDefault="00890B4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Dezvoltării Economice și Digitalizării</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FFA88" w14:textId="77777777" w:rsidR="00602103" w:rsidRPr="003A36E3" w:rsidRDefault="00602103" w:rsidP="0060210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Cel puțin 10 întreprinderi beneficiază (contracte semnate) de noua schemă de ajutor de stat aliniată la standardele UE.</w:t>
            </w:r>
          </w:p>
          <w:p w14:paraId="0F5B1318" w14:textId="77777777" w:rsidR="00602103" w:rsidRPr="003A36E3" w:rsidRDefault="00602103" w:rsidP="00602103">
            <w:pPr>
              <w:spacing w:after="0" w:line="240" w:lineRule="auto"/>
              <w:jc w:val="both"/>
              <w:rPr>
                <w:rFonts w:ascii="Arial" w:eastAsiaTheme="minorEastAsia" w:hAnsi="Arial" w:cs="Arial"/>
                <w:sz w:val="18"/>
                <w:szCs w:val="18"/>
                <w:lang w:val="ro-MD"/>
              </w:rPr>
            </w:pPr>
          </w:p>
          <w:p w14:paraId="29674611" w14:textId="33F83179" w:rsidR="00763B45" w:rsidRPr="003A36E3" w:rsidRDefault="00602103" w:rsidP="0060210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Această schemă de ajutor de stat a intrat în vigoare la 1 ianuarie 2025.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7C22E" w14:textId="5C3195A9" w:rsidR="00763B45" w:rsidRPr="003A36E3" w:rsidRDefault="00890B4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Noua schemă de atragere a investițiilor este pe deplin conformă cu normele UE și este în concordanță cu Programul național de dezvoltare industrială pentru anii 2024-2028. Programul va atrage investiții de cel puțin 0,5 milioane EUR fiecare. În cadrul programului, investițiile vor fi contractate în termen de 3 ani de la implementare.</w:t>
            </w:r>
          </w:p>
          <w:p w14:paraId="30E15968" w14:textId="77777777" w:rsidR="00763B45" w:rsidRPr="003A36E3" w:rsidRDefault="00763B45" w:rsidP="002F7854">
            <w:pPr>
              <w:spacing w:after="0" w:line="240" w:lineRule="auto"/>
              <w:jc w:val="both"/>
              <w:rPr>
                <w:rFonts w:ascii="Arial" w:eastAsiaTheme="minorEastAsia" w:hAnsi="Arial" w:cs="Arial"/>
                <w:sz w:val="18"/>
                <w:szCs w:val="18"/>
                <w:lang w:val="ro-MD"/>
              </w:rPr>
            </w:pPr>
          </w:p>
          <w:p w14:paraId="502FC239" w14:textId="20F82590" w:rsidR="00763B45" w:rsidRPr="003A36E3" w:rsidRDefault="00890B4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Rapoarte ale Ministerului Dezvoltării Economice și Digitalizării care conțin numele întreprinderilor care beneficiază de schema de ajutor de stat.</w:t>
            </w:r>
          </w:p>
        </w:tc>
      </w:tr>
      <w:tr w:rsidR="00763B45" w:rsidRPr="003A36E3" w14:paraId="3AAE9C43"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5DAE4" w14:textId="1E0CAB67" w:rsidR="00763B45" w:rsidRPr="003A36E3" w:rsidRDefault="00BB54A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Competitivitatea sectorului de afaceri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B2F1A"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ABCDC" w14:textId="3ECEF3D3" w:rsidR="00763B45" w:rsidRPr="003A36E3" w:rsidRDefault="00890B4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Dezvoltare industrială</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BF12E"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B04077" w14:textId="744275A2" w:rsidR="00763B45" w:rsidRPr="003A36E3" w:rsidRDefault="00890B4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5C509" w14:textId="53726BB4" w:rsidR="00763B45" w:rsidRPr="003A36E3" w:rsidRDefault="00890B40"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Dezvoltării Economice și Digitalizării</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A592B" w14:textId="77777777" w:rsidR="00890B40" w:rsidRPr="003A36E3" w:rsidRDefault="00890B40" w:rsidP="00890B40">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34 de întreprinderi noi sunt atrase ca rezidenți în patru platforme industriale multifuncționale stabilite în întreaga țară.</w:t>
            </w:r>
          </w:p>
          <w:p w14:paraId="26CB74DB" w14:textId="77777777" w:rsidR="00890B40" w:rsidRPr="003A36E3" w:rsidRDefault="00890B40" w:rsidP="00890B40">
            <w:pPr>
              <w:spacing w:after="0" w:line="240" w:lineRule="auto"/>
              <w:jc w:val="both"/>
              <w:rPr>
                <w:rFonts w:ascii="Arial" w:eastAsiaTheme="minorEastAsia" w:hAnsi="Arial" w:cs="Arial"/>
                <w:sz w:val="18"/>
                <w:szCs w:val="18"/>
                <w:lang w:val="ro-MD"/>
              </w:rPr>
            </w:pPr>
          </w:p>
          <w:p w14:paraId="4ECB3533" w14:textId="664EABCE" w:rsidR="00763B45" w:rsidRPr="003A36E3" w:rsidRDefault="00890B40" w:rsidP="00890B40">
            <w:pPr>
              <w:spacing w:after="0" w:line="240" w:lineRule="auto"/>
              <w:jc w:val="both"/>
              <w:rPr>
                <w:rFonts w:ascii="Arial" w:hAnsi="Arial" w:cs="Arial"/>
                <w:strike/>
                <w:sz w:val="18"/>
                <w:szCs w:val="18"/>
                <w:lang w:val="ro-MD"/>
              </w:rPr>
            </w:pPr>
            <w:r w:rsidRPr="003A36E3">
              <w:rPr>
                <w:rFonts w:ascii="Arial" w:eastAsiaTheme="minorEastAsia" w:hAnsi="Arial" w:cs="Arial"/>
                <w:sz w:val="18"/>
                <w:szCs w:val="18"/>
                <w:lang w:val="ro-MD"/>
              </w:rPr>
              <w:t>Linia de referință: Până în decembrie 2024, au fost lansate 0 PIM.</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05A54" w14:textId="77777777" w:rsidR="00330D87" w:rsidRPr="003A36E3" w:rsidRDefault="00330D87" w:rsidP="00330D87">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4 platforme industriale multifuncționale (PIM) sunt operaționale în conformitate cu evaluarea Programului național de dezvoltare industrială. Platforma industrială multifuncțională este un tip de parc industrial care vizează stimularea producției la scară mică la nivel local în industria agroalimentară, industria materialelor de construcții, textile, produse chimice etc. și servicii legate de activitățile industriale de bază.</w:t>
            </w:r>
          </w:p>
          <w:p w14:paraId="77C62820" w14:textId="77777777" w:rsidR="00330D87" w:rsidRPr="003A36E3" w:rsidRDefault="00330D87" w:rsidP="00330D87">
            <w:pPr>
              <w:spacing w:after="0" w:line="240" w:lineRule="auto"/>
              <w:jc w:val="both"/>
              <w:rPr>
                <w:rFonts w:ascii="Arial" w:eastAsiaTheme="minorEastAsia" w:hAnsi="Arial" w:cs="Arial"/>
                <w:sz w:val="18"/>
                <w:szCs w:val="18"/>
                <w:lang w:val="ro-MD"/>
              </w:rPr>
            </w:pPr>
          </w:p>
          <w:p w14:paraId="2F26EA5B" w14:textId="76AE9792" w:rsidR="00763B45" w:rsidRPr="003A36E3" w:rsidRDefault="00330D87" w:rsidP="00330D87">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Hotărâre </w:t>
            </w:r>
            <w:r w:rsidR="0059048A">
              <w:rPr>
                <w:rFonts w:ascii="Arial" w:eastAsiaTheme="minorEastAsia" w:hAnsi="Arial" w:cs="Arial"/>
                <w:sz w:val="18"/>
                <w:szCs w:val="18"/>
                <w:lang w:val="ro-MD"/>
              </w:rPr>
              <w:t>de Guvern</w:t>
            </w:r>
            <w:r w:rsidRPr="003A36E3">
              <w:rPr>
                <w:rFonts w:ascii="Arial" w:eastAsiaTheme="minorEastAsia" w:hAnsi="Arial" w:cs="Arial"/>
                <w:sz w:val="18"/>
                <w:szCs w:val="18"/>
                <w:lang w:val="ro-MD"/>
              </w:rPr>
              <w:t xml:space="preserve"> adoptată cu privire la înființarea PIM. Numărul de rezidenți trebuie verificat pe </w:t>
            </w:r>
            <w:r w:rsidR="00CE1E75">
              <w:rPr>
                <w:rFonts w:ascii="Arial" w:eastAsiaTheme="minorEastAsia" w:hAnsi="Arial" w:cs="Arial"/>
                <w:sz w:val="18"/>
                <w:szCs w:val="18"/>
                <w:lang w:val="ro-MD"/>
              </w:rPr>
              <w:t>pagina</w:t>
            </w:r>
            <w:r w:rsidRPr="003A36E3">
              <w:rPr>
                <w:rFonts w:ascii="Arial" w:eastAsiaTheme="minorEastAsia" w:hAnsi="Arial" w:cs="Arial"/>
                <w:sz w:val="18"/>
                <w:szCs w:val="18"/>
                <w:lang w:val="ro-MD"/>
              </w:rPr>
              <w:t xml:space="preserve"> web a PIM-urilor.</w:t>
            </w:r>
          </w:p>
        </w:tc>
      </w:tr>
      <w:tr w:rsidR="00763B45" w:rsidRPr="00F026FE" w14:paraId="452A7015"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6447AD" w14:textId="0275B932" w:rsidR="00763B45" w:rsidRPr="003A36E3" w:rsidRDefault="00BB54A7" w:rsidP="002F7854">
            <w:pPr>
              <w:pStyle w:val="paragraph"/>
              <w:spacing w:before="0" w:beforeAutospacing="0" w:after="0" w:afterAutospacing="0"/>
              <w:jc w:val="both"/>
              <w:rPr>
                <w:rFonts w:ascii="Arial" w:eastAsiaTheme="minorEastAsia" w:hAnsi="Arial" w:cs="Arial"/>
                <w:sz w:val="18"/>
                <w:szCs w:val="18"/>
                <w:lang w:val="ro-MD"/>
              </w:rPr>
            </w:pPr>
            <w:r w:rsidRPr="003A36E3">
              <w:rPr>
                <w:rFonts w:ascii="Arial" w:eastAsiaTheme="minorEastAsia" w:hAnsi="Arial" w:cs="Arial"/>
                <w:kern w:val="2"/>
                <w:sz w:val="18"/>
                <w:szCs w:val="18"/>
                <w:lang w:val="ro-MD" w:eastAsia="en-US"/>
              </w:rPr>
              <w:t>Competitivitatea sectorului de afaceri</w:t>
            </w:r>
            <w:r w:rsidR="00763B45" w:rsidRPr="003A36E3">
              <w:rPr>
                <w:rStyle w:val="eop"/>
                <w:rFonts w:ascii="Arial" w:eastAsiaTheme="minorEastAsia" w:hAnsi="Arial" w:cs="Arial"/>
                <w:sz w:val="18"/>
                <w:szCs w:val="18"/>
                <w:lang w:val="ro-MD"/>
              </w:rPr>
              <w:t> </w:t>
            </w:r>
          </w:p>
          <w:p w14:paraId="7A1E9415"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3DA7A"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11CB7" w14:textId="72373136" w:rsidR="00763B45" w:rsidRPr="003A36E3" w:rsidRDefault="00890B40"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Dezvoltarea serviciilor</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375A45"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13</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EE5FA" w14:textId="23422405" w:rsidR="00763B45" w:rsidRPr="003A36E3" w:rsidRDefault="00890B40"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98AA7" w14:textId="0D3BF095" w:rsidR="00763B45" w:rsidRPr="003A36E3" w:rsidRDefault="00890B40"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Banca Națională a Moldovei</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5BD7" w14:textId="77777777" w:rsidR="00330D87" w:rsidRPr="003A36E3" w:rsidRDefault="00330D87" w:rsidP="00330D87">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MD adoptă și promulgă un cadru de reglementare pentru cripto-active, furnizori de servicii de active virtuale.</w:t>
            </w:r>
          </w:p>
          <w:p w14:paraId="3CADC272" w14:textId="3D1151F3" w:rsidR="00763B45" w:rsidRPr="003A36E3" w:rsidRDefault="00330D87" w:rsidP="00330D87">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Linia de referință: Decembrie 2024, activitatea legată de cripto-active este interzisă prin lege. Astfel, nu există un cadru de reglementare pentru cripto-active, nici capacitate de reglementare.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CC095" w14:textId="77777777" w:rsidR="00330D87" w:rsidRPr="003A36E3" w:rsidRDefault="00330D87" w:rsidP="00330D87">
            <w:pPr>
              <w:spacing w:after="0" w:line="240" w:lineRule="auto"/>
              <w:jc w:val="both"/>
              <w:rPr>
                <w:rFonts w:ascii="Arial" w:hAnsi="Arial" w:cs="Arial"/>
                <w:sz w:val="18"/>
                <w:szCs w:val="18"/>
                <w:lang w:val="ro-MD"/>
              </w:rPr>
            </w:pPr>
            <w:r w:rsidRPr="003A36E3">
              <w:rPr>
                <w:rFonts w:ascii="Arial" w:hAnsi="Arial" w:cs="Arial"/>
                <w:sz w:val="18"/>
                <w:szCs w:val="18"/>
                <w:lang w:val="ro-MD"/>
              </w:rPr>
              <w:lastRenderedPageBreak/>
              <w:t xml:space="preserve">Cadrul juridic, care vizează alinierea la acquis-ul UE (Regulamentul MiCA) privind circulația activelor virtuale și reglementarea și </w:t>
            </w:r>
            <w:r w:rsidRPr="003A36E3">
              <w:rPr>
                <w:rFonts w:ascii="Arial" w:hAnsi="Arial" w:cs="Arial"/>
                <w:sz w:val="18"/>
                <w:szCs w:val="18"/>
                <w:lang w:val="ro-MD"/>
              </w:rPr>
              <w:lastRenderedPageBreak/>
              <w:t>supravegherea prudențială a furnizorilor de servicii de active virtuale, este în vigoare și intră în vigoare.</w:t>
            </w:r>
          </w:p>
          <w:p w14:paraId="10571CF4" w14:textId="7EB4F04A" w:rsidR="00763B45" w:rsidRPr="003A36E3" w:rsidRDefault="00330D87" w:rsidP="00330D87">
            <w:pPr>
              <w:spacing w:after="0" w:line="240" w:lineRule="auto"/>
              <w:jc w:val="both"/>
              <w:rPr>
                <w:rFonts w:ascii="Arial" w:eastAsiaTheme="minorEastAsia" w:hAnsi="Arial" w:cs="Arial"/>
                <w:sz w:val="18"/>
                <w:szCs w:val="18"/>
                <w:lang w:val="ro-MD"/>
              </w:rPr>
            </w:pPr>
            <w:r w:rsidRPr="003A36E3">
              <w:rPr>
                <w:rFonts w:ascii="Arial" w:hAnsi="Arial" w:cs="Arial"/>
                <w:sz w:val="18"/>
                <w:szCs w:val="18"/>
                <w:lang w:val="ro-MD"/>
              </w:rPr>
              <w:t>Sursa de verificare: Monitorul Oficial pentru legislație; cererile examinate pentru serviciile VASP - acțiunile BNM și CNPF incluse în raportul către Comisie.</w:t>
            </w:r>
          </w:p>
        </w:tc>
      </w:tr>
      <w:tr w:rsidR="00763B45" w:rsidRPr="00F026FE" w14:paraId="1FA7AC41"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58034" w14:textId="1AEF9115" w:rsidR="00763B45" w:rsidRPr="003A36E3" w:rsidRDefault="00BB54A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Competitivitatea sectorului de afaceri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418BF"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6174D" w14:textId="1335DE48" w:rsidR="00763B45" w:rsidRPr="003A36E3" w:rsidRDefault="00330D8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Dezvoltare industrială</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8BC7D"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14</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3E73F" w14:textId="62F8EA61" w:rsidR="00763B45" w:rsidRPr="003A36E3" w:rsidRDefault="00330D8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2026</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B1BA6" w14:textId="4DB64845"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w:t>
            </w:r>
            <w:r w:rsidR="00330D87" w:rsidRPr="003A36E3">
              <w:rPr>
                <w:rFonts w:ascii="Arial" w:eastAsiaTheme="minorEastAsia" w:hAnsi="Arial" w:cs="Arial"/>
                <w:sz w:val="18"/>
                <w:szCs w:val="18"/>
                <w:lang w:val="ro-MD"/>
              </w:rPr>
              <w:t>DE</w:t>
            </w:r>
            <w:r w:rsidRPr="003A36E3">
              <w:rPr>
                <w:rFonts w:ascii="Arial" w:eastAsiaTheme="minorEastAsia" w:hAnsi="Arial" w:cs="Arial"/>
                <w:sz w:val="18"/>
                <w:szCs w:val="18"/>
                <w:lang w:val="ro-MD"/>
              </w:rPr>
              <w:t>D</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F9285" w14:textId="77777777" w:rsidR="00330D87" w:rsidRPr="003A36E3" w:rsidRDefault="00330D87" w:rsidP="00330D87">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Planul de acțiune pentru punerea în aplicare a recomandărilor din cadrul preevaluării operaționale a COM în vederea semnării unui ACAA este aprobat, iar recomandările care au un termen limită până în decembrie 2026 sunt puse în aplicare.</w:t>
            </w:r>
          </w:p>
          <w:p w14:paraId="0354E052" w14:textId="77777777" w:rsidR="00330D87" w:rsidRPr="003A36E3" w:rsidRDefault="00330D87" w:rsidP="00330D87">
            <w:pPr>
              <w:spacing w:after="0" w:line="240" w:lineRule="auto"/>
              <w:jc w:val="both"/>
              <w:rPr>
                <w:rFonts w:ascii="Arial" w:eastAsiaTheme="minorEastAsia" w:hAnsi="Arial" w:cs="Arial"/>
                <w:sz w:val="18"/>
                <w:szCs w:val="18"/>
                <w:lang w:val="ro-MD"/>
              </w:rPr>
            </w:pPr>
          </w:p>
          <w:p w14:paraId="715F91BE" w14:textId="6A2E61C2" w:rsidR="00763B45" w:rsidRPr="003A36E3" w:rsidRDefault="00330D87" w:rsidP="00330D87">
            <w:pPr>
              <w:spacing w:after="0" w:line="254"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pregătire operațională limitată pentru compatibilitatea electromagnetică și sectoarele echipamentelor de joasă tensiune.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5AD82" w14:textId="77777777" w:rsidR="003A2B63" w:rsidRPr="003A36E3" w:rsidRDefault="003A2B63" w:rsidP="003A2B63">
            <w:pPr>
              <w:spacing w:after="0" w:line="254"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MD abordează recomandările evaluării prealabile juridice și funcționale care ar permite COM să finalizeze evaluarea pregătirii operaționale pentru cele două sectoare și patru cadre orizontale: compatibilitatea electromagnetică („CEM”) și echipamentele de joasă tensiune („EJT”), precum și standardizarea, metrologia, evaluarea conformității/acreditarea și supravegherea pieței.</w:t>
            </w:r>
          </w:p>
          <w:p w14:paraId="571E1E41" w14:textId="77777777" w:rsidR="003A2B63" w:rsidRPr="003A36E3" w:rsidRDefault="003A2B63" w:rsidP="003A2B63">
            <w:pPr>
              <w:spacing w:after="0" w:line="254" w:lineRule="auto"/>
              <w:jc w:val="both"/>
              <w:rPr>
                <w:rFonts w:ascii="Arial" w:eastAsiaTheme="minorEastAsia" w:hAnsi="Arial" w:cs="Arial"/>
                <w:sz w:val="18"/>
                <w:szCs w:val="18"/>
                <w:lang w:val="ro-MD"/>
              </w:rPr>
            </w:pPr>
          </w:p>
          <w:p w14:paraId="31C4CBB3" w14:textId="397B8F23" w:rsidR="00763B45" w:rsidRPr="003A36E3" w:rsidRDefault="003A2B63" w:rsidP="003A2B63">
            <w:pPr>
              <w:spacing w:after="0" w:line="254"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rapoarte periodice ale Ministerului Dezvoltării Economice, plan de acțiune aprobat prin ordin intern al Ministerului</w:t>
            </w:r>
          </w:p>
        </w:tc>
      </w:tr>
      <w:tr w:rsidR="00763B45" w:rsidRPr="00F026FE" w14:paraId="1D763C9E"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7E9A4" w14:textId="66957B5B" w:rsidR="00763B45" w:rsidRPr="003A36E3" w:rsidRDefault="00BB54A7"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Competitivitatea sectorului de afaceri</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B22FA"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9A7F7" w14:textId="0769D9F6" w:rsidR="00763B45" w:rsidRPr="003A36E3" w:rsidRDefault="00330D87"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Dezvoltare industrială</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D6BB8"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A6C80" w14:textId="621800B0" w:rsidR="00763B45" w:rsidRPr="003A36E3" w:rsidRDefault="00330D87"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2026</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1519A" w14:textId="4B3135AE"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w:t>
            </w:r>
            <w:r w:rsidR="00330D87" w:rsidRPr="003A36E3">
              <w:rPr>
                <w:rFonts w:ascii="Arial" w:eastAsiaTheme="minorEastAsia" w:hAnsi="Arial" w:cs="Arial"/>
                <w:sz w:val="18"/>
                <w:szCs w:val="18"/>
                <w:lang w:val="ro-MD"/>
              </w:rPr>
              <w:t>DE</w:t>
            </w:r>
            <w:r w:rsidRPr="003A36E3">
              <w:rPr>
                <w:rFonts w:ascii="Arial" w:eastAsiaTheme="minorEastAsia" w:hAnsi="Arial" w:cs="Arial"/>
                <w:sz w:val="18"/>
                <w:szCs w:val="18"/>
                <w:lang w:val="ro-MD"/>
              </w:rPr>
              <w:t>D</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86CA" w14:textId="77777777" w:rsidR="003A2B63" w:rsidRPr="003A36E3" w:rsidRDefault="003A2B63" w:rsidP="003A2B6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Sunt puse în aplicare trei măsuri privind consolidarea infrastructurii calității, în conformitate cu Planul de acțiune pentru punerea în aplicare a Programului de dezvoltare industrială: în standardizare, evaluarea conformității și acreditare.</w:t>
            </w:r>
          </w:p>
          <w:p w14:paraId="4FF3BB9D" w14:textId="77777777" w:rsidR="003A2B63" w:rsidRPr="003A36E3" w:rsidRDefault="003A2B63" w:rsidP="003A2B63">
            <w:pPr>
              <w:spacing w:after="0" w:line="240" w:lineRule="auto"/>
              <w:jc w:val="both"/>
              <w:rPr>
                <w:rFonts w:ascii="Arial" w:eastAsiaTheme="minorEastAsia" w:hAnsi="Arial" w:cs="Arial"/>
                <w:sz w:val="18"/>
                <w:szCs w:val="18"/>
                <w:lang w:val="ro-MD"/>
              </w:rPr>
            </w:pPr>
          </w:p>
          <w:p w14:paraId="06DFFD31" w14:textId="547153C5" w:rsidR="00763B45" w:rsidRPr="003A36E3" w:rsidRDefault="003A2B63" w:rsidP="003A2B6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Măsurile privind infrastructura calității din Programul de dezvoltare industrială al MD sunt adoptate, dar nu sunt puse în aplicare.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1031C" w14:textId="77777777" w:rsidR="00763B45" w:rsidRPr="003A36E3" w:rsidRDefault="00763B45" w:rsidP="002F7854">
            <w:pPr>
              <w:spacing w:after="0" w:line="240" w:lineRule="auto"/>
              <w:jc w:val="both"/>
              <w:rPr>
                <w:rFonts w:ascii="Arial" w:hAnsi="Arial" w:cs="Arial"/>
                <w:sz w:val="18"/>
                <w:szCs w:val="18"/>
                <w:lang w:val="ro-MD"/>
              </w:rPr>
            </w:pPr>
          </w:p>
          <w:p w14:paraId="2EFB03AA" w14:textId="77777777" w:rsidR="00F162FD" w:rsidRPr="003A36E3" w:rsidRDefault="00F162FD" w:rsidP="00F162FD">
            <w:pPr>
              <w:spacing w:after="0" w:line="240" w:lineRule="auto"/>
              <w:jc w:val="both"/>
              <w:rPr>
                <w:rFonts w:ascii="Arial" w:hAnsi="Arial" w:cs="Arial"/>
                <w:sz w:val="18"/>
                <w:szCs w:val="18"/>
                <w:lang w:val="ro-MD"/>
              </w:rPr>
            </w:pPr>
            <w:r w:rsidRPr="003A36E3">
              <w:rPr>
                <w:rFonts w:ascii="Arial" w:hAnsi="Arial" w:cs="Arial"/>
                <w:sz w:val="18"/>
                <w:szCs w:val="18"/>
                <w:lang w:val="ro-MD"/>
              </w:rPr>
              <w:t>(i) Standardizare: Sunt înființate cel puțin 4 comitete tehnice în sectoarele industriale prioritare, în conformitate cu Programul de dezvoltare industrială.</w:t>
            </w:r>
          </w:p>
          <w:p w14:paraId="6EC851A5" w14:textId="77777777" w:rsidR="00F162FD" w:rsidRPr="003A36E3" w:rsidRDefault="00F162FD" w:rsidP="00F162FD">
            <w:pPr>
              <w:spacing w:after="0" w:line="240" w:lineRule="auto"/>
              <w:jc w:val="both"/>
              <w:rPr>
                <w:rFonts w:ascii="Arial" w:hAnsi="Arial" w:cs="Arial"/>
                <w:sz w:val="18"/>
                <w:szCs w:val="18"/>
                <w:lang w:val="ro-MD"/>
              </w:rPr>
            </w:pPr>
          </w:p>
          <w:p w14:paraId="15F10C53" w14:textId="77777777" w:rsidR="00F162FD" w:rsidRPr="003A36E3" w:rsidRDefault="00F162FD" w:rsidP="00F162FD">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(ii) Evaluarea conformității: Cel puțin 5 metode noi de testare sunt introduse și efectuate de laboratoarele moldovenești în conformitate cu standardele europene în sectoarele industriale prioritare identificate în Programul de dezvoltare industrială. </w:t>
            </w:r>
          </w:p>
          <w:p w14:paraId="5B72767C" w14:textId="77777777" w:rsidR="00F162FD" w:rsidRPr="003A36E3" w:rsidRDefault="00F162FD" w:rsidP="00F162FD">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 </w:t>
            </w:r>
          </w:p>
          <w:p w14:paraId="6EA08209" w14:textId="513864F0" w:rsidR="00763B45" w:rsidRPr="003A36E3" w:rsidRDefault="00F162FD" w:rsidP="00F162FD">
            <w:pPr>
              <w:spacing w:after="0" w:line="240" w:lineRule="auto"/>
              <w:jc w:val="both"/>
              <w:rPr>
                <w:rFonts w:ascii="Arial" w:eastAsiaTheme="minorEastAsia" w:hAnsi="Arial" w:cs="Arial"/>
                <w:sz w:val="18"/>
                <w:szCs w:val="18"/>
                <w:lang w:val="ro-MD"/>
              </w:rPr>
            </w:pPr>
            <w:r w:rsidRPr="003A36E3">
              <w:rPr>
                <w:rFonts w:ascii="Arial" w:hAnsi="Arial" w:cs="Arial"/>
                <w:sz w:val="18"/>
                <w:szCs w:val="18"/>
                <w:lang w:val="ro-MD"/>
              </w:rPr>
              <w:lastRenderedPageBreak/>
              <w:t>(iii) Acreditare: Legislația primară și secundară relevantă este modificată pentru a permite utilizarea ghidurilor UE pentru certificarea produselor finite pentru toate sectoarele.</w:t>
            </w:r>
          </w:p>
        </w:tc>
      </w:tr>
      <w:tr w:rsidR="00763B45" w:rsidRPr="00F026FE" w14:paraId="7DEA2801"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BB738" w14:textId="470041C2" w:rsidR="00763B45" w:rsidRPr="003A36E3" w:rsidRDefault="00F162FD" w:rsidP="002F7854">
            <w:pPr>
              <w:pStyle w:val="paragraph"/>
              <w:spacing w:before="0" w:beforeAutospacing="0" w:after="0" w:afterAutospacing="0"/>
              <w:jc w:val="both"/>
              <w:textAlignment w:val="baseline"/>
              <w:rPr>
                <w:rFonts w:ascii="Arial" w:eastAsiaTheme="minorEastAsia" w:hAnsi="Arial" w:cs="Arial"/>
                <w:sz w:val="18"/>
                <w:szCs w:val="18"/>
                <w:lang w:val="ro-MD"/>
              </w:rPr>
            </w:pPr>
            <w:r w:rsidRPr="003A36E3">
              <w:rPr>
                <w:rFonts w:ascii="Arial" w:eastAsiaTheme="minorEastAsia" w:hAnsi="Arial" w:cs="Arial"/>
                <w:kern w:val="2"/>
                <w:sz w:val="18"/>
                <w:szCs w:val="18"/>
                <w:lang w:val="ro-MD" w:eastAsia="en-US"/>
              </w:rPr>
              <w:lastRenderedPageBreak/>
              <w:t>Accesul la finanțare și dezvoltarea pieței de capital</w:t>
            </w:r>
            <w:r w:rsidR="00763B45" w:rsidRPr="003A36E3">
              <w:rPr>
                <w:rStyle w:val="eop"/>
                <w:rFonts w:ascii="Arial" w:eastAsiaTheme="minorEastAsia" w:hAnsi="Arial" w:cs="Arial"/>
                <w:sz w:val="18"/>
                <w:szCs w:val="18"/>
                <w:lang w:val="ro-MD"/>
              </w:rPr>
              <w:t> </w:t>
            </w:r>
          </w:p>
          <w:p w14:paraId="3AF08F13" w14:textId="77777777" w:rsidR="00763B45" w:rsidRPr="003A36E3" w:rsidRDefault="00763B45" w:rsidP="002F7854">
            <w:pPr>
              <w:spacing w:after="0" w:line="240" w:lineRule="auto"/>
              <w:jc w:val="both"/>
              <w:rPr>
                <w:rFonts w:ascii="Arial" w:eastAsiaTheme="minorEastAsia" w:hAnsi="Arial" w:cs="Arial"/>
                <w:sz w:val="18"/>
                <w:szCs w:val="18"/>
                <w:lang w:val="ro-MD"/>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D9A6E"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3</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A2F39" w14:textId="608AEBBE" w:rsidR="00763B45" w:rsidRPr="003A36E3" w:rsidRDefault="00F162FD"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Accesul la finanțare pentru întreprinderi este consolidat și diversificat</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27F91"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499B2" w14:textId="4E6B9571" w:rsidR="00763B45" w:rsidRPr="003A36E3" w:rsidRDefault="00F162FD"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9081A" w14:textId="66A8F5E2" w:rsidR="00763B45" w:rsidRPr="003A36E3" w:rsidRDefault="00F162FD"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Comisia Națională a Pieței Financiare Banca Națională a Moldovei,</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FB806" w14:textId="77777777" w:rsidR="00503149" w:rsidRPr="003A36E3" w:rsidRDefault="00503149" w:rsidP="0050314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Dezvoltarea pieței de capital este încurajată, în special prin consolidarea bursei de valori și a infrastructurii de postcomercializare și prin îmbunătățirea cadrului de reglementare privind protecția investitorilor.</w:t>
            </w:r>
          </w:p>
          <w:p w14:paraId="45039625" w14:textId="77777777" w:rsidR="00503149" w:rsidRPr="003A36E3" w:rsidRDefault="00503149" w:rsidP="00503149">
            <w:pPr>
              <w:spacing w:after="0" w:line="240" w:lineRule="auto"/>
              <w:jc w:val="both"/>
              <w:rPr>
                <w:rFonts w:ascii="Arial" w:eastAsiaTheme="minorEastAsia" w:hAnsi="Arial" w:cs="Arial"/>
                <w:sz w:val="18"/>
                <w:szCs w:val="18"/>
                <w:lang w:val="ro-MD"/>
              </w:rPr>
            </w:pPr>
          </w:p>
          <w:p w14:paraId="7A60852F" w14:textId="33AE46A1" w:rsidR="00763B45" w:rsidRPr="003A36E3" w:rsidRDefault="00503149" w:rsidP="0050314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(i) Bursa continuă să funcționeze într-un mediu învechit, fără acces de la distanță pentru participanții la piață și fără instrumente de analiză a datelor; (ii) dispozițiile legale privind drepturile investitorilor nu sunt aliniate la normele UE; (iii) conturile omnibus sunt posibile pentru toate societățile, cu excepția băncilor și a societăților de asigurări; nu există legături de depozitare cu Depozitarul Central al Valorilor Mobiliare din UE; (iv) capacitățile CNPF sunt consolidate.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D645F" w14:textId="77777777" w:rsidR="00FA3ACE" w:rsidRPr="003A36E3" w:rsidRDefault="00FA3ACE" w:rsidP="00FA3ACE">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pieței de capital presupune: (i) MD dispune de o bursă operațională și funcțională care permite societăților să tranzacționeze eficient, introducând accesul de la distanță pentru participanții la piață, permițând ofertele publice inițiale, furnizând instrumente de date analitice pentru participanții la piață; (ii) Legislația privind piața de capital este modificată în conformitate cu normele UE pentru a spori protecția investitorilor în conformitate cu MIFID II a UE și (iii) Depozitarul Central al Valorilor Mobiliare din Moldova implementează modelul de segregare omnibus pentru entitățile eligibile și stabilește legături de depozitare cu cel puțin un Depozitar Central al Valorilor Mobiliare cu sediul în UE; (iv) Capacitățile CNPF sunt consolidate pentru a implementa supravegherea bazată pe riscuri, inclusiv prin instruirea personalului CNPF și elaborarea de documente de politică internă.</w:t>
            </w:r>
          </w:p>
          <w:p w14:paraId="7B4EC051" w14:textId="4F20531F" w:rsidR="00763B45" w:rsidRPr="003A36E3" w:rsidRDefault="00FA3ACE" w:rsidP="00FA3ACE">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Raportul CNPF 2026; Monitorul Oficial pentru legislația privind protecția investitorilor; rapoartele BNM și raportul privind Depozitarul Central Unic al Valorilor Mobiliare</w:t>
            </w:r>
          </w:p>
        </w:tc>
      </w:tr>
      <w:tr w:rsidR="00763B45" w:rsidRPr="00F026FE" w14:paraId="0B818FB6"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A6D7D" w14:textId="0B4E5C68" w:rsidR="00763B45" w:rsidRPr="003A36E3" w:rsidRDefault="00FA3ACE"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Promovarea comerțului și a investițiilor</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740C2"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4</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C1F20" w14:textId="0AE9E7C0" w:rsidR="00763B45" w:rsidRPr="003A36E3" w:rsidRDefault="00FA3ACE"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Creșterea competitivității la export a comerțului de bunuri în MD</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307DC" w14:textId="77777777" w:rsidR="00763B45" w:rsidRPr="003A36E3" w:rsidRDefault="00763B4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158DD" w14:textId="3DBFE78F" w:rsidR="00763B45" w:rsidRPr="003A36E3" w:rsidRDefault="00FA3ACE"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2025</w:t>
            </w:r>
          </w:p>
          <w:p w14:paraId="64DAFD3C" w14:textId="77777777" w:rsidR="00763B45" w:rsidRPr="003A36E3" w:rsidRDefault="00763B45" w:rsidP="002F7854">
            <w:pPr>
              <w:spacing w:after="0" w:line="240" w:lineRule="auto"/>
              <w:jc w:val="both"/>
              <w:rPr>
                <w:rFonts w:ascii="Arial" w:eastAsiaTheme="minorEastAsia" w:hAnsi="Arial" w:cs="Arial"/>
                <w:sz w:val="18"/>
                <w:szCs w:val="18"/>
                <w:lang w:val="ro-MD"/>
              </w:rPr>
            </w:pP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1D6AA" w14:textId="13B38CA9" w:rsidR="00763B45" w:rsidRPr="003A36E3" w:rsidRDefault="00497699"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 Serviciul Vamal</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4A110" w14:textId="77777777" w:rsidR="001C3D6C" w:rsidRPr="003A36E3" w:rsidRDefault="001C3D6C" w:rsidP="001C3D6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Moldova a aderat la Convenția privind regimul de tranzit comun și pune în aplicare 8 din cele 17 cereri/autorizații ale Sistemului de decizii vamale (SDV) în format electronic, care sunt direct legate de simplificarea tranzitului și de NCTS.</w:t>
            </w:r>
          </w:p>
          <w:p w14:paraId="60E3B921" w14:textId="77777777" w:rsidR="001C3D6C" w:rsidRPr="003A36E3" w:rsidRDefault="001C3D6C" w:rsidP="001C3D6C">
            <w:pPr>
              <w:spacing w:after="0" w:line="240" w:lineRule="auto"/>
              <w:jc w:val="both"/>
              <w:rPr>
                <w:rFonts w:ascii="Arial" w:eastAsiaTheme="minorEastAsia" w:hAnsi="Arial" w:cs="Arial"/>
                <w:sz w:val="18"/>
                <w:szCs w:val="18"/>
                <w:lang w:val="ro-MD"/>
              </w:rPr>
            </w:pPr>
          </w:p>
          <w:p w14:paraId="29A27266" w14:textId="1B420A6C" w:rsidR="00763B45" w:rsidRPr="003A36E3" w:rsidRDefault="001C3D6C" w:rsidP="001C3D6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Până în decembrie 2024, MD a pilotat faza 5 a NCTS la nivel național, dar nu a aderat încă la Convenția privind regimul de tranzit comun. MD a gestionat majoritatea cererilor/autorizațiilor vamale pe suport de hârtie și doar 4 din 17 cereri sunt operaționale în format electronic.</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7E7C8" w14:textId="77777777" w:rsidR="001C3D6C" w:rsidRPr="003A36E3" w:rsidRDefault="001C3D6C" w:rsidP="001C3D6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Moldova aderă la Convenția privind regimul de tranzit comun. Odată cu operaționalizarea SDV, autoritatea vamală își propune să înlocuiască procedurile vamale pe suport de </w:t>
            </w:r>
            <w:r w:rsidRPr="003A36E3">
              <w:rPr>
                <w:rFonts w:ascii="Arial" w:eastAsiaTheme="minorEastAsia" w:hAnsi="Arial" w:cs="Arial"/>
                <w:sz w:val="18"/>
                <w:szCs w:val="18"/>
                <w:lang w:val="ro-MD"/>
              </w:rPr>
              <w:lastRenderedPageBreak/>
              <w:t xml:space="preserve">hârtie cu proceduri electronice, în total 8 din 17 proceduri fiind în format electronic. </w:t>
            </w:r>
          </w:p>
          <w:p w14:paraId="330E798E" w14:textId="77777777" w:rsidR="001C3D6C" w:rsidRPr="003A36E3" w:rsidRDefault="001C3D6C" w:rsidP="001C3D6C">
            <w:pPr>
              <w:spacing w:after="0" w:line="240" w:lineRule="auto"/>
              <w:jc w:val="both"/>
              <w:rPr>
                <w:rFonts w:ascii="Arial" w:eastAsiaTheme="minorEastAsia" w:hAnsi="Arial" w:cs="Arial"/>
                <w:sz w:val="18"/>
                <w:szCs w:val="18"/>
                <w:lang w:val="ro-MD"/>
              </w:rPr>
            </w:pPr>
          </w:p>
          <w:p w14:paraId="4D5A0BB6" w14:textId="77777777" w:rsidR="001C3D6C" w:rsidRPr="003A36E3" w:rsidRDefault="001C3D6C" w:rsidP="001C3D6C">
            <w:pPr>
              <w:spacing w:after="0" w:line="240" w:lineRule="auto"/>
              <w:jc w:val="both"/>
              <w:rPr>
                <w:rFonts w:ascii="Arial" w:eastAsiaTheme="minorEastAsia" w:hAnsi="Arial" w:cs="Arial"/>
                <w:sz w:val="18"/>
                <w:szCs w:val="18"/>
                <w:lang w:val="ro-MD"/>
              </w:rPr>
            </w:pPr>
          </w:p>
          <w:p w14:paraId="78395B7F" w14:textId="395FD1C5" w:rsidR="00763B45" w:rsidRPr="003A36E3" w:rsidRDefault="001C3D6C" w:rsidP="001C3D6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Convenției privind regimul de tranzit comun, Portalul comerțului, Sistemul de decizii vamale, Raportul serviciului vamal</w:t>
            </w:r>
          </w:p>
        </w:tc>
      </w:tr>
      <w:tr w:rsidR="00763B45" w:rsidRPr="00F026FE" w14:paraId="0C690586"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72DD9C"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C6EC1"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4</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BF204" w14:textId="6BE8F723" w:rsidR="00763B45" w:rsidRPr="003A36E3" w:rsidRDefault="001C3D6C"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Creșterea competitivității la export a comerțului de bunuri în MD </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05CFE"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C6F70" w14:textId="178E37CB" w:rsidR="00763B45" w:rsidRPr="003A36E3" w:rsidRDefault="001C3D6C"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763B45" w:rsidRPr="003A36E3">
              <w:rPr>
                <w:rFonts w:ascii="Arial" w:eastAsiaTheme="minorEastAsia" w:hAnsi="Arial" w:cs="Arial"/>
                <w:sz w:val="18"/>
                <w:szCs w:val="18"/>
                <w:lang w:val="ro-MD"/>
              </w:rPr>
              <w:t xml:space="preserve"> 2026</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BFC91" w14:textId="52235F27" w:rsidR="00763B45" w:rsidRPr="003A36E3" w:rsidRDefault="001C3D6C"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 Serviciul Vamal</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35C4F" w14:textId="77777777" w:rsidR="001C3D6C" w:rsidRPr="003A36E3" w:rsidRDefault="001C3D6C" w:rsidP="001C3D6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Punerea în aplicare integrală a Sistemului de decizii vamale (SDV), cu 17 din cele 17 cereri/autorizații operaționale.</w:t>
            </w:r>
          </w:p>
          <w:p w14:paraId="41190FCD" w14:textId="77777777" w:rsidR="001C3D6C" w:rsidRPr="003A36E3" w:rsidRDefault="001C3D6C" w:rsidP="001C3D6C">
            <w:pPr>
              <w:spacing w:after="0" w:line="240" w:lineRule="auto"/>
              <w:jc w:val="both"/>
              <w:rPr>
                <w:rFonts w:ascii="Arial" w:eastAsiaTheme="minorEastAsia" w:hAnsi="Arial" w:cs="Arial"/>
                <w:sz w:val="18"/>
                <w:szCs w:val="18"/>
                <w:lang w:val="ro-MD"/>
              </w:rPr>
            </w:pPr>
          </w:p>
          <w:p w14:paraId="798001C9" w14:textId="77777777" w:rsidR="001C3D6C" w:rsidRPr="003A36E3" w:rsidRDefault="001C3D6C" w:rsidP="001C3D6C">
            <w:pPr>
              <w:spacing w:after="0" w:line="240" w:lineRule="auto"/>
              <w:jc w:val="both"/>
              <w:rPr>
                <w:rFonts w:ascii="Arial" w:eastAsiaTheme="minorEastAsia" w:hAnsi="Arial" w:cs="Arial"/>
                <w:sz w:val="18"/>
                <w:szCs w:val="18"/>
                <w:lang w:val="ro-MD"/>
              </w:rPr>
            </w:pPr>
          </w:p>
          <w:p w14:paraId="21C30779" w14:textId="3ED185D0" w:rsidR="00763B45" w:rsidRPr="003A36E3" w:rsidRDefault="001C3D6C" w:rsidP="001C3D6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decembrie 2024, Sistemul de decizii vamale este parțial operațional, 4 din cele 17 tipuri de cereri/autorizații fiind în vigoare. Un număr redus de operatori economici utilizează simplificările.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489D2" w14:textId="77777777" w:rsidR="00A92D57" w:rsidRPr="003A36E3" w:rsidRDefault="00A92D57" w:rsidP="00A92D57">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Ca urmare a punerii în aplicare integrale a Sistemului de decizii vamale, vămile vor putea oferi acces la toate simplificările vamale, cum ar fi expeditorul/destinatarul autorizat, sigiliile speciale, înscrierea în cazierul declarantului, garanția globală, declarația simplificată. </w:t>
            </w:r>
          </w:p>
          <w:p w14:paraId="1FE8061F" w14:textId="77777777" w:rsidR="00A92D57" w:rsidRPr="003A36E3" w:rsidRDefault="00A92D57" w:rsidP="00A92D57">
            <w:pPr>
              <w:spacing w:after="0" w:line="240" w:lineRule="auto"/>
              <w:jc w:val="both"/>
              <w:rPr>
                <w:rFonts w:ascii="Arial" w:eastAsiaTheme="minorEastAsia" w:hAnsi="Arial" w:cs="Arial"/>
                <w:sz w:val="18"/>
                <w:szCs w:val="18"/>
                <w:lang w:val="ro-MD"/>
              </w:rPr>
            </w:pPr>
          </w:p>
          <w:p w14:paraId="6F4F2466" w14:textId="233F9C05" w:rsidR="00763B45" w:rsidRPr="003A36E3" w:rsidRDefault="00A92D57" w:rsidP="00A92D57">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Sistemul de decizii vamale, Raportul Serviciului Vamal din MD</w:t>
            </w:r>
          </w:p>
        </w:tc>
      </w:tr>
      <w:tr w:rsidR="00763B45" w:rsidRPr="00F026FE" w14:paraId="798AE898"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5A6CB" w14:textId="77777777" w:rsidR="00763B45" w:rsidRPr="003A36E3" w:rsidRDefault="00763B45" w:rsidP="002F7854">
            <w:pPr>
              <w:spacing w:after="0" w:line="240" w:lineRule="auto"/>
              <w:jc w:val="both"/>
              <w:rPr>
                <w:rFonts w:ascii="Arial" w:eastAsiaTheme="minorEastAsia" w:hAnsi="Arial" w:cs="Arial"/>
                <w:sz w:val="18"/>
                <w:szCs w:val="18"/>
                <w:lang w:val="ro-MD"/>
              </w:rPr>
            </w:pPr>
          </w:p>
          <w:p w14:paraId="57DC8DAA" w14:textId="34A8C6B2" w:rsidR="00763B45" w:rsidRPr="003A36E3" w:rsidRDefault="001C3D6C"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Promovarea comerțului și a investițiilor</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39D62"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4</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97E49" w14:textId="7C84D524" w:rsidR="00763B45" w:rsidRPr="003A36E3" w:rsidRDefault="001C3D6C"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Creșterea competitivității comerțului de bunuri în MD</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E8D84" w14:textId="77777777" w:rsidR="00763B45" w:rsidRPr="003A36E3" w:rsidRDefault="00763B4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19</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7B002" w14:textId="6840B75F" w:rsidR="00763B45" w:rsidRPr="003A36E3" w:rsidRDefault="001C3D6C"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81943" w14:textId="77777777" w:rsidR="00763B45" w:rsidRPr="003A36E3" w:rsidRDefault="00763B45" w:rsidP="002F7854">
            <w:pPr>
              <w:spacing w:line="240" w:lineRule="auto"/>
              <w:jc w:val="both"/>
              <w:rPr>
                <w:rFonts w:ascii="Arial" w:eastAsiaTheme="minorEastAsia" w:hAnsi="Arial" w:cs="Arial"/>
                <w:sz w:val="18"/>
                <w:szCs w:val="18"/>
                <w:lang w:val="ro-MD"/>
              </w:rPr>
            </w:pP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E05B1" w14:textId="77777777" w:rsidR="00763B45" w:rsidRPr="003A36E3" w:rsidRDefault="00763B45" w:rsidP="002F7854">
            <w:pPr>
              <w:spacing w:after="0" w:line="240" w:lineRule="auto"/>
              <w:jc w:val="both"/>
              <w:rPr>
                <w:rFonts w:ascii="Arial" w:eastAsiaTheme="minorEastAsia" w:hAnsi="Arial" w:cs="Arial"/>
                <w:sz w:val="18"/>
                <w:szCs w:val="18"/>
                <w:lang w:val="ro-MD"/>
              </w:rPr>
            </w:pPr>
          </w:p>
          <w:p w14:paraId="170C5B7F" w14:textId="77777777" w:rsidR="00C55979" w:rsidRPr="003A36E3" w:rsidRDefault="00C55979" w:rsidP="00C5597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Timpul de procesare a vămuirii/declarației vamale este redus cu 30% datorită simplificărilor vamale, digitalizării și utilizării sistemului automatizat de gestionare a riscurilor: (i) Simplificările prevăzute în noul Cod Vamal sunt puse în aplicare; (ii) toate declarațiile în cadrul procedurilor vamale de import și export sunt efectuate în mod electronic și există o tendință pozitivă în ceea ce privește digitalizarea procedurilor vamale speciale. (iii) sistemul automatizat de gestionare a riscurilor în cadrul principalelor proceduri vamale este pus în aplicare pentru controalele vamale înainte de sosire și după vămuire. Analiza de risc a datelor vamale prealabile sosirii privind aspectele de securitate și siguranță (declarația sumară de intrare/ieșire) este operațională. Sunt puse în aplicare controale bazate pe riscuri după vămuire.</w:t>
            </w:r>
          </w:p>
          <w:p w14:paraId="501EC571" w14:textId="77777777" w:rsidR="00C55979" w:rsidRPr="003A36E3" w:rsidRDefault="00C55979" w:rsidP="00C55979">
            <w:pPr>
              <w:spacing w:after="0" w:line="240" w:lineRule="auto"/>
              <w:jc w:val="both"/>
              <w:rPr>
                <w:rFonts w:ascii="Arial" w:eastAsiaTheme="minorEastAsia" w:hAnsi="Arial" w:cs="Arial"/>
                <w:sz w:val="18"/>
                <w:szCs w:val="18"/>
                <w:lang w:val="ro-MD"/>
              </w:rPr>
            </w:pPr>
          </w:p>
          <w:p w14:paraId="69915B5C" w14:textId="478963A1" w:rsidR="00763B45" w:rsidRPr="003A36E3" w:rsidRDefault="00C55979" w:rsidP="00C5597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Linia de referință:  În 2024, timpul mediu de procesare la frontieră pentru vămuirea încărcăturii/declarația </w:t>
            </w:r>
            <w:r w:rsidRPr="003A36E3">
              <w:rPr>
                <w:rFonts w:ascii="Arial" w:eastAsiaTheme="minorEastAsia" w:hAnsi="Arial" w:cs="Arial"/>
                <w:sz w:val="18"/>
                <w:szCs w:val="18"/>
                <w:lang w:val="ro-MD"/>
              </w:rPr>
              <w:lastRenderedPageBreak/>
              <w:t>vamală este de 8 ore. În decembrie 2024, nivelul de prelucrare fără hârtie a declarațiilor vamale este de 90% pentru export, 70% pentru import și 60% pentru proceduri speciale. Nu există evaluări ale riscurilor în datele anterioare sosirii în vamă, nici pentru aspectele de siguranță și securitate. Analiza/gestionarea automată a riscurilor și controalele bazate pe riscuri după vămuire nu sunt puse în aplicare.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ABDE1" w14:textId="77777777" w:rsidR="00763B45" w:rsidRPr="003A36E3" w:rsidRDefault="00763B45" w:rsidP="002F7854">
            <w:pPr>
              <w:spacing w:after="0" w:line="240" w:lineRule="auto"/>
              <w:jc w:val="both"/>
              <w:rPr>
                <w:rFonts w:ascii="Arial" w:hAnsi="Arial" w:cs="Arial"/>
                <w:sz w:val="18"/>
                <w:szCs w:val="18"/>
                <w:lang w:val="ro-MD"/>
              </w:rPr>
            </w:pPr>
          </w:p>
          <w:p w14:paraId="1C4B192A" w14:textId="14FF0704" w:rsidR="00C55979" w:rsidRPr="003A36E3" w:rsidRDefault="00C55979" w:rsidP="00C55979">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Reducerea </w:t>
            </w:r>
            <w:r w:rsidR="00CE1E75">
              <w:rPr>
                <w:rFonts w:ascii="Arial" w:hAnsi="Arial" w:cs="Arial"/>
                <w:sz w:val="18"/>
                <w:szCs w:val="18"/>
                <w:lang w:val="ro-MD"/>
              </w:rPr>
              <w:t>timpului</w:t>
            </w:r>
            <w:r w:rsidRPr="003A36E3">
              <w:rPr>
                <w:rFonts w:ascii="Arial" w:hAnsi="Arial" w:cs="Arial"/>
                <w:sz w:val="18"/>
                <w:szCs w:val="18"/>
                <w:lang w:val="ro-MD"/>
              </w:rPr>
              <w:t xml:space="preserve"> de procesare a vămuirii/ declarației vamale cu 30 % față de 2024.</w:t>
            </w:r>
          </w:p>
          <w:p w14:paraId="081113E3" w14:textId="77777777" w:rsidR="00C55979" w:rsidRPr="003A36E3" w:rsidRDefault="00C55979" w:rsidP="00C55979">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Punerea în aplicare a simplificărilor prevăzute în noul Cod vamal (declarație simplificată, înscriere în evidențele declarantului).   </w:t>
            </w:r>
          </w:p>
          <w:p w14:paraId="1234A4B7" w14:textId="57210828" w:rsidR="00C55979" w:rsidRPr="003A36E3" w:rsidRDefault="00C55979" w:rsidP="00C55979">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Mediu 100% fără hârtie pentru toate procedurile vamale la import și export și o tendință pozitivă de digitalizare pentru procedurile vamale speciale.  Sistemul național de gestionare a riscurilor și sistemul de control al importurilor sunt </w:t>
            </w:r>
            <w:r w:rsidR="00FE50DE">
              <w:rPr>
                <w:rFonts w:ascii="Arial" w:hAnsi="Arial" w:cs="Arial"/>
                <w:sz w:val="18"/>
                <w:szCs w:val="18"/>
                <w:lang w:val="ro-MD"/>
              </w:rPr>
              <w:t>operaționale</w:t>
            </w:r>
            <w:r w:rsidRPr="003A36E3">
              <w:rPr>
                <w:rFonts w:ascii="Arial" w:hAnsi="Arial" w:cs="Arial"/>
                <w:sz w:val="18"/>
                <w:szCs w:val="18"/>
                <w:lang w:val="ro-MD"/>
              </w:rPr>
              <w:t xml:space="preserve"> în conformitate cu cerințele UE și sunt pregătite pentru conectarea viitoare la mediul vamal electronic al UE.</w:t>
            </w:r>
          </w:p>
          <w:p w14:paraId="089FAB45" w14:textId="77777777" w:rsidR="00C55979" w:rsidRPr="003A36E3" w:rsidRDefault="00C55979" w:rsidP="00C55979">
            <w:pPr>
              <w:spacing w:after="0" w:line="240" w:lineRule="auto"/>
              <w:jc w:val="both"/>
              <w:rPr>
                <w:rFonts w:ascii="Arial" w:hAnsi="Arial" w:cs="Arial"/>
                <w:sz w:val="18"/>
                <w:szCs w:val="18"/>
                <w:lang w:val="ro-MD"/>
              </w:rPr>
            </w:pPr>
          </w:p>
          <w:p w14:paraId="707A1EAD" w14:textId="77777777" w:rsidR="00C55979" w:rsidRPr="003A36E3" w:rsidRDefault="00C55979" w:rsidP="00C55979">
            <w:pPr>
              <w:spacing w:after="0" w:line="240" w:lineRule="auto"/>
              <w:jc w:val="both"/>
              <w:rPr>
                <w:rFonts w:ascii="Arial" w:hAnsi="Arial" w:cs="Arial"/>
                <w:sz w:val="18"/>
                <w:szCs w:val="18"/>
                <w:lang w:val="ro-MD"/>
              </w:rPr>
            </w:pPr>
            <w:r w:rsidRPr="003A36E3">
              <w:rPr>
                <w:rFonts w:ascii="Arial" w:hAnsi="Arial" w:cs="Arial"/>
                <w:sz w:val="18"/>
                <w:szCs w:val="18"/>
                <w:lang w:val="ro-MD"/>
              </w:rPr>
              <w:lastRenderedPageBreak/>
              <w:t>Sursa de verificare:</w:t>
            </w:r>
          </w:p>
          <w:p w14:paraId="73E81508" w14:textId="17F7BDEC" w:rsidR="00763B45" w:rsidRPr="003A36E3" w:rsidRDefault="00C55979" w:rsidP="00C55979">
            <w:pPr>
              <w:spacing w:after="0" w:line="240" w:lineRule="auto"/>
              <w:jc w:val="both"/>
              <w:rPr>
                <w:rFonts w:ascii="Arial" w:eastAsiaTheme="minorEastAsia" w:hAnsi="Arial" w:cs="Arial"/>
                <w:sz w:val="18"/>
                <w:szCs w:val="18"/>
                <w:lang w:val="ro-MD"/>
              </w:rPr>
            </w:pPr>
            <w:r w:rsidRPr="003A36E3">
              <w:rPr>
                <w:rFonts w:ascii="Arial" w:hAnsi="Arial" w:cs="Arial"/>
                <w:sz w:val="18"/>
                <w:szCs w:val="18"/>
                <w:lang w:val="ro-MD"/>
              </w:rPr>
              <w:t>Raportul Serviciului Vamal din MD/ audit independent posibil al Serviciului Vamal din MD.</w:t>
            </w:r>
          </w:p>
        </w:tc>
      </w:tr>
      <w:tr w:rsidR="00763B45" w:rsidRPr="00F026FE" w14:paraId="0856467A"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F83FB" w14:textId="573321E9" w:rsidR="00763B45" w:rsidRPr="003A36E3" w:rsidRDefault="00C55979" w:rsidP="004C2B2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Promovarea comerțului și a investițiilor</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6FDB0" w14:textId="10F34F5A" w:rsidR="00763B45" w:rsidRPr="003A36E3" w:rsidRDefault="00763B45" w:rsidP="004C2B26">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4</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F2A0B" w14:textId="4CCB9421" w:rsidR="00763B45" w:rsidRPr="003A36E3" w:rsidRDefault="00C55979" w:rsidP="004C2B2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Creșterea competitivității comerțului de bunuri și servicii în MD</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CD16C" w14:textId="32F3FF3B" w:rsidR="00763B45" w:rsidRPr="003A36E3" w:rsidRDefault="00763B45" w:rsidP="004C2B26">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20</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CEE97" w14:textId="3253BE99" w:rsidR="00763B45" w:rsidRPr="003A36E3" w:rsidRDefault="00C55979" w:rsidP="004C2B26">
            <w:pPr>
              <w:pBdr>
                <w:top w:val="nil"/>
                <w:left w:val="nil"/>
                <w:bottom w:val="nil"/>
                <w:right w:val="nil"/>
                <w:between w:val="nil"/>
              </w:pBdr>
              <w:shd w:val="clear" w:color="auto" w:fill="FFFFFF" w:themeFill="background1"/>
              <w:spacing w:after="0" w:line="256" w:lineRule="auto"/>
              <w:ind w:left="135" w:hanging="90"/>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p>
          <w:p w14:paraId="7BFAE583" w14:textId="0049E89B" w:rsidR="00763B45" w:rsidRPr="003A36E3" w:rsidRDefault="00763B45" w:rsidP="004C2B2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3C527" w14:textId="2E6D3C4E" w:rsidR="00763B45" w:rsidRPr="003A36E3" w:rsidRDefault="00763B45" w:rsidP="004C2B26">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MF</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34FF3" w14:textId="77777777" w:rsidR="00C55979" w:rsidRPr="003A36E3" w:rsidRDefault="00C55979" w:rsidP="00C5597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Mediul aferent ghișeului vamal unic este operațional.</w:t>
            </w:r>
          </w:p>
          <w:p w14:paraId="14AED1CE" w14:textId="77777777" w:rsidR="00C55979" w:rsidRPr="003A36E3" w:rsidRDefault="00C55979" w:rsidP="00C55979">
            <w:pPr>
              <w:spacing w:after="0" w:line="240" w:lineRule="auto"/>
              <w:jc w:val="both"/>
              <w:rPr>
                <w:rFonts w:ascii="Arial" w:eastAsiaTheme="minorEastAsia" w:hAnsi="Arial" w:cs="Arial"/>
                <w:sz w:val="18"/>
                <w:szCs w:val="18"/>
                <w:lang w:val="ro-MD"/>
              </w:rPr>
            </w:pPr>
          </w:p>
          <w:p w14:paraId="39EF5F08" w14:textId="11B38BFA" w:rsidR="00763B45" w:rsidRPr="003A36E3" w:rsidRDefault="00C55979" w:rsidP="00C5597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decembrie 2024, agențiile naționale de reglementare implicate în vămuire (cum ar fi sănătatea și siguranța, protecția mediului, supravegherea pieței, agricultura) și autoritatea vamală nu au niciun schimb de date.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D59D7" w14:textId="77777777" w:rsidR="00CE0FEC" w:rsidRPr="003A36E3" w:rsidRDefault="00CE0FEC" w:rsidP="00CE0FE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Mediul național al ghișeului unic pentru vamă se va concentra pe schimbul interguvernamental, iar vama va avea rolul de coordonare în acest proces. Operatorii economici nu vor trebui să se adreseze separat fiecărei agenții de reglementare pentru a obține acte permisive pentru vămuirea bunurilor.</w:t>
            </w:r>
          </w:p>
          <w:p w14:paraId="2F7C400F" w14:textId="77777777" w:rsidR="00CE0FEC" w:rsidRPr="003A36E3" w:rsidRDefault="00CE0FEC" w:rsidP="00CE0FE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Aceasta include acțiuni care au în vedere ghișeul unic al UE existent și conectarea viitoare la mediul vamal electronic al UE.</w:t>
            </w:r>
          </w:p>
          <w:p w14:paraId="4CB246B5" w14:textId="77777777" w:rsidR="00CE0FEC" w:rsidRPr="003A36E3" w:rsidRDefault="00CE0FEC" w:rsidP="00CE0FEC">
            <w:pPr>
              <w:spacing w:after="0" w:line="240" w:lineRule="auto"/>
              <w:jc w:val="both"/>
              <w:rPr>
                <w:rFonts w:ascii="Arial" w:eastAsiaTheme="minorEastAsia" w:hAnsi="Arial" w:cs="Arial"/>
                <w:sz w:val="18"/>
                <w:szCs w:val="18"/>
                <w:lang w:val="ro-MD"/>
              </w:rPr>
            </w:pPr>
          </w:p>
          <w:p w14:paraId="2F1D8508" w14:textId="6E4F5DA0" w:rsidR="00763B45" w:rsidRPr="003A36E3" w:rsidRDefault="00CE0FEC" w:rsidP="00CE0FEC">
            <w:pPr>
              <w:spacing w:after="0" w:line="240" w:lineRule="auto"/>
              <w:jc w:val="both"/>
              <w:rPr>
                <w:rFonts w:ascii="Arial" w:hAnsi="Arial" w:cs="Arial"/>
                <w:sz w:val="18"/>
                <w:szCs w:val="18"/>
                <w:lang w:val="ro-MD"/>
              </w:rPr>
            </w:pPr>
            <w:r w:rsidRPr="003A36E3">
              <w:rPr>
                <w:rFonts w:ascii="Arial" w:eastAsiaTheme="minorEastAsia" w:hAnsi="Arial" w:cs="Arial"/>
                <w:sz w:val="18"/>
                <w:szCs w:val="18"/>
                <w:lang w:val="ro-MD"/>
              </w:rPr>
              <w:t>Sursa de verificare: Raportul Serviciului Vamal din MD.</w:t>
            </w:r>
          </w:p>
        </w:tc>
      </w:tr>
      <w:tr w:rsidR="00763B45" w:rsidRPr="00F026FE" w14:paraId="0ABA2696"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A017C" w14:textId="0A4A2D11" w:rsidR="00763B45" w:rsidRPr="003A36E3" w:rsidRDefault="00CE0FEC" w:rsidP="00C83E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Concurență / ajutor de stat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7CC09" w14:textId="2A9C5342"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5</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B54E0" w14:textId="368C5EAB" w:rsidR="00763B45" w:rsidRPr="003A36E3" w:rsidRDefault="00CE0FEC" w:rsidP="00C83E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Concurență</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40CE2" w14:textId="10A48CA3"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F2F83" w14:textId="5D8392B7" w:rsidR="00763B45" w:rsidRPr="003A36E3" w:rsidRDefault="00CE0FEC"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763B45" w:rsidRPr="003A36E3">
              <w:rPr>
                <w:rFonts w:ascii="Arial" w:eastAsiaTheme="minorEastAsia" w:hAnsi="Arial" w:cs="Arial"/>
                <w:sz w:val="18"/>
                <w:szCs w:val="18"/>
                <w:lang w:val="ro-MD"/>
              </w:rPr>
              <w:t xml:space="preserve"> 2026</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EA6A1" w14:textId="594EE34A" w:rsidR="00763B45" w:rsidRPr="003A36E3" w:rsidRDefault="00CE0FEC"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Consiliul Concurenței</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7F31" w14:textId="77777777" w:rsidR="00CE0FEC" w:rsidRPr="003A36E3" w:rsidRDefault="00CE0FEC" w:rsidP="00CE0FEC">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Sistemul de gestionare electronică a cazurilor este operațional, iar instrumentele informatice criminalistice sunt utilizate pentru inspecții, în vederea îmbunătățirii capacităților Autorității naționale de concurență de a desfășura proceduri de investigare relevante privind încălcările legislației în domeniul concurenței.</w:t>
            </w:r>
          </w:p>
          <w:p w14:paraId="46C83120" w14:textId="77777777" w:rsidR="00CE0FEC" w:rsidRPr="003A36E3" w:rsidRDefault="00CE0FEC" w:rsidP="00CE0FEC">
            <w:pPr>
              <w:spacing w:after="0"/>
              <w:jc w:val="both"/>
              <w:rPr>
                <w:rFonts w:ascii="Arial" w:eastAsiaTheme="minorEastAsia" w:hAnsi="Arial" w:cs="Arial"/>
                <w:sz w:val="18"/>
                <w:szCs w:val="18"/>
                <w:lang w:val="ro-MD"/>
              </w:rPr>
            </w:pPr>
          </w:p>
          <w:p w14:paraId="011F253F" w14:textId="0911668E" w:rsidR="00763B45" w:rsidRPr="003A36E3" w:rsidRDefault="00CE0FEC" w:rsidP="00CE0FEC">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2024, nu există niciun sistem de gestionare a cazurilor în vigoare și nu sunt utilizate instrumente IT criminalistice.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494B1" w14:textId="4FE76654" w:rsidR="00763B45" w:rsidRPr="003A36E3" w:rsidRDefault="00CE0FEC"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Sistemul electronic de gestionare a cazurilor va integra și posibilitatea de a gestiona toate documentele interne ale Autorității de concurență, inclusiv gestionarea cazurilor inițiate de Consiliul Concurenței. Instrumentele informatice criminalistice vor fi integrate în procesele interne ale Consiliului Concurenței și utilizate pentru inspecții. Instrumentele criminalistice ar trebui să corespundă instrumentelor utilizate de Autoritățile de concurență din statele membre ale UE.</w:t>
            </w:r>
          </w:p>
          <w:p w14:paraId="3629039F" w14:textId="02B9F256" w:rsidR="00763B45" w:rsidRPr="003A36E3" w:rsidRDefault="00E17B9A"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Sursa de verificare: Rapoartele Consiliului Concurenței al Republicii Moldova</w:t>
            </w:r>
          </w:p>
        </w:tc>
      </w:tr>
      <w:tr w:rsidR="00763B45" w:rsidRPr="00F026FE" w14:paraId="550AF2B2"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71033" w14:textId="0B67734D" w:rsidR="00763B45" w:rsidRPr="003A36E3" w:rsidRDefault="00E17B9A"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Concurență / ajutor de stat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547D8" w14:textId="1BA98CCF"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5</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EE7E31" w14:textId="1E7EFD16" w:rsidR="00763B45" w:rsidRPr="003A36E3" w:rsidRDefault="00E17B9A"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Ajutor de stat</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6BF1CB" w14:textId="569035C2"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7EA56" w14:textId="607E4F18" w:rsidR="00763B45" w:rsidRPr="003A36E3" w:rsidRDefault="00E17B9A"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5CD2C" w14:textId="6A2F950B" w:rsidR="00763B45" w:rsidRPr="003A36E3" w:rsidRDefault="00E17B9A"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Consiliul Concurenței</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BF381" w14:textId="77777777" w:rsidR="00E17B9A" w:rsidRPr="003A36E3" w:rsidRDefault="00E17B9A" w:rsidP="00E17B9A">
            <w:pPr>
              <w:jc w:val="both"/>
              <w:rPr>
                <w:rFonts w:ascii="Arial" w:hAnsi="Arial" w:cs="Arial"/>
                <w:sz w:val="18"/>
                <w:szCs w:val="18"/>
                <w:lang w:val="ro-MD"/>
              </w:rPr>
            </w:pPr>
            <w:r w:rsidRPr="003A36E3">
              <w:rPr>
                <w:rFonts w:ascii="Arial" w:hAnsi="Arial" w:cs="Arial"/>
                <w:sz w:val="18"/>
                <w:szCs w:val="18"/>
                <w:lang w:val="ro-MD"/>
              </w:rPr>
              <w:t>Registrul modernizat al ajutoarelor de stat este pe deplin operațional și toți furnizorii de ajutoare de stat sunt obligați să raporteze ajutoarele de stat furnizate prin intermediul sistemului digital.</w:t>
            </w:r>
          </w:p>
          <w:p w14:paraId="489DB8AD" w14:textId="09D97BED" w:rsidR="00763B45" w:rsidRPr="003A36E3" w:rsidRDefault="00E17B9A" w:rsidP="00E17B9A">
            <w:pPr>
              <w:spacing w:line="257" w:lineRule="auto"/>
              <w:jc w:val="both"/>
              <w:rPr>
                <w:rFonts w:ascii="Arial" w:hAnsi="Arial" w:cs="Arial"/>
                <w:sz w:val="18"/>
                <w:szCs w:val="18"/>
                <w:lang w:val="ro-MD"/>
              </w:rPr>
            </w:pPr>
            <w:r w:rsidRPr="003A36E3">
              <w:rPr>
                <w:rFonts w:ascii="Arial" w:hAnsi="Arial" w:cs="Arial"/>
                <w:sz w:val="18"/>
                <w:szCs w:val="18"/>
                <w:lang w:val="ro-MD"/>
              </w:rPr>
              <w:t>Linia de referință: registrul ajutoarelor de stat există și este funcțional, dar trebuie modernizat, inclusiv prin dezvoltarea Registrului central pentru ajutoarele de minimis.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1B67A" w14:textId="77777777" w:rsidR="00E17B9A" w:rsidRPr="003A36E3" w:rsidRDefault="00E17B9A" w:rsidP="00E17B9A">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Sunt introduse modificări legislative care prevăd obligativitatea ca toate ajutoarele de minimis să fie incluse în registrul ajutoarelor de stat. Actualizarea registrului ajutoarelor de stat este finalizată, toate instituțiile publice relevante având acces la acesta.</w:t>
            </w:r>
          </w:p>
          <w:p w14:paraId="78C13B6A" w14:textId="28C5880E" w:rsidR="00763B45" w:rsidRPr="003A36E3" w:rsidRDefault="00E17B9A" w:rsidP="00E17B9A">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Monitorul Oficial; registrul ajutoarelor de stat pe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Consiliului Concurenței.</w:t>
            </w:r>
          </w:p>
        </w:tc>
      </w:tr>
      <w:tr w:rsidR="00763B45" w:rsidRPr="003A36E3" w14:paraId="57803832"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63DE5"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SPS</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17C59"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4</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C0314"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SPS</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ED834"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23</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092DBC" w14:textId="4268BD01" w:rsidR="00763B45" w:rsidRPr="003A36E3" w:rsidRDefault="00E17B9A" w:rsidP="00C83EEB">
            <w:pPr>
              <w:spacing w:line="256"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2C863F"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ANSA</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3D673" w14:textId="77777777" w:rsidR="001617CD" w:rsidRPr="003A36E3" w:rsidRDefault="001617CD" w:rsidP="001617CD">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Domeniul de aplicare al Programului național de monitorizare și supraveghere SPS, monitorizarea reziduurilor, este extins în ceea ce privește grupurile de produse și numărul de probe prelevate pentru controale/inspecții oficiale. </w:t>
            </w:r>
          </w:p>
          <w:p w14:paraId="3476EE71" w14:textId="77777777" w:rsidR="001617CD" w:rsidRPr="003A36E3" w:rsidRDefault="001617CD" w:rsidP="001617CD">
            <w:pPr>
              <w:spacing w:after="0"/>
              <w:jc w:val="both"/>
              <w:rPr>
                <w:rFonts w:ascii="Arial" w:eastAsiaTheme="minorEastAsia" w:hAnsi="Arial" w:cs="Arial"/>
                <w:sz w:val="18"/>
                <w:szCs w:val="18"/>
                <w:lang w:val="ro-MD"/>
              </w:rPr>
            </w:pPr>
          </w:p>
          <w:p w14:paraId="3D196305" w14:textId="51A637C5" w:rsidR="00763B45" w:rsidRPr="003A36E3" w:rsidRDefault="001617CD" w:rsidP="001617CD">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2023, programul de monitorizare a reziduurilor (substanțe farmacologic active, pesticide și contaminanți) acoperea apicultura, acvacultura (pești și caviar), ouăle de găină, carnea de pasăre, laptele de bоvinе, laptele de oaie și de capră (nu și carnea de oaie și capră, iepure, porc etc.)</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C2428" w14:textId="77777777" w:rsidR="008E2F54" w:rsidRPr="003A36E3" w:rsidRDefault="008E2F54" w:rsidP="008E2F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Controalele oficiale (inițieri) sunt efectuate pentru a asigura siguranța alimentară și protecția consumatorilor în vederea pregătirii integrării pe piața unică a UE. Ar trebui adăugate noi grupuri de produse, monitorizarea substanțelor (grupurilor) aliniate la UE în funcție de evaluările riscurilor. Nivelul de asigurare a siguranței produselor trebuie menținut și actualizat în permanență pentru noi substanțe și constatări, pentru a menține autorizația și a include noi grupuri de produse pentru tranzitul și exportul acestor produse către UE.</w:t>
            </w:r>
          </w:p>
          <w:p w14:paraId="063FE0D0" w14:textId="4223E51A" w:rsidR="00763B45" w:rsidRPr="003A36E3" w:rsidRDefault="008E2F54" w:rsidP="008E2F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Raportul anual al ANSA și transmiterea către DG Sante</w:t>
            </w:r>
          </w:p>
        </w:tc>
      </w:tr>
      <w:tr w:rsidR="00763B45" w:rsidRPr="00F026FE" w14:paraId="4121F611"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F8A9A2"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SPS</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09308"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4</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55207"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SPS</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8B241"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24</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B4E09" w14:textId="7DB0B134" w:rsidR="00763B45" w:rsidRPr="003A36E3" w:rsidRDefault="008E2F54" w:rsidP="00C83EEB">
            <w:pPr>
              <w:spacing w:line="256"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DBB16"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ANSA</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38DF3" w14:textId="77777777" w:rsidR="008E2F54" w:rsidRPr="003A36E3" w:rsidRDefault="008E2F54" w:rsidP="008E2F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Pentru a spori capacitățile naționale de analiză și testare în vederea creșterii eficienței controalelor privind siguranța alimentară, monitorizarea SPS este consolidată prin operaționalizarea a 4 laboratoare regionale pentru controale oficiale (supraveghere) și </w:t>
            </w:r>
            <w:r w:rsidRPr="003A36E3">
              <w:rPr>
                <w:rFonts w:ascii="Arial" w:eastAsiaTheme="minorEastAsia" w:hAnsi="Arial" w:cs="Arial"/>
                <w:sz w:val="18"/>
                <w:szCs w:val="18"/>
                <w:lang w:val="ro-MD"/>
              </w:rPr>
              <w:lastRenderedPageBreak/>
              <w:t>testare pentru autocontroale efectuate de sectorul privat, cu un număr tot mai mare de metode acreditate atât pentru sănătatea alimentelor/animalelor și a plantelor, cât și pentru reziduurile chimice.</w:t>
            </w:r>
          </w:p>
          <w:p w14:paraId="01798583" w14:textId="77777777" w:rsidR="008E2F54" w:rsidRPr="003A36E3" w:rsidRDefault="008E2F54" w:rsidP="008E2F54">
            <w:pPr>
              <w:spacing w:after="0" w:line="240" w:lineRule="auto"/>
              <w:jc w:val="both"/>
              <w:rPr>
                <w:rFonts w:ascii="Arial" w:eastAsiaTheme="minorEastAsia" w:hAnsi="Arial" w:cs="Arial"/>
                <w:sz w:val="18"/>
                <w:szCs w:val="18"/>
                <w:lang w:val="ro-MD"/>
              </w:rPr>
            </w:pPr>
          </w:p>
          <w:p w14:paraId="5B14942C" w14:textId="2E03AB16" w:rsidR="00763B45" w:rsidRPr="003A36E3" w:rsidRDefault="008E2F54" w:rsidP="008E2F54">
            <w:pPr>
              <w:spacing w:before="120" w:after="120"/>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laboratoarele regionale din Drochia și Dondușeni sunt funcționale. Laboratoarele din Bălți și Cahul sunt planificate să fie dezvoltate ca centre logistice. În prezent, sunt acreditate în total 362 de metode, dintre care 40 sunt pentru determinarea reziduurilor în produsele agroalimentare.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6B5D" w14:textId="77777777" w:rsidR="008E2F54" w:rsidRPr="003A36E3" w:rsidRDefault="008E2F54" w:rsidP="008E2F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A fost adoptat un plan de dezvoltare a laboratoarelor care acoperă laboratoarele naționale de referință și regionale (laboratoarele CNSAPSA), inclusiv domeniul de </w:t>
            </w:r>
            <w:r w:rsidRPr="003A36E3">
              <w:rPr>
                <w:rFonts w:ascii="Arial" w:eastAsiaTheme="minorEastAsia" w:hAnsi="Arial" w:cs="Arial"/>
                <w:sz w:val="18"/>
                <w:szCs w:val="18"/>
                <w:lang w:val="ro-MD"/>
              </w:rPr>
              <w:lastRenderedPageBreak/>
              <w:t>aplicare pentru acreditare, validarea metodelor, planul de formare a laboratoarelor, planul financiar (resurse proprii și externalizare).</w:t>
            </w:r>
          </w:p>
          <w:p w14:paraId="05EE9DD7" w14:textId="77777777" w:rsidR="008E2F54" w:rsidRPr="003A36E3" w:rsidRDefault="008E2F54" w:rsidP="008E2F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Obținerea unui număr de 413 metode acreditate, în cadrul laboratoarelor de referință pentru determinarea indicatorilor de sănătate alimentară, animală și vegetală.</w:t>
            </w:r>
          </w:p>
          <w:p w14:paraId="2E29E66C" w14:textId="77777777" w:rsidR="008E2F54" w:rsidRPr="003A36E3" w:rsidRDefault="008E2F54" w:rsidP="008E2F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Obținerea unui număr de 48 de metode aplicate în laboratoarele de referință pentru determinarea reziduurilor chimice din produsele agroalimentare.</w:t>
            </w:r>
          </w:p>
          <w:p w14:paraId="1879823F" w14:textId="77777777" w:rsidR="008E2F54" w:rsidRPr="003A36E3" w:rsidRDefault="008E2F54" w:rsidP="008E2F54">
            <w:pPr>
              <w:spacing w:line="240" w:lineRule="auto"/>
              <w:jc w:val="both"/>
              <w:rPr>
                <w:rFonts w:ascii="Arial" w:eastAsiaTheme="minorEastAsia" w:hAnsi="Arial" w:cs="Arial"/>
                <w:sz w:val="18"/>
                <w:szCs w:val="18"/>
                <w:lang w:val="ro-MD"/>
              </w:rPr>
            </w:pPr>
          </w:p>
          <w:p w14:paraId="1EF973C6" w14:textId="08866988" w:rsidR="00763B45" w:rsidRPr="003A36E3" w:rsidRDefault="008E2F54" w:rsidP="008E2F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Activitate de laborator/raport de testare</w:t>
            </w:r>
          </w:p>
        </w:tc>
      </w:tr>
      <w:tr w:rsidR="00763B45" w:rsidRPr="00F026FE" w14:paraId="1954B6EB"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9B82D" w14:textId="77777777" w:rsidR="00763B45" w:rsidRPr="003A36E3" w:rsidRDefault="00763B45" w:rsidP="00C83EEB">
            <w:pPr>
              <w:spacing w:line="240" w:lineRule="auto"/>
              <w:jc w:val="both"/>
              <w:rPr>
                <w:rFonts w:ascii="Arial" w:eastAsiaTheme="minorEastAsia" w:hAnsi="Arial" w:cs="Arial"/>
                <w:sz w:val="18"/>
                <w:szCs w:val="18"/>
                <w:lang w:val="ro-MD"/>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4B738E"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5</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D0D4B" w14:textId="56DB8582" w:rsidR="00763B45" w:rsidRPr="003A36E3" w:rsidRDefault="000147B3" w:rsidP="00C83E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Cadrul instituțional administrativ și de reglementare agricolă este consolidat pentru o mai bună integrare în lanțurile valorice internaționale.</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3AFB8"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8E588" w14:textId="3CDDE650" w:rsidR="00763B45" w:rsidRPr="003A36E3" w:rsidRDefault="000147B3" w:rsidP="00C83EEB">
            <w:pPr>
              <w:spacing w:line="256"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2026</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A7B62" w14:textId="602F63BE" w:rsidR="00763B45" w:rsidRPr="003A36E3" w:rsidRDefault="000147B3"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Agriculturii și Industriei Alimentare</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9B678" w14:textId="4B10E7CF" w:rsidR="000147B3" w:rsidRPr="003A36E3" w:rsidRDefault="000147B3" w:rsidP="000147B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Registrul fermie</w:t>
            </w:r>
            <w:r w:rsidR="00743A74" w:rsidRPr="003A36E3">
              <w:rPr>
                <w:rFonts w:ascii="Arial" w:eastAsiaTheme="minorEastAsia" w:hAnsi="Arial" w:cs="Arial"/>
                <w:sz w:val="18"/>
                <w:szCs w:val="18"/>
                <w:lang w:val="ro-MD"/>
              </w:rPr>
              <w:t>ri</w:t>
            </w:r>
            <w:r w:rsidRPr="003A36E3">
              <w:rPr>
                <w:rFonts w:ascii="Arial" w:eastAsiaTheme="minorEastAsia" w:hAnsi="Arial" w:cs="Arial"/>
                <w:sz w:val="18"/>
                <w:szCs w:val="18"/>
                <w:lang w:val="ro-MD"/>
              </w:rPr>
              <w:t>lor din MD este operațional și completat cu date.</w:t>
            </w:r>
          </w:p>
          <w:p w14:paraId="4BD9C726" w14:textId="77777777" w:rsidR="000147B3" w:rsidRPr="003A36E3" w:rsidRDefault="000147B3" w:rsidP="000147B3">
            <w:pPr>
              <w:spacing w:after="0" w:line="240" w:lineRule="auto"/>
              <w:jc w:val="both"/>
              <w:rPr>
                <w:rFonts w:ascii="Arial" w:eastAsiaTheme="minorEastAsia" w:hAnsi="Arial" w:cs="Arial"/>
                <w:sz w:val="18"/>
                <w:szCs w:val="18"/>
                <w:lang w:val="ro-MD"/>
              </w:rPr>
            </w:pPr>
          </w:p>
          <w:p w14:paraId="7CB9E76D" w14:textId="77777777" w:rsidR="000147B3" w:rsidRPr="003A36E3" w:rsidRDefault="000147B3" w:rsidP="000147B3">
            <w:pPr>
              <w:spacing w:after="0" w:line="240" w:lineRule="auto"/>
              <w:jc w:val="both"/>
              <w:rPr>
                <w:rFonts w:ascii="Arial" w:eastAsiaTheme="minorEastAsia" w:hAnsi="Arial" w:cs="Arial"/>
                <w:sz w:val="18"/>
                <w:szCs w:val="18"/>
                <w:lang w:val="ro-MD"/>
              </w:rPr>
            </w:pPr>
          </w:p>
          <w:p w14:paraId="2F3DF7AB" w14:textId="14C85A63" w:rsidR="00763B45" w:rsidRPr="003A36E3" w:rsidRDefault="000147B3" w:rsidP="000147B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Registrul național al fermierilor nu este funcțional (conceptualizare și pilotare efectuate în 2024)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E2610" w14:textId="77777777" w:rsidR="000147B3" w:rsidRPr="003A36E3" w:rsidRDefault="000147B3" w:rsidP="000147B3">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Toți agricultorii care beneficiază de subvenții agricole din Fondul național de dezvoltare a agriculturii și mediului rural (AIPA) sunt înregistrați în Registrul național al fermierilor.</w:t>
            </w:r>
          </w:p>
          <w:p w14:paraId="35771BD0" w14:textId="77777777" w:rsidR="000147B3" w:rsidRPr="003A36E3" w:rsidRDefault="000147B3" w:rsidP="000147B3">
            <w:pPr>
              <w:spacing w:after="0"/>
              <w:jc w:val="both"/>
              <w:rPr>
                <w:rFonts w:ascii="Arial" w:eastAsiaTheme="minorEastAsia" w:hAnsi="Arial" w:cs="Arial"/>
                <w:sz w:val="18"/>
                <w:szCs w:val="18"/>
                <w:lang w:val="ro-MD"/>
              </w:rPr>
            </w:pPr>
          </w:p>
          <w:p w14:paraId="37E0F21E" w14:textId="774F302C" w:rsidR="00763B45" w:rsidRPr="003A36E3" w:rsidRDefault="000147B3" w:rsidP="000147B3">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Raportul/</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Ministerului Agriculturii</w:t>
            </w:r>
          </w:p>
        </w:tc>
      </w:tr>
      <w:tr w:rsidR="00763B45" w:rsidRPr="00F026FE" w14:paraId="7CDC39F8"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A0D61" w14:textId="0A568C47" w:rsidR="00763B45" w:rsidRPr="003A36E3" w:rsidRDefault="00743A74"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Agricultură</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026AE"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5</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8BAAD" w14:textId="0EA30255" w:rsidR="00763B45" w:rsidRPr="003A36E3" w:rsidRDefault="00743A74" w:rsidP="00C83E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Cadrul instituțional administrativ și de reglementare agricolă este consolidat pentru o mai bună integrare </w:t>
            </w:r>
            <w:r w:rsidRPr="003A36E3">
              <w:rPr>
                <w:rFonts w:ascii="Arial" w:eastAsiaTheme="minorEastAsia" w:hAnsi="Arial" w:cs="Arial"/>
                <w:sz w:val="18"/>
                <w:szCs w:val="18"/>
                <w:lang w:val="ro-MD"/>
              </w:rPr>
              <w:lastRenderedPageBreak/>
              <w:t>în lanțurile valorice internaționale.</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E540B"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26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AF1A0" w14:textId="70D1583D" w:rsidR="00763B45" w:rsidRPr="003A36E3" w:rsidRDefault="00743A74" w:rsidP="00C83EEB">
            <w:pPr>
              <w:spacing w:line="256"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479D8" w14:textId="2305091C" w:rsidR="00763B45" w:rsidRPr="003A36E3" w:rsidRDefault="00743A74"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Agriculturii și Industriei Alimentare, AIPA</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85165" w14:textId="162371E6" w:rsidR="00743A74" w:rsidRPr="003A36E3" w:rsidRDefault="00743A74" w:rsidP="00743A7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Sistemul de identificare a terenurilor și parcelelor (L</w:t>
            </w:r>
            <w:r w:rsidR="003B32AC" w:rsidRPr="003A36E3">
              <w:rPr>
                <w:rFonts w:ascii="Arial" w:eastAsiaTheme="minorEastAsia" w:hAnsi="Arial" w:cs="Arial"/>
                <w:sz w:val="18"/>
                <w:szCs w:val="18"/>
                <w:lang w:val="ro-MD"/>
              </w:rPr>
              <w:t>PIS</w:t>
            </w:r>
            <w:r w:rsidRPr="003A36E3">
              <w:rPr>
                <w:rFonts w:ascii="Arial" w:eastAsiaTheme="minorEastAsia" w:hAnsi="Arial" w:cs="Arial"/>
                <w:sz w:val="18"/>
                <w:szCs w:val="18"/>
                <w:lang w:val="ro-MD"/>
              </w:rPr>
              <w:t>) este operațional, fiind o condiție prealabilă pentru plățile bazate pe suprafață în viitor.</w:t>
            </w:r>
          </w:p>
          <w:p w14:paraId="659753CD" w14:textId="77777777" w:rsidR="00743A74" w:rsidRPr="003A36E3" w:rsidRDefault="00743A74" w:rsidP="00743A74">
            <w:pPr>
              <w:spacing w:after="0" w:line="240" w:lineRule="auto"/>
              <w:jc w:val="both"/>
              <w:rPr>
                <w:rFonts w:ascii="Arial" w:eastAsiaTheme="minorEastAsia" w:hAnsi="Arial" w:cs="Arial"/>
                <w:sz w:val="18"/>
                <w:szCs w:val="18"/>
                <w:lang w:val="ro-MD"/>
              </w:rPr>
            </w:pPr>
          </w:p>
          <w:p w14:paraId="7976BD94" w14:textId="77777777" w:rsidR="00743A74" w:rsidRPr="003A36E3" w:rsidRDefault="00743A74" w:rsidP="00743A74">
            <w:pPr>
              <w:spacing w:after="0" w:line="240" w:lineRule="auto"/>
              <w:jc w:val="both"/>
              <w:rPr>
                <w:rFonts w:ascii="Arial" w:eastAsiaTheme="minorEastAsia" w:hAnsi="Arial" w:cs="Arial"/>
                <w:sz w:val="18"/>
                <w:szCs w:val="18"/>
                <w:lang w:val="ro-MD"/>
              </w:rPr>
            </w:pPr>
          </w:p>
          <w:p w14:paraId="6E823EDB" w14:textId="5B53DC5D" w:rsidR="00763B45" w:rsidRPr="003A36E3" w:rsidRDefault="00743A74" w:rsidP="00743A7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Linia de referință: LPIS nu este operațional. Un proiect pilot de monitorizare a culturilor a fost realizat în 2024 în </w:t>
            </w:r>
            <w:r w:rsidRPr="003A36E3">
              <w:rPr>
                <w:rFonts w:ascii="Arial" w:eastAsiaTheme="minorEastAsia" w:hAnsi="Arial" w:cs="Arial"/>
                <w:sz w:val="18"/>
                <w:szCs w:val="18"/>
                <w:lang w:val="ro-MD"/>
              </w:rPr>
              <w:lastRenderedPageBreak/>
              <w:t>5 raioane, dar cu sprijinul substanțial al unui furnizor extern. Sistemul nu este operaționalizat.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5D380" w14:textId="77777777" w:rsidR="00743A74" w:rsidRPr="003A36E3" w:rsidRDefault="00743A74" w:rsidP="00743A7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Faptul că LPIS este operațional înseamnă că sunt disponibile hărți digitale de înaltă rezoluție pentru utilizarea terenurilor pentru fiecare sezon agricol anual, care permit verificarea cererilor de plată depuse pentru plățile în funcție de suprafață de către fermierii de pe teritoriul Moldovei (malul drept al Nistrului) - </w:t>
            </w:r>
            <w:r w:rsidRPr="003A36E3">
              <w:rPr>
                <w:rFonts w:ascii="Arial" w:eastAsiaTheme="minorEastAsia" w:hAnsi="Arial" w:cs="Arial"/>
                <w:sz w:val="18"/>
                <w:szCs w:val="18"/>
                <w:lang w:val="ro-MD"/>
              </w:rPr>
              <w:lastRenderedPageBreak/>
              <w:t xml:space="preserve">identificarea și delimitarea suprafeței de teren utilizată de un producător agricol și solicitată pentru a beneficia de sprijin pentru plățile în funcție de suprafață. </w:t>
            </w:r>
          </w:p>
          <w:p w14:paraId="76566027" w14:textId="6E4F7890" w:rsidR="00763B45" w:rsidRPr="003A36E3" w:rsidRDefault="00743A74" w:rsidP="00743A7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Rapoarte și simulări ale sistemului de date LPIS.</w:t>
            </w:r>
          </w:p>
        </w:tc>
      </w:tr>
      <w:tr w:rsidR="00763B45" w:rsidRPr="00F026FE" w14:paraId="44209A73"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8D3AF" w14:textId="17E2611F" w:rsidR="00763B45" w:rsidRPr="003A36E3" w:rsidRDefault="00B77FF7"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Agricultură</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DAC54"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5</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8DE7D" w14:textId="4A908E18" w:rsidR="00763B45" w:rsidRPr="003A36E3" w:rsidRDefault="00F23BBC" w:rsidP="00C83E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Cadrul instituțional administrativ și de reglementare agricolă este consolidat pentru o mai bună integrare în lanțurile valorice internaționale.</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C68A8"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7C9A1" w14:textId="6CAE5DA8" w:rsidR="00763B45" w:rsidRPr="003A36E3" w:rsidRDefault="0061572F" w:rsidP="00C83EEB">
            <w:pPr>
              <w:spacing w:line="256"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EDBBC" w14:textId="71AB5855" w:rsidR="00763B45" w:rsidRPr="003A36E3" w:rsidRDefault="00C570EE"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Agriculturii și Industriei Alimentare, AIPA</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674C" w14:textId="77777777" w:rsidR="00B32592" w:rsidRPr="003A36E3" w:rsidRDefault="00B32592" w:rsidP="00B32592">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Sunt introduse condiționalitatea (aderarea la cerințele statutare de gestionare) și mecanismul de sancționare pentru nerespectarea sprijinului financiar AIPA pentru a stimula punerea în aplicare a standardelor UE privind sănătatea și bunăstarea publică, a plantelor și a animalelor.</w:t>
            </w:r>
          </w:p>
          <w:p w14:paraId="7173836E" w14:textId="77777777" w:rsidR="00B32592" w:rsidRPr="003A36E3" w:rsidRDefault="00B32592" w:rsidP="00B32592">
            <w:pPr>
              <w:spacing w:after="0" w:line="240" w:lineRule="auto"/>
              <w:jc w:val="both"/>
              <w:rPr>
                <w:rFonts w:ascii="Arial" w:eastAsiaTheme="minorEastAsia" w:hAnsi="Arial" w:cs="Arial"/>
                <w:sz w:val="18"/>
                <w:szCs w:val="18"/>
                <w:lang w:val="ro-MD"/>
              </w:rPr>
            </w:pPr>
          </w:p>
          <w:p w14:paraId="777507EC" w14:textId="77861555" w:rsidR="00763B45" w:rsidRPr="003A36E3" w:rsidRDefault="00B32592" w:rsidP="00B32592">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condiționalitate limitată pentru plățile directe pe cap de animal în vigoare, dar verificare limitată pe teren. Nu există niciun mecanism de control și sancționare.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4C422" w14:textId="77777777" w:rsidR="00377A87" w:rsidRPr="003A36E3" w:rsidRDefault="00377A87" w:rsidP="00377A87">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Se introduce condiționalitatea privind sprijinul pentru venit și se aprobă un mecanism de control/sancționare pentru nerespectarea plății AIPA a sprijinului pentru venitul agricultorilor (animale și teren) prin decizie sau ordin guvernamental.  Se efectuează controale la fața locului privind condițiile de eligibilitate (pe teren, pe animale) pentru eșantionul cu rata de control de 2 %.</w:t>
            </w:r>
          </w:p>
          <w:p w14:paraId="14F9E137" w14:textId="4D33CD0C" w:rsidR="00763B45" w:rsidRPr="003A36E3" w:rsidRDefault="00377A87" w:rsidP="00377A87">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Decizie/ordin guvernamental, Ministerul Agriculturii,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AIPA, publicarea ghidurilor de finanțare pentru solicitanți; proceduri operaționale.</w:t>
            </w:r>
          </w:p>
        </w:tc>
      </w:tr>
      <w:tr w:rsidR="00763B45" w:rsidRPr="00F026FE" w14:paraId="1E3D7498"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D1F4BC" w14:textId="31CB721B" w:rsidR="00763B45" w:rsidRPr="003A36E3" w:rsidRDefault="00ED5252"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Dezvoltare rurală</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6AAA9"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5</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EDF17B" w14:textId="3A721E89" w:rsidR="00763B45" w:rsidRPr="003A36E3" w:rsidRDefault="00ED5252"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Dezvoltare rurală</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5DE97"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917B4" w14:textId="4CB288FB" w:rsidR="00763B45" w:rsidRPr="003A36E3" w:rsidRDefault="00ED5252" w:rsidP="00C83EEB">
            <w:pPr>
              <w:spacing w:line="256"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EFFC0" w14:textId="624E8F1C" w:rsidR="00763B45" w:rsidRPr="003A36E3" w:rsidRDefault="008859FF"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Agriculturii și Industriei Alimentare</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298CA" w14:textId="77777777" w:rsidR="00291FAD" w:rsidRPr="003A36E3" w:rsidRDefault="00291FAD" w:rsidP="00291FAD">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Cel puțin 70% din teritoriul național este acoperit de strategii de dezvoltare rurală LEADER și cel puțin 80% din Grupurile de Acțiune Locală (GAL) LEADER înregistrate beneficiază de finanțare AIPA. Cel puțin 500 de proiecte de dezvoltare rurală sunt implementate anual de Fondul național de dezvoltare a agriculturii și mediului rural. </w:t>
            </w:r>
          </w:p>
          <w:p w14:paraId="410C7CB0" w14:textId="77777777" w:rsidR="00291FAD" w:rsidRPr="003A36E3" w:rsidRDefault="00291FAD" w:rsidP="00291FAD">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w:t>
            </w:r>
          </w:p>
          <w:p w14:paraId="171836B8" w14:textId="77777777" w:rsidR="00291FAD" w:rsidRPr="003A36E3" w:rsidRDefault="00291FAD" w:rsidP="00291FAD">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Linia de referință: În decembrie 2024, 56% din teritoriul național al Moldovei beneficiază de măsurile de dezvoltare rurală LEADER. Populația celor 54 de GAL-uri include peste 1,19 milioane de cetățeni, ceea ce constituie 61% din teritoriul Republicii Moldova și care include 513 unități administrativ-teritoriale. </w:t>
            </w:r>
          </w:p>
          <w:p w14:paraId="0A4AA6F8" w14:textId="16F7EEF6" w:rsidR="00763B45" w:rsidRPr="003A36E3" w:rsidRDefault="00291FAD" w:rsidP="00291FAD">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1,14 milioane de cetățeni/1.715,7 (66% din populația rurală) pe baza datelor recensământului din 2014. Notă: </w:t>
            </w:r>
            <w:r w:rsidRPr="003A36E3">
              <w:rPr>
                <w:rFonts w:ascii="Arial" w:eastAsiaTheme="minorEastAsia" w:hAnsi="Arial" w:cs="Arial"/>
                <w:sz w:val="18"/>
                <w:szCs w:val="18"/>
                <w:lang w:val="ro-MD"/>
              </w:rPr>
              <w:lastRenderedPageBreak/>
              <w:t>conform datelor recensământului din 2024, populația rurală este acum de 1.287,5 (BNS). 54 de Grupuri de Acțiune Locală active sunt înregistrate în temeiul Legii 51/2021. 32 de GAL-uri au primit finanțare din Fondul național de dezvoltare a agriculturii și mediului rural.</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7C317" w14:textId="77777777" w:rsidR="00242106" w:rsidRPr="003A36E3" w:rsidRDefault="00242106" w:rsidP="00242106">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Pentru măsura LEADER, administrată de Agenția de Intervenție și Plăți pentru Agricultură (AIPA), se fac alocări bugetare anuale din Fondul național de dezvoltare a agriculturii și mediului rural. Sprijinul financiar este aprobat pentru Grupurile de Acțiune Locală LEADER și pentru proiectele de dezvoltare locală ca urmare a unei cereri de propuneri. Proiectele de dezvoltare locală Leader sunt atribuite și executate în conformitate cu dispozițiile legale. </w:t>
            </w:r>
          </w:p>
          <w:p w14:paraId="410420B9" w14:textId="77777777" w:rsidR="00242106" w:rsidRPr="003A36E3" w:rsidRDefault="00242106" w:rsidP="00242106">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Grupurile de Acțiune Locală LEADER sunt sprijinite prin măsuri </w:t>
            </w:r>
            <w:r w:rsidRPr="003A36E3">
              <w:rPr>
                <w:rFonts w:ascii="Arial" w:eastAsiaTheme="minorEastAsia" w:hAnsi="Arial" w:cs="Arial"/>
                <w:sz w:val="18"/>
                <w:szCs w:val="18"/>
                <w:lang w:val="ro-MD"/>
              </w:rPr>
              <w:lastRenderedPageBreak/>
              <w:t xml:space="preserve">de consolidare a capacității tehnice și administrative. Sunt puse în aplicare activități de promovare și comunicare pentru a promova abordarea LEADER în Moldova în vederea extinderii acoperirii sale teritoriale și a includerii de noi comunități. </w:t>
            </w:r>
          </w:p>
          <w:p w14:paraId="75FBF9E8" w14:textId="22A0DDD9" w:rsidR="00763B45" w:rsidRPr="003A36E3" w:rsidRDefault="00242106" w:rsidP="00242106">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Ministerului Agriculturii și Industriei Alimentare;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AIPA; Sistemul informațional „Moldova LEADER IT SOFT” (MLIS) (https://www.mlis.md/ro).</w:t>
            </w:r>
          </w:p>
        </w:tc>
      </w:tr>
      <w:tr w:rsidR="00763B45" w:rsidRPr="00F026FE" w14:paraId="48A2730C"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EBD0B" w14:textId="023AA22B" w:rsidR="00763B45" w:rsidRPr="003A36E3" w:rsidRDefault="00434091" w:rsidP="00C83E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Turism</w:t>
            </w:r>
            <w:r w:rsidR="00763B45" w:rsidRPr="003A36E3">
              <w:rPr>
                <w:rFonts w:ascii="Arial" w:eastAsiaTheme="minorEastAsia" w:hAnsi="Arial" w:cs="Arial"/>
                <w:sz w:val="18"/>
                <w:szCs w:val="18"/>
                <w:lang w:val="ro-MD"/>
              </w:rPr>
              <w:t xml:space="preserve">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70FF5" w14:textId="77777777" w:rsidR="00763B45" w:rsidRPr="003A36E3" w:rsidRDefault="00763B45" w:rsidP="00C83E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6</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C165B" w14:textId="072FA10D" w:rsidR="00763B45" w:rsidRPr="003A36E3" w:rsidRDefault="00434091" w:rsidP="00C83E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Turism</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24733" w14:textId="77777777" w:rsidR="00763B45" w:rsidRPr="003A36E3" w:rsidRDefault="00763B45" w:rsidP="00C83E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29</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23476" w14:textId="5E21C750" w:rsidR="00763B45" w:rsidRPr="003A36E3" w:rsidRDefault="00434091" w:rsidP="00C83E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2026  </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370E7" w14:textId="2FC36FA0" w:rsidR="00763B45" w:rsidRPr="003A36E3" w:rsidRDefault="0049712E" w:rsidP="00C83E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Culturii, Oficiul Național de Turism</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B5E0E" w14:textId="77777777" w:rsidR="00431B73" w:rsidRPr="003A36E3" w:rsidRDefault="00431B73" w:rsidP="00431B7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Este implementat un plan strategic pentru diversificarea ofertei turistice care asigură creșterea numărului de turiști în Moldova cu 30% față de 2024.</w:t>
            </w:r>
          </w:p>
          <w:p w14:paraId="77142164" w14:textId="77777777" w:rsidR="00431B73" w:rsidRPr="003A36E3" w:rsidRDefault="00431B73" w:rsidP="00431B73">
            <w:pPr>
              <w:spacing w:after="0" w:line="240" w:lineRule="auto"/>
              <w:jc w:val="both"/>
              <w:rPr>
                <w:rFonts w:ascii="Arial" w:eastAsiaTheme="minorEastAsia" w:hAnsi="Arial" w:cs="Arial"/>
                <w:sz w:val="18"/>
                <w:szCs w:val="18"/>
                <w:lang w:val="ro-MD"/>
              </w:rPr>
            </w:pPr>
          </w:p>
          <w:p w14:paraId="6C9C4E7D" w14:textId="0B3DEBEE" w:rsidR="00763B45" w:rsidRPr="003A36E3" w:rsidRDefault="00431B73" w:rsidP="00431B7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Linia de </w:t>
            </w:r>
            <w:r w:rsidR="00065210" w:rsidRPr="003A36E3">
              <w:rPr>
                <w:rFonts w:ascii="Arial" w:eastAsiaTheme="minorEastAsia" w:hAnsi="Arial" w:cs="Arial"/>
                <w:sz w:val="18"/>
                <w:szCs w:val="18"/>
                <w:lang w:val="ro-MD"/>
              </w:rPr>
              <w:t>referință</w:t>
            </w:r>
            <w:r w:rsidRPr="003A36E3">
              <w:rPr>
                <w:rFonts w:ascii="Arial" w:eastAsiaTheme="minorEastAsia" w:hAnsi="Arial" w:cs="Arial"/>
                <w:sz w:val="18"/>
                <w:szCs w:val="18"/>
                <w:lang w:val="ro-MD"/>
              </w:rPr>
              <w:t>: În 2024, numărul de turiști era de 550.000.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D3758" w14:textId="318512EB" w:rsidR="00773C8C" w:rsidRPr="003A36E3" w:rsidRDefault="00773C8C" w:rsidP="00773C8C">
            <w:pPr>
              <w:spacing w:after="0"/>
              <w:jc w:val="both"/>
              <w:rPr>
                <w:rFonts w:ascii="Arial" w:hAnsi="Arial" w:cs="Arial"/>
                <w:sz w:val="18"/>
                <w:szCs w:val="18"/>
                <w:lang w:val="ro-MD"/>
              </w:rPr>
            </w:pPr>
            <w:r w:rsidRPr="003A36E3">
              <w:rPr>
                <w:rFonts w:ascii="Arial" w:hAnsi="Arial" w:cs="Arial"/>
                <w:sz w:val="18"/>
                <w:szCs w:val="18"/>
                <w:lang w:val="ro-MD"/>
              </w:rPr>
              <w:t>Este pus în aplicare un model de turism durabil bazat pe următorii piloni: (i) diversificarea strategică și responsabilizarea IMM-urilor (practici durabile, finanțare), (ii) furnizarea de servicii turistice inovatoare (tehnologii avansate, inclusiv IA și digitalizarea patrimoniului cultural) și (iii) promovarea extinsă și integrată din punct de vedere cultural a rutelor viticole.</w:t>
            </w:r>
          </w:p>
          <w:p w14:paraId="1C81125F" w14:textId="77777777" w:rsidR="00773C8C" w:rsidRPr="003A36E3" w:rsidRDefault="00773C8C" w:rsidP="00773C8C">
            <w:pPr>
              <w:spacing w:after="0"/>
              <w:jc w:val="both"/>
              <w:rPr>
                <w:rFonts w:ascii="Arial" w:hAnsi="Arial" w:cs="Arial"/>
                <w:sz w:val="18"/>
                <w:szCs w:val="18"/>
                <w:lang w:val="ro-MD"/>
              </w:rPr>
            </w:pPr>
          </w:p>
          <w:p w14:paraId="20E19E72" w14:textId="5C411B53" w:rsidR="00763B45" w:rsidRPr="003A36E3" w:rsidRDefault="00773C8C" w:rsidP="00773C8C">
            <w:pPr>
              <w:spacing w:after="0"/>
              <w:jc w:val="both"/>
              <w:rPr>
                <w:rFonts w:ascii="Arial" w:hAnsi="Arial" w:cs="Arial"/>
                <w:sz w:val="18"/>
                <w:szCs w:val="18"/>
                <w:lang w:val="ro-MD"/>
              </w:rPr>
            </w:pPr>
            <w:r w:rsidRPr="003A36E3">
              <w:rPr>
                <w:rFonts w:ascii="Arial" w:hAnsi="Arial" w:cs="Arial"/>
                <w:sz w:val="18"/>
                <w:szCs w:val="18"/>
                <w:lang w:val="ro-MD"/>
              </w:rPr>
              <w:t xml:space="preserve">Sursa de verificare: Monitorul Oficial, raportul Ministerului Culturii și </w:t>
            </w:r>
            <w:r w:rsidR="00CE1E75">
              <w:rPr>
                <w:rFonts w:ascii="Arial" w:hAnsi="Arial" w:cs="Arial"/>
                <w:sz w:val="18"/>
                <w:szCs w:val="18"/>
                <w:lang w:val="ro-MD"/>
              </w:rPr>
              <w:t>pagina</w:t>
            </w:r>
            <w:r w:rsidRPr="003A36E3">
              <w:rPr>
                <w:rFonts w:ascii="Arial" w:hAnsi="Arial" w:cs="Arial"/>
                <w:sz w:val="18"/>
                <w:szCs w:val="18"/>
                <w:lang w:val="ro-MD"/>
              </w:rPr>
              <w:t xml:space="preserve"> web</w:t>
            </w:r>
          </w:p>
        </w:tc>
      </w:tr>
      <w:tr w:rsidR="00763B45" w:rsidRPr="00F026FE" w14:paraId="420E7053"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46B54" w14:textId="49C140A9" w:rsidR="00763B45" w:rsidRPr="003A36E3" w:rsidRDefault="00434091"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Turism</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6326E"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6</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999A7" w14:textId="6B062859" w:rsidR="00763B45" w:rsidRPr="003A36E3" w:rsidRDefault="00434091"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Turism</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C86086"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30</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BF21C" w14:textId="366FC761" w:rsidR="00763B45" w:rsidRPr="003A36E3" w:rsidRDefault="00434091"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763B45" w:rsidRPr="003A36E3">
              <w:rPr>
                <w:rFonts w:ascii="Arial" w:eastAsiaTheme="minorEastAsia" w:hAnsi="Arial" w:cs="Arial"/>
                <w:sz w:val="18"/>
                <w:szCs w:val="18"/>
                <w:lang w:val="ro-MD"/>
              </w:rPr>
              <w:t xml:space="preserve"> 2027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3F88F" w14:textId="74ECC749" w:rsidR="00763B45" w:rsidRPr="003A36E3" w:rsidRDefault="009A7763"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Culturii, Oficiul Național de Turism</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2F9AF" w14:textId="77777777" w:rsidR="00C740B9" w:rsidRPr="003A36E3" w:rsidRDefault="00C740B9" w:rsidP="00C740B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Cel puțin 6 programe de consolidare a capacităților, asistență tehnică și financiară pentru IMM-uri în turism și servicii de turism sunt operaționale, în timp ce Oficiul Național al Turismului (ONT) are cel puțin trei programe de dezvoltare aliniate la Agenda europeană pentru turism 2030.</w:t>
            </w:r>
          </w:p>
          <w:p w14:paraId="79417A79" w14:textId="77777777" w:rsidR="00C740B9" w:rsidRPr="003A36E3" w:rsidRDefault="00C740B9" w:rsidP="00C740B9">
            <w:pPr>
              <w:spacing w:after="0" w:line="240" w:lineRule="auto"/>
              <w:jc w:val="both"/>
              <w:rPr>
                <w:rFonts w:ascii="Arial" w:eastAsiaTheme="minorEastAsia" w:hAnsi="Arial" w:cs="Arial"/>
                <w:sz w:val="18"/>
                <w:szCs w:val="18"/>
                <w:lang w:val="ro-MD"/>
              </w:rPr>
            </w:pPr>
          </w:p>
          <w:p w14:paraId="01B7F6B2" w14:textId="6004743C" w:rsidR="00763B45" w:rsidRPr="003A36E3" w:rsidRDefault="00C740B9" w:rsidP="00C740B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0 programe sunt aliniate la Agenda europeană pentru turism 2030.</w:t>
            </w:r>
          </w:p>
          <w:p w14:paraId="097FCCAE" w14:textId="77777777" w:rsidR="00763B45" w:rsidRPr="003A36E3" w:rsidRDefault="00763B45" w:rsidP="00C83EEB">
            <w:pPr>
              <w:spacing w:after="0" w:line="240" w:lineRule="auto"/>
              <w:jc w:val="both"/>
              <w:rPr>
                <w:rFonts w:ascii="Arial" w:eastAsiaTheme="minorEastAsia" w:hAnsi="Arial" w:cs="Arial"/>
                <w:sz w:val="18"/>
                <w:szCs w:val="18"/>
                <w:lang w:val="ro-MD"/>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FB610" w14:textId="77777777" w:rsidR="00312E68" w:rsidRPr="003A36E3" w:rsidRDefault="00312E68" w:rsidP="00312E68">
            <w:pPr>
              <w:spacing w:line="240" w:lineRule="auto"/>
              <w:jc w:val="both"/>
              <w:rPr>
                <w:rFonts w:ascii="Arial" w:hAnsi="Arial" w:cs="Arial"/>
                <w:sz w:val="18"/>
                <w:szCs w:val="18"/>
                <w:lang w:val="ro-MD"/>
              </w:rPr>
            </w:pPr>
            <w:r w:rsidRPr="003A36E3">
              <w:rPr>
                <w:rFonts w:ascii="Arial" w:hAnsi="Arial" w:cs="Arial"/>
                <w:sz w:val="18"/>
                <w:szCs w:val="18"/>
                <w:lang w:val="ro-MD"/>
              </w:rPr>
              <w:t>Sunt dezvoltate cel puțin șase programe de consolidare a capacităților, bazate pe o evaluare aprofundată a nevoilor IMM-urilor din turism. Aceste programe oferă asistență tehnică și financiară pentru a sprijini adoptarea de practici ecologice de către IMM-urile din MD.</w:t>
            </w:r>
          </w:p>
          <w:p w14:paraId="2108582F" w14:textId="77777777" w:rsidR="00312E68" w:rsidRPr="003A36E3" w:rsidRDefault="00312E68" w:rsidP="00312E68">
            <w:pPr>
              <w:spacing w:line="240" w:lineRule="auto"/>
              <w:jc w:val="both"/>
              <w:rPr>
                <w:rFonts w:ascii="Arial" w:hAnsi="Arial" w:cs="Arial"/>
                <w:sz w:val="18"/>
                <w:szCs w:val="18"/>
                <w:lang w:val="ro-MD"/>
              </w:rPr>
            </w:pPr>
            <w:r w:rsidRPr="003A36E3">
              <w:rPr>
                <w:rFonts w:ascii="Arial" w:hAnsi="Arial" w:cs="Arial"/>
                <w:sz w:val="18"/>
                <w:szCs w:val="18"/>
                <w:lang w:val="ro-MD"/>
              </w:rPr>
              <w:lastRenderedPageBreak/>
              <w:t>Oficiul Național al Turismului (ONT) își aliniază programele de dezvoltare la Agenda europeană pentru turism 2030. Sunt create cel puțin trei programe naționale care abordează gestionarea durabilă, transformarea digitală și incluziunea socială. Integrarea strategică, implicarea părților interesate și mecanismele solide de raportare sunt esențiale.</w:t>
            </w:r>
          </w:p>
          <w:p w14:paraId="3D2AF5F4" w14:textId="582BCAC8" w:rsidR="00763B45" w:rsidRPr="003A36E3" w:rsidRDefault="00312E68" w:rsidP="00312E68">
            <w:pPr>
              <w:spacing w:line="240" w:lineRule="auto"/>
              <w:jc w:val="both"/>
              <w:rPr>
                <w:rFonts w:ascii="Arial" w:eastAsiaTheme="minorEastAsia" w:hAnsi="Arial" w:cs="Arial"/>
                <w:sz w:val="18"/>
                <w:szCs w:val="18"/>
                <w:lang w:val="ro-MD"/>
              </w:rPr>
            </w:pPr>
            <w:r w:rsidRPr="003A36E3">
              <w:rPr>
                <w:rFonts w:ascii="Arial" w:hAnsi="Arial" w:cs="Arial"/>
                <w:sz w:val="18"/>
                <w:szCs w:val="18"/>
                <w:lang w:val="ro-MD"/>
              </w:rPr>
              <w:t>Sursa de verificare: Rapoartele Oficiului Național al Turismului, raportul Ministerului Culturii.</w:t>
            </w:r>
          </w:p>
        </w:tc>
      </w:tr>
      <w:tr w:rsidR="00763B45" w:rsidRPr="00F026FE" w14:paraId="611EEF8F" w14:textId="77777777" w:rsidTr="00763B45">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7EB61" w14:textId="5E9F43B7" w:rsidR="00763B45" w:rsidRPr="003A36E3" w:rsidRDefault="008E1948"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Cercetare și inovare</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DD02A"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7</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7B2A0" w14:textId="35017D9E" w:rsidR="00763B45" w:rsidRPr="003A36E3" w:rsidRDefault="009D5FDA" w:rsidP="00C83EEB">
            <w:pPr>
              <w:jc w:val="both"/>
              <w:rPr>
                <w:rFonts w:ascii="Arial" w:eastAsiaTheme="minorEastAsia" w:hAnsi="Arial" w:cs="Arial"/>
                <w:sz w:val="18"/>
                <w:szCs w:val="18"/>
                <w:lang w:val="ro-MD"/>
              </w:rPr>
            </w:pPr>
            <w:r w:rsidRPr="003A36E3">
              <w:rPr>
                <w:rFonts w:ascii="Arial" w:eastAsiaTheme="minorEastAsia" w:hAnsi="Arial" w:cs="Arial"/>
                <w:sz w:val="18"/>
                <w:szCs w:val="18"/>
                <w:lang w:val="ro-MD"/>
              </w:rPr>
              <w:t>Îmbunătățirea capacităților de cercetare și inovare în domeniile prioritare ale strategiei de specializare inteligentă</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C7606" w14:textId="77777777" w:rsidR="00763B45" w:rsidRPr="003A36E3" w:rsidRDefault="00763B45"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31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88C1C" w14:textId="4BDBEC8A" w:rsidR="00763B45" w:rsidRPr="003A36E3" w:rsidRDefault="00022BC7"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763B45" w:rsidRPr="003A36E3">
              <w:rPr>
                <w:rFonts w:ascii="Arial" w:eastAsiaTheme="minorEastAsia" w:hAnsi="Arial" w:cs="Arial"/>
                <w:sz w:val="18"/>
                <w:szCs w:val="18"/>
                <w:lang w:val="ro-MD"/>
              </w:rPr>
              <w:t xml:space="preserve"> 2026</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3F667" w14:textId="29C8068F" w:rsidR="00763B45" w:rsidRPr="003A36E3" w:rsidRDefault="00B70970" w:rsidP="00C83EEB">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Educației și Cercetării și Agenția Națională pentru Cercetare și Dezvoltare</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29BF0" w14:textId="77777777" w:rsidR="00262B5D" w:rsidRPr="003A36E3" w:rsidRDefault="00262B5D" w:rsidP="00262B5D">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Capacitățile de cercetare și inovare sunt consolidate prin punerea în aplicare a strategiei naționale de specializare inteligentă, cu acordarea de programe de infrastructuri de C&amp;I, parteneriate de colaborare între sectorul public și cel privat pentru activități de cercetare și inovare și vouchere de inovare, precum și programe de transfer tehnologic.</w:t>
            </w:r>
          </w:p>
          <w:p w14:paraId="55F50726" w14:textId="77777777" w:rsidR="00262B5D" w:rsidRPr="003A36E3" w:rsidRDefault="00262B5D" w:rsidP="00262B5D">
            <w:pPr>
              <w:spacing w:after="0" w:line="240" w:lineRule="auto"/>
              <w:jc w:val="both"/>
              <w:rPr>
                <w:rFonts w:ascii="Arial" w:eastAsiaTheme="minorEastAsia" w:hAnsi="Arial" w:cs="Arial"/>
                <w:sz w:val="18"/>
                <w:szCs w:val="18"/>
                <w:lang w:val="ro-MD"/>
              </w:rPr>
            </w:pPr>
          </w:p>
          <w:p w14:paraId="239F74FF" w14:textId="34202927" w:rsidR="00763B45" w:rsidRPr="003A36E3" w:rsidRDefault="00262B5D" w:rsidP="00262B5D">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2024, Programul „Smart Moldova” a fost aprobat dar implementarea nu a început. Acesta vizează alinierea cercetării, dezvoltării tehnologice și inovării la sectoarele economice, sporirea eficienței resurselor și prioritizarea investițiilor în acele sectoare în care MD are un potențial avantaj competitiv. Sunt identificate patru domenii prioritare: 1. Agricultura și procesarea alimentelor; 2. Tehnologia informației și comunicațiilor; 3. Energia durabilă; 4. Biomedicina și produsele biofarmaceutice.</w:t>
            </w:r>
          </w:p>
          <w:p w14:paraId="375821D2" w14:textId="77777777" w:rsidR="00763B45" w:rsidRPr="003A36E3" w:rsidRDefault="00763B45" w:rsidP="00C83EEB">
            <w:pPr>
              <w:spacing w:after="0" w:line="240" w:lineRule="auto"/>
              <w:jc w:val="both"/>
              <w:rPr>
                <w:rFonts w:ascii="Arial" w:eastAsiaTheme="minorEastAsia" w:hAnsi="Arial" w:cs="Arial"/>
                <w:sz w:val="18"/>
                <w:szCs w:val="18"/>
                <w:lang w:val="ro-MD"/>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D4CC" w14:textId="77777777" w:rsidR="003B1F9C" w:rsidRPr="003A36E3" w:rsidRDefault="003B1F9C" w:rsidP="003B1F9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În conformitate cu Strategia Națională de Specializare Inteligentă „Smart Moldova 2024-27”, MD urmează să lanseze: (i) cel puțin patru activități de cercetare colaborativă și inovare și patru vouchere de inovare și (ii) cel puțin patru programe de infrastructură de cercetare și inovare (consolidarea laboratoarelor, centrelor sau unităților/departamentelor existente de cercetare și inovare în cadrul organizațiilor publice de cercetare, inclusiv în instituțiile de învățământ superior) și (iii) cel puțin patru programe de transfer tehnologic.</w:t>
            </w:r>
          </w:p>
          <w:p w14:paraId="665D4BAE" w14:textId="77777777" w:rsidR="003B1F9C" w:rsidRPr="003A36E3" w:rsidRDefault="003B1F9C" w:rsidP="003B1F9C">
            <w:pPr>
              <w:spacing w:after="0" w:line="240" w:lineRule="auto"/>
              <w:jc w:val="both"/>
              <w:rPr>
                <w:rFonts w:ascii="Arial" w:eastAsiaTheme="minorEastAsia" w:hAnsi="Arial" w:cs="Arial"/>
                <w:sz w:val="18"/>
                <w:szCs w:val="18"/>
                <w:lang w:val="ro-MD"/>
              </w:rPr>
            </w:pPr>
          </w:p>
          <w:p w14:paraId="1642C16C" w14:textId="09E48780" w:rsidR="00763B45" w:rsidRPr="003A36E3" w:rsidRDefault="003B1F9C" w:rsidP="003B1F9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Agenției Naționale pentru Cercetare și Dezvoltare. Rapoarte ale Ministerului Educației și Cercetării și rapoarte ale Echipei Naționale S3 din Moldova (echipă interinstituțională).</w:t>
            </w:r>
          </w:p>
        </w:tc>
      </w:tr>
    </w:tbl>
    <w:p w14:paraId="7AD9317E" w14:textId="77777777" w:rsidR="00045DA7" w:rsidRPr="003A36E3" w:rsidRDefault="00045DA7" w:rsidP="002F7854">
      <w:pPr>
        <w:jc w:val="both"/>
        <w:rPr>
          <w:rFonts w:ascii="Arial" w:hAnsi="Arial" w:cs="Arial"/>
          <w:sz w:val="18"/>
          <w:szCs w:val="18"/>
          <w:lang w:val="ro-MD"/>
        </w:rPr>
      </w:pPr>
    </w:p>
    <w:p w14:paraId="42C2E86A" w14:textId="77777777" w:rsidR="0050409D" w:rsidRPr="003A36E3" w:rsidRDefault="0050409D" w:rsidP="002F7854">
      <w:pPr>
        <w:jc w:val="both"/>
        <w:rPr>
          <w:rFonts w:ascii="Arial" w:hAnsi="Arial" w:cs="Arial"/>
          <w:sz w:val="18"/>
          <w:szCs w:val="18"/>
          <w:lang w:val="ro-MD"/>
        </w:rPr>
      </w:pPr>
    </w:p>
    <w:p w14:paraId="2D451B1E" w14:textId="77777777" w:rsidR="00F8399E" w:rsidRPr="003A36E3" w:rsidRDefault="00F8399E" w:rsidP="002F7854">
      <w:pPr>
        <w:jc w:val="both"/>
        <w:rPr>
          <w:rFonts w:ascii="Arial" w:hAnsi="Arial" w:cs="Arial"/>
          <w:sz w:val="18"/>
          <w:szCs w:val="18"/>
          <w:lang w:val="ro-MD"/>
        </w:rPr>
      </w:pPr>
    </w:p>
    <w:p w14:paraId="351C98D9" w14:textId="77777777" w:rsidR="00F8399E" w:rsidRPr="003A36E3" w:rsidRDefault="00F8399E" w:rsidP="002F7854">
      <w:pPr>
        <w:jc w:val="both"/>
        <w:rPr>
          <w:rFonts w:ascii="Arial" w:hAnsi="Arial" w:cs="Arial"/>
          <w:sz w:val="18"/>
          <w:szCs w:val="18"/>
          <w:lang w:val="ro-MD"/>
        </w:rPr>
      </w:pPr>
    </w:p>
    <w:p w14:paraId="6B361934" w14:textId="77777777" w:rsidR="00F8399E" w:rsidRPr="003A36E3" w:rsidRDefault="00F8399E" w:rsidP="002F7854">
      <w:pPr>
        <w:jc w:val="both"/>
        <w:rPr>
          <w:rFonts w:ascii="Arial" w:hAnsi="Arial" w:cs="Arial"/>
          <w:sz w:val="18"/>
          <w:szCs w:val="18"/>
          <w:lang w:val="ro-MD"/>
        </w:rPr>
      </w:pPr>
    </w:p>
    <w:p w14:paraId="217D739A" w14:textId="77777777" w:rsidR="0050409D" w:rsidRPr="003A36E3" w:rsidRDefault="0050409D" w:rsidP="00931845">
      <w:pPr>
        <w:jc w:val="center"/>
        <w:rPr>
          <w:rFonts w:ascii="Arial" w:hAnsi="Arial" w:cs="Arial"/>
          <w:sz w:val="18"/>
          <w:szCs w:val="18"/>
          <w:lang w:val="ro-MD"/>
        </w:rPr>
      </w:pPr>
    </w:p>
    <w:p w14:paraId="0A8CB288" w14:textId="7CCC90AD" w:rsidR="00045DA7" w:rsidRPr="003A36E3" w:rsidRDefault="00B63207" w:rsidP="00931845">
      <w:pPr>
        <w:jc w:val="center"/>
        <w:rPr>
          <w:rFonts w:ascii="Arial" w:hAnsi="Arial" w:cs="Arial"/>
          <w:sz w:val="18"/>
          <w:szCs w:val="18"/>
          <w:lang w:val="ro-MD"/>
        </w:rPr>
      </w:pPr>
      <w:r w:rsidRPr="003A36E3">
        <w:rPr>
          <w:rFonts w:ascii="Arial" w:hAnsi="Arial" w:cs="Arial"/>
          <w:sz w:val="18"/>
          <w:szCs w:val="18"/>
          <w:lang w:val="ro-MD"/>
        </w:rPr>
        <w:t>Pilonul 2: Conectivitate și infrastructură digitală</w:t>
      </w:r>
    </w:p>
    <w:p w14:paraId="53DEE35A" w14:textId="77777777" w:rsidR="00045DA7" w:rsidRPr="003A36E3" w:rsidRDefault="00045DA7" w:rsidP="002F7854">
      <w:pPr>
        <w:spacing w:after="0"/>
        <w:jc w:val="both"/>
        <w:rPr>
          <w:rFonts w:ascii="Arial" w:eastAsia="Times New Roman" w:hAnsi="Arial" w:cs="Arial"/>
          <w:sz w:val="18"/>
          <w:szCs w:val="18"/>
          <w:lang w:val="ro-MD"/>
        </w:rPr>
      </w:pPr>
    </w:p>
    <w:tbl>
      <w:tblPr>
        <w:tblW w:w="14459"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993"/>
        <w:gridCol w:w="283"/>
        <w:gridCol w:w="993"/>
        <w:gridCol w:w="283"/>
        <w:gridCol w:w="709"/>
        <w:gridCol w:w="2268"/>
        <w:gridCol w:w="3544"/>
        <w:gridCol w:w="5386"/>
      </w:tblGrid>
      <w:tr w:rsidR="00763B45" w:rsidRPr="003A36E3" w14:paraId="71527C47" w14:textId="77777777" w:rsidTr="006E16D8">
        <w:trPr>
          <w:trHeight w:val="300"/>
        </w:trPr>
        <w:tc>
          <w:tcPr>
            <w:tcW w:w="993" w:type="dxa"/>
            <w:shd w:val="clear" w:color="auto" w:fill="E7E6E6" w:themeFill="background2"/>
            <w:vAlign w:val="center"/>
          </w:tcPr>
          <w:p w14:paraId="2DFDBD76" w14:textId="19A354AB" w:rsidR="00763B45" w:rsidRPr="003A36E3" w:rsidRDefault="00763B45" w:rsidP="002F7854">
            <w:pPr>
              <w:spacing w:after="0" w:line="240" w:lineRule="auto"/>
              <w:jc w:val="both"/>
              <w:rPr>
                <w:rFonts w:ascii="Arial" w:hAnsi="Arial" w:cs="Arial"/>
                <w:sz w:val="18"/>
                <w:szCs w:val="18"/>
                <w:lang w:val="ro-MD"/>
              </w:rPr>
            </w:pPr>
          </w:p>
        </w:tc>
        <w:tc>
          <w:tcPr>
            <w:tcW w:w="283" w:type="dxa"/>
            <w:shd w:val="clear" w:color="auto" w:fill="F2F2F2" w:themeFill="background1" w:themeFillShade="F2"/>
            <w:vAlign w:val="center"/>
          </w:tcPr>
          <w:p w14:paraId="7A5A330D" w14:textId="1A2C6624" w:rsidR="00763B45" w:rsidRPr="003A36E3" w:rsidRDefault="00AB3736" w:rsidP="002F7854">
            <w:pPr>
              <w:tabs>
                <w:tab w:val="left" w:pos="10710"/>
              </w:tabs>
              <w:spacing w:after="0" w:line="240" w:lineRule="auto"/>
              <w:jc w:val="both"/>
              <w:rPr>
                <w:rFonts w:ascii="Arial" w:hAnsi="Arial" w:cs="Arial"/>
                <w:sz w:val="18"/>
                <w:szCs w:val="18"/>
                <w:lang w:val="ro-MD"/>
              </w:rPr>
            </w:pPr>
            <w:r w:rsidRPr="003A36E3">
              <w:rPr>
                <w:rFonts w:ascii="Arial" w:hAnsi="Arial" w:cs="Arial"/>
                <w:sz w:val="18"/>
                <w:szCs w:val="18"/>
                <w:lang w:val="ro-MD"/>
              </w:rPr>
              <w:t>Reformă nr.</w:t>
            </w:r>
          </w:p>
        </w:tc>
        <w:tc>
          <w:tcPr>
            <w:tcW w:w="993" w:type="dxa"/>
            <w:shd w:val="clear" w:color="auto" w:fill="F2F2F2" w:themeFill="background1" w:themeFillShade="F2"/>
            <w:vAlign w:val="center"/>
          </w:tcPr>
          <w:p w14:paraId="71657C18" w14:textId="5235DD18" w:rsidR="00763B45" w:rsidRPr="003A36E3" w:rsidRDefault="00F84527"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Titlul reformei</w:t>
            </w:r>
            <w:r w:rsidR="00763B45" w:rsidRPr="003A36E3">
              <w:rPr>
                <w:rFonts w:ascii="Arial" w:hAnsi="Arial" w:cs="Arial"/>
                <w:sz w:val="18"/>
                <w:szCs w:val="18"/>
                <w:lang w:val="ro-MD"/>
              </w:rPr>
              <w:br/>
            </w:r>
          </w:p>
        </w:tc>
        <w:tc>
          <w:tcPr>
            <w:tcW w:w="283" w:type="dxa"/>
            <w:shd w:val="clear" w:color="auto" w:fill="F2F2F2" w:themeFill="background1" w:themeFillShade="F2"/>
            <w:vAlign w:val="center"/>
          </w:tcPr>
          <w:p w14:paraId="5D56A705" w14:textId="00D142C3" w:rsidR="00763B45" w:rsidRPr="003A36E3" w:rsidRDefault="00A4580B"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Etapa nr.</w:t>
            </w:r>
          </w:p>
        </w:tc>
        <w:tc>
          <w:tcPr>
            <w:tcW w:w="709" w:type="dxa"/>
            <w:shd w:val="clear" w:color="auto" w:fill="F2F2F2" w:themeFill="background1" w:themeFillShade="F2"/>
            <w:vAlign w:val="center"/>
          </w:tcPr>
          <w:p w14:paraId="60523FDC" w14:textId="6D82CF80" w:rsidR="00763B45" w:rsidRPr="003A36E3" w:rsidRDefault="00133633"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Termen de punere în aplicare</w:t>
            </w:r>
          </w:p>
        </w:tc>
        <w:tc>
          <w:tcPr>
            <w:tcW w:w="2268" w:type="dxa"/>
            <w:shd w:val="clear" w:color="auto" w:fill="F2F2F2" w:themeFill="background1" w:themeFillShade="F2"/>
            <w:vAlign w:val="center"/>
          </w:tcPr>
          <w:p w14:paraId="4E68BAFB" w14:textId="108744EA" w:rsidR="00763B45" w:rsidRPr="003A36E3" w:rsidRDefault="00133633"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Instituția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4D2C445" w14:textId="77777777" w:rsidR="000E5AD4" w:rsidRPr="003A36E3" w:rsidRDefault="000E5AD4" w:rsidP="002F7854">
            <w:pPr>
              <w:spacing w:after="0" w:line="240" w:lineRule="auto"/>
              <w:jc w:val="both"/>
              <w:rPr>
                <w:rFonts w:ascii="Arial" w:hAnsi="Arial" w:cs="Arial"/>
                <w:sz w:val="18"/>
                <w:szCs w:val="18"/>
                <w:lang w:val="ro-MD"/>
              </w:rPr>
            </w:pPr>
          </w:p>
          <w:p w14:paraId="20CFC5E8" w14:textId="73B07DB0" w:rsidR="00763B45" w:rsidRPr="003A36E3" w:rsidRDefault="000E5AD4"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Condiția de plată și termenul de punere în aplicare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DE81C3D" w14:textId="77777777" w:rsidR="00763B45" w:rsidRPr="003A36E3" w:rsidRDefault="00763B45" w:rsidP="002F7854">
            <w:pPr>
              <w:spacing w:after="0" w:line="240" w:lineRule="auto"/>
              <w:jc w:val="both"/>
              <w:rPr>
                <w:rFonts w:ascii="Arial" w:hAnsi="Arial" w:cs="Arial"/>
                <w:sz w:val="18"/>
                <w:szCs w:val="18"/>
                <w:lang w:val="ro-MD"/>
              </w:rPr>
            </w:pPr>
          </w:p>
          <w:p w14:paraId="2C902A86" w14:textId="27B34B72" w:rsidR="00763B45" w:rsidRPr="003A36E3" w:rsidRDefault="0046417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Descrierea și definirea clară a ceea ce presupune fiecare etapă</w:t>
            </w:r>
          </w:p>
        </w:tc>
      </w:tr>
      <w:tr w:rsidR="00763B45" w:rsidRPr="00F026FE" w14:paraId="3EA7E4AF" w14:textId="77777777" w:rsidTr="006E16D8">
        <w:trPr>
          <w:trHeight w:val="300"/>
        </w:trPr>
        <w:tc>
          <w:tcPr>
            <w:tcW w:w="993" w:type="dxa"/>
            <w:shd w:val="clear" w:color="auto" w:fill="FFFFFF" w:themeFill="background1"/>
            <w:vAlign w:val="center"/>
          </w:tcPr>
          <w:p w14:paraId="57986367" w14:textId="65AB0F8A" w:rsidR="00763B45" w:rsidRPr="003A36E3" w:rsidRDefault="00464175" w:rsidP="002F7854">
            <w:pPr>
              <w:spacing w:after="0" w:line="240" w:lineRule="auto"/>
              <w:jc w:val="both"/>
              <w:rPr>
                <w:rStyle w:val="eop"/>
                <w:rFonts w:ascii="Arial" w:hAnsi="Arial" w:cs="Arial"/>
                <w:i/>
                <w:iCs/>
                <w:sz w:val="18"/>
                <w:szCs w:val="18"/>
                <w:lang w:val="ro-MD"/>
              </w:rPr>
            </w:pPr>
            <w:r w:rsidRPr="003A36E3">
              <w:rPr>
                <w:rFonts w:ascii="Arial" w:hAnsi="Arial" w:cs="Arial"/>
                <w:i/>
                <w:iCs/>
                <w:sz w:val="18"/>
                <w:szCs w:val="18"/>
                <w:lang w:val="ro-MD"/>
              </w:rPr>
              <w:t>Conectivitatea transportului</w:t>
            </w:r>
          </w:p>
        </w:tc>
        <w:tc>
          <w:tcPr>
            <w:tcW w:w="283" w:type="dxa"/>
            <w:shd w:val="clear" w:color="auto" w:fill="FFFFFF" w:themeFill="background1"/>
            <w:vAlign w:val="center"/>
          </w:tcPr>
          <w:p w14:paraId="0C2A39BE"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1</w:t>
            </w:r>
          </w:p>
        </w:tc>
        <w:tc>
          <w:tcPr>
            <w:tcW w:w="993" w:type="dxa"/>
            <w:shd w:val="clear" w:color="auto" w:fill="FFFFFF" w:themeFill="background1"/>
            <w:vAlign w:val="center"/>
          </w:tcPr>
          <w:p w14:paraId="4AF5E0E6" w14:textId="60692E9B" w:rsidR="00763B45" w:rsidRPr="003A36E3" w:rsidRDefault="00715570"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Consolidarea sistemului de transport, a rețelei și a capacităților instituționale</w:t>
            </w:r>
          </w:p>
        </w:tc>
        <w:tc>
          <w:tcPr>
            <w:tcW w:w="283" w:type="dxa"/>
            <w:shd w:val="clear" w:color="auto" w:fill="FFFFFF" w:themeFill="background1"/>
            <w:vAlign w:val="center"/>
          </w:tcPr>
          <w:p w14:paraId="55C1BE35"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1</w:t>
            </w:r>
          </w:p>
        </w:tc>
        <w:tc>
          <w:tcPr>
            <w:tcW w:w="709" w:type="dxa"/>
            <w:shd w:val="clear" w:color="auto" w:fill="FFFFFF" w:themeFill="background1"/>
            <w:vAlign w:val="center"/>
          </w:tcPr>
          <w:p w14:paraId="04AACB41" w14:textId="65B29EEF" w:rsidR="00763B45" w:rsidRPr="003A36E3" w:rsidRDefault="00715570"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decembrie</w:t>
            </w:r>
            <w:r w:rsidR="00763B45" w:rsidRPr="003A36E3">
              <w:rPr>
                <w:rFonts w:ascii="Arial" w:hAnsi="Arial" w:cs="Arial"/>
                <w:sz w:val="18"/>
                <w:szCs w:val="18"/>
                <w:lang w:val="ro-MD"/>
              </w:rPr>
              <w:t xml:space="preserve"> 2027</w:t>
            </w:r>
          </w:p>
        </w:tc>
        <w:tc>
          <w:tcPr>
            <w:tcW w:w="2268" w:type="dxa"/>
            <w:shd w:val="clear" w:color="auto" w:fill="FFFFFF" w:themeFill="background1"/>
            <w:vAlign w:val="center"/>
          </w:tcPr>
          <w:p w14:paraId="2744217B" w14:textId="5C45B28C" w:rsidR="00763B45" w:rsidRPr="003A36E3" w:rsidRDefault="009C14AF"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Ministerul Infrastructurii și Dezvoltării Regionale</w:t>
            </w:r>
          </w:p>
        </w:tc>
        <w:tc>
          <w:tcPr>
            <w:tcW w:w="3544" w:type="dxa"/>
            <w:shd w:val="clear" w:color="auto" w:fill="FFFFFF" w:themeFill="background1"/>
          </w:tcPr>
          <w:p w14:paraId="7BC52D3E" w14:textId="77777777" w:rsidR="00763B45" w:rsidRPr="003A36E3" w:rsidRDefault="00763B45" w:rsidP="002F7854">
            <w:pPr>
              <w:spacing w:after="0" w:line="240" w:lineRule="auto"/>
              <w:ind w:left="180" w:hanging="180"/>
              <w:jc w:val="both"/>
              <w:rPr>
                <w:rFonts w:ascii="Arial" w:hAnsi="Arial" w:cs="Arial"/>
                <w:sz w:val="18"/>
                <w:szCs w:val="18"/>
                <w:lang w:val="ro-MD"/>
              </w:rPr>
            </w:pPr>
          </w:p>
          <w:p w14:paraId="17B331AC" w14:textId="77777777" w:rsidR="00B9715F" w:rsidRPr="003A36E3" w:rsidRDefault="00B9715F" w:rsidP="00B9715F">
            <w:pPr>
              <w:spacing w:after="0" w:line="240" w:lineRule="auto"/>
              <w:jc w:val="both"/>
              <w:rPr>
                <w:rFonts w:ascii="Arial" w:hAnsi="Arial" w:cs="Arial"/>
                <w:sz w:val="18"/>
                <w:szCs w:val="18"/>
                <w:lang w:val="ro-MD"/>
              </w:rPr>
            </w:pPr>
            <w:r w:rsidRPr="003A36E3">
              <w:rPr>
                <w:rFonts w:ascii="Arial" w:hAnsi="Arial" w:cs="Arial"/>
                <w:sz w:val="18"/>
                <w:szCs w:val="18"/>
                <w:lang w:val="ro-MD"/>
              </w:rPr>
              <w:t>Pe baza programului de siguranță rutieră, numărul accidentelor rutiere mortale și grave este redus cu 20% față de 2024.</w:t>
            </w:r>
          </w:p>
          <w:p w14:paraId="50854B15" w14:textId="77777777" w:rsidR="00B9715F" w:rsidRPr="003A36E3" w:rsidRDefault="00B9715F" w:rsidP="00B9715F">
            <w:pPr>
              <w:spacing w:after="0" w:line="240" w:lineRule="auto"/>
              <w:jc w:val="both"/>
              <w:rPr>
                <w:rFonts w:ascii="Arial" w:hAnsi="Arial" w:cs="Arial"/>
                <w:sz w:val="18"/>
                <w:szCs w:val="18"/>
                <w:lang w:val="ro-MD"/>
              </w:rPr>
            </w:pPr>
          </w:p>
          <w:p w14:paraId="249E35EE" w14:textId="77777777" w:rsidR="00B9715F" w:rsidRPr="003A36E3" w:rsidRDefault="00B9715F" w:rsidP="00B9715F">
            <w:pPr>
              <w:spacing w:after="0" w:line="240" w:lineRule="auto"/>
              <w:jc w:val="both"/>
              <w:rPr>
                <w:rFonts w:ascii="Arial" w:hAnsi="Arial" w:cs="Arial"/>
                <w:sz w:val="18"/>
                <w:szCs w:val="18"/>
                <w:lang w:val="ro-MD"/>
              </w:rPr>
            </w:pPr>
          </w:p>
          <w:p w14:paraId="7E4BACC6" w14:textId="6487A202" w:rsidR="00763B45" w:rsidRPr="003A36E3" w:rsidRDefault="00B9715F" w:rsidP="00B9715F">
            <w:pPr>
              <w:spacing w:after="0" w:line="240" w:lineRule="auto"/>
              <w:jc w:val="both"/>
              <w:rPr>
                <w:rFonts w:ascii="Arial" w:hAnsi="Arial" w:cs="Arial"/>
                <w:sz w:val="18"/>
                <w:szCs w:val="18"/>
                <w:lang w:val="ro-MD"/>
              </w:rPr>
            </w:pPr>
            <w:r w:rsidRPr="003A36E3">
              <w:rPr>
                <w:rFonts w:ascii="Arial" w:hAnsi="Arial" w:cs="Arial"/>
                <w:sz w:val="18"/>
                <w:szCs w:val="18"/>
                <w:lang w:val="ro-MD"/>
              </w:rPr>
              <w:t>Linia de referință: Numărul anual de accidente mortale a ajuns la 209 decese și 2369 de răniți în accidente rutiere în 2024.</w:t>
            </w:r>
          </w:p>
        </w:tc>
        <w:tc>
          <w:tcPr>
            <w:tcW w:w="5386" w:type="dxa"/>
            <w:shd w:val="clear" w:color="auto" w:fill="FFFFFF" w:themeFill="background1"/>
          </w:tcPr>
          <w:p w14:paraId="2341EAF6" w14:textId="6745D8FB" w:rsidR="00DB47CC" w:rsidRPr="003A36E3" w:rsidRDefault="00DB47CC" w:rsidP="00DB47CC">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Sistemul de transport este îmbunătățit prin adoptarea și punerea în aplicare a Programului național de siguranță rutieră 2025-2030, care include desemnarea autorității administrative responsabile pentru siguranța rutieră și îmbunătățirea siguranței infrastructurii rutiere. Rapoartele de audit privind siguranța rutieră sunt integrate în toate proiectele actuale de reabilitare, modernizare și construcție a drumurilor. În plus, rapoartele anuale privind inspecția de siguranță a drumurilor vor fi publicate pe </w:t>
            </w:r>
            <w:r w:rsidR="00CE1E75">
              <w:rPr>
                <w:rFonts w:ascii="Arial" w:hAnsi="Arial" w:cs="Arial"/>
                <w:sz w:val="18"/>
                <w:szCs w:val="18"/>
                <w:lang w:val="ro-MD"/>
              </w:rPr>
              <w:t>pagina web a</w:t>
            </w:r>
            <w:r w:rsidRPr="003A36E3">
              <w:rPr>
                <w:rFonts w:ascii="Arial" w:hAnsi="Arial" w:cs="Arial"/>
                <w:sz w:val="18"/>
                <w:szCs w:val="18"/>
                <w:lang w:val="ro-MD"/>
              </w:rPr>
              <w:t xml:space="preserve"> MIDR.</w:t>
            </w:r>
          </w:p>
          <w:p w14:paraId="32DF9864" w14:textId="77777777" w:rsidR="00DB47CC" w:rsidRPr="003A36E3" w:rsidRDefault="00DB47CC" w:rsidP="00DB47CC">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 </w:t>
            </w:r>
          </w:p>
          <w:p w14:paraId="3DF41762" w14:textId="3A4B908F" w:rsidR="00763B45" w:rsidRPr="003A36E3" w:rsidRDefault="00DB47CC" w:rsidP="00DB47CC">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Sursa de verificare: </w:t>
            </w:r>
            <w:r w:rsidR="0059048A">
              <w:rPr>
                <w:rFonts w:ascii="Arial" w:hAnsi="Arial" w:cs="Arial"/>
                <w:sz w:val="18"/>
                <w:szCs w:val="18"/>
                <w:lang w:val="ro-MD"/>
              </w:rPr>
              <w:t>paginile</w:t>
            </w:r>
            <w:r w:rsidRPr="003A36E3">
              <w:rPr>
                <w:rFonts w:ascii="Arial" w:hAnsi="Arial" w:cs="Arial"/>
                <w:sz w:val="18"/>
                <w:szCs w:val="18"/>
                <w:lang w:val="ro-MD"/>
              </w:rPr>
              <w:t xml:space="preserve"> web ale MIDR și ale autorităților rutiere de stat</w:t>
            </w:r>
          </w:p>
        </w:tc>
      </w:tr>
      <w:tr w:rsidR="00763B45" w:rsidRPr="00BD0643" w14:paraId="62A65C99" w14:textId="77777777" w:rsidTr="006E16D8">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FCDB46" w14:textId="6B53EE97" w:rsidR="00763B45" w:rsidRPr="003A36E3" w:rsidRDefault="0022616D" w:rsidP="002F7854">
            <w:pPr>
              <w:pStyle w:val="paragraph"/>
              <w:spacing w:before="0" w:beforeAutospacing="0" w:after="0" w:afterAutospacing="0"/>
              <w:jc w:val="both"/>
              <w:rPr>
                <w:rFonts w:ascii="Arial" w:eastAsia="Calibri" w:hAnsi="Arial" w:cs="Arial"/>
                <w:sz w:val="18"/>
                <w:szCs w:val="18"/>
                <w:lang w:val="ro-MD"/>
              </w:rPr>
            </w:pPr>
            <w:r w:rsidRPr="003A36E3">
              <w:rPr>
                <w:rFonts w:ascii="Arial" w:eastAsia="Calibri" w:hAnsi="Arial" w:cs="Arial"/>
                <w:sz w:val="18"/>
                <w:szCs w:val="18"/>
                <w:lang w:val="ro-MD"/>
              </w:rPr>
              <w:t>Conectivitatea transportului</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74F422"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C67ED1" w14:textId="5EA8FB8F" w:rsidR="00763B45" w:rsidRPr="003A36E3" w:rsidRDefault="0023547E"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Consolidarea sistemului de transport, a rețelei și a capacităților instituționale</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FBCFD2"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609876" w14:textId="3F0F6A07" w:rsidR="00763B45" w:rsidRPr="003A36E3" w:rsidRDefault="00937C1C"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iunie</w:t>
            </w:r>
            <w:r w:rsidR="00763B45" w:rsidRPr="003A36E3">
              <w:rPr>
                <w:rFonts w:ascii="Arial" w:hAnsi="Arial" w:cs="Arial"/>
                <w:sz w:val="18"/>
                <w:szCs w:val="18"/>
                <w:lang w:val="ro-MD"/>
              </w:rPr>
              <w:t xml:space="preserve"> 2027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9C5B35E" w14:textId="55C03071" w:rsidR="00763B45" w:rsidRPr="003A36E3" w:rsidRDefault="009C14AF"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Ministerul Infrastructurii și Dezvoltării Regionale</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2A694688" w14:textId="4210F988" w:rsidR="00E4313D" w:rsidRPr="003A36E3" w:rsidRDefault="00E4313D" w:rsidP="00E4313D">
            <w:pPr>
              <w:pStyle w:val="paragraph"/>
              <w:spacing w:after="0"/>
              <w:jc w:val="both"/>
              <w:textAlignment w:val="baseline"/>
              <w:rPr>
                <w:rStyle w:val="normaltextrun"/>
                <w:rFonts w:ascii="Arial" w:eastAsiaTheme="majorEastAsia" w:hAnsi="Arial" w:cs="Arial"/>
                <w:sz w:val="18"/>
                <w:szCs w:val="18"/>
                <w:lang w:val="ro-MD"/>
              </w:rPr>
            </w:pPr>
            <w:r w:rsidRPr="003A36E3">
              <w:rPr>
                <w:rStyle w:val="normaltextrun"/>
                <w:rFonts w:ascii="Arial" w:eastAsiaTheme="majorEastAsia" w:hAnsi="Arial" w:cs="Arial"/>
                <w:sz w:val="18"/>
                <w:szCs w:val="18"/>
                <w:lang w:val="ro-MD"/>
              </w:rPr>
              <w:t xml:space="preserve">Pentru un acces mai bun la piața rutieră, condițiile de muncă și accesul la ocuparea forței de muncă sunt îmbunătățite. Este desemnată și instituită o autoritate competentă pentru autorizarea ocupației de operator de transport rutier, este introdus sistemul de certificare a managerilor de transport, iar sistemul de autorizare a operatorilor de transport internațional este pe deplin operațional. Este instituit registrul electronic al transporturilor rutiere. Registrul electronic </w:t>
            </w:r>
            <w:r w:rsidRPr="003A36E3">
              <w:rPr>
                <w:rStyle w:val="normaltextrun"/>
                <w:rFonts w:ascii="Arial" w:eastAsiaTheme="majorEastAsia" w:hAnsi="Arial" w:cs="Arial"/>
                <w:sz w:val="18"/>
                <w:szCs w:val="18"/>
                <w:lang w:val="ro-MD"/>
              </w:rPr>
              <w:lastRenderedPageBreak/>
              <w:t>național al întreprinderilor de transport rutier este adaptat pentru a respecta cerințele UE. De asemenea, se revizuiește cadrul juridic privind reglementările sociale pentru transportul rutier, completând obligațiile existente ale membrilor AETR.</w:t>
            </w:r>
          </w:p>
          <w:p w14:paraId="6899B5C9" w14:textId="23C3976A" w:rsidR="00763B45" w:rsidRPr="003A36E3" w:rsidRDefault="00E4313D" w:rsidP="00E4313D">
            <w:pPr>
              <w:pStyle w:val="paragraph"/>
              <w:spacing w:before="0" w:beforeAutospacing="0" w:after="0" w:afterAutospacing="0"/>
              <w:jc w:val="both"/>
              <w:textAlignment w:val="baseline"/>
              <w:rPr>
                <w:rFonts w:ascii="Arial" w:hAnsi="Arial" w:cs="Arial"/>
                <w:sz w:val="18"/>
                <w:szCs w:val="18"/>
                <w:lang w:val="ro-MD"/>
              </w:rPr>
            </w:pPr>
            <w:r w:rsidRPr="003A36E3">
              <w:rPr>
                <w:rStyle w:val="normaltextrun"/>
                <w:rFonts w:ascii="Arial" w:eastAsiaTheme="majorEastAsia" w:hAnsi="Arial" w:cs="Arial"/>
                <w:sz w:val="18"/>
                <w:szCs w:val="18"/>
                <w:lang w:val="ro-MD"/>
              </w:rPr>
              <w:t xml:space="preserve"> Linia de referință: În 2024, sistemul de acces la piața rutieră din MD nu este în conformitate cu normele UE, registrul electronic nu este aliniat.</w:t>
            </w:r>
          </w:p>
        </w:tc>
        <w:tc>
          <w:tcPr>
            <w:tcW w:w="5386" w:type="dxa"/>
            <w:tcBorders>
              <w:top w:val="single" w:sz="6" w:space="0" w:color="000000"/>
              <w:left w:val="single" w:sz="6" w:space="0" w:color="000000"/>
              <w:bottom w:val="single" w:sz="6" w:space="0" w:color="000000"/>
              <w:right w:val="single" w:sz="6" w:space="0" w:color="000000"/>
            </w:tcBorders>
            <w:shd w:val="clear" w:color="auto" w:fill="FFFFFF"/>
          </w:tcPr>
          <w:p w14:paraId="2C7358B6" w14:textId="77777777" w:rsidR="00EE0D79" w:rsidRPr="003A36E3" w:rsidRDefault="00EE0D79" w:rsidP="00F42FE8">
            <w:pPr>
              <w:pStyle w:val="paragraph"/>
              <w:spacing w:before="0" w:beforeAutospacing="0" w:after="0" w:afterAutospacing="0"/>
              <w:jc w:val="both"/>
              <w:textAlignment w:val="baseline"/>
              <w:rPr>
                <w:rStyle w:val="normaltextrun"/>
                <w:rFonts w:ascii="Arial" w:eastAsiaTheme="majorEastAsia" w:hAnsi="Arial" w:cs="Arial"/>
                <w:sz w:val="18"/>
                <w:szCs w:val="18"/>
                <w:lang w:val="ro-MD"/>
              </w:rPr>
            </w:pPr>
            <w:r w:rsidRPr="003A36E3">
              <w:rPr>
                <w:rStyle w:val="normaltextrun"/>
                <w:rFonts w:ascii="Arial" w:eastAsiaTheme="majorEastAsia" w:hAnsi="Arial" w:cs="Arial"/>
                <w:sz w:val="18"/>
                <w:szCs w:val="18"/>
                <w:lang w:val="ro-MD"/>
              </w:rPr>
              <w:lastRenderedPageBreak/>
              <w:t xml:space="preserve">(i) Moldova desemnează și listează cel puțin o autoritate competentă responsabilă de supravegherea și aprobarea ocupației de operator de transport rutier, în conformitate cu standardele UE stabilite. </w:t>
            </w:r>
          </w:p>
          <w:p w14:paraId="601F15F8" w14:textId="77777777" w:rsidR="00EE0D79" w:rsidRPr="003A36E3" w:rsidRDefault="00EE0D79" w:rsidP="00F42FE8">
            <w:pPr>
              <w:pStyle w:val="paragraph"/>
              <w:spacing w:before="0" w:beforeAutospacing="0" w:after="0" w:afterAutospacing="0"/>
              <w:jc w:val="both"/>
              <w:textAlignment w:val="baseline"/>
              <w:rPr>
                <w:rStyle w:val="normaltextrun"/>
                <w:rFonts w:ascii="Arial" w:eastAsiaTheme="majorEastAsia" w:hAnsi="Arial" w:cs="Arial"/>
                <w:sz w:val="18"/>
                <w:szCs w:val="18"/>
                <w:lang w:val="ro-MD"/>
              </w:rPr>
            </w:pPr>
            <w:r w:rsidRPr="003A36E3">
              <w:rPr>
                <w:rStyle w:val="normaltextrun"/>
                <w:rFonts w:ascii="Arial" w:eastAsiaTheme="majorEastAsia" w:hAnsi="Arial" w:cs="Arial"/>
                <w:sz w:val="18"/>
                <w:szCs w:val="18"/>
                <w:lang w:val="ro-MD"/>
              </w:rPr>
              <w:t xml:space="preserve">(ii) Moldova creează și pune în aplicare programe de formare și procese de certificare pentru managerii de transport care îndeplinesc cerințele UE. </w:t>
            </w:r>
          </w:p>
          <w:p w14:paraId="239AB71B" w14:textId="77777777" w:rsidR="00EE0D79" w:rsidRPr="003A36E3" w:rsidRDefault="00EE0D79" w:rsidP="00F42FE8">
            <w:pPr>
              <w:pStyle w:val="paragraph"/>
              <w:spacing w:before="0" w:beforeAutospacing="0" w:after="0" w:afterAutospacing="0"/>
              <w:jc w:val="both"/>
              <w:textAlignment w:val="baseline"/>
              <w:rPr>
                <w:rStyle w:val="normaltextrun"/>
                <w:rFonts w:ascii="Arial" w:eastAsiaTheme="majorEastAsia" w:hAnsi="Arial" w:cs="Arial"/>
                <w:sz w:val="18"/>
                <w:szCs w:val="18"/>
                <w:lang w:val="ro-MD"/>
              </w:rPr>
            </w:pPr>
            <w:r w:rsidRPr="003A36E3">
              <w:rPr>
                <w:rStyle w:val="normaltextrun"/>
                <w:rFonts w:ascii="Arial" w:eastAsiaTheme="majorEastAsia" w:hAnsi="Arial" w:cs="Arial"/>
                <w:sz w:val="18"/>
                <w:szCs w:val="18"/>
                <w:lang w:val="ro-MD"/>
              </w:rPr>
              <w:t xml:space="preserve">(iii) Este instituit un sistem de aprobare a operatorilor de transport internațional, care include verificarea înființării, a competențelor profesionale, a reputației și a stabilității financiare. </w:t>
            </w:r>
          </w:p>
          <w:p w14:paraId="016F471A" w14:textId="77777777" w:rsidR="00EE0D79" w:rsidRPr="003A36E3" w:rsidRDefault="00EE0D79" w:rsidP="00F42FE8">
            <w:pPr>
              <w:pStyle w:val="paragraph"/>
              <w:spacing w:before="0" w:beforeAutospacing="0" w:after="0" w:afterAutospacing="0"/>
              <w:jc w:val="both"/>
              <w:textAlignment w:val="baseline"/>
              <w:rPr>
                <w:rStyle w:val="normaltextrun"/>
                <w:rFonts w:ascii="Arial" w:eastAsiaTheme="majorEastAsia" w:hAnsi="Arial" w:cs="Arial"/>
                <w:sz w:val="18"/>
                <w:szCs w:val="18"/>
                <w:lang w:val="ro-MD"/>
              </w:rPr>
            </w:pPr>
            <w:r w:rsidRPr="003A36E3">
              <w:rPr>
                <w:rStyle w:val="normaltextrun"/>
                <w:rFonts w:ascii="Arial" w:eastAsiaTheme="majorEastAsia" w:hAnsi="Arial" w:cs="Arial"/>
                <w:sz w:val="18"/>
                <w:szCs w:val="18"/>
                <w:lang w:val="ro-MD"/>
              </w:rPr>
              <w:lastRenderedPageBreak/>
              <w:t xml:space="preserve">(iv) Moldova actualizează registrul electronic național al operatorilor pentru a respecta standardele UE, permițând o mai bună supraveghere și schimbul de informații. </w:t>
            </w:r>
          </w:p>
          <w:p w14:paraId="26B0F07F" w14:textId="3B99164C" w:rsidR="00EE0D79" w:rsidRPr="003A36E3" w:rsidRDefault="00EE0D79" w:rsidP="00F42FE8">
            <w:pPr>
              <w:pStyle w:val="paragraph"/>
              <w:spacing w:before="0" w:beforeAutospacing="0" w:after="0" w:afterAutospacing="0"/>
              <w:jc w:val="both"/>
              <w:textAlignment w:val="baseline"/>
              <w:rPr>
                <w:rStyle w:val="normaltextrun"/>
                <w:rFonts w:ascii="Arial" w:eastAsiaTheme="majorEastAsia" w:hAnsi="Arial" w:cs="Arial"/>
                <w:sz w:val="18"/>
                <w:szCs w:val="18"/>
                <w:lang w:val="ro-MD"/>
              </w:rPr>
            </w:pPr>
            <w:r w:rsidRPr="003A36E3">
              <w:rPr>
                <w:rStyle w:val="normaltextrun"/>
                <w:rFonts w:ascii="Arial" w:eastAsiaTheme="majorEastAsia" w:hAnsi="Arial" w:cs="Arial"/>
                <w:sz w:val="18"/>
                <w:szCs w:val="18"/>
                <w:lang w:val="ro-MD"/>
              </w:rPr>
              <w:t xml:space="preserve">(v) Moldova adoptă norme privind perioadele de odihnă obligatorii pentru șoferi, concentrându-se în special pe cerințele privind odihna săptămânală, pentru a se alinia la standardele de siguranță ale UE. </w:t>
            </w:r>
          </w:p>
          <w:p w14:paraId="43318191" w14:textId="77777777" w:rsidR="00F42FE8" w:rsidRPr="003A36E3" w:rsidRDefault="00F42FE8" w:rsidP="00F42FE8">
            <w:pPr>
              <w:pStyle w:val="paragraph"/>
              <w:spacing w:before="0" w:beforeAutospacing="0" w:after="0" w:afterAutospacing="0"/>
              <w:jc w:val="both"/>
              <w:textAlignment w:val="baseline"/>
              <w:rPr>
                <w:rStyle w:val="normaltextrun"/>
                <w:rFonts w:ascii="Arial" w:eastAsiaTheme="majorEastAsia" w:hAnsi="Arial" w:cs="Arial"/>
                <w:sz w:val="18"/>
                <w:szCs w:val="18"/>
                <w:lang w:val="ro-MD"/>
              </w:rPr>
            </w:pPr>
          </w:p>
          <w:p w14:paraId="2B64B4A7" w14:textId="4AD10E87" w:rsidR="00763B45" w:rsidRPr="003A36E3" w:rsidRDefault="00EE0D79" w:rsidP="00EE0D79">
            <w:pPr>
              <w:spacing w:after="0"/>
              <w:jc w:val="both"/>
              <w:rPr>
                <w:rFonts w:ascii="Arial" w:hAnsi="Arial" w:cs="Arial"/>
                <w:sz w:val="18"/>
                <w:szCs w:val="18"/>
                <w:lang w:val="ro-MD"/>
              </w:rPr>
            </w:pPr>
            <w:r w:rsidRPr="003A36E3">
              <w:rPr>
                <w:rStyle w:val="normaltextrun"/>
                <w:rFonts w:ascii="Arial" w:eastAsiaTheme="majorEastAsia" w:hAnsi="Arial" w:cs="Arial"/>
                <w:sz w:val="18"/>
                <w:szCs w:val="18"/>
                <w:lang w:val="ro-MD"/>
              </w:rPr>
              <w:t xml:space="preserve">Sursa de verificare: </w:t>
            </w:r>
            <w:r w:rsidR="00CE1E75">
              <w:rPr>
                <w:rStyle w:val="normaltextrun"/>
                <w:rFonts w:ascii="Arial" w:eastAsiaTheme="majorEastAsia" w:hAnsi="Arial" w:cs="Arial"/>
                <w:sz w:val="18"/>
                <w:szCs w:val="18"/>
                <w:lang w:val="ro-MD"/>
              </w:rPr>
              <w:t>Pagina web a</w:t>
            </w:r>
            <w:r w:rsidRPr="003A36E3">
              <w:rPr>
                <w:rStyle w:val="normaltextrun"/>
                <w:rFonts w:ascii="Arial" w:eastAsiaTheme="majorEastAsia" w:hAnsi="Arial" w:cs="Arial"/>
                <w:sz w:val="18"/>
                <w:szCs w:val="18"/>
                <w:lang w:val="ro-MD"/>
              </w:rPr>
              <w:t xml:space="preserve"> Agenției Naționale Transport Auto.  </w:t>
            </w:r>
          </w:p>
        </w:tc>
      </w:tr>
      <w:tr w:rsidR="00763B45" w:rsidRPr="00BD0643" w14:paraId="3A3829C2" w14:textId="77777777" w:rsidTr="006E16D8">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44A701" w14:textId="60D537B9" w:rsidR="00763B45" w:rsidRPr="003A36E3" w:rsidRDefault="0022616D" w:rsidP="0050409D">
            <w:pPr>
              <w:pStyle w:val="paragraph"/>
              <w:spacing w:before="0" w:beforeAutospacing="0" w:after="0" w:afterAutospacing="0"/>
              <w:jc w:val="both"/>
              <w:rPr>
                <w:rFonts w:ascii="Arial" w:eastAsia="Calibri" w:hAnsi="Arial" w:cs="Arial"/>
                <w:sz w:val="18"/>
                <w:szCs w:val="18"/>
                <w:lang w:val="ro-MD"/>
              </w:rPr>
            </w:pPr>
            <w:r w:rsidRPr="003A36E3">
              <w:rPr>
                <w:rFonts w:ascii="Arial" w:eastAsia="Calibri" w:hAnsi="Arial" w:cs="Arial"/>
                <w:sz w:val="18"/>
                <w:szCs w:val="18"/>
                <w:lang w:val="ro-MD"/>
              </w:rPr>
              <w:lastRenderedPageBreak/>
              <w:t>Conectivitatea transportului</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C78DE8" w14:textId="77777777" w:rsidR="00763B45" w:rsidRPr="003A36E3" w:rsidRDefault="00763B45" w:rsidP="002F7854">
            <w:pPr>
              <w:spacing w:line="240" w:lineRule="auto"/>
              <w:jc w:val="both"/>
              <w:rPr>
                <w:rFonts w:ascii="Arial" w:hAnsi="Arial" w:cs="Arial"/>
                <w:sz w:val="18"/>
                <w:szCs w:val="18"/>
                <w:lang w:val="ro-MD"/>
              </w:rPr>
            </w:pPr>
            <w:r w:rsidRPr="003A36E3">
              <w:rPr>
                <w:rFonts w:ascii="Arial" w:hAnsi="Arial" w:cs="Arial"/>
                <w:sz w:val="18"/>
                <w:szCs w:val="18"/>
                <w:lang w:val="ro-MD"/>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3FA174" w14:textId="62B6DFA3" w:rsidR="00763B45" w:rsidRPr="003A36E3" w:rsidRDefault="0023547E" w:rsidP="0050409D">
            <w:pPr>
              <w:spacing w:after="0" w:line="240" w:lineRule="auto"/>
              <w:jc w:val="both"/>
              <w:rPr>
                <w:rFonts w:ascii="Arial" w:hAnsi="Arial" w:cs="Arial"/>
                <w:sz w:val="18"/>
                <w:szCs w:val="18"/>
                <w:lang w:val="ro-MD"/>
              </w:rPr>
            </w:pPr>
            <w:r w:rsidRPr="003A36E3">
              <w:rPr>
                <w:rFonts w:ascii="Arial" w:hAnsi="Arial" w:cs="Arial"/>
                <w:sz w:val="18"/>
                <w:szCs w:val="18"/>
                <w:lang w:val="ro-MD"/>
              </w:rPr>
              <w:t>Consolidarea sistemului de transport, a rețelei și a capacităților instituționale</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F21B455" w14:textId="77777777" w:rsidR="00763B45" w:rsidRPr="003A36E3" w:rsidRDefault="00763B45" w:rsidP="002F7854">
            <w:pPr>
              <w:spacing w:line="240" w:lineRule="auto"/>
              <w:jc w:val="both"/>
              <w:rPr>
                <w:rFonts w:ascii="Arial" w:hAnsi="Arial" w:cs="Arial"/>
                <w:sz w:val="18"/>
                <w:szCs w:val="18"/>
                <w:lang w:val="ro-MD"/>
              </w:rPr>
            </w:pPr>
            <w:r w:rsidRPr="003A36E3">
              <w:rPr>
                <w:rFonts w:ascii="Arial" w:hAnsi="Arial" w:cs="Arial"/>
                <w:sz w:val="18"/>
                <w:szCs w:val="18"/>
                <w:lang w:val="ro-MD"/>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B100EDF" w14:textId="04DF17C0" w:rsidR="00763B45" w:rsidRPr="003A36E3" w:rsidRDefault="002558C4" w:rsidP="002F7854">
            <w:pPr>
              <w:spacing w:line="240" w:lineRule="auto"/>
              <w:jc w:val="both"/>
              <w:rPr>
                <w:rFonts w:ascii="Arial" w:hAnsi="Arial" w:cs="Arial"/>
                <w:sz w:val="18"/>
                <w:szCs w:val="18"/>
                <w:lang w:val="ro-MD"/>
              </w:rPr>
            </w:pPr>
            <w:r w:rsidRPr="003A36E3">
              <w:rPr>
                <w:rFonts w:ascii="Arial" w:hAnsi="Arial" w:cs="Arial"/>
                <w:sz w:val="18"/>
                <w:szCs w:val="18"/>
                <w:lang w:val="ro-MD"/>
              </w:rPr>
              <w:t>decembrie</w:t>
            </w:r>
            <w:r w:rsidR="00763B45" w:rsidRPr="003A36E3">
              <w:rPr>
                <w:rFonts w:ascii="Arial" w:hAnsi="Arial" w:cs="Arial"/>
                <w:sz w:val="18"/>
                <w:szCs w:val="18"/>
                <w:lang w:val="ro-MD"/>
              </w:rPr>
              <w:t xml:space="preserve"> 2027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21773BB" w14:textId="2B095BAD" w:rsidR="00763B45" w:rsidRPr="003A36E3" w:rsidRDefault="00DB3507"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Ministerul Infrastructurii și Dezvoltării Regionale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F755F2" w14:textId="77777777" w:rsidR="00B52677" w:rsidRPr="003A36E3" w:rsidRDefault="00B52677" w:rsidP="00B52677">
            <w:pPr>
              <w:spacing w:line="240" w:lineRule="auto"/>
              <w:jc w:val="both"/>
              <w:rPr>
                <w:rFonts w:ascii="Arial" w:hAnsi="Arial" w:cs="Arial"/>
                <w:sz w:val="18"/>
                <w:szCs w:val="18"/>
                <w:lang w:val="ro-MD"/>
              </w:rPr>
            </w:pPr>
            <w:r w:rsidRPr="003A36E3">
              <w:rPr>
                <w:rFonts w:ascii="Arial" w:hAnsi="Arial" w:cs="Arial"/>
                <w:sz w:val="18"/>
                <w:szCs w:val="18"/>
                <w:lang w:val="ro-MD"/>
              </w:rPr>
              <w:t>MD prezintă spre validare Planul național de implementare a politicii naționale privind tahograful inteligent.</w:t>
            </w:r>
          </w:p>
          <w:p w14:paraId="563527BD" w14:textId="1AA90606" w:rsidR="00763B45" w:rsidRPr="003A36E3" w:rsidRDefault="00B52677" w:rsidP="00B52677">
            <w:pPr>
              <w:spacing w:line="240" w:lineRule="auto"/>
              <w:jc w:val="both"/>
              <w:rPr>
                <w:rFonts w:ascii="Arial" w:hAnsi="Arial" w:cs="Arial"/>
                <w:sz w:val="18"/>
                <w:szCs w:val="18"/>
                <w:lang w:val="ro-MD"/>
              </w:rPr>
            </w:pPr>
            <w:r w:rsidRPr="003A36E3">
              <w:rPr>
                <w:rFonts w:ascii="Arial" w:hAnsi="Arial" w:cs="Arial"/>
                <w:sz w:val="18"/>
                <w:szCs w:val="18"/>
                <w:lang w:val="ro-MD"/>
              </w:rPr>
              <w:t>Linia de referință: Până în decembrie 2024, nu a fost instituit niciun registru electronic și nu a fost adoptată nicio politică privind tahograful inteligent.</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E02D99" w14:textId="77777777" w:rsidR="00E74813" w:rsidRPr="003A36E3" w:rsidRDefault="00E74813" w:rsidP="00E74813">
            <w:pPr>
              <w:spacing w:line="240" w:lineRule="auto"/>
              <w:jc w:val="both"/>
              <w:rPr>
                <w:rFonts w:ascii="Arial" w:hAnsi="Arial" w:cs="Arial"/>
                <w:sz w:val="18"/>
                <w:szCs w:val="18"/>
                <w:lang w:val="ro-MD"/>
              </w:rPr>
            </w:pPr>
            <w:r w:rsidRPr="003A36E3">
              <w:rPr>
                <w:rFonts w:ascii="Arial" w:hAnsi="Arial" w:cs="Arial"/>
                <w:sz w:val="18"/>
                <w:szCs w:val="18"/>
                <w:lang w:val="ro-MD"/>
              </w:rPr>
              <w:t>Prezentare către/Validare de către Serviciul Comisiei Europene (JRC).</w:t>
            </w:r>
          </w:p>
          <w:p w14:paraId="1BCA7F2F" w14:textId="695112FE" w:rsidR="00763B45" w:rsidRPr="003A36E3" w:rsidRDefault="00E74813" w:rsidP="00E74813">
            <w:pPr>
              <w:spacing w:line="240" w:lineRule="auto"/>
              <w:jc w:val="both"/>
              <w:rPr>
                <w:rFonts w:ascii="Arial" w:hAnsi="Arial" w:cs="Arial"/>
                <w:sz w:val="18"/>
                <w:szCs w:val="18"/>
                <w:lang w:val="ro-MD"/>
              </w:rPr>
            </w:pPr>
            <w:r w:rsidRPr="003A36E3">
              <w:rPr>
                <w:rFonts w:ascii="Arial" w:hAnsi="Arial" w:cs="Arial"/>
                <w:sz w:val="18"/>
                <w:szCs w:val="18"/>
                <w:lang w:val="ro-MD"/>
              </w:rPr>
              <w:t xml:space="preserve">Sursa de verificare:  </w:t>
            </w:r>
            <w:r w:rsidR="00CE1E75">
              <w:rPr>
                <w:rFonts w:ascii="Arial" w:hAnsi="Arial" w:cs="Arial"/>
                <w:sz w:val="18"/>
                <w:szCs w:val="18"/>
                <w:lang w:val="ro-MD"/>
              </w:rPr>
              <w:t>Pagina web a</w:t>
            </w:r>
            <w:r w:rsidRPr="003A36E3">
              <w:rPr>
                <w:rFonts w:ascii="Arial" w:hAnsi="Arial" w:cs="Arial"/>
                <w:sz w:val="18"/>
                <w:szCs w:val="18"/>
                <w:lang w:val="ro-MD"/>
              </w:rPr>
              <w:t xml:space="preserve"> Agenției Naționale Transport Auto.</w:t>
            </w:r>
          </w:p>
        </w:tc>
      </w:tr>
      <w:tr w:rsidR="00763B45" w:rsidRPr="00BD0643" w14:paraId="72896E1E" w14:textId="77777777" w:rsidTr="006E16D8">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A6DC68" w14:textId="13F32274" w:rsidR="00763B45" w:rsidRPr="003A36E3" w:rsidRDefault="0022616D" w:rsidP="002F7854">
            <w:pPr>
              <w:pStyle w:val="paragraph"/>
              <w:spacing w:before="0" w:beforeAutospacing="0" w:after="0" w:afterAutospacing="0"/>
              <w:jc w:val="both"/>
              <w:rPr>
                <w:rFonts w:ascii="Arial" w:eastAsia="Calibri" w:hAnsi="Arial" w:cs="Arial"/>
                <w:sz w:val="18"/>
                <w:szCs w:val="18"/>
                <w:lang w:val="ro-MD"/>
              </w:rPr>
            </w:pPr>
            <w:r w:rsidRPr="003A36E3">
              <w:rPr>
                <w:rFonts w:ascii="Arial" w:eastAsia="Calibri" w:hAnsi="Arial" w:cs="Arial"/>
                <w:sz w:val="18"/>
                <w:szCs w:val="18"/>
                <w:lang w:val="ro-MD"/>
              </w:rPr>
              <w:t>Conectivitatea transportului</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7624EF4"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7BEA4B" w14:textId="7C913FC3" w:rsidR="00763B45" w:rsidRPr="003A36E3" w:rsidRDefault="0023547E"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Consolidarea sistemului de transport, a rețelei și a capacităților instituționale</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9D7F844"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5C2B4F" w14:textId="1E3A88B4" w:rsidR="00763B45" w:rsidRPr="003A36E3" w:rsidRDefault="002558C4"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decembrie</w:t>
            </w:r>
            <w:r w:rsidR="00763B45" w:rsidRPr="003A36E3">
              <w:rPr>
                <w:rFonts w:ascii="Arial" w:hAnsi="Arial" w:cs="Arial"/>
                <w:sz w:val="18"/>
                <w:szCs w:val="18"/>
                <w:lang w:val="ro-MD"/>
              </w:rPr>
              <w:t xml:space="preserve"> 2027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3F65109" w14:textId="5E9BC07D" w:rsidR="00763B45" w:rsidRPr="003A36E3" w:rsidRDefault="00DB3507"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Ministerul Infrastructurii și Dezvoltării Regionale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E4EF02" w14:textId="4F2E55E4" w:rsidR="00AA1F8C" w:rsidRPr="003A36E3" w:rsidRDefault="00AA1F8C" w:rsidP="00AA1F8C">
            <w:pPr>
              <w:spacing w:after="0" w:line="240" w:lineRule="auto"/>
              <w:jc w:val="both"/>
              <w:rPr>
                <w:rFonts w:ascii="Arial" w:hAnsi="Arial" w:cs="Arial"/>
                <w:sz w:val="18"/>
                <w:szCs w:val="18"/>
                <w:lang w:val="ro-MD"/>
              </w:rPr>
            </w:pPr>
            <w:r w:rsidRPr="003A36E3">
              <w:rPr>
                <w:rFonts w:ascii="Arial" w:hAnsi="Arial" w:cs="Arial"/>
                <w:sz w:val="18"/>
                <w:szCs w:val="18"/>
                <w:lang w:val="ro-MD"/>
              </w:rPr>
              <w:t>Sistemul de transport inteligent este pus în aplicare, iar punctul național de acces și organismul național sunt stabilite în rețeaua STI și a fost adoptată apropierea legislației de standardele sistemului de transport inteligent.</w:t>
            </w:r>
          </w:p>
          <w:p w14:paraId="37B1E616" w14:textId="77777777" w:rsidR="00AA1F8C" w:rsidRPr="003A36E3" w:rsidRDefault="00AA1F8C" w:rsidP="00AA1F8C">
            <w:pPr>
              <w:spacing w:after="0" w:line="240" w:lineRule="auto"/>
              <w:jc w:val="both"/>
              <w:rPr>
                <w:rFonts w:ascii="Arial" w:hAnsi="Arial" w:cs="Arial"/>
                <w:sz w:val="18"/>
                <w:szCs w:val="18"/>
                <w:lang w:val="ro-MD"/>
              </w:rPr>
            </w:pPr>
          </w:p>
          <w:p w14:paraId="00D4DD6E" w14:textId="3ED4A2F9" w:rsidR="00763B45" w:rsidRPr="003A36E3" w:rsidRDefault="00AA1F8C" w:rsidP="00AA1F8C">
            <w:pPr>
              <w:spacing w:after="0" w:line="240" w:lineRule="auto"/>
              <w:jc w:val="both"/>
              <w:rPr>
                <w:rFonts w:ascii="Arial" w:hAnsi="Arial" w:cs="Arial"/>
                <w:sz w:val="18"/>
                <w:szCs w:val="18"/>
                <w:lang w:val="ro-MD"/>
              </w:rPr>
            </w:pPr>
            <w:r w:rsidRPr="003A36E3">
              <w:rPr>
                <w:rFonts w:ascii="Arial" w:hAnsi="Arial" w:cs="Arial"/>
                <w:sz w:val="18"/>
                <w:szCs w:val="18"/>
                <w:lang w:val="ro-MD"/>
              </w:rPr>
              <w:t>Linia de referință: MD nu dispune de un sistem STI aplicabil.</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8655DB" w14:textId="77777777" w:rsidR="00FA355D" w:rsidRPr="003A36E3" w:rsidRDefault="00FA355D" w:rsidP="00FA355D">
            <w:pPr>
              <w:spacing w:after="0" w:line="257" w:lineRule="auto"/>
              <w:jc w:val="both"/>
              <w:rPr>
                <w:rFonts w:ascii="Arial" w:hAnsi="Arial" w:cs="Arial"/>
                <w:sz w:val="18"/>
                <w:szCs w:val="18"/>
                <w:lang w:val="ro-MD"/>
              </w:rPr>
            </w:pPr>
            <w:r w:rsidRPr="003A36E3">
              <w:rPr>
                <w:rFonts w:ascii="Arial" w:hAnsi="Arial" w:cs="Arial"/>
                <w:sz w:val="18"/>
                <w:szCs w:val="18"/>
                <w:lang w:val="ro-MD"/>
              </w:rPr>
              <w:t>Strategia STI și programul de implementare oferă o viziune clară și obiective strategice pentru dezvoltarea STI în Moldova, în conformitate cu cerințele UE.</w:t>
            </w:r>
          </w:p>
          <w:p w14:paraId="67986BCD" w14:textId="77777777" w:rsidR="00FA355D" w:rsidRPr="003A36E3" w:rsidRDefault="00FA355D" w:rsidP="00FA355D">
            <w:pPr>
              <w:spacing w:after="0" w:line="257" w:lineRule="auto"/>
              <w:jc w:val="both"/>
              <w:rPr>
                <w:rFonts w:ascii="Arial" w:hAnsi="Arial" w:cs="Arial"/>
                <w:sz w:val="18"/>
                <w:szCs w:val="18"/>
                <w:lang w:val="ro-MD"/>
              </w:rPr>
            </w:pPr>
            <w:r w:rsidRPr="003A36E3">
              <w:rPr>
                <w:rFonts w:ascii="Arial" w:hAnsi="Arial" w:cs="Arial"/>
                <w:sz w:val="18"/>
                <w:szCs w:val="18"/>
                <w:lang w:val="ro-MD"/>
              </w:rPr>
              <w:t xml:space="preserve"> </w:t>
            </w:r>
          </w:p>
          <w:p w14:paraId="7B1E4B83" w14:textId="06AA3247" w:rsidR="00763B45" w:rsidRPr="003A36E3" w:rsidRDefault="00FA355D" w:rsidP="00FA355D">
            <w:pPr>
              <w:spacing w:after="0" w:line="257" w:lineRule="auto"/>
              <w:jc w:val="both"/>
              <w:rPr>
                <w:rFonts w:ascii="Arial" w:hAnsi="Arial" w:cs="Arial"/>
                <w:sz w:val="18"/>
                <w:szCs w:val="18"/>
                <w:lang w:val="ro-MD"/>
              </w:rPr>
            </w:pPr>
            <w:r w:rsidRPr="003A36E3">
              <w:rPr>
                <w:rFonts w:ascii="Arial" w:hAnsi="Arial" w:cs="Arial"/>
                <w:sz w:val="18"/>
                <w:szCs w:val="18"/>
                <w:lang w:val="ro-MD"/>
              </w:rPr>
              <w:t xml:space="preserve">Sursa de verificare: </w:t>
            </w:r>
            <w:r w:rsidR="00CE1E75">
              <w:rPr>
                <w:rFonts w:ascii="Arial" w:hAnsi="Arial" w:cs="Arial"/>
                <w:sz w:val="18"/>
                <w:szCs w:val="18"/>
                <w:lang w:val="ro-MD"/>
              </w:rPr>
              <w:t>pagina web a</w:t>
            </w:r>
            <w:r w:rsidRPr="003A36E3">
              <w:rPr>
                <w:rFonts w:ascii="Arial" w:hAnsi="Arial" w:cs="Arial"/>
                <w:sz w:val="18"/>
                <w:szCs w:val="18"/>
                <w:lang w:val="ro-MD"/>
              </w:rPr>
              <w:t xml:space="preserve"> autorității desemnate</w:t>
            </w:r>
          </w:p>
        </w:tc>
      </w:tr>
      <w:tr w:rsidR="00763B45" w:rsidRPr="00BD0643" w14:paraId="5C272A8B" w14:textId="77777777" w:rsidTr="006E16D8">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4F9BA0" w14:textId="24CCFB52" w:rsidR="00763B45" w:rsidRPr="003A36E3" w:rsidRDefault="00DB3507" w:rsidP="002F7854">
            <w:pPr>
              <w:pStyle w:val="paragraph"/>
              <w:spacing w:before="0" w:beforeAutospacing="0" w:after="0" w:afterAutospacing="0"/>
              <w:jc w:val="both"/>
              <w:textAlignment w:val="baseline"/>
              <w:rPr>
                <w:rFonts w:ascii="Arial" w:eastAsia="Calibri" w:hAnsi="Arial" w:cs="Arial"/>
                <w:sz w:val="18"/>
                <w:szCs w:val="18"/>
                <w:lang w:val="ro-MD"/>
              </w:rPr>
            </w:pPr>
            <w:r w:rsidRPr="003A36E3">
              <w:rPr>
                <w:rFonts w:ascii="Arial" w:eastAsia="Calibri" w:hAnsi="Arial" w:cs="Arial"/>
                <w:kern w:val="2"/>
                <w:sz w:val="18"/>
                <w:szCs w:val="18"/>
                <w:lang w:val="ro-MD" w:eastAsia="en-US"/>
              </w:rPr>
              <w:t>Conectivitatea transportului</w:t>
            </w:r>
            <w:r w:rsidR="00763B45" w:rsidRPr="003A36E3">
              <w:rPr>
                <w:rStyle w:val="eop"/>
                <w:rFonts w:ascii="Arial" w:eastAsia="Calibri" w:hAnsi="Arial" w:cs="Arial"/>
                <w:sz w:val="18"/>
                <w:szCs w:val="18"/>
                <w:lang w:val="ro-MD"/>
              </w:rPr>
              <w:t> </w:t>
            </w:r>
          </w:p>
          <w:p w14:paraId="15123A1F" w14:textId="77777777" w:rsidR="00763B45" w:rsidRPr="003A36E3" w:rsidRDefault="00763B45" w:rsidP="002F7854">
            <w:pPr>
              <w:spacing w:after="0" w:line="240" w:lineRule="auto"/>
              <w:jc w:val="both"/>
              <w:rPr>
                <w:rFonts w:ascii="Arial" w:hAnsi="Arial" w:cs="Arial"/>
                <w:sz w:val="18"/>
                <w:szCs w:val="18"/>
                <w:lang w:val="ro-MD"/>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74C6770"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292C06" w14:textId="34518BD2" w:rsidR="00763B45" w:rsidRPr="003A36E3" w:rsidRDefault="006F15B4"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Consolidarea conectivității transporturilor prin reabilitarea și </w:t>
            </w:r>
            <w:r w:rsidRPr="003A36E3">
              <w:rPr>
                <w:rFonts w:ascii="Arial" w:hAnsi="Arial" w:cs="Arial"/>
                <w:sz w:val="18"/>
                <w:szCs w:val="18"/>
                <w:lang w:val="ro-MD"/>
              </w:rPr>
              <w:lastRenderedPageBreak/>
              <w:t>modernizarea rețelei feroviare</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B8AB13B"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lastRenderedPageBreak/>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BDF01D" w14:textId="73304E03" w:rsidR="00763B45" w:rsidRPr="003A36E3" w:rsidRDefault="00BD0643" w:rsidP="002F7854">
            <w:pPr>
              <w:spacing w:after="0" w:line="240" w:lineRule="auto"/>
              <w:jc w:val="both"/>
              <w:rPr>
                <w:rFonts w:ascii="Arial" w:hAnsi="Arial" w:cs="Arial"/>
                <w:sz w:val="18"/>
                <w:szCs w:val="18"/>
                <w:lang w:val="ro-MD"/>
              </w:rPr>
            </w:pPr>
            <w:r>
              <w:rPr>
                <w:rFonts w:ascii="Arial" w:hAnsi="Arial" w:cs="Arial"/>
                <w:sz w:val="18"/>
                <w:szCs w:val="18"/>
                <w:lang w:val="ro-MD"/>
              </w:rPr>
              <w:t>decembrie</w:t>
            </w:r>
            <w:r w:rsidR="00763B45" w:rsidRPr="003A36E3">
              <w:rPr>
                <w:rFonts w:ascii="Arial" w:hAnsi="Arial" w:cs="Arial"/>
                <w:sz w:val="18"/>
                <w:szCs w:val="18"/>
                <w:lang w:val="ro-MD"/>
              </w:rPr>
              <w:t xml:space="preserve"> 2026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B14D8B" w14:textId="7B50787D" w:rsidR="00763B45" w:rsidRPr="003A36E3" w:rsidRDefault="00DB3507" w:rsidP="002F7854">
            <w:pPr>
              <w:pBdr>
                <w:top w:val="nil"/>
                <w:left w:val="nil"/>
                <w:bottom w:val="nil"/>
                <w:right w:val="nil"/>
                <w:between w:val="nil"/>
              </w:pBdr>
              <w:spacing w:after="0" w:line="240" w:lineRule="auto"/>
              <w:jc w:val="both"/>
              <w:rPr>
                <w:rFonts w:ascii="Arial" w:hAnsi="Arial" w:cs="Arial"/>
                <w:sz w:val="18"/>
                <w:szCs w:val="18"/>
                <w:lang w:val="ro-MD"/>
              </w:rPr>
            </w:pPr>
            <w:r w:rsidRPr="003A36E3">
              <w:rPr>
                <w:rFonts w:ascii="Arial" w:hAnsi="Arial" w:cs="Arial"/>
                <w:sz w:val="18"/>
                <w:szCs w:val="18"/>
                <w:lang w:val="ro-MD"/>
              </w:rPr>
              <w:t>Ministerul Infrastructurii și Dezvoltării Regionale</w:t>
            </w:r>
            <w:r w:rsidR="00763B45" w:rsidRPr="003A36E3">
              <w:rPr>
                <w:rFonts w:ascii="Arial" w:hAnsi="Arial" w:cs="Arial"/>
                <w:sz w:val="18"/>
                <w:szCs w:val="18"/>
                <w:lang w:val="ro-MD"/>
              </w:rPr>
              <w:t xml:space="preserve"> </w:t>
            </w:r>
          </w:p>
          <w:p w14:paraId="0BF8B281" w14:textId="112170F8" w:rsidR="00763B45" w:rsidRPr="003A36E3" w:rsidRDefault="00BC0EF2" w:rsidP="002F7854">
            <w:pPr>
              <w:pBdr>
                <w:top w:val="nil"/>
                <w:left w:val="nil"/>
                <w:bottom w:val="nil"/>
                <w:right w:val="nil"/>
                <w:between w:val="nil"/>
              </w:pBdr>
              <w:spacing w:after="0" w:line="240" w:lineRule="auto"/>
              <w:jc w:val="both"/>
              <w:rPr>
                <w:rFonts w:ascii="Arial" w:hAnsi="Arial" w:cs="Arial"/>
                <w:sz w:val="18"/>
                <w:szCs w:val="18"/>
                <w:lang w:val="ro-MD"/>
              </w:rPr>
            </w:pPr>
            <w:r w:rsidRPr="003A36E3">
              <w:rPr>
                <w:rFonts w:ascii="Arial" w:hAnsi="Arial" w:cs="Arial"/>
                <w:sz w:val="18"/>
                <w:szCs w:val="18"/>
                <w:lang w:val="ro-MD"/>
              </w:rPr>
              <w:t>APP Agenția Proprietății Publice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B175E0" w14:textId="77777777" w:rsidR="00376720" w:rsidRPr="003A36E3" w:rsidRDefault="00376720" w:rsidP="00376720">
            <w:pPr>
              <w:pBdr>
                <w:top w:val="nil"/>
                <w:left w:val="nil"/>
                <w:bottom w:val="nil"/>
                <w:right w:val="nil"/>
                <w:between w:val="nil"/>
              </w:pBdr>
              <w:spacing w:after="0" w:line="240" w:lineRule="auto"/>
              <w:jc w:val="both"/>
              <w:rPr>
                <w:rFonts w:ascii="Arial" w:hAnsi="Arial" w:cs="Arial"/>
                <w:sz w:val="18"/>
                <w:szCs w:val="18"/>
                <w:lang w:val="ro-MD"/>
              </w:rPr>
            </w:pPr>
            <w:r w:rsidRPr="003A36E3">
              <w:rPr>
                <w:rFonts w:ascii="Arial" w:hAnsi="Arial" w:cs="Arial"/>
                <w:sz w:val="18"/>
                <w:szCs w:val="18"/>
                <w:lang w:val="ro-MD"/>
              </w:rPr>
              <w:t xml:space="preserve">Întreprinderea de Stat „Calea Ferată din Moldova” este reorganizată în două societăți pe acțiuni, Societatea pe acțiuni „CFM Infra” și Societatea pe acțiuni „Pasageri și Marfă”, cu adoptarea organigramelor, finalizarea separării financiare și contabile și adoptarea </w:t>
            </w:r>
            <w:r w:rsidRPr="003A36E3">
              <w:rPr>
                <w:rFonts w:ascii="Arial" w:hAnsi="Arial" w:cs="Arial"/>
                <w:sz w:val="18"/>
                <w:szCs w:val="18"/>
                <w:lang w:val="ro-MD"/>
              </w:rPr>
              <w:lastRenderedPageBreak/>
              <w:t>planurilor de dezvoltare a strategiei de afaceri.</w:t>
            </w:r>
          </w:p>
          <w:p w14:paraId="0403C209" w14:textId="77777777" w:rsidR="00376720" w:rsidRPr="003A36E3" w:rsidRDefault="00376720" w:rsidP="00376720">
            <w:pPr>
              <w:pBdr>
                <w:top w:val="nil"/>
                <w:left w:val="nil"/>
                <w:bottom w:val="nil"/>
                <w:right w:val="nil"/>
                <w:between w:val="nil"/>
              </w:pBdr>
              <w:spacing w:after="0" w:line="240" w:lineRule="auto"/>
              <w:jc w:val="both"/>
              <w:rPr>
                <w:rFonts w:ascii="Arial" w:hAnsi="Arial" w:cs="Arial"/>
                <w:sz w:val="18"/>
                <w:szCs w:val="18"/>
                <w:lang w:val="ro-MD"/>
              </w:rPr>
            </w:pPr>
            <w:r w:rsidRPr="003A36E3">
              <w:rPr>
                <w:rFonts w:ascii="Arial" w:hAnsi="Arial" w:cs="Arial"/>
                <w:sz w:val="18"/>
                <w:szCs w:val="18"/>
                <w:lang w:val="ro-MD"/>
              </w:rPr>
              <w:t xml:space="preserve"> </w:t>
            </w:r>
          </w:p>
          <w:p w14:paraId="7305DFE3" w14:textId="1F377477" w:rsidR="00763B45" w:rsidRPr="003A36E3" w:rsidRDefault="00376720" w:rsidP="00376720">
            <w:pPr>
              <w:pBdr>
                <w:top w:val="nil"/>
                <w:left w:val="nil"/>
                <w:bottom w:val="nil"/>
                <w:right w:val="nil"/>
                <w:between w:val="nil"/>
              </w:pBdr>
              <w:spacing w:after="0" w:line="240" w:lineRule="auto"/>
              <w:jc w:val="both"/>
              <w:rPr>
                <w:rFonts w:ascii="Arial" w:hAnsi="Arial" w:cs="Arial"/>
                <w:sz w:val="18"/>
                <w:szCs w:val="18"/>
                <w:lang w:val="ro-MD"/>
              </w:rPr>
            </w:pPr>
            <w:r w:rsidRPr="003A36E3">
              <w:rPr>
                <w:rFonts w:ascii="Arial" w:hAnsi="Arial" w:cs="Arial"/>
                <w:sz w:val="18"/>
                <w:szCs w:val="18"/>
                <w:lang w:val="ro-MD"/>
              </w:rPr>
              <w:t>Linia de referință: Întreprinderea de Stat „Calea Ferată din Moldova” este o întreprindere de stat integrată.</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9306CE" w14:textId="77777777" w:rsidR="0026365D" w:rsidRPr="003A36E3" w:rsidRDefault="0026365D" w:rsidP="0026365D">
            <w:pPr>
              <w:spacing w:after="0" w:line="240" w:lineRule="auto"/>
              <w:jc w:val="both"/>
              <w:rPr>
                <w:rFonts w:ascii="Arial" w:hAnsi="Arial" w:cs="Arial"/>
                <w:sz w:val="18"/>
                <w:szCs w:val="18"/>
                <w:lang w:val="ro-MD"/>
              </w:rPr>
            </w:pPr>
            <w:r w:rsidRPr="003A36E3">
              <w:rPr>
                <w:rFonts w:ascii="Arial" w:hAnsi="Arial" w:cs="Arial"/>
                <w:sz w:val="18"/>
                <w:szCs w:val="18"/>
                <w:lang w:val="ro-MD"/>
              </w:rPr>
              <w:lastRenderedPageBreak/>
              <w:t xml:space="preserve">Întreprinderea de Stat „Calea Ferată din Moldova” (CFM) este reorganizată în două entități separate: Societatea pe Acțiuni CFM Infra, responsabilă de gestionarea infrastructurii, și Societatea pe Acțiuni CFM Pasageri și Marfă, responsabilă de operațiunile de transport de pasageri și marfă. Această restructurare include aprobarea de către Consiliul de administrație a structurilor organizatorice, separarea financiară și contabilă internă, </w:t>
            </w:r>
            <w:r w:rsidRPr="003A36E3">
              <w:rPr>
                <w:rFonts w:ascii="Arial" w:hAnsi="Arial" w:cs="Arial"/>
                <w:sz w:val="18"/>
                <w:szCs w:val="18"/>
                <w:lang w:val="ro-MD"/>
              </w:rPr>
              <w:lastRenderedPageBreak/>
              <w:t>divizarea angajaților, precum și aprobarea strategiei de afaceri și a planurilor de dezvoltare pentru fiecare entitate.</w:t>
            </w:r>
          </w:p>
          <w:p w14:paraId="3378E7BA" w14:textId="77777777" w:rsidR="0026365D" w:rsidRPr="003A36E3" w:rsidRDefault="0026365D" w:rsidP="0026365D">
            <w:pPr>
              <w:spacing w:after="0" w:line="240" w:lineRule="auto"/>
              <w:jc w:val="both"/>
              <w:rPr>
                <w:rFonts w:ascii="Arial" w:hAnsi="Arial" w:cs="Arial"/>
                <w:sz w:val="18"/>
                <w:szCs w:val="18"/>
                <w:lang w:val="ro-MD"/>
              </w:rPr>
            </w:pPr>
          </w:p>
          <w:p w14:paraId="321BF6E0" w14:textId="70231C37" w:rsidR="00763B45" w:rsidRPr="003A36E3" w:rsidRDefault="0026365D" w:rsidP="0026365D">
            <w:pPr>
              <w:pBdr>
                <w:top w:val="nil"/>
                <w:left w:val="nil"/>
                <w:bottom w:val="nil"/>
                <w:right w:val="nil"/>
                <w:between w:val="nil"/>
              </w:pBdr>
              <w:spacing w:after="0" w:line="240" w:lineRule="auto"/>
              <w:jc w:val="both"/>
              <w:rPr>
                <w:rFonts w:ascii="Arial" w:hAnsi="Arial" w:cs="Arial"/>
                <w:sz w:val="18"/>
                <w:szCs w:val="18"/>
                <w:lang w:val="ro-MD"/>
              </w:rPr>
            </w:pPr>
            <w:r w:rsidRPr="003A36E3">
              <w:rPr>
                <w:rFonts w:ascii="Arial" w:hAnsi="Arial" w:cs="Arial"/>
                <w:sz w:val="18"/>
                <w:szCs w:val="18"/>
                <w:lang w:val="ro-MD"/>
              </w:rPr>
              <w:t xml:space="preserve">Sursa de verificare: </w:t>
            </w:r>
            <w:r w:rsidR="00CE1E75">
              <w:rPr>
                <w:rFonts w:ascii="Arial" w:hAnsi="Arial" w:cs="Arial"/>
                <w:sz w:val="18"/>
                <w:szCs w:val="18"/>
                <w:lang w:val="ro-MD"/>
              </w:rPr>
              <w:t>Pagina web a</w:t>
            </w:r>
            <w:r w:rsidRPr="003A36E3">
              <w:rPr>
                <w:rFonts w:ascii="Arial" w:hAnsi="Arial" w:cs="Arial"/>
                <w:sz w:val="18"/>
                <w:szCs w:val="18"/>
                <w:lang w:val="ro-MD"/>
              </w:rPr>
              <w:t xml:space="preserve"> Agenției Proprietății Publice, </w:t>
            </w:r>
            <w:r w:rsidR="0059048A">
              <w:rPr>
                <w:rFonts w:ascii="Arial" w:hAnsi="Arial" w:cs="Arial"/>
                <w:sz w:val="18"/>
                <w:szCs w:val="18"/>
                <w:lang w:val="ro-MD"/>
              </w:rPr>
              <w:t>paginile</w:t>
            </w:r>
            <w:r w:rsidRPr="003A36E3">
              <w:rPr>
                <w:rFonts w:ascii="Arial" w:hAnsi="Arial" w:cs="Arial"/>
                <w:sz w:val="18"/>
                <w:szCs w:val="18"/>
                <w:lang w:val="ro-MD"/>
              </w:rPr>
              <w:t xml:space="preserve"> web ale societăților pe acțiuni nou create, decizia Consiliului de administrație</w:t>
            </w:r>
          </w:p>
        </w:tc>
      </w:tr>
      <w:tr w:rsidR="00763B45" w:rsidRPr="00BD0643" w14:paraId="7906D3A6" w14:textId="77777777" w:rsidTr="006E16D8">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ED0D86" w14:textId="60EE2B55" w:rsidR="00763B45" w:rsidRPr="003A36E3" w:rsidRDefault="00DB3507"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lastRenderedPageBreak/>
              <w:t xml:space="preserve">Conectivitatea transportului </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2C9EE7"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D8D9DD" w14:textId="08C57041" w:rsidR="00763B45" w:rsidRPr="003A36E3" w:rsidRDefault="006F15B4"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Consolidarea conectivității transporturilor prin reabilitarea și modernizarea rețelei feroviare</w:t>
            </w:r>
          </w:p>
        </w:tc>
        <w:tc>
          <w:tcPr>
            <w:tcW w:w="28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732AB3DF"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6</w:t>
            </w:r>
          </w:p>
        </w:tc>
        <w:tc>
          <w:tcPr>
            <w:tcW w:w="7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vAlign w:val="center"/>
          </w:tcPr>
          <w:p w14:paraId="484361E1" w14:textId="556899D3" w:rsidR="00763B45" w:rsidRPr="003A36E3" w:rsidRDefault="0026365D"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decembrie</w:t>
            </w:r>
            <w:r w:rsidR="00763B45" w:rsidRPr="003A36E3">
              <w:rPr>
                <w:rFonts w:ascii="Arial" w:hAnsi="Arial" w:cs="Arial"/>
                <w:sz w:val="18"/>
                <w:szCs w:val="18"/>
                <w:lang w:val="ro-MD"/>
              </w:rPr>
              <w:t xml:space="preserve"> 2027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C0ED5EB" w14:textId="20601F84" w:rsidR="00763B45" w:rsidRPr="003A36E3" w:rsidRDefault="00BC0EF2"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Ministerul Infrastructurii și Dezvoltării Regionale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EA77FC" w14:textId="77777777" w:rsidR="00C03F05" w:rsidRPr="003A36E3" w:rsidRDefault="00C03F05" w:rsidP="00C03F05">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Dispozițiile-cheie ale noului Cod feroviar sunt puse în aplicare, inclusiv atribuirea contractelor de servicii publice și a contractelor multianuale de infrastructură, în conformitate cu cerințele acquis-ului UE. Acesta include: (i) desemnarea unei autorități naționale operaționale pentru siguranța feroviară, (ii) desemnarea unui organism național operațional de investigare obligat să investigheze accidentele grave, (iii) desemnarea unui organism funcțional de acordare a licențelor (care acordă licențe pentru exploatarea serviciilor feroviare), (iv) introducerea unui temei juridic pentru aplicarea specificațiilor tehnice de interoperabilitate ale UE. </w:t>
            </w:r>
          </w:p>
          <w:p w14:paraId="2F09C3A2" w14:textId="77777777" w:rsidR="00C03F05" w:rsidRPr="003A36E3" w:rsidRDefault="00C03F05" w:rsidP="00C03F05">
            <w:pPr>
              <w:spacing w:after="0" w:line="240" w:lineRule="auto"/>
              <w:jc w:val="both"/>
              <w:rPr>
                <w:rFonts w:ascii="Arial" w:hAnsi="Arial" w:cs="Arial"/>
                <w:sz w:val="18"/>
                <w:szCs w:val="18"/>
                <w:lang w:val="ro-MD"/>
              </w:rPr>
            </w:pPr>
          </w:p>
          <w:p w14:paraId="24A2E376" w14:textId="77777777" w:rsidR="00C03F05" w:rsidRPr="003A36E3" w:rsidRDefault="00C03F05" w:rsidP="00C03F05">
            <w:pPr>
              <w:spacing w:after="0" w:line="240" w:lineRule="auto"/>
              <w:jc w:val="both"/>
              <w:rPr>
                <w:rFonts w:ascii="Arial" w:hAnsi="Arial" w:cs="Arial"/>
                <w:sz w:val="18"/>
                <w:szCs w:val="18"/>
                <w:lang w:val="ro-MD"/>
              </w:rPr>
            </w:pPr>
            <w:r w:rsidRPr="003A36E3">
              <w:rPr>
                <w:rFonts w:ascii="Arial" w:hAnsi="Arial" w:cs="Arial"/>
                <w:sz w:val="18"/>
                <w:szCs w:val="18"/>
                <w:lang w:val="ro-MD"/>
              </w:rPr>
              <w:t>În plus, pentru a stabili un contract de servicii publice, se stabilesc cerințele stabilite de autoritatea competentă și parametrii pentru compensație și se stabilește mecanismul de evitare a supracompensării.</w:t>
            </w:r>
          </w:p>
          <w:p w14:paraId="17FCF5E5" w14:textId="77777777" w:rsidR="00C03F05" w:rsidRPr="003A36E3" w:rsidRDefault="00C03F05" w:rsidP="00C03F05">
            <w:pPr>
              <w:spacing w:after="0" w:line="240" w:lineRule="auto"/>
              <w:jc w:val="both"/>
              <w:rPr>
                <w:rFonts w:ascii="Arial" w:hAnsi="Arial" w:cs="Arial"/>
                <w:sz w:val="18"/>
                <w:szCs w:val="18"/>
                <w:lang w:val="ro-MD"/>
              </w:rPr>
            </w:pPr>
          </w:p>
          <w:p w14:paraId="2A8380DA" w14:textId="5E72055E" w:rsidR="00763B45" w:rsidRPr="003A36E3" w:rsidRDefault="00C03F05" w:rsidP="00C03F05">
            <w:pPr>
              <w:spacing w:after="0" w:line="240" w:lineRule="auto"/>
              <w:jc w:val="both"/>
              <w:rPr>
                <w:rFonts w:ascii="Arial" w:hAnsi="Arial" w:cs="Arial"/>
                <w:sz w:val="18"/>
                <w:szCs w:val="18"/>
                <w:lang w:val="ro-MD"/>
              </w:rPr>
            </w:pPr>
            <w:r w:rsidRPr="003A36E3">
              <w:rPr>
                <w:rFonts w:ascii="Arial" w:hAnsi="Arial" w:cs="Arial"/>
                <w:sz w:val="18"/>
                <w:szCs w:val="18"/>
                <w:lang w:val="ro-MD"/>
              </w:rPr>
              <w:t>Linia de referință:  Codul feroviar este adoptat, dar dispozițiile nu sunt puse în aplicare; nu există niciun contract de servicii publice.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3475F1" w14:textId="77777777" w:rsidR="00E873D3" w:rsidRPr="003A36E3" w:rsidRDefault="00E873D3" w:rsidP="00E873D3">
            <w:pPr>
              <w:spacing w:before="240" w:after="240"/>
              <w:jc w:val="both"/>
              <w:rPr>
                <w:rFonts w:ascii="Arial" w:hAnsi="Arial" w:cs="Arial"/>
                <w:sz w:val="18"/>
                <w:szCs w:val="18"/>
                <w:lang w:val="ro-MD"/>
              </w:rPr>
            </w:pPr>
            <w:r w:rsidRPr="003A36E3">
              <w:rPr>
                <w:rFonts w:ascii="Arial" w:hAnsi="Arial" w:cs="Arial"/>
                <w:sz w:val="18"/>
                <w:szCs w:val="18"/>
                <w:lang w:val="ro-MD"/>
              </w:rPr>
              <w:t xml:space="preserve">Dispozițiile-cheie se concentrează pe asigurarea unei autorități naționale de siguranță feroviară funcționale (care supraveghează un sistem de gestionare a siguranței feroviare), a unui organism național de investigare funcțional, obligat să investigheze accidentele grave, a unui organism de acordare a licențelor funcțional (care acordă licențe pentru exploatarea serviciilor feroviare) și a unui temei juridic pentru aplicarea specificațiilor tehnice de interoperabilitate ale UE. </w:t>
            </w:r>
          </w:p>
          <w:p w14:paraId="4C9D83DA" w14:textId="77777777" w:rsidR="00E873D3" w:rsidRPr="003A36E3" w:rsidRDefault="00E873D3" w:rsidP="00E873D3">
            <w:pPr>
              <w:spacing w:before="240" w:after="240"/>
              <w:jc w:val="both"/>
              <w:rPr>
                <w:rFonts w:ascii="Arial" w:hAnsi="Arial" w:cs="Arial"/>
                <w:sz w:val="18"/>
                <w:szCs w:val="18"/>
                <w:lang w:val="ro-MD"/>
              </w:rPr>
            </w:pPr>
            <w:r w:rsidRPr="003A36E3">
              <w:rPr>
                <w:rFonts w:ascii="Arial" w:hAnsi="Arial" w:cs="Arial"/>
                <w:sz w:val="18"/>
                <w:szCs w:val="18"/>
                <w:lang w:val="ro-MD"/>
              </w:rPr>
              <w:t>În vederea încheierii unui contract de servicii publice (multianual), se stabilesc cerințele stabilite de autoritatea competentă (perimetru, frecvențe, cerințe de calitate) și parametrii pentru compensare, precum și mecanismul de evitare a supracompensării.</w:t>
            </w:r>
          </w:p>
          <w:p w14:paraId="62AB87B0" w14:textId="39428E2D" w:rsidR="00763B45" w:rsidRPr="003A36E3" w:rsidRDefault="00E873D3" w:rsidP="00E873D3">
            <w:pPr>
              <w:spacing w:before="240" w:after="240"/>
              <w:jc w:val="both"/>
              <w:rPr>
                <w:rFonts w:ascii="Arial" w:hAnsi="Arial" w:cs="Arial"/>
                <w:sz w:val="18"/>
                <w:szCs w:val="18"/>
                <w:lang w:val="ro-MD"/>
              </w:rPr>
            </w:pPr>
            <w:r w:rsidRPr="003A36E3">
              <w:rPr>
                <w:rFonts w:ascii="Arial" w:hAnsi="Arial" w:cs="Arial"/>
                <w:sz w:val="18"/>
                <w:szCs w:val="18"/>
                <w:lang w:val="ro-MD"/>
              </w:rPr>
              <w:t xml:space="preserve">Sursa de verificare: </w:t>
            </w:r>
            <w:r w:rsidR="00CE1E75">
              <w:rPr>
                <w:rFonts w:ascii="Arial" w:hAnsi="Arial" w:cs="Arial"/>
                <w:sz w:val="18"/>
                <w:szCs w:val="18"/>
                <w:lang w:val="ro-MD"/>
              </w:rPr>
              <w:t>Pagina web a</w:t>
            </w:r>
            <w:r w:rsidRPr="003A36E3">
              <w:rPr>
                <w:rFonts w:ascii="Arial" w:hAnsi="Arial" w:cs="Arial"/>
                <w:sz w:val="18"/>
                <w:szCs w:val="18"/>
                <w:lang w:val="ro-MD"/>
              </w:rPr>
              <w:t xml:space="preserve"> MIDR, </w:t>
            </w:r>
            <w:r w:rsidR="00CE1E75">
              <w:rPr>
                <w:rFonts w:ascii="Arial" w:hAnsi="Arial" w:cs="Arial"/>
                <w:sz w:val="18"/>
                <w:szCs w:val="18"/>
                <w:lang w:val="ro-MD"/>
              </w:rPr>
              <w:t>pagina web a</w:t>
            </w:r>
            <w:r w:rsidRPr="003A36E3">
              <w:rPr>
                <w:rFonts w:ascii="Arial" w:hAnsi="Arial" w:cs="Arial"/>
                <w:sz w:val="18"/>
                <w:szCs w:val="18"/>
                <w:lang w:val="ro-MD"/>
              </w:rPr>
              <w:t xml:space="preserve"> Agenției Feroviare, publicații în Registrul de stat al actelor juridice.</w:t>
            </w:r>
          </w:p>
        </w:tc>
      </w:tr>
      <w:tr w:rsidR="00763B45" w:rsidRPr="00BD0643" w14:paraId="0D32D9E4" w14:textId="77777777" w:rsidTr="006E16D8">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F28F61" w14:textId="1435D240" w:rsidR="00763B45" w:rsidRPr="003A36E3" w:rsidRDefault="004C398A" w:rsidP="002F7854">
            <w:pPr>
              <w:spacing w:line="240" w:lineRule="auto"/>
              <w:jc w:val="both"/>
              <w:rPr>
                <w:rFonts w:ascii="Arial" w:hAnsi="Arial" w:cs="Arial"/>
                <w:sz w:val="18"/>
                <w:szCs w:val="18"/>
                <w:lang w:val="ro-MD"/>
              </w:rPr>
            </w:pPr>
            <w:r w:rsidRPr="003A36E3">
              <w:rPr>
                <w:rFonts w:ascii="Arial" w:hAnsi="Arial" w:cs="Arial"/>
                <w:sz w:val="18"/>
                <w:szCs w:val="18"/>
                <w:lang w:val="ro-MD"/>
              </w:rPr>
              <w:t>Dezvoltare spațială</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732A52" w14:textId="77777777" w:rsidR="00763B45" w:rsidRPr="003A36E3" w:rsidRDefault="00763B45" w:rsidP="002F7854">
            <w:pPr>
              <w:spacing w:line="240" w:lineRule="auto"/>
              <w:jc w:val="both"/>
              <w:rPr>
                <w:rFonts w:ascii="Arial" w:hAnsi="Arial" w:cs="Arial"/>
                <w:sz w:val="18"/>
                <w:szCs w:val="18"/>
                <w:lang w:val="ro-MD"/>
              </w:rPr>
            </w:pPr>
            <w:r w:rsidRPr="003A36E3">
              <w:rPr>
                <w:rFonts w:ascii="Arial" w:hAnsi="Arial" w:cs="Arial"/>
                <w:sz w:val="18"/>
                <w:szCs w:val="18"/>
                <w:lang w:val="ro-MD"/>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2B5A76" w14:textId="77777777" w:rsidR="00763B45" w:rsidRPr="003A36E3" w:rsidRDefault="00763B45" w:rsidP="002F7854">
            <w:pPr>
              <w:spacing w:line="240" w:lineRule="auto"/>
              <w:jc w:val="both"/>
              <w:rPr>
                <w:rFonts w:ascii="Arial" w:hAnsi="Arial" w:cs="Arial"/>
                <w:sz w:val="18"/>
                <w:szCs w:val="18"/>
                <w:lang w:val="ro-MD"/>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3A566E" w14:textId="77777777" w:rsidR="00763B45" w:rsidRPr="003A36E3" w:rsidRDefault="00763B45" w:rsidP="002F7854">
            <w:pPr>
              <w:spacing w:line="240" w:lineRule="auto"/>
              <w:jc w:val="both"/>
              <w:rPr>
                <w:rFonts w:ascii="Arial" w:hAnsi="Arial" w:cs="Arial"/>
                <w:sz w:val="18"/>
                <w:szCs w:val="18"/>
                <w:lang w:val="ro-MD"/>
              </w:rPr>
            </w:pPr>
            <w:r w:rsidRPr="003A36E3">
              <w:rPr>
                <w:rFonts w:ascii="Arial" w:hAnsi="Arial" w:cs="Arial"/>
                <w:sz w:val="18"/>
                <w:szCs w:val="18"/>
                <w:lang w:val="ro-MD"/>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91293A7" w14:textId="058E6EB0" w:rsidR="00763B45" w:rsidRPr="003A36E3" w:rsidRDefault="004C398A" w:rsidP="002F7854">
            <w:pPr>
              <w:spacing w:line="240" w:lineRule="auto"/>
              <w:jc w:val="both"/>
              <w:rPr>
                <w:rFonts w:ascii="Arial" w:hAnsi="Arial" w:cs="Arial"/>
                <w:sz w:val="18"/>
                <w:szCs w:val="18"/>
                <w:lang w:val="ro-MD"/>
              </w:rPr>
            </w:pPr>
            <w:r w:rsidRPr="003A36E3">
              <w:rPr>
                <w:rFonts w:ascii="Arial" w:hAnsi="Arial" w:cs="Arial"/>
                <w:sz w:val="18"/>
                <w:szCs w:val="18"/>
                <w:lang w:val="ro-MD"/>
              </w:rPr>
              <w:t>iunie</w:t>
            </w:r>
            <w:r w:rsidR="00763B45" w:rsidRPr="003A36E3">
              <w:rPr>
                <w:rFonts w:ascii="Arial" w:hAnsi="Arial" w:cs="Arial"/>
                <w:sz w:val="18"/>
                <w:szCs w:val="18"/>
                <w:lang w:val="ro-MD"/>
              </w:rPr>
              <w:t xml:space="preserve"> 2027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B73168" w14:textId="0026261E" w:rsidR="00763B45" w:rsidRPr="003A36E3" w:rsidRDefault="00342B7A" w:rsidP="002F7854">
            <w:pPr>
              <w:spacing w:line="240" w:lineRule="auto"/>
              <w:jc w:val="both"/>
              <w:rPr>
                <w:rFonts w:ascii="Arial" w:hAnsi="Arial" w:cs="Arial"/>
                <w:sz w:val="18"/>
                <w:szCs w:val="18"/>
                <w:lang w:val="ro-MD"/>
              </w:rPr>
            </w:pPr>
            <w:r w:rsidRPr="003A36E3">
              <w:rPr>
                <w:rFonts w:ascii="Arial" w:hAnsi="Arial" w:cs="Arial"/>
                <w:sz w:val="18"/>
                <w:szCs w:val="18"/>
                <w:lang w:val="ro-MD"/>
              </w:rPr>
              <w:t>Ministerul Infrastructurii</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EF1E0D" w14:textId="77777777" w:rsidR="00763B45" w:rsidRPr="003A36E3" w:rsidRDefault="00763B45" w:rsidP="002F7854">
            <w:pPr>
              <w:spacing w:line="240" w:lineRule="auto"/>
              <w:jc w:val="both"/>
              <w:rPr>
                <w:rFonts w:ascii="Arial" w:hAnsi="Arial" w:cs="Arial"/>
                <w:sz w:val="18"/>
                <w:szCs w:val="18"/>
                <w:lang w:val="ro-MD"/>
              </w:rPr>
            </w:pPr>
          </w:p>
          <w:p w14:paraId="4F446AEB" w14:textId="0E10FACF" w:rsidR="00F83D67" w:rsidRPr="003A36E3" w:rsidRDefault="00F83D67" w:rsidP="00F83D67">
            <w:pPr>
              <w:spacing w:line="240" w:lineRule="auto"/>
              <w:jc w:val="both"/>
              <w:rPr>
                <w:rFonts w:ascii="Arial" w:hAnsi="Arial" w:cs="Arial"/>
                <w:sz w:val="18"/>
                <w:szCs w:val="18"/>
                <w:lang w:val="ro-MD"/>
              </w:rPr>
            </w:pPr>
            <w:r w:rsidRPr="003A36E3">
              <w:rPr>
                <w:rFonts w:ascii="Arial" w:hAnsi="Arial" w:cs="Arial"/>
                <w:sz w:val="18"/>
                <w:szCs w:val="18"/>
                <w:lang w:val="ro-MD"/>
              </w:rPr>
              <w:t>Cadrul cuprinzător de planificare națională și urbană este aliniat la standardele UE prin finalizarea următoarelor reforme: (i)</w:t>
            </w:r>
            <w:r w:rsidR="0059048A">
              <w:rPr>
                <w:rFonts w:ascii="Arial" w:hAnsi="Arial" w:cs="Arial"/>
                <w:sz w:val="18"/>
                <w:szCs w:val="18"/>
                <w:lang w:val="ro-MD"/>
              </w:rPr>
              <w:t xml:space="preserve"> </w:t>
            </w:r>
            <w:r w:rsidRPr="003A36E3">
              <w:rPr>
                <w:rFonts w:ascii="Arial" w:hAnsi="Arial" w:cs="Arial"/>
                <w:sz w:val="18"/>
                <w:szCs w:val="18"/>
                <w:lang w:val="ro-MD"/>
              </w:rPr>
              <w:t xml:space="preserve">Cadrul de reglementare este revizuit prin introducerea de modificări legislative și </w:t>
            </w:r>
            <w:r w:rsidRPr="003A36E3">
              <w:rPr>
                <w:rFonts w:ascii="Arial" w:hAnsi="Arial" w:cs="Arial"/>
                <w:sz w:val="18"/>
                <w:szCs w:val="18"/>
                <w:lang w:val="ro-MD"/>
              </w:rPr>
              <w:lastRenderedPageBreak/>
              <w:t xml:space="preserve">decizii guvernamentale care oferă orientări pentru elaborarea planurilor naționale de planificare spațială în conformitate cu metodologiile UE. </w:t>
            </w:r>
          </w:p>
          <w:p w14:paraId="0EC68966" w14:textId="77777777" w:rsidR="00F83D67" w:rsidRPr="003A36E3" w:rsidRDefault="00F83D67" w:rsidP="00F83D67">
            <w:pPr>
              <w:spacing w:line="240" w:lineRule="auto"/>
              <w:jc w:val="both"/>
              <w:rPr>
                <w:rFonts w:ascii="Arial" w:hAnsi="Arial" w:cs="Arial"/>
                <w:sz w:val="18"/>
                <w:szCs w:val="18"/>
                <w:lang w:val="ro-MD"/>
              </w:rPr>
            </w:pPr>
            <w:r w:rsidRPr="003A36E3">
              <w:rPr>
                <w:rFonts w:ascii="Arial" w:hAnsi="Arial" w:cs="Arial"/>
                <w:sz w:val="18"/>
                <w:szCs w:val="18"/>
                <w:lang w:val="ro-MD"/>
              </w:rPr>
              <w:t>(ii) Cadrul de reglementare este revizuit prin introducerea de regulamente / metodologii / orientări pentru elaborarea planurilor de mobilitate urbană durabilă (PMUD), care includ punerea în aplicare și planificarea investițiilor.</w:t>
            </w:r>
          </w:p>
          <w:p w14:paraId="49A2CFFA" w14:textId="7191C13A" w:rsidR="00763B45" w:rsidRPr="003A36E3" w:rsidRDefault="00F83D67" w:rsidP="00F83D67">
            <w:pPr>
              <w:spacing w:line="240" w:lineRule="auto"/>
              <w:jc w:val="both"/>
              <w:rPr>
                <w:rFonts w:ascii="Arial" w:hAnsi="Arial" w:cs="Arial"/>
                <w:sz w:val="18"/>
                <w:szCs w:val="18"/>
                <w:lang w:val="ro-MD"/>
              </w:rPr>
            </w:pPr>
            <w:r w:rsidRPr="003A36E3">
              <w:rPr>
                <w:rFonts w:ascii="Arial" w:hAnsi="Arial" w:cs="Arial"/>
                <w:sz w:val="18"/>
                <w:szCs w:val="18"/>
                <w:lang w:val="ro-MD"/>
              </w:rPr>
              <w:t>Linia de referință: cadrul de reglementare privind planurile naționale de amenajare a teritoriului și PMUD nu este aliniat la UE.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1186F6" w14:textId="77777777" w:rsidR="00763B45" w:rsidRPr="003A36E3" w:rsidRDefault="00763B45" w:rsidP="002F7854">
            <w:pPr>
              <w:spacing w:after="0" w:line="240" w:lineRule="auto"/>
              <w:jc w:val="both"/>
              <w:rPr>
                <w:rFonts w:ascii="Arial" w:hAnsi="Arial" w:cs="Arial"/>
                <w:sz w:val="18"/>
                <w:szCs w:val="18"/>
                <w:lang w:val="ro-MD"/>
              </w:rPr>
            </w:pPr>
          </w:p>
          <w:p w14:paraId="69733660" w14:textId="77777777" w:rsidR="00763B45" w:rsidRPr="003A36E3" w:rsidRDefault="00763B45" w:rsidP="002F7854">
            <w:pPr>
              <w:spacing w:after="0" w:line="240" w:lineRule="auto"/>
              <w:jc w:val="both"/>
              <w:rPr>
                <w:rFonts w:ascii="Arial" w:hAnsi="Arial" w:cs="Arial"/>
                <w:sz w:val="18"/>
                <w:szCs w:val="18"/>
                <w:lang w:val="ro-MD"/>
              </w:rPr>
            </w:pPr>
          </w:p>
          <w:p w14:paraId="5E6F6C39" w14:textId="0D3E73DC" w:rsidR="00B472B5" w:rsidRPr="003A36E3" w:rsidRDefault="00B472B5" w:rsidP="00B472B5">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(i) Cadrul de reglementare este consolidat prin modificări legislative și </w:t>
            </w:r>
            <w:r w:rsidR="0059048A">
              <w:rPr>
                <w:rFonts w:ascii="Arial" w:hAnsi="Arial" w:cs="Arial"/>
                <w:sz w:val="18"/>
                <w:szCs w:val="18"/>
                <w:lang w:val="ro-MD"/>
              </w:rPr>
              <w:t>hotărâri de guvern</w:t>
            </w:r>
            <w:r w:rsidRPr="003A36E3">
              <w:rPr>
                <w:rFonts w:ascii="Arial" w:hAnsi="Arial" w:cs="Arial"/>
                <w:sz w:val="18"/>
                <w:szCs w:val="18"/>
                <w:lang w:val="ro-MD"/>
              </w:rPr>
              <w:t xml:space="preserve"> care stabilesc standarde în conformitate cu standardele UE și cele mai bune practici pentru dezvoltarea spațială durabilă. (ii) Planurile de mobilitate urbană durabilă sunt instituționalizate cu o metodologie standardizată aliniată la principiile PMUD ale UE. Reglementările adoptate de </w:t>
            </w:r>
            <w:r w:rsidRPr="003A36E3">
              <w:rPr>
                <w:rFonts w:ascii="Arial" w:hAnsi="Arial" w:cs="Arial"/>
                <w:sz w:val="18"/>
                <w:szCs w:val="18"/>
                <w:lang w:val="ro-MD"/>
              </w:rPr>
              <w:lastRenderedPageBreak/>
              <w:t xml:space="preserve">guvern includ dispoziții cuprinzătoare pentru controlul calității și monitorizarea punerii în aplicare, atât cu privire la planurile spațiale naționale, cât și la inițiativele de dezvoltare urbană. </w:t>
            </w:r>
          </w:p>
          <w:p w14:paraId="7397A87C" w14:textId="77777777" w:rsidR="00B472B5" w:rsidRPr="003A36E3" w:rsidRDefault="00B472B5" w:rsidP="00B472B5">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 </w:t>
            </w:r>
          </w:p>
          <w:p w14:paraId="65DECEE8" w14:textId="5DF92EA1" w:rsidR="00763B45" w:rsidRPr="003A36E3" w:rsidRDefault="00B472B5" w:rsidP="00B472B5">
            <w:pPr>
              <w:spacing w:after="0" w:line="240" w:lineRule="auto"/>
              <w:jc w:val="both"/>
              <w:rPr>
                <w:rFonts w:ascii="Arial" w:hAnsi="Arial" w:cs="Arial"/>
                <w:sz w:val="18"/>
                <w:szCs w:val="18"/>
                <w:lang w:val="ro-MD"/>
              </w:rPr>
            </w:pPr>
            <w:r w:rsidRPr="003A36E3">
              <w:rPr>
                <w:rFonts w:ascii="Arial" w:hAnsi="Arial" w:cs="Arial"/>
                <w:sz w:val="18"/>
                <w:szCs w:val="18"/>
                <w:lang w:val="ro-MD"/>
              </w:rPr>
              <w:t>Sursa de verificare:</w:t>
            </w:r>
            <w:r w:rsidR="0059048A">
              <w:rPr>
                <w:rFonts w:ascii="Arial" w:hAnsi="Arial" w:cs="Arial"/>
                <w:sz w:val="18"/>
                <w:szCs w:val="18"/>
                <w:lang w:val="ro-MD"/>
              </w:rPr>
              <w:t xml:space="preserve"> </w:t>
            </w:r>
            <w:r w:rsidRPr="003A36E3">
              <w:rPr>
                <w:rFonts w:ascii="Arial" w:hAnsi="Arial" w:cs="Arial"/>
                <w:sz w:val="18"/>
                <w:szCs w:val="18"/>
                <w:lang w:val="ro-MD"/>
              </w:rPr>
              <w:t xml:space="preserve">Monitorul Oficial pentru modificările legislative, </w:t>
            </w:r>
            <w:r w:rsidR="00CE1E75">
              <w:rPr>
                <w:rFonts w:ascii="Arial" w:hAnsi="Arial" w:cs="Arial"/>
                <w:sz w:val="18"/>
                <w:szCs w:val="18"/>
                <w:lang w:val="ro-MD"/>
              </w:rPr>
              <w:t>pagina web a</w:t>
            </w:r>
            <w:r w:rsidRPr="003A36E3">
              <w:rPr>
                <w:rFonts w:ascii="Arial" w:hAnsi="Arial" w:cs="Arial"/>
                <w:sz w:val="18"/>
                <w:szCs w:val="18"/>
                <w:lang w:val="ro-MD"/>
              </w:rPr>
              <w:t xml:space="preserve"> Ministerului Infrastructurii pentru </w:t>
            </w:r>
            <w:r w:rsidR="0059048A">
              <w:rPr>
                <w:rFonts w:ascii="Arial" w:hAnsi="Arial" w:cs="Arial"/>
                <w:sz w:val="18"/>
                <w:szCs w:val="18"/>
                <w:lang w:val="ro-MD"/>
              </w:rPr>
              <w:t>hotărârile de guvern.</w:t>
            </w:r>
          </w:p>
        </w:tc>
      </w:tr>
      <w:tr w:rsidR="00763B45" w:rsidRPr="00BD0643" w14:paraId="44022737" w14:textId="77777777" w:rsidTr="006E16D8">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2DDA8D0" w14:textId="77777777" w:rsidR="00763B45" w:rsidRPr="003A36E3" w:rsidRDefault="00763B45" w:rsidP="002F7854">
            <w:pPr>
              <w:spacing w:line="240" w:lineRule="auto"/>
              <w:jc w:val="both"/>
              <w:rPr>
                <w:rFonts w:ascii="Arial" w:hAnsi="Arial" w:cs="Arial"/>
                <w:sz w:val="18"/>
                <w:szCs w:val="18"/>
                <w:lang w:val="ro-MD"/>
              </w:rPr>
            </w:pPr>
            <w:r w:rsidRPr="003A36E3">
              <w:rPr>
                <w:rFonts w:ascii="Arial" w:hAnsi="Arial" w:cs="Arial"/>
                <w:sz w:val="18"/>
                <w:szCs w:val="18"/>
                <w:lang w:val="ro-MD"/>
              </w:rPr>
              <w:lastRenderedPageBreak/>
              <w:t>Digital</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CA21B1D" w14:textId="77777777" w:rsidR="00763B45" w:rsidRPr="003A36E3" w:rsidRDefault="00763B45" w:rsidP="002F7854">
            <w:pPr>
              <w:spacing w:line="240" w:lineRule="auto"/>
              <w:jc w:val="both"/>
              <w:rPr>
                <w:rFonts w:ascii="Arial" w:hAnsi="Arial" w:cs="Arial"/>
                <w:sz w:val="18"/>
                <w:szCs w:val="18"/>
                <w:lang w:val="ro-MD"/>
              </w:rPr>
            </w:pPr>
            <w:r w:rsidRPr="003A36E3">
              <w:rPr>
                <w:rFonts w:ascii="Arial" w:hAnsi="Arial" w:cs="Arial"/>
                <w:sz w:val="18"/>
                <w:szCs w:val="18"/>
                <w:lang w:val="ro-MD"/>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F70293" w14:textId="77777777" w:rsidR="00763B45" w:rsidRPr="003A36E3" w:rsidRDefault="00763B45" w:rsidP="002F7854">
            <w:pPr>
              <w:spacing w:line="240" w:lineRule="auto"/>
              <w:jc w:val="both"/>
              <w:rPr>
                <w:rFonts w:ascii="Arial" w:hAnsi="Arial" w:cs="Arial"/>
                <w:sz w:val="18"/>
                <w:szCs w:val="18"/>
                <w:lang w:val="ro-MD"/>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C2A8F7A" w14:textId="77777777" w:rsidR="00763B45" w:rsidRPr="003A36E3" w:rsidRDefault="00763B45" w:rsidP="002F7854">
            <w:pPr>
              <w:spacing w:line="240" w:lineRule="auto"/>
              <w:jc w:val="both"/>
              <w:rPr>
                <w:rFonts w:ascii="Arial" w:hAnsi="Arial" w:cs="Arial"/>
                <w:sz w:val="18"/>
                <w:szCs w:val="18"/>
                <w:lang w:val="ro-MD"/>
              </w:rPr>
            </w:pPr>
            <w:r w:rsidRPr="003A36E3">
              <w:rPr>
                <w:rFonts w:ascii="Arial" w:hAnsi="Arial" w:cs="Arial"/>
                <w:sz w:val="18"/>
                <w:szCs w:val="18"/>
                <w:lang w:val="ro-MD"/>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CF1F80" w14:textId="3B00D69D" w:rsidR="00763B45" w:rsidRPr="003A36E3" w:rsidRDefault="00763B45" w:rsidP="002F7854">
            <w:pPr>
              <w:spacing w:line="240" w:lineRule="auto"/>
              <w:jc w:val="both"/>
              <w:rPr>
                <w:rFonts w:ascii="Arial" w:hAnsi="Arial" w:cs="Arial"/>
                <w:sz w:val="18"/>
                <w:szCs w:val="18"/>
                <w:lang w:val="ro-MD"/>
              </w:rPr>
            </w:pPr>
            <w:r w:rsidRPr="003A36E3">
              <w:rPr>
                <w:rFonts w:ascii="Arial" w:hAnsi="Arial" w:cs="Arial"/>
                <w:sz w:val="18"/>
                <w:szCs w:val="18"/>
                <w:lang w:val="ro-MD"/>
              </w:rPr>
              <w:t xml:space="preserve"> </w:t>
            </w:r>
            <w:r w:rsidR="006452DB" w:rsidRPr="003A36E3">
              <w:rPr>
                <w:rFonts w:ascii="Arial" w:hAnsi="Arial" w:cs="Arial"/>
                <w:sz w:val="18"/>
                <w:szCs w:val="18"/>
                <w:lang w:val="ro-MD"/>
              </w:rPr>
              <w:t>iunie</w:t>
            </w:r>
            <w:r w:rsidRPr="003A36E3">
              <w:rPr>
                <w:rFonts w:ascii="Arial" w:hAnsi="Arial" w:cs="Arial"/>
                <w:sz w:val="18"/>
                <w:szCs w:val="18"/>
                <w:lang w:val="ro-MD"/>
              </w:rPr>
              <w:t xml:space="preserve"> 2026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29A63DA" w14:textId="258DD9CE" w:rsidR="00763B45" w:rsidRPr="003A36E3" w:rsidRDefault="00342B7A" w:rsidP="002F7854">
            <w:pPr>
              <w:spacing w:line="240" w:lineRule="auto"/>
              <w:jc w:val="both"/>
              <w:rPr>
                <w:rFonts w:ascii="Arial" w:hAnsi="Arial" w:cs="Arial"/>
                <w:sz w:val="18"/>
                <w:szCs w:val="18"/>
                <w:lang w:val="ro-MD"/>
              </w:rPr>
            </w:pPr>
            <w:r w:rsidRPr="003A36E3">
              <w:rPr>
                <w:rFonts w:ascii="Arial" w:hAnsi="Arial" w:cs="Arial"/>
                <w:sz w:val="18"/>
                <w:szCs w:val="18"/>
                <w:lang w:val="ro-MD"/>
              </w:rPr>
              <w:t>Ministerul Dezvoltării Economice și Digitalizării</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E0F8A2" w14:textId="77777777" w:rsidR="004A0B39" w:rsidRPr="003A36E3" w:rsidRDefault="004A0B39" w:rsidP="004A0B39">
            <w:pPr>
              <w:spacing w:after="0" w:line="240" w:lineRule="auto"/>
              <w:jc w:val="both"/>
              <w:rPr>
                <w:rFonts w:ascii="Arial" w:hAnsi="Arial" w:cs="Arial"/>
                <w:sz w:val="18"/>
                <w:szCs w:val="18"/>
                <w:lang w:val="ro-MD"/>
              </w:rPr>
            </w:pPr>
            <w:r w:rsidRPr="003A36E3">
              <w:rPr>
                <w:rFonts w:ascii="Arial" w:hAnsi="Arial" w:cs="Arial"/>
                <w:sz w:val="18"/>
                <w:szCs w:val="18"/>
                <w:lang w:val="ro-MD"/>
              </w:rPr>
              <w:t>Viteza și partajarea infrastructurii de conectivitate digitală sunt îmbunătățite prin punerea în aplicare a Codului comunicațiilor electronice al UE. Stabilitatea conexiunii la internet este de 2 ms, procentul de infrastructură (de exemplu, stâlpi utilizați de alți operatori) care este partajat este de cel puțin 3%.</w:t>
            </w:r>
          </w:p>
          <w:p w14:paraId="76AF5097" w14:textId="77777777" w:rsidR="004A0B39" w:rsidRPr="003A36E3" w:rsidRDefault="004A0B39" w:rsidP="004A0B39">
            <w:pPr>
              <w:spacing w:after="0" w:line="240" w:lineRule="auto"/>
              <w:jc w:val="both"/>
              <w:rPr>
                <w:rFonts w:ascii="Arial" w:hAnsi="Arial" w:cs="Arial"/>
                <w:sz w:val="18"/>
                <w:szCs w:val="18"/>
                <w:lang w:val="ro-MD"/>
              </w:rPr>
            </w:pPr>
          </w:p>
          <w:p w14:paraId="6C7C884F" w14:textId="3EB3A6B8" w:rsidR="00763B45" w:rsidRPr="003A36E3" w:rsidRDefault="004A0B39" w:rsidP="004A0B39">
            <w:pPr>
              <w:spacing w:after="0" w:line="240" w:lineRule="auto"/>
              <w:jc w:val="both"/>
              <w:rPr>
                <w:rFonts w:ascii="Arial" w:hAnsi="Arial" w:cs="Arial"/>
                <w:sz w:val="18"/>
                <w:szCs w:val="18"/>
                <w:lang w:val="ro-MD"/>
              </w:rPr>
            </w:pPr>
            <w:r w:rsidRPr="003A36E3">
              <w:rPr>
                <w:rFonts w:ascii="Arial" w:hAnsi="Arial" w:cs="Arial"/>
                <w:sz w:val="18"/>
                <w:szCs w:val="18"/>
                <w:lang w:val="ro-MD"/>
              </w:rPr>
              <w:t>Linia de referință: Cadru de reglementare parțial aliniat la Codul comunicațiilor al UE (L 28/2016, L 241/2007); operatorii nu partajează infrastructura. În 2024, stabilitatea conexiunii măsurată prin valoarea medie a întârzierii pentru transferul seturilor de date în rețea era de 2,95 ms; procentul de infrastructură partajată era de 0,95%.</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AE49CA" w14:textId="77777777" w:rsidR="00B71A2D" w:rsidRPr="003A36E3" w:rsidRDefault="00B71A2D" w:rsidP="00B71A2D">
            <w:pPr>
              <w:spacing w:after="0" w:line="240" w:lineRule="auto"/>
              <w:jc w:val="both"/>
              <w:rPr>
                <w:rFonts w:ascii="Arial" w:hAnsi="Arial" w:cs="Arial"/>
                <w:sz w:val="18"/>
                <w:szCs w:val="18"/>
                <w:lang w:val="ro-MD"/>
              </w:rPr>
            </w:pPr>
            <w:r w:rsidRPr="003A36E3">
              <w:rPr>
                <w:rFonts w:ascii="Arial" w:hAnsi="Arial" w:cs="Arial"/>
                <w:sz w:val="18"/>
                <w:szCs w:val="18"/>
                <w:lang w:val="ro-MD"/>
              </w:rPr>
              <w:t>(i) Se instituie un cadru de reglementare modern care facilitează introducerea rețelelor și serviciilor de comunicații electronice de mare viteză și la prețuri accesibile, în conformitate cu Codul comunicațiilor electronice al UE și cu Regulamentul UE privind roamingul; (ii) Se aprobă legislația secundară pentru a asigura aplicarea consecventă a Codului comunicațiilor electronice al UE și a restului acquis-ului UE privind roamingul, inclusiv Regulamentul UE privind roamingul, Regulamentul de punere în aplicare a roamingului, actul delegat privind tarifele de terminare a apelurilor, Regulamentul OAREC; (iii) Operatorul istoric își partajează rețeaua, prețurile pentru implementare sunt reduse în conformitate cu Actul UE privind infrastructura Gigabit. (iv) Se implementează sistemul de cartografiere în bandă largă pentru a permite monitorizarea precisă a acoperirii internetului, a calității serviciilor și a disponibilității infrastructurii și pentru a sprijini strategiile de investiții specifice.</w:t>
            </w:r>
          </w:p>
          <w:p w14:paraId="38282140" w14:textId="5551B528" w:rsidR="00763B45" w:rsidRPr="003A36E3" w:rsidRDefault="00B71A2D" w:rsidP="00B71A2D">
            <w:pPr>
              <w:spacing w:after="0" w:line="240" w:lineRule="auto"/>
              <w:jc w:val="both"/>
              <w:rPr>
                <w:rFonts w:ascii="Arial" w:hAnsi="Arial" w:cs="Arial"/>
                <w:sz w:val="18"/>
                <w:szCs w:val="18"/>
                <w:lang w:val="ro-MD"/>
              </w:rPr>
            </w:pPr>
            <w:r w:rsidRPr="003A36E3">
              <w:rPr>
                <w:rFonts w:ascii="Arial" w:hAnsi="Arial" w:cs="Arial"/>
                <w:sz w:val="18"/>
                <w:szCs w:val="18"/>
                <w:lang w:val="ro-MD"/>
              </w:rPr>
              <w:t>Sursa de verificare:  Ministerul Dezvoltării Economice și Digitalizării &amp; ANRCETI (autoritatea de reglementare în domeniul telecomunicațiilor)</w:t>
            </w:r>
          </w:p>
        </w:tc>
      </w:tr>
      <w:tr w:rsidR="00763B45" w:rsidRPr="00BD0643" w14:paraId="2C1DE004" w14:textId="77777777" w:rsidTr="006E16D8">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A749F1" w14:textId="77777777" w:rsidR="00763B45" w:rsidRPr="003A36E3" w:rsidRDefault="00763B45" w:rsidP="002F7854">
            <w:pPr>
              <w:spacing w:after="0" w:line="240" w:lineRule="auto"/>
              <w:jc w:val="both"/>
              <w:textAlignment w:val="baseline"/>
              <w:rPr>
                <w:rFonts w:ascii="Arial" w:hAnsi="Arial" w:cs="Arial"/>
                <w:sz w:val="18"/>
                <w:szCs w:val="18"/>
                <w:lang w:val="ro-MD"/>
              </w:rPr>
            </w:pPr>
            <w:r w:rsidRPr="003A36E3">
              <w:rPr>
                <w:rFonts w:ascii="Arial" w:hAnsi="Arial" w:cs="Arial"/>
                <w:sz w:val="18"/>
                <w:szCs w:val="18"/>
                <w:lang w:val="ro-MD"/>
              </w:rPr>
              <w:t>Digital</w:t>
            </w:r>
          </w:p>
          <w:p w14:paraId="29CC57AD" w14:textId="77777777" w:rsidR="00763B45" w:rsidRPr="003A36E3" w:rsidRDefault="00763B45" w:rsidP="002F7854">
            <w:pPr>
              <w:pStyle w:val="paragraph"/>
              <w:spacing w:before="0" w:beforeAutospacing="0" w:after="0" w:afterAutospacing="0"/>
              <w:jc w:val="both"/>
              <w:textAlignment w:val="baseline"/>
              <w:rPr>
                <w:rFonts w:ascii="Arial" w:eastAsia="Calibri" w:hAnsi="Arial" w:cs="Arial"/>
                <w:sz w:val="18"/>
                <w:szCs w:val="18"/>
                <w:lang w:val="ro-MD"/>
              </w:rPr>
            </w:pPr>
            <w:r w:rsidRPr="003A36E3">
              <w:rPr>
                <w:rStyle w:val="eop"/>
                <w:rFonts w:ascii="Arial" w:eastAsia="Calibri" w:hAnsi="Arial" w:cs="Arial"/>
                <w:sz w:val="18"/>
                <w:szCs w:val="18"/>
                <w:lang w:val="ro-MD"/>
              </w:rPr>
              <w:t> </w:t>
            </w:r>
          </w:p>
          <w:p w14:paraId="1F4C595F" w14:textId="77777777" w:rsidR="00763B45" w:rsidRPr="003A36E3" w:rsidRDefault="00763B45" w:rsidP="002F7854">
            <w:pPr>
              <w:spacing w:after="0" w:line="240" w:lineRule="auto"/>
              <w:jc w:val="both"/>
              <w:rPr>
                <w:rFonts w:ascii="Arial" w:hAnsi="Arial" w:cs="Arial"/>
                <w:sz w:val="18"/>
                <w:szCs w:val="18"/>
                <w:lang w:val="ro-MD"/>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F0D5CF7"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B44632" w14:textId="2D8A643A" w:rsidR="00763B45" w:rsidRPr="003A36E3" w:rsidRDefault="00C53382"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Consolidarea conectivității prin telecomunicații și infrastructură digitală</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F5DD87"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407D6E" w14:textId="0EF77677" w:rsidR="00763B45" w:rsidRPr="003A36E3" w:rsidRDefault="006452DB"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decembrie</w:t>
            </w:r>
            <w:r w:rsidR="00763B45" w:rsidRPr="003A36E3">
              <w:rPr>
                <w:rFonts w:ascii="Arial" w:hAnsi="Arial" w:cs="Arial"/>
                <w:sz w:val="18"/>
                <w:szCs w:val="18"/>
                <w:lang w:val="ro-MD"/>
              </w:rPr>
              <w:t xml:space="preserve"> 2027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18A254" w14:textId="16BA05D2" w:rsidR="00763B45" w:rsidRPr="003A36E3" w:rsidRDefault="00342B7A"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Ministerul Dezvoltării Economice și Digitalizării</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A646E4" w14:textId="77777777" w:rsidR="00214EC7" w:rsidRPr="003A36E3" w:rsidRDefault="00214EC7" w:rsidP="00214EC7">
            <w:pPr>
              <w:spacing w:line="276" w:lineRule="auto"/>
              <w:jc w:val="both"/>
              <w:rPr>
                <w:rFonts w:ascii="Arial" w:hAnsi="Arial" w:cs="Arial"/>
                <w:sz w:val="18"/>
                <w:szCs w:val="18"/>
                <w:lang w:val="ro-MD"/>
              </w:rPr>
            </w:pPr>
            <w:r w:rsidRPr="003A36E3">
              <w:rPr>
                <w:rFonts w:ascii="Arial" w:hAnsi="Arial" w:cs="Arial"/>
                <w:sz w:val="18"/>
                <w:szCs w:val="18"/>
                <w:lang w:val="ro-MD"/>
              </w:rPr>
              <w:t xml:space="preserve">Reziliența rețelelor moldovenești este îmbunătățită prin alinierea deplină la Setul de instrumente 5G, care include: adoptarea cadrului juridic corespunzător pentru punerea în aplicare a Setului de instrumente 5G; evaluarea furnizorilor și identificarea furnizorilor cu risc ridicat; </w:t>
            </w:r>
            <w:r w:rsidRPr="003A36E3">
              <w:rPr>
                <w:rFonts w:ascii="Arial" w:hAnsi="Arial" w:cs="Arial"/>
                <w:sz w:val="18"/>
                <w:szCs w:val="18"/>
                <w:lang w:val="ro-MD"/>
              </w:rPr>
              <w:lastRenderedPageBreak/>
              <w:t>adoptarea de restricții, inclusiv excluderile necesare ale furnizorilor cu risc ridicat, pentru activele-cheie definite ca fiind critice și foarte sensibile în evaluarea coordonată a riscurilor pentru rețelele 5G realizată de UE.</w:t>
            </w:r>
          </w:p>
          <w:p w14:paraId="79019016" w14:textId="2EFA809B" w:rsidR="00763B45" w:rsidRPr="003A36E3" w:rsidRDefault="00214EC7" w:rsidP="00214EC7">
            <w:pPr>
              <w:spacing w:after="0" w:line="240" w:lineRule="auto"/>
              <w:jc w:val="both"/>
              <w:rPr>
                <w:rFonts w:ascii="Arial" w:hAnsi="Arial" w:cs="Arial"/>
                <w:sz w:val="18"/>
                <w:szCs w:val="18"/>
                <w:lang w:val="ro-MD"/>
              </w:rPr>
            </w:pPr>
            <w:r w:rsidRPr="003A36E3">
              <w:rPr>
                <w:rFonts w:ascii="Arial" w:hAnsi="Arial" w:cs="Arial"/>
                <w:sz w:val="18"/>
                <w:szCs w:val="18"/>
                <w:lang w:val="ro-MD"/>
              </w:rPr>
              <w:t>Linia de referință: Setul de instrumente de securitate cibernetică 5G al UE nu este pus în aplicare.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019A52" w14:textId="77777777" w:rsidR="00763B45" w:rsidRPr="003A36E3" w:rsidRDefault="00763B45" w:rsidP="002F7854">
            <w:pPr>
              <w:spacing w:after="0" w:line="240" w:lineRule="auto"/>
              <w:jc w:val="both"/>
              <w:rPr>
                <w:rFonts w:ascii="Arial" w:hAnsi="Arial" w:cs="Arial"/>
                <w:sz w:val="18"/>
                <w:szCs w:val="18"/>
                <w:lang w:val="ro-MD"/>
              </w:rPr>
            </w:pPr>
          </w:p>
          <w:p w14:paraId="4F9C9E45" w14:textId="77777777" w:rsidR="00036A96" w:rsidRPr="003A36E3" w:rsidRDefault="00036A96" w:rsidP="00036A96">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Această etapă cuprinde următoarele repere: </w:t>
            </w:r>
          </w:p>
          <w:p w14:paraId="46708D17" w14:textId="77777777" w:rsidR="00036A96" w:rsidRPr="003A36E3" w:rsidRDefault="00036A96" w:rsidP="00036A96">
            <w:pPr>
              <w:spacing w:after="0" w:line="240" w:lineRule="auto"/>
              <w:jc w:val="both"/>
              <w:rPr>
                <w:rFonts w:ascii="Arial" w:hAnsi="Arial" w:cs="Arial"/>
                <w:sz w:val="18"/>
                <w:szCs w:val="18"/>
                <w:lang w:val="ro-MD"/>
              </w:rPr>
            </w:pPr>
            <w:r w:rsidRPr="003A36E3">
              <w:rPr>
                <w:rFonts w:ascii="Arial" w:hAnsi="Arial" w:cs="Arial"/>
                <w:sz w:val="18"/>
                <w:szCs w:val="18"/>
                <w:lang w:val="ro-MD"/>
              </w:rPr>
              <w:t>(i) Cadrul juridic național este adoptat pentru a se alinia pe deplin la setul de instrumente 5G al UE.</w:t>
            </w:r>
          </w:p>
          <w:p w14:paraId="66E184E5" w14:textId="77777777" w:rsidR="00036A96" w:rsidRPr="003A36E3" w:rsidRDefault="00036A96" w:rsidP="00036A96">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(ii) În consultare cu UE, MD efectuează o evaluare națională cuprinzătoare a riscurilor furnizorilor, în conformitate cu recomandările din setul de instrumente 5G, și identifică furnizorii cu risc ridicat.  </w:t>
            </w:r>
          </w:p>
          <w:p w14:paraId="74B4215A" w14:textId="77777777" w:rsidR="00036A96" w:rsidRPr="003A36E3" w:rsidRDefault="00036A96" w:rsidP="00036A96">
            <w:pPr>
              <w:spacing w:after="0" w:line="240" w:lineRule="auto"/>
              <w:jc w:val="both"/>
              <w:rPr>
                <w:rFonts w:ascii="Arial" w:hAnsi="Arial" w:cs="Arial"/>
                <w:sz w:val="18"/>
                <w:szCs w:val="18"/>
                <w:lang w:val="ro-MD"/>
              </w:rPr>
            </w:pPr>
            <w:r w:rsidRPr="003A36E3">
              <w:rPr>
                <w:rFonts w:ascii="Arial" w:hAnsi="Arial" w:cs="Arial"/>
                <w:sz w:val="18"/>
                <w:szCs w:val="18"/>
                <w:lang w:val="ro-MD"/>
              </w:rPr>
              <w:lastRenderedPageBreak/>
              <w:t xml:space="preserve">(iii) MD aplică restricțiile/excluderile necesare furnizorilor cu risc ridicat, pentru activele-cheie definite ca fiind critice și foarte sensibile în evaluarea coordonată a riscurilor pentru rețelele 5G realizată de UE și în conformitate cu setul de instrumente de securitate cibernetică 5G al UE. </w:t>
            </w:r>
          </w:p>
          <w:p w14:paraId="3D706392" w14:textId="77777777" w:rsidR="00036A96" w:rsidRPr="003A36E3" w:rsidRDefault="00036A96" w:rsidP="00036A96">
            <w:pPr>
              <w:spacing w:after="0" w:line="240" w:lineRule="auto"/>
              <w:jc w:val="both"/>
              <w:rPr>
                <w:rFonts w:ascii="Arial" w:hAnsi="Arial" w:cs="Arial"/>
                <w:sz w:val="18"/>
                <w:szCs w:val="18"/>
                <w:lang w:val="ro-MD"/>
              </w:rPr>
            </w:pPr>
          </w:p>
          <w:p w14:paraId="6582B560" w14:textId="65DE8F12" w:rsidR="00763B45" w:rsidRPr="003A36E3" w:rsidRDefault="00036A96" w:rsidP="00036A96">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Surse de verificare:  Monitorul Oficial, </w:t>
            </w:r>
            <w:r w:rsidR="00CE1E75">
              <w:rPr>
                <w:rFonts w:ascii="Arial" w:hAnsi="Arial" w:cs="Arial"/>
                <w:sz w:val="18"/>
                <w:szCs w:val="18"/>
                <w:lang w:val="ro-MD"/>
              </w:rPr>
              <w:t>pagina web a</w:t>
            </w:r>
            <w:r w:rsidRPr="003A36E3">
              <w:rPr>
                <w:rFonts w:ascii="Arial" w:hAnsi="Arial" w:cs="Arial"/>
                <w:sz w:val="18"/>
                <w:szCs w:val="18"/>
                <w:lang w:val="ro-MD"/>
              </w:rPr>
              <w:t xml:space="preserve"> Ministerului, adoptarea cadrului juridic, decizii administrative (în scopul impunerii de restricții/excluderi ale furnizorilor cu risc ridicat).</w:t>
            </w:r>
          </w:p>
        </w:tc>
      </w:tr>
      <w:tr w:rsidR="00763B45" w:rsidRPr="00BD0643" w14:paraId="61B79424" w14:textId="77777777" w:rsidTr="006E16D8">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27D325" w14:textId="77777777" w:rsidR="00763B45" w:rsidRPr="003A36E3" w:rsidRDefault="00763B45" w:rsidP="002F7854">
            <w:pPr>
              <w:spacing w:line="240" w:lineRule="auto"/>
              <w:jc w:val="both"/>
              <w:rPr>
                <w:rFonts w:ascii="Arial" w:hAnsi="Arial" w:cs="Arial"/>
                <w:sz w:val="18"/>
                <w:szCs w:val="18"/>
                <w:lang w:val="ro-MD"/>
              </w:rPr>
            </w:pPr>
            <w:r w:rsidRPr="003A36E3">
              <w:rPr>
                <w:rFonts w:ascii="Arial" w:hAnsi="Arial" w:cs="Arial"/>
                <w:sz w:val="18"/>
                <w:szCs w:val="18"/>
                <w:lang w:val="ro-MD"/>
              </w:rPr>
              <w:lastRenderedPageBreak/>
              <w:t>Digital</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DBF62D" w14:textId="77777777" w:rsidR="00763B45" w:rsidRPr="003A36E3" w:rsidRDefault="00763B45" w:rsidP="002F7854">
            <w:pPr>
              <w:spacing w:line="240" w:lineRule="auto"/>
              <w:jc w:val="both"/>
              <w:rPr>
                <w:rFonts w:ascii="Arial" w:hAnsi="Arial" w:cs="Arial"/>
                <w:sz w:val="18"/>
                <w:szCs w:val="18"/>
                <w:lang w:val="ro-MD"/>
              </w:rPr>
            </w:pPr>
            <w:r w:rsidRPr="003A36E3">
              <w:rPr>
                <w:rFonts w:ascii="Arial" w:hAnsi="Arial" w:cs="Arial"/>
                <w:sz w:val="18"/>
                <w:szCs w:val="18"/>
                <w:lang w:val="ro-MD"/>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3F53A8" w14:textId="2334E266" w:rsidR="00763B45" w:rsidRPr="003A36E3" w:rsidRDefault="00492B12" w:rsidP="002F7854">
            <w:pPr>
              <w:spacing w:line="240" w:lineRule="auto"/>
              <w:jc w:val="both"/>
              <w:rPr>
                <w:rFonts w:ascii="Arial" w:hAnsi="Arial" w:cs="Arial"/>
                <w:sz w:val="18"/>
                <w:szCs w:val="18"/>
                <w:lang w:val="ro-MD"/>
              </w:rPr>
            </w:pPr>
            <w:r w:rsidRPr="003A36E3">
              <w:rPr>
                <w:rFonts w:ascii="Arial" w:hAnsi="Arial" w:cs="Arial"/>
                <w:sz w:val="18"/>
                <w:szCs w:val="18"/>
                <w:lang w:val="ro-MD"/>
              </w:rPr>
              <w:t xml:space="preserve">Consolidarea conectivității prin telecomunicații și infrastructură digitală </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794D57" w14:textId="77777777" w:rsidR="00763B45" w:rsidRPr="003A36E3" w:rsidRDefault="00763B45" w:rsidP="002F7854">
            <w:pPr>
              <w:spacing w:line="240" w:lineRule="auto"/>
              <w:jc w:val="both"/>
              <w:rPr>
                <w:rFonts w:ascii="Arial" w:hAnsi="Arial" w:cs="Arial"/>
                <w:sz w:val="18"/>
                <w:szCs w:val="18"/>
                <w:lang w:val="ro-MD"/>
              </w:rPr>
            </w:pPr>
            <w:r w:rsidRPr="003A36E3">
              <w:rPr>
                <w:rFonts w:ascii="Arial" w:hAnsi="Arial" w:cs="Arial"/>
                <w:sz w:val="18"/>
                <w:szCs w:val="18"/>
                <w:lang w:val="ro-MD"/>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98DF72" w14:textId="1D29232F" w:rsidR="00763B45" w:rsidRPr="003A36E3" w:rsidRDefault="00036A96" w:rsidP="002F7854">
            <w:pPr>
              <w:spacing w:line="240" w:lineRule="auto"/>
              <w:jc w:val="both"/>
              <w:rPr>
                <w:rFonts w:ascii="Arial" w:hAnsi="Arial" w:cs="Arial"/>
                <w:sz w:val="18"/>
                <w:szCs w:val="18"/>
                <w:lang w:val="ro-MD"/>
              </w:rPr>
            </w:pPr>
            <w:r w:rsidRPr="003A36E3">
              <w:rPr>
                <w:rFonts w:ascii="Arial" w:hAnsi="Arial" w:cs="Arial"/>
                <w:sz w:val="18"/>
                <w:szCs w:val="18"/>
                <w:lang w:val="ro-MD"/>
              </w:rPr>
              <w:t>decembrie</w:t>
            </w:r>
            <w:r w:rsidR="00763B45" w:rsidRPr="003A36E3">
              <w:rPr>
                <w:rFonts w:ascii="Arial" w:hAnsi="Arial" w:cs="Arial"/>
                <w:sz w:val="18"/>
                <w:szCs w:val="18"/>
                <w:lang w:val="ro-MD"/>
              </w:rPr>
              <w:t xml:space="preserve"> 2026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C0CDEA" w14:textId="7D5189CB" w:rsidR="00763B45" w:rsidRPr="003A36E3" w:rsidRDefault="00342B7A" w:rsidP="002F7854">
            <w:pPr>
              <w:spacing w:after="0" w:line="240" w:lineRule="auto"/>
              <w:jc w:val="both"/>
              <w:rPr>
                <w:rFonts w:ascii="Arial" w:hAnsi="Arial" w:cs="Arial"/>
                <w:sz w:val="18"/>
                <w:szCs w:val="18"/>
                <w:lang w:val="ro-MD"/>
              </w:rPr>
            </w:pPr>
            <w:r w:rsidRPr="003A36E3">
              <w:rPr>
                <w:rFonts w:ascii="Arial" w:hAnsi="Arial" w:cs="Arial"/>
                <w:sz w:val="18"/>
                <w:szCs w:val="18"/>
                <w:lang w:val="ro-MD"/>
              </w:rPr>
              <w:t>Ministerul Dezvoltării Economice și Digitalizării</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1C995B" w14:textId="085E5867" w:rsidR="008C2053" w:rsidRPr="003A36E3" w:rsidRDefault="004D53FC" w:rsidP="008C2053">
            <w:pPr>
              <w:spacing w:after="0" w:line="240" w:lineRule="auto"/>
              <w:jc w:val="both"/>
              <w:rPr>
                <w:rFonts w:ascii="Arial" w:hAnsi="Arial" w:cs="Arial"/>
                <w:sz w:val="18"/>
                <w:szCs w:val="18"/>
                <w:lang w:val="ro-MD"/>
              </w:rPr>
            </w:pPr>
            <w:r>
              <w:rPr>
                <w:rFonts w:ascii="Arial" w:hAnsi="Arial" w:cs="Arial"/>
                <w:sz w:val="18"/>
                <w:szCs w:val="18"/>
                <w:lang w:val="ro-MD"/>
              </w:rPr>
              <w:t>P</w:t>
            </w:r>
            <w:r w:rsidR="008C2053" w:rsidRPr="003A36E3">
              <w:rPr>
                <w:rFonts w:ascii="Arial" w:hAnsi="Arial" w:cs="Arial"/>
                <w:sz w:val="18"/>
                <w:szCs w:val="18"/>
                <w:lang w:val="ro-MD"/>
              </w:rPr>
              <w:t>ortofel</w:t>
            </w:r>
            <w:r>
              <w:rPr>
                <w:rFonts w:ascii="Arial" w:hAnsi="Arial" w:cs="Arial"/>
                <w:sz w:val="18"/>
                <w:szCs w:val="18"/>
                <w:lang w:val="ro-MD"/>
              </w:rPr>
              <w:t>ul</w:t>
            </w:r>
            <w:r w:rsidR="008C2053" w:rsidRPr="003A36E3">
              <w:rPr>
                <w:rFonts w:ascii="Arial" w:hAnsi="Arial" w:cs="Arial"/>
                <w:sz w:val="18"/>
                <w:szCs w:val="18"/>
                <w:lang w:val="ro-MD"/>
              </w:rPr>
              <w:t xml:space="preserve"> digital național </w:t>
            </w:r>
            <w:r>
              <w:rPr>
                <w:rFonts w:ascii="Arial" w:hAnsi="Arial" w:cs="Arial"/>
                <w:sz w:val="18"/>
                <w:szCs w:val="18"/>
                <w:lang w:val="ro-MD"/>
              </w:rPr>
              <w:t>al Moldovei</w:t>
            </w:r>
            <w:r w:rsidR="008C2053" w:rsidRPr="003A36E3">
              <w:rPr>
                <w:rFonts w:ascii="Arial" w:hAnsi="Arial" w:cs="Arial"/>
                <w:sz w:val="18"/>
                <w:szCs w:val="18"/>
                <w:lang w:val="ro-MD"/>
              </w:rPr>
              <w:t xml:space="preserve">(EVO Sign) </w:t>
            </w:r>
            <w:r w:rsidR="00F249EB">
              <w:rPr>
                <w:rFonts w:ascii="Arial" w:hAnsi="Arial" w:cs="Arial"/>
                <w:sz w:val="18"/>
                <w:szCs w:val="18"/>
                <w:lang w:val="ro-MD"/>
              </w:rPr>
              <w:t xml:space="preserve">este </w:t>
            </w:r>
            <w:r w:rsidR="008C2053" w:rsidRPr="003A36E3">
              <w:rPr>
                <w:rFonts w:ascii="Arial" w:hAnsi="Arial" w:cs="Arial"/>
                <w:sz w:val="18"/>
                <w:szCs w:val="18"/>
                <w:lang w:val="ro-MD"/>
              </w:rPr>
              <w:t xml:space="preserve">aliniat la standardele UE privind identitatea digitală, Moldova alăturându-se </w:t>
            </w:r>
            <w:r w:rsidR="006D13CC" w:rsidRPr="003A36E3">
              <w:rPr>
                <w:rFonts w:ascii="Arial" w:hAnsi="Arial" w:cs="Arial"/>
                <w:sz w:val="18"/>
                <w:szCs w:val="18"/>
                <w:lang w:val="ro-MD"/>
              </w:rPr>
              <w:t>L</w:t>
            </w:r>
            <w:r w:rsidR="008C2053" w:rsidRPr="003A36E3">
              <w:rPr>
                <w:rFonts w:ascii="Arial" w:hAnsi="Arial" w:cs="Arial"/>
                <w:sz w:val="18"/>
                <w:szCs w:val="18"/>
                <w:lang w:val="ro-MD"/>
              </w:rPr>
              <w:t>istei de încredere a țărilor terțe din UE pentru validarea semnăturilor electronice avansate. Moldova se aliniază la cadrul UE privind identitatea digitală (eIDAS 2) și integrează cel puțin 20 de servicii electronice moldovenești în cadrul aplicației EVO.</w:t>
            </w:r>
          </w:p>
          <w:p w14:paraId="383415CB" w14:textId="77777777" w:rsidR="008C2053" w:rsidRPr="003A36E3" w:rsidRDefault="008C2053" w:rsidP="008C2053">
            <w:pPr>
              <w:spacing w:after="0" w:line="240" w:lineRule="auto"/>
              <w:jc w:val="both"/>
              <w:rPr>
                <w:rFonts w:ascii="Arial" w:hAnsi="Arial" w:cs="Arial"/>
                <w:sz w:val="18"/>
                <w:szCs w:val="18"/>
                <w:lang w:val="ro-MD"/>
              </w:rPr>
            </w:pPr>
          </w:p>
          <w:p w14:paraId="4333CC87" w14:textId="4134EF80" w:rsidR="00763B45" w:rsidRPr="003A36E3" w:rsidRDefault="008C2053" w:rsidP="008C2053">
            <w:pPr>
              <w:spacing w:after="0" w:line="240" w:lineRule="auto"/>
              <w:jc w:val="both"/>
              <w:rPr>
                <w:rFonts w:ascii="Arial" w:hAnsi="Arial" w:cs="Arial"/>
                <w:sz w:val="18"/>
                <w:szCs w:val="18"/>
                <w:lang w:val="ro-MD"/>
              </w:rPr>
            </w:pPr>
            <w:r w:rsidRPr="003A36E3">
              <w:rPr>
                <w:rFonts w:ascii="Arial" w:hAnsi="Arial" w:cs="Arial"/>
                <w:sz w:val="18"/>
                <w:szCs w:val="18"/>
                <w:lang w:val="ro-MD"/>
              </w:rPr>
              <w:t>Linia de referință: Portofelul digital moldovenesc (EVO Sign) nu este dezvoltat în conformitate cu standardele EUDI. UE și Moldova nu au o recunoaștere reciprocă a semnăturilor. Legea existentă nu este aliniată cu Regulamentul-cadru privind identitatea digitală eIDAS II.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483FCB" w14:textId="77777777" w:rsidR="006D13CC" w:rsidRPr="003A36E3" w:rsidRDefault="006D13CC" w:rsidP="006D13CC">
            <w:pPr>
              <w:spacing w:after="0" w:line="240" w:lineRule="auto"/>
              <w:jc w:val="both"/>
              <w:rPr>
                <w:rFonts w:ascii="Arial" w:hAnsi="Arial" w:cs="Arial"/>
                <w:sz w:val="18"/>
                <w:szCs w:val="18"/>
                <w:lang w:val="ro-MD"/>
              </w:rPr>
            </w:pPr>
            <w:r w:rsidRPr="003A36E3">
              <w:rPr>
                <w:rFonts w:ascii="Arial" w:hAnsi="Arial" w:cs="Arial"/>
                <w:sz w:val="18"/>
                <w:szCs w:val="18"/>
                <w:lang w:val="ro-MD"/>
              </w:rPr>
              <w:t>Această etapă cuprinde următoarele repere:</w:t>
            </w:r>
          </w:p>
          <w:p w14:paraId="78C3F867" w14:textId="77777777" w:rsidR="006D13CC" w:rsidRPr="003A36E3" w:rsidRDefault="006D13CC" w:rsidP="006D13CC">
            <w:pPr>
              <w:spacing w:after="0" w:line="240" w:lineRule="auto"/>
              <w:jc w:val="both"/>
              <w:rPr>
                <w:rFonts w:ascii="Arial" w:hAnsi="Arial" w:cs="Arial"/>
                <w:sz w:val="18"/>
                <w:szCs w:val="18"/>
                <w:lang w:val="ro-MD"/>
              </w:rPr>
            </w:pPr>
            <w:r w:rsidRPr="003A36E3">
              <w:rPr>
                <w:rFonts w:ascii="Arial" w:hAnsi="Arial" w:cs="Arial"/>
                <w:sz w:val="18"/>
                <w:szCs w:val="18"/>
                <w:lang w:val="ro-MD"/>
              </w:rPr>
              <w:t>(i) Semnăturile digitale moldovenești și ale UE sunt recunoscute reciproc, prin punerea în aplicare a cerințelor tehnice pentru recunoașterea reciprocă a semnăturilor electronice; (ii) adoptarea unei legi care asigură conformitatea deplină cu cadrul de identitate al UE (eIDAS 2) și lansarea portofelului digital EVO Sign;</w:t>
            </w:r>
          </w:p>
          <w:p w14:paraId="111D8753" w14:textId="39D5C1FE" w:rsidR="006D13CC" w:rsidRPr="003A36E3" w:rsidRDefault="006D13CC" w:rsidP="006D13CC">
            <w:pPr>
              <w:spacing w:after="0" w:line="240" w:lineRule="auto"/>
              <w:jc w:val="both"/>
              <w:rPr>
                <w:rFonts w:ascii="Arial" w:hAnsi="Arial" w:cs="Arial"/>
                <w:sz w:val="18"/>
                <w:szCs w:val="18"/>
                <w:lang w:val="ro-MD"/>
              </w:rPr>
            </w:pPr>
            <w:r w:rsidRPr="003A36E3">
              <w:rPr>
                <w:rFonts w:ascii="Arial" w:hAnsi="Arial" w:cs="Arial"/>
                <w:sz w:val="18"/>
                <w:szCs w:val="18"/>
                <w:lang w:val="ro-MD"/>
              </w:rPr>
              <w:t>(iii) Portofelul digital moldovenesc (EVO Sign) este în conformitate cu standardele UE și integrează cel puțin 20 de servicii publice digitale.</w:t>
            </w:r>
          </w:p>
          <w:p w14:paraId="34DD3107" w14:textId="77777777" w:rsidR="006D13CC" w:rsidRPr="003A36E3" w:rsidRDefault="006D13CC" w:rsidP="006D13CC">
            <w:pPr>
              <w:spacing w:after="0" w:line="240" w:lineRule="auto"/>
              <w:jc w:val="both"/>
              <w:rPr>
                <w:rFonts w:ascii="Arial" w:hAnsi="Arial" w:cs="Arial"/>
                <w:sz w:val="18"/>
                <w:szCs w:val="18"/>
                <w:lang w:val="ro-MD"/>
              </w:rPr>
            </w:pPr>
          </w:p>
          <w:p w14:paraId="47639B5B" w14:textId="24AEA406" w:rsidR="00763B45" w:rsidRPr="003A36E3" w:rsidRDefault="006D13CC" w:rsidP="006D13CC">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Surse de verificare: Rapoarte oficiale ale Ministerului Dezvoltării Economice și Digitalizării; Documente legislative și de reglementare privind alinierea Moldovei la eIDAS II; Rapoarte de implementare a Portofelului digital moldovenesc (EVO Sign); Înregistrări oficiale din Lista de încredere a țărilor terțe din UE    </w:t>
            </w:r>
          </w:p>
        </w:tc>
      </w:tr>
      <w:tr w:rsidR="00763B45" w:rsidRPr="00BD0643" w14:paraId="1FB917CB" w14:textId="77777777" w:rsidTr="006E16D8">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ABB0B9C" w14:textId="77777777" w:rsidR="00763B45" w:rsidRPr="003A36E3" w:rsidRDefault="00763B45" w:rsidP="002F7854">
            <w:pPr>
              <w:spacing w:after="0" w:line="240" w:lineRule="auto"/>
              <w:jc w:val="both"/>
              <w:textAlignment w:val="baseline"/>
              <w:rPr>
                <w:rFonts w:ascii="Arial" w:hAnsi="Arial" w:cs="Arial"/>
                <w:sz w:val="18"/>
                <w:szCs w:val="18"/>
                <w:lang w:val="ro-MD"/>
              </w:rPr>
            </w:pPr>
            <w:r w:rsidRPr="003A36E3">
              <w:rPr>
                <w:rFonts w:ascii="Arial" w:hAnsi="Arial" w:cs="Arial"/>
                <w:sz w:val="18"/>
                <w:szCs w:val="18"/>
                <w:shd w:val="clear" w:color="auto" w:fill="E6E6E6"/>
                <w:lang w:val="ro-MD"/>
              </w:rPr>
              <w:t>Digital</w:t>
            </w:r>
          </w:p>
          <w:p w14:paraId="54B9340A" w14:textId="77777777" w:rsidR="00763B45" w:rsidRPr="003A36E3" w:rsidRDefault="00763B45" w:rsidP="002F7854">
            <w:pPr>
              <w:pStyle w:val="paragraph"/>
              <w:spacing w:before="0" w:beforeAutospacing="0" w:after="0" w:afterAutospacing="0"/>
              <w:jc w:val="both"/>
              <w:textAlignment w:val="baseline"/>
              <w:rPr>
                <w:rStyle w:val="normaltextrun"/>
                <w:rFonts w:ascii="Arial" w:eastAsia="Calibri" w:hAnsi="Arial" w:cs="Arial"/>
                <w:sz w:val="18"/>
                <w:szCs w:val="18"/>
                <w:lang w:val="ro-MD"/>
              </w:rPr>
            </w:pPr>
          </w:p>
          <w:p w14:paraId="600E51B3" w14:textId="77777777" w:rsidR="00763B45" w:rsidRPr="003A36E3" w:rsidRDefault="00763B45" w:rsidP="002F7854">
            <w:pPr>
              <w:spacing w:after="0" w:line="240" w:lineRule="auto"/>
              <w:jc w:val="both"/>
              <w:rPr>
                <w:rFonts w:ascii="Arial" w:hAnsi="Arial" w:cs="Arial"/>
                <w:sz w:val="18"/>
                <w:szCs w:val="18"/>
                <w:lang w:val="ro-MD"/>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6139B7" w14:textId="77777777" w:rsidR="00763B45" w:rsidRPr="003A36E3" w:rsidRDefault="00763B45" w:rsidP="002F7854">
            <w:pPr>
              <w:spacing w:after="0" w:line="240" w:lineRule="auto"/>
              <w:jc w:val="both"/>
              <w:rPr>
                <w:rFonts w:ascii="Arial" w:hAnsi="Arial" w:cs="Arial"/>
                <w:sz w:val="18"/>
                <w:szCs w:val="18"/>
                <w:lang w:val="ro-MD"/>
              </w:rPr>
            </w:pPr>
            <w:r w:rsidRPr="003A36E3">
              <w:rPr>
                <w:rFonts w:ascii="Arial" w:hAnsi="Arial" w:cs="Arial"/>
                <w:sz w:val="18"/>
                <w:szCs w:val="18"/>
                <w:shd w:val="clear" w:color="auto" w:fill="E6E6E6"/>
                <w:lang w:val="ro-MD"/>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EFD45B" w14:textId="2D3EC188" w:rsidR="00763B45" w:rsidRPr="003A36E3" w:rsidRDefault="00492B12" w:rsidP="002F7854">
            <w:pPr>
              <w:spacing w:after="0" w:line="240" w:lineRule="auto"/>
              <w:jc w:val="both"/>
              <w:rPr>
                <w:rFonts w:ascii="Arial" w:hAnsi="Arial" w:cs="Arial"/>
                <w:sz w:val="18"/>
                <w:szCs w:val="18"/>
                <w:lang w:val="ro-MD"/>
              </w:rPr>
            </w:pPr>
            <w:r w:rsidRPr="00F249EB">
              <w:rPr>
                <w:rFonts w:ascii="Arial" w:hAnsi="Arial" w:cs="Arial"/>
                <w:sz w:val="18"/>
                <w:szCs w:val="18"/>
                <w:lang w:val="ro-MD"/>
              </w:rPr>
              <w:t>Consolidarea conectivității prin telecomunicații și infrastructură digitală</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B28DB6" w14:textId="77777777" w:rsidR="00763B45" w:rsidRPr="003A36E3" w:rsidRDefault="00763B45" w:rsidP="002F7854">
            <w:pPr>
              <w:spacing w:after="0" w:line="240" w:lineRule="auto"/>
              <w:jc w:val="both"/>
              <w:rPr>
                <w:rFonts w:ascii="Arial" w:hAnsi="Arial" w:cs="Arial"/>
                <w:sz w:val="18"/>
                <w:szCs w:val="18"/>
                <w:lang w:val="ro-MD"/>
              </w:rPr>
            </w:pPr>
            <w:r w:rsidRPr="00F249EB">
              <w:rPr>
                <w:rFonts w:ascii="Arial" w:hAnsi="Arial" w:cs="Arial"/>
                <w:sz w:val="18"/>
                <w:szCs w:val="18"/>
                <w:lang w:val="ro-MD"/>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F3531E" w14:textId="57BC979B" w:rsidR="00763B45" w:rsidRPr="003A36E3" w:rsidRDefault="006D13CC" w:rsidP="002F7854">
            <w:pPr>
              <w:spacing w:after="0" w:line="240" w:lineRule="auto"/>
              <w:jc w:val="both"/>
              <w:rPr>
                <w:rFonts w:ascii="Arial" w:hAnsi="Arial" w:cs="Arial"/>
                <w:sz w:val="18"/>
                <w:szCs w:val="18"/>
                <w:lang w:val="ro-MD"/>
              </w:rPr>
            </w:pPr>
            <w:r w:rsidRPr="00F249EB">
              <w:rPr>
                <w:rFonts w:ascii="Arial" w:hAnsi="Arial" w:cs="Arial"/>
                <w:sz w:val="18"/>
                <w:szCs w:val="18"/>
                <w:lang w:val="ro-MD"/>
              </w:rPr>
              <w:t>decembrie</w:t>
            </w:r>
            <w:r w:rsidR="00763B45" w:rsidRPr="00F249EB">
              <w:rPr>
                <w:rFonts w:ascii="Arial" w:hAnsi="Arial" w:cs="Arial"/>
                <w:sz w:val="18"/>
                <w:szCs w:val="18"/>
                <w:lang w:val="ro-MD"/>
              </w:rPr>
              <w:t xml:space="preserve"> 2025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0" w:type="dxa"/>
              <w:bottom w:w="0" w:type="dxa"/>
              <w:right w:w="100" w:type="dxa"/>
            </w:tcMar>
          </w:tcPr>
          <w:p w14:paraId="1CC84AC4" w14:textId="5A9FFD53" w:rsidR="00763B45" w:rsidRPr="003A36E3" w:rsidRDefault="00342B7A" w:rsidP="002F7854">
            <w:pPr>
              <w:spacing w:before="240" w:after="0" w:line="276" w:lineRule="auto"/>
              <w:jc w:val="both"/>
              <w:rPr>
                <w:rFonts w:ascii="Arial" w:hAnsi="Arial" w:cs="Arial"/>
                <w:sz w:val="18"/>
                <w:szCs w:val="18"/>
                <w:lang w:val="ro-MD"/>
              </w:rPr>
            </w:pPr>
            <w:r w:rsidRPr="00F249EB">
              <w:rPr>
                <w:rFonts w:ascii="Arial" w:hAnsi="Arial" w:cs="Arial"/>
                <w:sz w:val="18"/>
                <w:szCs w:val="18"/>
                <w:lang w:val="ro-MD"/>
              </w:rPr>
              <w:t>Ministerul Dezvoltării Economice și Digitalizării</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E902C4" w14:textId="43B272CC" w:rsidR="00763B45" w:rsidRPr="003A36E3" w:rsidRDefault="00D33CEF" w:rsidP="002F7854">
            <w:pPr>
              <w:spacing w:after="0"/>
              <w:jc w:val="both"/>
              <w:rPr>
                <w:rFonts w:ascii="Arial" w:hAnsi="Arial" w:cs="Arial"/>
                <w:sz w:val="18"/>
                <w:szCs w:val="18"/>
                <w:lang w:val="ro-MD"/>
              </w:rPr>
            </w:pPr>
            <w:r w:rsidRPr="00F249EB">
              <w:rPr>
                <w:rFonts w:ascii="Arial" w:hAnsi="Arial" w:cs="Arial"/>
                <w:sz w:val="18"/>
                <w:szCs w:val="18"/>
                <w:lang w:val="ro-MD"/>
              </w:rPr>
              <w:t>Pentru a pune în aplicare noul său Program național de acțiuni în domeniul securității cibernetice pentru perioada 2025-2030, Moldova își face Agenția Națională pentru Securitate Cibernetică pe deplin operațională și înființează Echipa națională de intervenție în caz de urgență informatică (CERT). Agenția este dotată cu abilități, spații, resurse umane și IT relevante, în timp ce competențele dintre diferitele instituții moldovenești de securitate cibernetică sunt clar delimitate.</w:t>
            </w:r>
          </w:p>
          <w:p w14:paraId="681BF091" w14:textId="77777777" w:rsidR="00763B45" w:rsidRPr="003A36E3" w:rsidRDefault="00763B45" w:rsidP="002F7854">
            <w:pPr>
              <w:spacing w:after="0"/>
              <w:jc w:val="both"/>
              <w:rPr>
                <w:rFonts w:ascii="Arial" w:hAnsi="Arial" w:cs="Arial"/>
                <w:sz w:val="18"/>
                <w:szCs w:val="18"/>
                <w:lang w:val="ro-MD"/>
              </w:rPr>
            </w:pPr>
          </w:p>
          <w:p w14:paraId="12E8E2F0" w14:textId="42486740" w:rsidR="00763B45" w:rsidRPr="003A36E3" w:rsidRDefault="002B0A1D" w:rsidP="002F7854">
            <w:pPr>
              <w:spacing w:after="0"/>
              <w:jc w:val="both"/>
              <w:rPr>
                <w:rFonts w:ascii="Arial" w:hAnsi="Arial" w:cs="Arial"/>
                <w:sz w:val="18"/>
                <w:szCs w:val="18"/>
                <w:lang w:val="ro-MD"/>
              </w:rPr>
            </w:pPr>
            <w:r w:rsidRPr="00F249EB">
              <w:rPr>
                <w:rFonts w:ascii="Arial" w:hAnsi="Arial" w:cs="Arial"/>
                <w:sz w:val="18"/>
                <w:szCs w:val="18"/>
                <w:lang w:val="ro-MD"/>
              </w:rPr>
              <w:t>Linia de referință:   Agenția Națională pentru Securitate Cibernetică nu dispune de resursele necesare, inclusiv personal, infrastructură IT și autoritate juridică, pentru a-și exercita pe deplin funcțiile prevăzute în legislație. În plus, Echipa națională de intervenție în caz de urgență informatică (CERT) nu a fost înființată.</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56D91F" w14:textId="13A71DE7" w:rsidR="00763B45" w:rsidRPr="003A36E3" w:rsidRDefault="0070522D" w:rsidP="002F7854">
            <w:pPr>
              <w:spacing w:before="240" w:after="0"/>
              <w:jc w:val="both"/>
              <w:rPr>
                <w:rFonts w:ascii="Arial" w:hAnsi="Arial" w:cs="Arial"/>
                <w:sz w:val="18"/>
                <w:szCs w:val="18"/>
                <w:lang w:val="ro-MD"/>
              </w:rPr>
            </w:pPr>
            <w:r w:rsidRPr="00F249EB">
              <w:rPr>
                <w:rFonts w:ascii="Arial" w:hAnsi="Arial" w:cs="Arial"/>
                <w:sz w:val="18"/>
                <w:szCs w:val="18"/>
                <w:lang w:val="ro-MD"/>
              </w:rPr>
              <w:lastRenderedPageBreak/>
              <w:t>Reformele Agenției Naționale pentru Securitate Cibernetică cuprind: (i) recrutarea a cel puțin 30 de angajați; (ii) înființarea și operaționalizarea Echipei naționale de intervenție în caz de urgență informatică (CERT); (iii) împuternicirea legală a Agenției Naționale pentru Securitate Cibernetică de a efectua audituri în materie de securitate cibernetică; (iv) ocuparea integrală de către Agenție a birourilor sale și instalarea echipamentelor sale fără nicio limitare; (iv) delimitarea clară și transparentă a competențelor instituțiilor de securitate cibernetică ale MD, cu ajustarea mandatelor instituțiilor relevante în urma unei note a unui expert.</w:t>
            </w:r>
          </w:p>
          <w:p w14:paraId="72136480" w14:textId="02A0B80D" w:rsidR="00763B45" w:rsidRPr="003A36E3" w:rsidRDefault="00B340C7" w:rsidP="002F7854">
            <w:pPr>
              <w:spacing w:before="240" w:after="0" w:line="276" w:lineRule="auto"/>
              <w:jc w:val="both"/>
              <w:rPr>
                <w:rFonts w:ascii="Arial" w:hAnsi="Arial" w:cs="Arial"/>
                <w:sz w:val="18"/>
                <w:szCs w:val="18"/>
                <w:lang w:val="ro-MD"/>
              </w:rPr>
            </w:pPr>
            <w:r w:rsidRPr="00F249EB">
              <w:rPr>
                <w:rFonts w:ascii="Arial" w:hAnsi="Arial" w:cs="Arial"/>
                <w:sz w:val="18"/>
                <w:szCs w:val="18"/>
                <w:lang w:val="ro-MD"/>
              </w:rPr>
              <w:lastRenderedPageBreak/>
              <w:t>Surse de verificare: Rapoarte oficiale ale Ministerului Dezvoltării Economice și Digitalizării privind starea operațională a Agenției Naționale pentru Securitate Cibernetică; înregistrări privind personalul ASC; înregistrări privind infrastructura și achizițiile care confirmă înființarea de spații de birouri și instalarea echipamentelor IT necesare. Indicele global de securitate cibernetică (GCI) al UIT; Indicele național de securitate cibernetică (NSCI) al eGA. Raport al Ministerului Dezvoltării Economice și Digitalizării (MDED) privind clarificarea mandatelor și competențelor.</w:t>
            </w:r>
          </w:p>
        </w:tc>
      </w:tr>
    </w:tbl>
    <w:p w14:paraId="1AD290C7" w14:textId="77777777" w:rsidR="00045DA7" w:rsidRPr="003A36E3" w:rsidRDefault="00045DA7" w:rsidP="002F7854">
      <w:pPr>
        <w:jc w:val="both"/>
        <w:rPr>
          <w:rFonts w:ascii="Arial" w:hAnsi="Arial" w:cs="Arial"/>
          <w:sz w:val="18"/>
          <w:szCs w:val="18"/>
          <w:lang w:val="ro-MD"/>
        </w:rPr>
      </w:pPr>
    </w:p>
    <w:p w14:paraId="1B08E774" w14:textId="77777777" w:rsidR="00045DA7" w:rsidRPr="003A36E3" w:rsidRDefault="00045DA7" w:rsidP="002F7854">
      <w:pPr>
        <w:jc w:val="both"/>
        <w:rPr>
          <w:rFonts w:ascii="Arial" w:hAnsi="Arial" w:cs="Arial"/>
          <w:sz w:val="18"/>
          <w:szCs w:val="18"/>
          <w:lang w:val="ro-MD"/>
        </w:rPr>
      </w:pPr>
    </w:p>
    <w:p w14:paraId="58C6D856" w14:textId="77777777" w:rsidR="00763B45" w:rsidRPr="003A36E3" w:rsidRDefault="00763B45" w:rsidP="002F7854">
      <w:pPr>
        <w:spacing w:line="257" w:lineRule="auto"/>
        <w:jc w:val="both"/>
        <w:rPr>
          <w:rFonts w:ascii="Arial" w:eastAsia="Arial" w:hAnsi="Arial" w:cs="Arial"/>
          <w:sz w:val="18"/>
          <w:szCs w:val="18"/>
          <w:lang w:val="ro-MD"/>
        </w:rPr>
      </w:pPr>
    </w:p>
    <w:p w14:paraId="71931B54" w14:textId="77777777" w:rsidR="00763B45" w:rsidRPr="003A36E3" w:rsidRDefault="00763B45" w:rsidP="002F7854">
      <w:pPr>
        <w:spacing w:line="257" w:lineRule="auto"/>
        <w:jc w:val="both"/>
        <w:rPr>
          <w:rFonts w:ascii="Arial" w:eastAsia="Arial" w:hAnsi="Arial" w:cs="Arial"/>
          <w:sz w:val="18"/>
          <w:szCs w:val="18"/>
          <w:lang w:val="ro-MD"/>
        </w:rPr>
      </w:pPr>
    </w:p>
    <w:p w14:paraId="538C296C" w14:textId="77777777" w:rsidR="00763B45" w:rsidRPr="003A36E3" w:rsidRDefault="00763B45" w:rsidP="002F7854">
      <w:pPr>
        <w:spacing w:line="257" w:lineRule="auto"/>
        <w:jc w:val="both"/>
        <w:rPr>
          <w:rFonts w:ascii="Arial" w:eastAsia="Arial" w:hAnsi="Arial" w:cs="Arial"/>
          <w:sz w:val="18"/>
          <w:szCs w:val="18"/>
          <w:lang w:val="ro-MD"/>
        </w:rPr>
      </w:pPr>
    </w:p>
    <w:p w14:paraId="6F26365B" w14:textId="77777777" w:rsidR="00763B45" w:rsidRPr="003A36E3" w:rsidRDefault="00763B45" w:rsidP="002F7854">
      <w:pPr>
        <w:spacing w:line="257" w:lineRule="auto"/>
        <w:jc w:val="both"/>
        <w:rPr>
          <w:rFonts w:ascii="Arial" w:eastAsia="Arial" w:hAnsi="Arial" w:cs="Arial"/>
          <w:sz w:val="18"/>
          <w:szCs w:val="18"/>
          <w:lang w:val="ro-MD"/>
        </w:rPr>
      </w:pPr>
    </w:p>
    <w:p w14:paraId="29F779FE" w14:textId="77777777" w:rsidR="00763B45" w:rsidRPr="003A36E3" w:rsidRDefault="00763B45" w:rsidP="002F7854">
      <w:pPr>
        <w:spacing w:line="257" w:lineRule="auto"/>
        <w:jc w:val="both"/>
        <w:rPr>
          <w:rFonts w:ascii="Arial" w:eastAsia="Arial" w:hAnsi="Arial" w:cs="Arial"/>
          <w:sz w:val="18"/>
          <w:szCs w:val="18"/>
          <w:lang w:val="ro-MD"/>
        </w:rPr>
      </w:pPr>
    </w:p>
    <w:p w14:paraId="765FF633" w14:textId="77777777" w:rsidR="00763B45" w:rsidRPr="003A36E3" w:rsidRDefault="00763B45" w:rsidP="002F7854">
      <w:pPr>
        <w:spacing w:line="257" w:lineRule="auto"/>
        <w:jc w:val="both"/>
        <w:rPr>
          <w:rFonts w:ascii="Arial" w:eastAsia="Arial" w:hAnsi="Arial" w:cs="Arial"/>
          <w:sz w:val="18"/>
          <w:szCs w:val="18"/>
          <w:lang w:val="ro-MD"/>
        </w:rPr>
      </w:pPr>
    </w:p>
    <w:p w14:paraId="5632EEE3" w14:textId="77777777" w:rsidR="00763B45" w:rsidRPr="003A36E3" w:rsidRDefault="00763B45" w:rsidP="002F7854">
      <w:pPr>
        <w:spacing w:line="257" w:lineRule="auto"/>
        <w:jc w:val="both"/>
        <w:rPr>
          <w:rFonts w:ascii="Arial" w:eastAsia="Arial" w:hAnsi="Arial" w:cs="Arial"/>
          <w:sz w:val="18"/>
          <w:szCs w:val="18"/>
          <w:lang w:val="ro-MD"/>
        </w:rPr>
      </w:pPr>
    </w:p>
    <w:p w14:paraId="472053FC" w14:textId="656B62DB" w:rsidR="00D96D99" w:rsidRPr="003A36E3" w:rsidRDefault="006C6752" w:rsidP="006E16D8">
      <w:pPr>
        <w:spacing w:line="257" w:lineRule="auto"/>
        <w:jc w:val="center"/>
        <w:rPr>
          <w:rFonts w:ascii="Arial" w:eastAsia="Arial" w:hAnsi="Arial" w:cs="Arial"/>
          <w:sz w:val="18"/>
          <w:szCs w:val="18"/>
          <w:lang w:val="ro-MD"/>
        </w:rPr>
        <w:sectPr w:rsidR="00D96D99" w:rsidRPr="003A36E3" w:rsidSect="00D96D99">
          <w:headerReference w:type="default" r:id="rId9"/>
          <w:footerReference w:type="default" r:id="rId10"/>
          <w:pgSz w:w="16838" w:h="11906" w:orient="landscape"/>
          <w:pgMar w:top="1440" w:right="1080" w:bottom="1440" w:left="1080" w:header="709" w:footer="709" w:gutter="0"/>
          <w:pgNumType w:start="1"/>
          <w:cols w:space="720"/>
        </w:sectPr>
      </w:pPr>
      <w:r w:rsidRPr="003A36E3">
        <w:rPr>
          <w:rFonts w:ascii="Arial" w:eastAsia="Arial" w:hAnsi="Arial" w:cs="Arial"/>
          <w:sz w:val="18"/>
          <w:szCs w:val="18"/>
          <w:lang w:val="ro-MD"/>
        </w:rPr>
        <w:t>Pilonul 3: Guverna</w:t>
      </w:r>
      <w:r w:rsidR="0059048A">
        <w:rPr>
          <w:rFonts w:ascii="Arial" w:eastAsia="Arial" w:hAnsi="Arial" w:cs="Arial"/>
          <w:sz w:val="18"/>
          <w:szCs w:val="18"/>
          <w:lang w:val="ro-MD"/>
        </w:rPr>
        <w:t>rea</w:t>
      </w:r>
      <w:r w:rsidRPr="003A36E3">
        <w:rPr>
          <w:rFonts w:ascii="Arial" w:eastAsia="Arial" w:hAnsi="Arial" w:cs="Arial"/>
          <w:sz w:val="18"/>
          <w:szCs w:val="18"/>
          <w:lang w:val="ro-MD"/>
        </w:rPr>
        <w:t xml:space="preserve"> economică</w:t>
      </w:r>
    </w:p>
    <w:tbl>
      <w:tblPr>
        <w:tblW w:w="14459" w:type="dxa"/>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51"/>
        <w:gridCol w:w="425"/>
        <w:gridCol w:w="1276"/>
        <w:gridCol w:w="357"/>
        <w:gridCol w:w="683"/>
        <w:gridCol w:w="1061"/>
        <w:gridCol w:w="4365"/>
        <w:gridCol w:w="5441"/>
      </w:tblGrid>
      <w:tr w:rsidR="006E16D8" w:rsidRPr="003A36E3" w14:paraId="2BE95C50" w14:textId="77777777" w:rsidTr="0059048A">
        <w:trPr>
          <w:trHeight w:val="300"/>
        </w:trPr>
        <w:tc>
          <w:tcPr>
            <w:tcW w:w="851" w:type="dxa"/>
            <w:vAlign w:val="center"/>
          </w:tcPr>
          <w:p w14:paraId="13B4375B" w14:textId="63FDEC0D" w:rsidR="006E16D8" w:rsidRPr="003A36E3" w:rsidRDefault="00CD57DC"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Subdomeniu</w:t>
            </w:r>
          </w:p>
        </w:tc>
        <w:tc>
          <w:tcPr>
            <w:tcW w:w="425" w:type="dxa"/>
            <w:vAlign w:val="center"/>
          </w:tcPr>
          <w:p w14:paraId="03BC664B" w14:textId="1927071C" w:rsidR="006E16D8" w:rsidRPr="003A36E3" w:rsidRDefault="00F5482C"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Reformă nr.</w:t>
            </w:r>
          </w:p>
        </w:tc>
        <w:tc>
          <w:tcPr>
            <w:tcW w:w="1276" w:type="dxa"/>
            <w:vAlign w:val="center"/>
          </w:tcPr>
          <w:p w14:paraId="6DAD029E" w14:textId="0CEDF5A3" w:rsidR="006E16D8" w:rsidRPr="003A36E3" w:rsidRDefault="00F74D74"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Titlul reformei</w:t>
            </w:r>
          </w:p>
        </w:tc>
        <w:tc>
          <w:tcPr>
            <w:tcW w:w="357" w:type="dxa"/>
            <w:vAlign w:val="center"/>
          </w:tcPr>
          <w:p w14:paraId="214A4A28" w14:textId="4F608D16" w:rsidR="006E16D8" w:rsidRPr="003A36E3" w:rsidRDefault="00A66DA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Etapa nr.</w:t>
            </w:r>
          </w:p>
        </w:tc>
        <w:tc>
          <w:tcPr>
            <w:tcW w:w="683" w:type="dxa"/>
            <w:vAlign w:val="center"/>
          </w:tcPr>
          <w:p w14:paraId="3A0BA398" w14:textId="7A4180D4" w:rsidR="006E16D8" w:rsidRPr="003A36E3" w:rsidRDefault="005C0055" w:rsidP="002F7854">
            <w:pPr>
              <w:tabs>
                <w:tab w:val="left" w:pos="24"/>
              </w:tabs>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Termen de punere în aplicare</w:t>
            </w:r>
          </w:p>
        </w:tc>
        <w:tc>
          <w:tcPr>
            <w:tcW w:w="1061" w:type="dxa"/>
            <w:vAlign w:val="center"/>
          </w:tcPr>
          <w:p w14:paraId="6B8FC77F" w14:textId="3FD99820" w:rsidR="006E16D8" w:rsidRPr="003A36E3" w:rsidRDefault="005C005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Instituția</w:t>
            </w: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37F29" w14:textId="77777777" w:rsidR="007409C8" w:rsidRPr="003A36E3" w:rsidRDefault="007409C8" w:rsidP="002F7854">
            <w:pPr>
              <w:spacing w:after="0" w:line="240" w:lineRule="auto"/>
              <w:jc w:val="both"/>
              <w:rPr>
                <w:rFonts w:ascii="Arial" w:eastAsiaTheme="minorEastAsia" w:hAnsi="Arial" w:cs="Arial"/>
                <w:sz w:val="18"/>
                <w:szCs w:val="18"/>
                <w:lang w:val="ro-MD"/>
              </w:rPr>
            </w:pPr>
          </w:p>
          <w:p w14:paraId="777E3949" w14:textId="253CB689" w:rsidR="006E16D8" w:rsidRPr="003A36E3" w:rsidRDefault="007409C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Condiția de plată și termenul de punere în aplicare</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88CC5" w14:textId="77777777" w:rsidR="006E16D8" w:rsidRPr="003A36E3" w:rsidRDefault="006E16D8" w:rsidP="002F7854">
            <w:pPr>
              <w:spacing w:after="0" w:line="240" w:lineRule="auto"/>
              <w:jc w:val="both"/>
              <w:rPr>
                <w:rFonts w:ascii="Arial" w:eastAsiaTheme="minorEastAsia" w:hAnsi="Arial" w:cs="Arial"/>
                <w:sz w:val="18"/>
                <w:szCs w:val="18"/>
                <w:lang w:val="ro-MD"/>
              </w:rPr>
            </w:pPr>
          </w:p>
          <w:p w14:paraId="7ACD4246" w14:textId="010C4AAE" w:rsidR="006E16D8" w:rsidRPr="003A36E3" w:rsidRDefault="007409C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Descrierea și definirea clară a ceea ce presupune fiecare etapă</w:t>
            </w:r>
          </w:p>
          <w:p w14:paraId="2F74807A" w14:textId="77777777" w:rsidR="006E16D8" w:rsidRPr="003A36E3" w:rsidRDefault="006E16D8" w:rsidP="002F7854">
            <w:pPr>
              <w:spacing w:after="0" w:line="240" w:lineRule="auto"/>
              <w:jc w:val="both"/>
              <w:rPr>
                <w:rFonts w:ascii="Arial" w:eastAsiaTheme="minorEastAsia" w:hAnsi="Arial" w:cs="Arial"/>
                <w:sz w:val="18"/>
                <w:szCs w:val="18"/>
                <w:lang w:val="ro-MD"/>
              </w:rPr>
            </w:pPr>
          </w:p>
        </w:tc>
      </w:tr>
      <w:tr w:rsidR="006E16D8" w:rsidRPr="00BD0643" w14:paraId="1B78356F" w14:textId="77777777" w:rsidTr="0059048A">
        <w:trPr>
          <w:trHeight w:val="300"/>
        </w:trPr>
        <w:tc>
          <w:tcPr>
            <w:tcW w:w="851" w:type="dxa"/>
            <w:vAlign w:val="center"/>
          </w:tcPr>
          <w:p w14:paraId="06B770C8" w14:textId="621394AC" w:rsidR="006E16D8" w:rsidRPr="003A36E3" w:rsidRDefault="009F271D"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Gestionarea finanțelor publice</w:t>
            </w:r>
          </w:p>
        </w:tc>
        <w:tc>
          <w:tcPr>
            <w:tcW w:w="425" w:type="dxa"/>
            <w:vAlign w:val="center"/>
          </w:tcPr>
          <w:p w14:paraId="466E4A60"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276" w:type="dxa"/>
            <w:vAlign w:val="center"/>
          </w:tcPr>
          <w:p w14:paraId="102814AD" w14:textId="3F59C6B6" w:rsidR="006E16D8" w:rsidRPr="003A36E3" w:rsidRDefault="00FC27E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elaborării bugetului, a controlului cheltuielilor și a execuției pentru o mai bună planificare bugetară și punere în aplicare a politicilor</w:t>
            </w:r>
          </w:p>
        </w:tc>
        <w:tc>
          <w:tcPr>
            <w:tcW w:w="357" w:type="dxa"/>
            <w:vAlign w:val="center"/>
          </w:tcPr>
          <w:p w14:paraId="6CADF57B"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683" w:type="dxa"/>
            <w:vAlign w:val="center"/>
          </w:tcPr>
          <w:p w14:paraId="68AF5835" w14:textId="78653C70" w:rsidR="006E16D8" w:rsidRPr="003A36E3" w:rsidRDefault="00FC27E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6E16D8" w:rsidRPr="003A36E3">
              <w:rPr>
                <w:rFonts w:ascii="Arial" w:eastAsiaTheme="minorEastAsia" w:hAnsi="Arial" w:cs="Arial"/>
                <w:sz w:val="18"/>
                <w:szCs w:val="18"/>
                <w:lang w:val="ro-MD"/>
              </w:rPr>
              <w:t xml:space="preserve"> 2026</w:t>
            </w:r>
          </w:p>
        </w:tc>
        <w:tc>
          <w:tcPr>
            <w:tcW w:w="1061" w:type="dxa"/>
            <w:vAlign w:val="center"/>
          </w:tcPr>
          <w:p w14:paraId="57A32786" w14:textId="012D75BF" w:rsidR="006E16D8" w:rsidRPr="003A36E3" w:rsidRDefault="00C57E2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Dezvoltării Economice, Ministerul Finanțelor, BNM,  Ministerul Muncii, Biroul Național de Statistică</w:t>
            </w:r>
          </w:p>
        </w:tc>
        <w:tc>
          <w:tcPr>
            <w:tcW w:w="4365" w:type="dxa"/>
          </w:tcPr>
          <w:p w14:paraId="29F752DC" w14:textId="77777777" w:rsidR="000C2560" w:rsidRPr="003A36E3" w:rsidRDefault="000C2560" w:rsidP="000C2560">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MD dezvoltă și implementează un cadru integrat de previziune și pregătește prognoze privind piața muncii și dimensiunea externă (balanța de plăți).</w:t>
            </w:r>
          </w:p>
          <w:p w14:paraId="10327840" w14:textId="77777777" w:rsidR="000C2560" w:rsidRPr="003A36E3" w:rsidRDefault="000C2560" w:rsidP="000C2560">
            <w:pPr>
              <w:spacing w:after="0" w:line="240" w:lineRule="auto"/>
              <w:jc w:val="both"/>
              <w:rPr>
                <w:rFonts w:ascii="Arial" w:eastAsiaTheme="minorEastAsia" w:hAnsi="Arial" w:cs="Arial"/>
                <w:sz w:val="18"/>
                <w:szCs w:val="18"/>
                <w:lang w:val="ro-MD"/>
              </w:rPr>
            </w:pPr>
          </w:p>
          <w:p w14:paraId="75A17F16" w14:textId="7B3BD6CF" w:rsidR="006E16D8" w:rsidRPr="003A36E3" w:rsidRDefault="000C2560" w:rsidP="000C2560">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Unele prognoze-cheie, cum ar fi cele privind piața muncii și cele macroeconomice pentru dimensiunea externă, nu sunt elaborate. Prognozele privind piața muncii nu sunt elaborate la niciun nivel. Mecanismul de coordonare nu este în vigoare.</w:t>
            </w:r>
          </w:p>
        </w:tc>
        <w:tc>
          <w:tcPr>
            <w:tcW w:w="5441" w:type="dxa"/>
          </w:tcPr>
          <w:p w14:paraId="29B84346" w14:textId="77777777" w:rsidR="00900619" w:rsidRPr="003A36E3" w:rsidRDefault="00900619" w:rsidP="0090061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MD elaborează prognoze macroeconomice și fiscale (inclusiv soldul fiscal structural, analiza sustenabilității datoriei și prognoza pieței muncii) și extinde prognozele la dimensiunea externă (balanța de plăți). A fost instituit și funcționează un mecanism de coordonare a prognozelor.</w:t>
            </w:r>
          </w:p>
          <w:p w14:paraId="1CF996BF" w14:textId="77777777" w:rsidR="00900619" w:rsidRPr="003A36E3" w:rsidRDefault="00900619" w:rsidP="00900619">
            <w:pPr>
              <w:spacing w:after="0" w:line="240" w:lineRule="auto"/>
              <w:jc w:val="both"/>
              <w:rPr>
                <w:rFonts w:ascii="Arial" w:eastAsiaTheme="minorEastAsia" w:hAnsi="Arial" w:cs="Arial"/>
                <w:sz w:val="18"/>
                <w:szCs w:val="18"/>
                <w:lang w:val="ro-MD"/>
              </w:rPr>
            </w:pPr>
          </w:p>
          <w:p w14:paraId="661C6EBC" w14:textId="4B48CE80" w:rsidR="006E16D8" w:rsidRPr="003A36E3" w:rsidRDefault="00900619" w:rsidP="0090061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w:t>
            </w:r>
            <w:r w:rsidR="0059048A">
              <w:rPr>
                <w:rFonts w:ascii="Arial" w:eastAsiaTheme="minorEastAsia" w:hAnsi="Arial" w:cs="Arial"/>
                <w:sz w:val="18"/>
                <w:szCs w:val="18"/>
                <w:lang w:val="ro-MD"/>
              </w:rPr>
              <w:t>p</w:t>
            </w:r>
            <w:r w:rsidR="00CE1E75">
              <w:rPr>
                <w:rFonts w:ascii="Arial" w:eastAsiaTheme="minorEastAsia" w:hAnsi="Arial" w:cs="Arial"/>
                <w:sz w:val="18"/>
                <w:szCs w:val="18"/>
                <w:lang w:val="ro-MD"/>
              </w:rPr>
              <w:t>agina web a</w:t>
            </w:r>
            <w:r w:rsidRPr="003A36E3">
              <w:rPr>
                <w:rFonts w:ascii="Arial" w:eastAsiaTheme="minorEastAsia" w:hAnsi="Arial" w:cs="Arial"/>
                <w:sz w:val="18"/>
                <w:szCs w:val="18"/>
                <w:lang w:val="ro-MD"/>
              </w:rPr>
              <w:t xml:space="preserve"> Ministerului Economiei, programul ERP al MD pentru 2027-29, rapoartele Ministerului de Finanțe, rapoartele Ministerului Economiei</w:t>
            </w:r>
          </w:p>
        </w:tc>
      </w:tr>
      <w:tr w:rsidR="006E16D8" w:rsidRPr="00BD0643" w14:paraId="58EFEB2E" w14:textId="77777777" w:rsidTr="0059048A">
        <w:trPr>
          <w:trHeight w:val="300"/>
        </w:trPr>
        <w:tc>
          <w:tcPr>
            <w:tcW w:w="851" w:type="dxa"/>
            <w:vAlign w:val="center"/>
          </w:tcPr>
          <w:p w14:paraId="6DA6A004" w14:textId="77777777" w:rsidR="006E16D8" w:rsidRPr="003A36E3" w:rsidRDefault="006E16D8" w:rsidP="002F7854">
            <w:pPr>
              <w:spacing w:line="240" w:lineRule="auto"/>
              <w:jc w:val="both"/>
              <w:rPr>
                <w:rFonts w:ascii="Arial" w:eastAsiaTheme="minorEastAsia" w:hAnsi="Arial" w:cs="Arial"/>
                <w:sz w:val="18"/>
                <w:szCs w:val="18"/>
                <w:lang w:val="ro-MD"/>
              </w:rPr>
            </w:pPr>
          </w:p>
        </w:tc>
        <w:tc>
          <w:tcPr>
            <w:tcW w:w="425" w:type="dxa"/>
            <w:vAlign w:val="center"/>
          </w:tcPr>
          <w:p w14:paraId="2C55983D" w14:textId="2960B852" w:rsidR="006E16D8" w:rsidRPr="003A36E3" w:rsidRDefault="006E16D8"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276" w:type="dxa"/>
            <w:vAlign w:val="center"/>
          </w:tcPr>
          <w:p w14:paraId="6ABE2D74" w14:textId="5E353308" w:rsidR="006E16D8" w:rsidRPr="003A36E3" w:rsidRDefault="007158AA"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elaborării bugetului, a controlului cheltuielilor și a execuției pentru o mai bună planificare bugetară și punere în aplicare a politicilor</w:t>
            </w:r>
          </w:p>
        </w:tc>
        <w:tc>
          <w:tcPr>
            <w:tcW w:w="357" w:type="dxa"/>
            <w:vAlign w:val="center"/>
          </w:tcPr>
          <w:p w14:paraId="1CE2BE6B" w14:textId="77777777" w:rsidR="006E16D8" w:rsidRPr="003A36E3" w:rsidRDefault="006E16D8"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683" w:type="dxa"/>
            <w:vAlign w:val="center"/>
          </w:tcPr>
          <w:p w14:paraId="41AFCB57" w14:textId="4E4E1794" w:rsidR="006E16D8" w:rsidRPr="003A36E3" w:rsidRDefault="007258CF"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6E16D8" w:rsidRPr="003A36E3">
              <w:rPr>
                <w:rFonts w:ascii="Arial" w:eastAsiaTheme="minorEastAsia" w:hAnsi="Arial" w:cs="Arial"/>
                <w:sz w:val="18"/>
                <w:szCs w:val="18"/>
                <w:lang w:val="ro-MD"/>
              </w:rPr>
              <w:t xml:space="preserve"> 2027</w:t>
            </w:r>
          </w:p>
        </w:tc>
        <w:tc>
          <w:tcPr>
            <w:tcW w:w="1061" w:type="dxa"/>
            <w:vAlign w:val="center"/>
          </w:tcPr>
          <w:p w14:paraId="1018927D" w14:textId="7296E9F8" w:rsidR="006E16D8" w:rsidRPr="003A36E3" w:rsidRDefault="0013320B"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tc>
        <w:tc>
          <w:tcPr>
            <w:tcW w:w="4365" w:type="dxa"/>
          </w:tcPr>
          <w:p w14:paraId="3ED2CCF0" w14:textId="77777777" w:rsidR="008F15A3" w:rsidRPr="003A36E3" w:rsidRDefault="008F15A3" w:rsidP="008F15A3">
            <w:pPr>
              <w:spacing w:line="240" w:lineRule="auto"/>
              <w:jc w:val="both"/>
              <w:rPr>
                <w:rFonts w:ascii="Arial" w:hAnsi="Arial" w:cs="Arial"/>
                <w:sz w:val="18"/>
                <w:szCs w:val="18"/>
                <w:lang w:val="ro-MD"/>
              </w:rPr>
            </w:pPr>
            <w:r w:rsidRPr="003A36E3">
              <w:rPr>
                <w:rFonts w:ascii="Arial" w:hAnsi="Arial" w:cs="Arial"/>
                <w:sz w:val="18"/>
                <w:szCs w:val="18"/>
                <w:lang w:val="ro-MD"/>
              </w:rPr>
              <w:t>Transparența planificării fiscale pe termen mediu este sporită, iar legătura dintre planul fiscal pe termen mediu și bugetul anual este consolidată prin modificarea regulamentului MF privind procesul bugetar și punerea în aplicare a dispozițiilor relevante pentru cadrul bugetar pe termen mediu 2028-30.</w:t>
            </w:r>
          </w:p>
          <w:p w14:paraId="559227AB" w14:textId="380CEE3A" w:rsidR="006E16D8" w:rsidRPr="003A36E3" w:rsidRDefault="008F15A3" w:rsidP="008F15A3">
            <w:pPr>
              <w:spacing w:line="257" w:lineRule="auto"/>
              <w:jc w:val="both"/>
              <w:rPr>
                <w:rFonts w:ascii="Arial" w:hAnsi="Arial" w:cs="Arial"/>
                <w:sz w:val="18"/>
                <w:szCs w:val="18"/>
                <w:lang w:val="ro-MD"/>
              </w:rPr>
            </w:pPr>
            <w:r w:rsidRPr="003A36E3">
              <w:rPr>
                <w:rFonts w:ascii="Arial" w:hAnsi="Arial" w:cs="Arial"/>
                <w:sz w:val="18"/>
                <w:szCs w:val="18"/>
                <w:lang w:val="ro-MD"/>
              </w:rPr>
              <w:t>Linia de referință: Începând cu 2024, abaterile de la cadrul bugetar pe termen mediu nu sunt explicate și nici făcute publice. În plus, bugetele anuale nu reflectă angajamentele de planificare bugetară prezentate în cadrele bugetare pe termen mediu.</w:t>
            </w:r>
          </w:p>
        </w:tc>
        <w:tc>
          <w:tcPr>
            <w:tcW w:w="5441" w:type="dxa"/>
          </w:tcPr>
          <w:p w14:paraId="4415FCEA" w14:textId="77777777" w:rsidR="00B8329E" w:rsidRPr="003A36E3" w:rsidRDefault="00B8329E" w:rsidP="00B8329E">
            <w:pPr>
              <w:spacing w:line="240" w:lineRule="auto"/>
              <w:jc w:val="both"/>
              <w:rPr>
                <w:rFonts w:ascii="Arial" w:hAnsi="Arial" w:cs="Arial"/>
                <w:sz w:val="18"/>
                <w:szCs w:val="18"/>
                <w:lang w:val="ro-MD"/>
              </w:rPr>
            </w:pPr>
            <w:r w:rsidRPr="003A36E3">
              <w:rPr>
                <w:rFonts w:ascii="Arial" w:hAnsi="Arial" w:cs="Arial"/>
                <w:sz w:val="18"/>
                <w:szCs w:val="18"/>
                <w:lang w:val="ro-MD"/>
              </w:rPr>
              <w:t>Regulamentul MF privind procesul bugetar este modificat pentru a garanta faptul că cadrul bugetar pe termen mediu pentru 2028-2030 conține o evaluare a impactului bugetar al politicilor pe termen mediu cu detalii privind articolele de cheltuieli și sursele de finanțare și indică și explică în mod explicit principalele diferențe ale plafoanelor de venituri și cheltuieli față de cadrul din anul precedent.</w:t>
            </w:r>
          </w:p>
          <w:p w14:paraId="1A9462EB" w14:textId="77777777" w:rsidR="00B8329E" w:rsidRPr="003A36E3" w:rsidRDefault="00B8329E" w:rsidP="00B8329E">
            <w:pPr>
              <w:spacing w:line="240" w:lineRule="auto"/>
              <w:jc w:val="both"/>
              <w:rPr>
                <w:rFonts w:ascii="Arial" w:hAnsi="Arial" w:cs="Arial"/>
                <w:sz w:val="18"/>
                <w:szCs w:val="18"/>
                <w:lang w:val="ro-MD"/>
              </w:rPr>
            </w:pPr>
            <w:r w:rsidRPr="003A36E3">
              <w:rPr>
                <w:rFonts w:ascii="Arial" w:hAnsi="Arial" w:cs="Arial"/>
                <w:sz w:val="18"/>
                <w:szCs w:val="18"/>
                <w:lang w:val="ro-MD"/>
              </w:rPr>
              <w:t>Nota explicativă pentru bugetul 2028 explică abaterile de la politicile și plafoanele cuprinse în cadrul bugetar pe termen mediu pentru 2028-2030 și include o analiză a încălcărilor plafoanelor sectoriale stabilite în cadrul bugetar pe termen mediu pentru 2028-2030, în conformitate cu cele mai bune practici OCDE.</w:t>
            </w:r>
          </w:p>
          <w:p w14:paraId="79DC6578" w14:textId="49A396E7" w:rsidR="006E16D8" w:rsidRPr="003A36E3" w:rsidRDefault="00B8329E" w:rsidP="00B8329E">
            <w:pPr>
              <w:spacing w:line="257" w:lineRule="auto"/>
              <w:jc w:val="both"/>
              <w:rPr>
                <w:rFonts w:ascii="Arial" w:hAnsi="Arial" w:cs="Arial"/>
                <w:sz w:val="18"/>
                <w:szCs w:val="18"/>
                <w:lang w:val="ro-MD"/>
              </w:rPr>
            </w:pPr>
            <w:r w:rsidRPr="003A36E3">
              <w:rPr>
                <w:rFonts w:ascii="Arial" w:hAnsi="Arial" w:cs="Arial"/>
                <w:sz w:val="18"/>
                <w:szCs w:val="18"/>
                <w:lang w:val="ro-MD"/>
              </w:rPr>
              <w:t>Sursa de verificare: Evaluarea impactului bugetar a Ministerului Finanțelor și nota explicativă a Ministerului Finanțelor pentru bugetul 2027, prezentate ca parte a procesului de pregătire a cadrului bugetar pe termen mediu.</w:t>
            </w:r>
          </w:p>
        </w:tc>
      </w:tr>
      <w:tr w:rsidR="006E16D8" w:rsidRPr="00BD0643" w14:paraId="1EA4634A" w14:textId="77777777" w:rsidTr="0059048A">
        <w:trPr>
          <w:trHeight w:val="300"/>
        </w:trPr>
        <w:tc>
          <w:tcPr>
            <w:tcW w:w="851" w:type="dxa"/>
            <w:vAlign w:val="center"/>
          </w:tcPr>
          <w:p w14:paraId="071E3515" w14:textId="77777777" w:rsidR="006E16D8" w:rsidRPr="003A36E3" w:rsidRDefault="006E16D8" w:rsidP="002F7854">
            <w:pPr>
              <w:spacing w:line="240" w:lineRule="auto"/>
              <w:jc w:val="both"/>
              <w:rPr>
                <w:rFonts w:ascii="Arial" w:eastAsiaTheme="minorEastAsia" w:hAnsi="Arial" w:cs="Arial"/>
                <w:sz w:val="18"/>
                <w:szCs w:val="18"/>
                <w:lang w:val="ro-MD"/>
              </w:rPr>
            </w:pPr>
          </w:p>
        </w:tc>
        <w:tc>
          <w:tcPr>
            <w:tcW w:w="425" w:type="dxa"/>
            <w:vAlign w:val="center"/>
          </w:tcPr>
          <w:p w14:paraId="2CE7134A" w14:textId="77777777" w:rsidR="006E16D8" w:rsidRPr="003A36E3" w:rsidRDefault="006E16D8"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276" w:type="dxa"/>
            <w:vAlign w:val="center"/>
          </w:tcPr>
          <w:p w14:paraId="37DBBB40" w14:textId="5A3E62AC" w:rsidR="006E16D8" w:rsidRPr="003A36E3" w:rsidRDefault="007158AA"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Consolidarea elaborării bugetului, a controlului cheltuielilor </w:t>
            </w:r>
            <w:r w:rsidRPr="003A36E3">
              <w:rPr>
                <w:rFonts w:ascii="Arial" w:eastAsiaTheme="minorEastAsia" w:hAnsi="Arial" w:cs="Arial"/>
                <w:sz w:val="18"/>
                <w:szCs w:val="18"/>
                <w:lang w:val="ro-MD"/>
              </w:rPr>
              <w:lastRenderedPageBreak/>
              <w:t>și a execuției pentru o mai bună planificare bugetară și punere în aplicare a politicilor</w:t>
            </w:r>
          </w:p>
        </w:tc>
        <w:tc>
          <w:tcPr>
            <w:tcW w:w="357" w:type="dxa"/>
            <w:vAlign w:val="center"/>
          </w:tcPr>
          <w:p w14:paraId="03AB5707" w14:textId="77777777" w:rsidR="006E16D8" w:rsidRPr="003A36E3" w:rsidRDefault="006E16D8"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3</w:t>
            </w:r>
          </w:p>
        </w:tc>
        <w:tc>
          <w:tcPr>
            <w:tcW w:w="683" w:type="dxa"/>
            <w:vAlign w:val="center"/>
          </w:tcPr>
          <w:p w14:paraId="5F3653AD" w14:textId="6E05E405" w:rsidR="006E16D8" w:rsidRPr="003A36E3" w:rsidRDefault="0013320B"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6E16D8" w:rsidRPr="003A36E3">
              <w:rPr>
                <w:rFonts w:ascii="Arial" w:eastAsiaTheme="minorEastAsia" w:hAnsi="Arial" w:cs="Arial"/>
                <w:sz w:val="18"/>
                <w:szCs w:val="18"/>
                <w:lang w:val="ro-MD"/>
              </w:rPr>
              <w:t xml:space="preserve"> 2026</w:t>
            </w:r>
          </w:p>
        </w:tc>
        <w:tc>
          <w:tcPr>
            <w:tcW w:w="1061" w:type="dxa"/>
            <w:vAlign w:val="center"/>
          </w:tcPr>
          <w:p w14:paraId="4234ED2A" w14:textId="41E7F182" w:rsidR="006E16D8" w:rsidRPr="003A36E3" w:rsidRDefault="0013320B"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tc>
        <w:tc>
          <w:tcPr>
            <w:tcW w:w="4365" w:type="dxa"/>
          </w:tcPr>
          <w:p w14:paraId="48CB9663" w14:textId="77777777" w:rsidR="009B662F" w:rsidRPr="003A36E3" w:rsidRDefault="009B662F" w:rsidP="009B662F">
            <w:pPr>
              <w:spacing w:after="0"/>
              <w:jc w:val="both"/>
              <w:rPr>
                <w:rFonts w:ascii="Arial" w:hAnsi="Arial" w:cs="Arial"/>
                <w:sz w:val="18"/>
                <w:szCs w:val="18"/>
                <w:lang w:val="ro-MD"/>
              </w:rPr>
            </w:pPr>
            <w:r w:rsidRPr="003A36E3">
              <w:rPr>
                <w:rFonts w:ascii="Arial" w:hAnsi="Arial" w:cs="Arial"/>
                <w:sz w:val="18"/>
                <w:szCs w:val="18"/>
                <w:lang w:val="ro-MD"/>
              </w:rPr>
              <w:t xml:space="preserve">Este introdusă obligația legală de a revizui periodic toate cheltuielile bugetare pe o perioadă de cel mult 7 ani și este adoptată metodologia. </w:t>
            </w:r>
          </w:p>
          <w:p w14:paraId="45552650" w14:textId="77777777" w:rsidR="009B662F" w:rsidRPr="003A36E3" w:rsidRDefault="009B662F" w:rsidP="009B662F">
            <w:pPr>
              <w:spacing w:after="0"/>
              <w:jc w:val="both"/>
              <w:rPr>
                <w:rFonts w:ascii="Arial" w:hAnsi="Arial" w:cs="Arial"/>
                <w:sz w:val="18"/>
                <w:szCs w:val="18"/>
                <w:lang w:val="ro-MD"/>
              </w:rPr>
            </w:pPr>
          </w:p>
          <w:p w14:paraId="0BE12E9F" w14:textId="6EAB9670" w:rsidR="006E16D8" w:rsidRPr="003A36E3" w:rsidRDefault="009B662F" w:rsidP="009B662F">
            <w:pPr>
              <w:spacing w:after="0"/>
              <w:jc w:val="both"/>
              <w:rPr>
                <w:rFonts w:ascii="Arial" w:hAnsi="Arial" w:cs="Arial"/>
                <w:sz w:val="18"/>
                <w:szCs w:val="18"/>
                <w:lang w:val="ro-MD"/>
              </w:rPr>
            </w:pPr>
            <w:r w:rsidRPr="003A36E3">
              <w:rPr>
                <w:rFonts w:ascii="Arial" w:hAnsi="Arial" w:cs="Arial"/>
                <w:sz w:val="18"/>
                <w:szCs w:val="18"/>
                <w:lang w:val="ro-MD"/>
              </w:rPr>
              <w:lastRenderedPageBreak/>
              <w:t>Linia de referință: Nu există nicio dispoziție legală care să impună revizuirea periodică a cheltuielilor.</w:t>
            </w:r>
          </w:p>
        </w:tc>
        <w:tc>
          <w:tcPr>
            <w:tcW w:w="5441" w:type="dxa"/>
          </w:tcPr>
          <w:p w14:paraId="17B2A1E5" w14:textId="77777777" w:rsidR="00117317" w:rsidRPr="003A36E3" w:rsidRDefault="00117317" w:rsidP="00117317">
            <w:pPr>
              <w:spacing w:after="0"/>
              <w:jc w:val="both"/>
              <w:rPr>
                <w:rFonts w:ascii="Arial" w:hAnsi="Arial" w:cs="Arial"/>
                <w:sz w:val="18"/>
                <w:szCs w:val="18"/>
                <w:lang w:val="ro-MD"/>
              </w:rPr>
            </w:pPr>
            <w:r w:rsidRPr="003A36E3">
              <w:rPr>
                <w:rFonts w:ascii="Arial" w:hAnsi="Arial" w:cs="Arial"/>
                <w:sz w:val="18"/>
                <w:szCs w:val="18"/>
                <w:lang w:val="ro-MD"/>
              </w:rPr>
              <w:lastRenderedPageBreak/>
              <w:t xml:space="preserve">Legea este adoptată pentru a se asigura că toate cheltuielile bugetare fac obiectul unei revizuiri periodice pe parcursul a cel mult 7 ani. Legea include dispoziții privind: (i) aprobarea și publicarea analizelor cheltuielilor; (ii) includerea recomandărilor în analizele cheltuielilor; și (iii) identificarea unui grafic și a entităților </w:t>
            </w:r>
            <w:r w:rsidRPr="003A36E3">
              <w:rPr>
                <w:rFonts w:ascii="Arial" w:hAnsi="Arial" w:cs="Arial"/>
                <w:sz w:val="18"/>
                <w:szCs w:val="18"/>
                <w:lang w:val="ro-MD"/>
              </w:rPr>
              <w:lastRenderedPageBreak/>
              <w:t>responsabile pentru punerea lor în aplicare. Metodologia pentru revizuirea cheltuielilor este adoptată ca legislație secundară printr-un ordin al Ministerului de Finanțe.</w:t>
            </w:r>
          </w:p>
          <w:p w14:paraId="3AF983D7" w14:textId="77777777" w:rsidR="00117317" w:rsidRPr="003A36E3" w:rsidRDefault="00117317" w:rsidP="00117317">
            <w:pPr>
              <w:spacing w:after="0"/>
              <w:jc w:val="both"/>
              <w:rPr>
                <w:rFonts w:ascii="Arial" w:hAnsi="Arial" w:cs="Arial"/>
                <w:sz w:val="18"/>
                <w:szCs w:val="18"/>
                <w:lang w:val="ro-MD"/>
              </w:rPr>
            </w:pPr>
            <w:r w:rsidRPr="003A36E3">
              <w:rPr>
                <w:rFonts w:ascii="Arial" w:hAnsi="Arial" w:cs="Arial"/>
                <w:sz w:val="18"/>
                <w:szCs w:val="18"/>
                <w:lang w:val="ro-MD"/>
              </w:rPr>
              <w:t xml:space="preserve"> </w:t>
            </w:r>
          </w:p>
          <w:p w14:paraId="02FBFD5B" w14:textId="1143AB0C" w:rsidR="006E16D8" w:rsidRPr="003A36E3" w:rsidRDefault="00117317" w:rsidP="00117317">
            <w:pPr>
              <w:spacing w:after="0"/>
              <w:jc w:val="both"/>
              <w:rPr>
                <w:rFonts w:ascii="Arial" w:hAnsi="Arial" w:cs="Arial"/>
                <w:sz w:val="18"/>
                <w:szCs w:val="18"/>
                <w:lang w:val="ro-MD"/>
              </w:rPr>
            </w:pPr>
            <w:r w:rsidRPr="003A36E3">
              <w:rPr>
                <w:rFonts w:ascii="Arial" w:hAnsi="Arial" w:cs="Arial"/>
                <w:sz w:val="18"/>
                <w:szCs w:val="18"/>
                <w:lang w:val="ro-MD"/>
              </w:rPr>
              <w:t>Sursa de verificare:  Monitorul Oficial pentru modificările legislative și ordinul guvernului pentru legislația secundară.</w:t>
            </w:r>
          </w:p>
        </w:tc>
      </w:tr>
      <w:tr w:rsidR="006E16D8" w:rsidRPr="00BD0643" w14:paraId="29660D52" w14:textId="77777777" w:rsidTr="0059048A">
        <w:trPr>
          <w:trHeight w:val="300"/>
        </w:trPr>
        <w:tc>
          <w:tcPr>
            <w:tcW w:w="851" w:type="dxa"/>
            <w:vAlign w:val="center"/>
          </w:tcPr>
          <w:p w14:paraId="48AC4C81" w14:textId="67E270EF" w:rsidR="006E16D8" w:rsidRPr="003A36E3" w:rsidRDefault="00310A4A" w:rsidP="002F7854">
            <w:pPr>
              <w:pStyle w:val="paragraph"/>
              <w:spacing w:before="0" w:beforeAutospacing="0" w:after="0" w:afterAutospacing="0"/>
              <w:jc w:val="both"/>
              <w:textAlignment w:val="baseline"/>
              <w:rPr>
                <w:rFonts w:ascii="Arial" w:eastAsiaTheme="minorEastAsia" w:hAnsi="Arial" w:cs="Arial"/>
                <w:sz w:val="18"/>
                <w:szCs w:val="18"/>
                <w:lang w:val="ro-MD"/>
              </w:rPr>
            </w:pPr>
            <w:r w:rsidRPr="003A36E3">
              <w:rPr>
                <w:rFonts w:ascii="Arial" w:eastAsiaTheme="minorEastAsia" w:hAnsi="Arial" w:cs="Arial"/>
                <w:kern w:val="2"/>
                <w:sz w:val="18"/>
                <w:szCs w:val="18"/>
                <w:lang w:val="ro-MD" w:eastAsia="en-US"/>
              </w:rPr>
              <w:lastRenderedPageBreak/>
              <w:t>Gestionarea finanțelor publice</w:t>
            </w:r>
            <w:r w:rsidR="006E16D8" w:rsidRPr="003A36E3">
              <w:rPr>
                <w:rStyle w:val="eop"/>
                <w:rFonts w:ascii="Arial" w:eastAsiaTheme="minorEastAsia" w:hAnsi="Arial" w:cs="Arial"/>
                <w:sz w:val="18"/>
                <w:szCs w:val="18"/>
                <w:lang w:val="ro-MD"/>
              </w:rPr>
              <w:t> </w:t>
            </w:r>
          </w:p>
          <w:p w14:paraId="14FFBBAF" w14:textId="77777777" w:rsidR="006E16D8" w:rsidRPr="003A36E3" w:rsidRDefault="006E16D8" w:rsidP="002F7854">
            <w:pPr>
              <w:spacing w:after="0" w:line="240" w:lineRule="auto"/>
              <w:jc w:val="both"/>
              <w:rPr>
                <w:rFonts w:ascii="Arial" w:eastAsiaTheme="minorEastAsia" w:hAnsi="Arial" w:cs="Arial"/>
                <w:sz w:val="18"/>
                <w:szCs w:val="18"/>
                <w:lang w:val="ro-MD"/>
              </w:rPr>
            </w:pPr>
          </w:p>
        </w:tc>
        <w:tc>
          <w:tcPr>
            <w:tcW w:w="425" w:type="dxa"/>
            <w:vAlign w:val="center"/>
          </w:tcPr>
          <w:p w14:paraId="31CFD708"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276" w:type="dxa"/>
            <w:vAlign w:val="center"/>
          </w:tcPr>
          <w:p w14:paraId="0D791910" w14:textId="32380F0C" w:rsidR="006E16D8" w:rsidRPr="003A36E3" w:rsidRDefault="007158AA"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elaborării bugetului, a controlului cheltuielilor și a execuției pentru o mai bună planificare bugetară și punere în aplicare a politicilor</w:t>
            </w:r>
          </w:p>
        </w:tc>
        <w:tc>
          <w:tcPr>
            <w:tcW w:w="357" w:type="dxa"/>
            <w:vAlign w:val="center"/>
          </w:tcPr>
          <w:p w14:paraId="79C33567"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4</w:t>
            </w:r>
          </w:p>
        </w:tc>
        <w:tc>
          <w:tcPr>
            <w:tcW w:w="683" w:type="dxa"/>
            <w:vAlign w:val="center"/>
          </w:tcPr>
          <w:p w14:paraId="50E4B245" w14:textId="2D436C15" w:rsidR="006E16D8" w:rsidRPr="003A36E3" w:rsidRDefault="0013320B"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6E16D8" w:rsidRPr="003A36E3">
              <w:rPr>
                <w:rFonts w:ascii="Arial" w:eastAsiaTheme="minorEastAsia" w:hAnsi="Arial" w:cs="Arial"/>
                <w:sz w:val="18"/>
                <w:szCs w:val="18"/>
                <w:lang w:val="ro-MD"/>
              </w:rPr>
              <w:t xml:space="preserve"> 2025</w:t>
            </w:r>
          </w:p>
        </w:tc>
        <w:tc>
          <w:tcPr>
            <w:tcW w:w="1061" w:type="dxa"/>
            <w:vAlign w:val="center"/>
          </w:tcPr>
          <w:p w14:paraId="100345B1" w14:textId="77777777" w:rsidR="003304CB" w:rsidRPr="003A36E3" w:rsidRDefault="003304CB" w:rsidP="003304C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p w14:paraId="0B79962F" w14:textId="68954EF8" w:rsidR="006E16D8" w:rsidRPr="003A36E3" w:rsidRDefault="003304CB" w:rsidP="003304C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Cancelaria de Stat</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4E2B744" w14:textId="7FEB7950" w:rsidR="008B7231" w:rsidRPr="003A36E3" w:rsidRDefault="008B7231" w:rsidP="008B7231">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 xml:space="preserve">Transparența bugetară este sporită prin includerea unităților extrabugetare în raportul de execuție bugetară pentru bugetul 2024, prin reducerea acțiunilor generale din cadrul bugetului de stat începând cu 2026 la sub 32% din totalul cheltuielilor bugetare și prin obligarea tuturor entităților extrabugetare să raporteze cu privire la bugetele lor începând cu 2027.  </w:t>
            </w:r>
          </w:p>
          <w:p w14:paraId="5D44D383" w14:textId="689D8D1C" w:rsidR="006E16D8" w:rsidRPr="003A36E3" w:rsidRDefault="008B7231" w:rsidP="008B7231">
            <w:pPr>
              <w:spacing w:after="0" w:line="240" w:lineRule="auto"/>
              <w:jc w:val="both"/>
              <w:rPr>
                <w:rFonts w:ascii="Arial" w:eastAsiaTheme="minorEastAsia" w:hAnsi="Arial" w:cs="Arial"/>
                <w:sz w:val="18"/>
                <w:szCs w:val="18"/>
                <w:lang w:val="ro-MD"/>
              </w:rPr>
            </w:pPr>
            <w:r w:rsidRPr="003A36E3">
              <w:rPr>
                <w:rStyle w:val="normaltextrun"/>
                <w:rFonts w:ascii="Arial" w:hAnsi="Arial" w:cs="Arial"/>
                <w:sz w:val="18"/>
                <w:szCs w:val="18"/>
                <w:lang w:val="ro-MD"/>
              </w:rPr>
              <w:t xml:space="preserve">Linia de referință: În decembrie 2024, unitățile extrabugetare/entitățile autogestionate sunt parțial incluse în bugetul național, numai în cazul în care primesc transferuri de la bugetul de stat. Acțiunile generale care fac parte din bugetul de stat în 2025 reprezintă aproximativ 60 % din totalul cheltuielilor bugetului de stat.  </w:t>
            </w:r>
          </w:p>
        </w:tc>
        <w:tc>
          <w:tcPr>
            <w:tcW w:w="5441" w:type="dxa"/>
            <w:tcBorders>
              <w:top w:val="single" w:sz="6" w:space="0" w:color="000000"/>
              <w:left w:val="single" w:sz="6" w:space="0" w:color="000000"/>
              <w:bottom w:val="single" w:sz="6" w:space="0" w:color="000000"/>
              <w:right w:val="single" w:sz="6" w:space="0" w:color="000000"/>
            </w:tcBorders>
            <w:shd w:val="clear" w:color="auto" w:fill="auto"/>
          </w:tcPr>
          <w:p w14:paraId="79EAC5D1" w14:textId="77777777" w:rsidR="009F7355" w:rsidRPr="003A36E3" w:rsidRDefault="009F7355" w:rsidP="009F7355">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 xml:space="preserve">(i) Raportul privind execuția bugetară pentru anul 2024 acoperă bugetele entităților autogestionate. (ii) Acțiunile generale sunt reduse pentru bugetul pentru anul 2026 prin ajustări ale organizării bugetare care transferă domeniile relevante ale Fondului de asigurări medicale din cadrul Ministerului Sănătății și ale Fondului de asigurări sociale din cadrul Ministerului Muncii și Protecției Sociale; (iii) Sunt adoptate modificări juridice care obligă toate entitățile extrabugetare să raporteze cu privire la bugetele lor începând din 2027.   </w:t>
            </w:r>
          </w:p>
          <w:p w14:paraId="442157E9" w14:textId="494CEEBA" w:rsidR="006E16D8" w:rsidRPr="003A36E3" w:rsidRDefault="009F7355" w:rsidP="009F7355">
            <w:pPr>
              <w:spacing w:before="240" w:after="0" w:line="240" w:lineRule="auto"/>
              <w:jc w:val="both"/>
              <w:rPr>
                <w:rFonts w:ascii="Arial" w:eastAsiaTheme="minorEastAsia" w:hAnsi="Arial" w:cs="Arial"/>
                <w:sz w:val="18"/>
                <w:szCs w:val="18"/>
                <w:lang w:val="ro-MD"/>
              </w:rPr>
            </w:pPr>
            <w:r w:rsidRPr="003A36E3">
              <w:rPr>
                <w:rStyle w:val="normaltextrun"/>
                <w:rFonts w:ascii="Arial" w:hAnsi="Arial" w:cs="Arial"/>
                <w:sz w:val="18"/>
                <w:szCs w:val="18"/>
                <w:lang w:val="ro-MD"/>
              </w:rPr>
              <w:t xml:space="preserve">Sursa de verificare: Monitorul Oficial, Proiectul Legii bugetului de stat național al MD pentru anul 2026 și Raportul privind execuția bugetară pentru anul 2024, publicate pe </w:t>
            </w:r>
            <w:r w:rsidR="00CE1E75">
              <w:rPr>
                <w:rStyle w:val="normaltextrun"/>
                <w:rFonts w:ascii="Arial" w:hAnsi="Arial" w:cs="Arial"/>
                <w:sz w:val="18"/>
                <w:szCs w:val="18"/>
                <w:lang w:val="ro-MD"/>
              </w:rPr>
              <w:t>pagina web a</w:t>
            </w:r>
            <w:r w:rsidRPr="003A36E3">
              <w:rPr>
                <w:rStyle w:val="normaltextrun"/>
                <w:rFonts w:ascii="Arial" w:hAnsi="Arial" w:cs="Arial"/>
                <w:sz w:val="18"/>
                <w:szCs w:val="18"/>
                <w:lang w:val="ro-MD"/>
              </w:rPr>
              <w:t xml:space="preserve"> Ministerului Finanțelor.  </w:t>
            </w:r>
          </w:p>
        </w:tc>
      </w:tr>
      <w:tr w:rsidR="006E16D8" w:rsidRPr="00BD0643" w14:paraId="72BF7FAA" w14:textId="77777777" w:rsidTr="0059048A">
        <w:trPr>
          <w:trHeight w:val="300"/>
        </w:trPr>
        <w:tc>
          <w:tcPr>
            <w:tcW w:w="851" w:type="dxa"/>
            <w:vAlign w:val="center"/>
          </w:tcPr>
          <w:p w14:paraId="4B19BDFB" w14:textId="77777777" w:rsidR="006E16D8" w:rsidRPr="003A36E3" w:rsidRDefault="006E16D8" w:rsidP="002F7854">
            <w:pPr>
              <w:spacing w:line="240" w:lineRule="auto"/>
              <w:jc w:val="both"/>
              <w:rPr>
                <w:rFonts w:ascii="Arial" w:eastAsiaTheme="minorEastAsia" w:hAnsi="Arial" w:cs="Arial"/>
                <w:sz w:val="18"/>
                <w:szCs w:val="18"/>
                <w:lang w:val="ro-MD"/>
              </w:rPr>
            </w:pPr>
          </w:p>
        </w:tc>
        <w:tc>
          <w:tcPr>
            <w:tcW w:w="425" w:type="dxa"/>
            <w:vAlign w:val="center"/>
          </w:tcPr>
          <w:p w14:paraId="359A330E" w14:textId="77777777" w:rsidR="006E16D8" w:rsidRPr="003A36E3" w:rsidRDefault="006E16D8" w:rsidP="002F7854">
            <w:pPr>
              <w:spacing w:line="240" w:lineRule="auto"/>
              <w:jc w:val="both"/>
              <w:rPr>
                <w:rFonts w:ascii="Arial" w:eastAsiaTheme="minorEastAsia" w:hAnsi="Arial" w:cs="Arial"/>
                <w:sz w:val="18"/>
                <w:szCs w:val="18"/>
                <w:lang w:val="ro-MD"/>
              </w:rPr>
            </w:pPr>
          </w:p>
        </w:tc>
        <w:tc>
          <w:tcPr>
            <w:tcW w:w="1276" w:type="dxa"/>
            <w:vAlign w:val="center"/>
          </w:tcPr>
          <w:p w14:paraId="77A57700" w14:textId="7CEC4D4D" w:rsidR="006E16D8" w:rsidRPr="003A36E3" w:rsidRDefault="002C522F"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Gestionarea datoriilor</w:t>
            </w:r>
          </w:p>
        </w:tc>
        <w:tc>
          <w:tcPr>
            <w:tcW w:w="357" w:type="dxa"/>
            <w:vAlign w:val="center"/>
          </w:tcPr>
          <w:p w14:paraId="21D32FD1" w14:textId="77777777" w:rsidR="006E16D8" w:rsidRPr="003A36E3" w:rsidRDefault="006E16D8"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5</w:t>
            </w:r>
          </w:p>
        </w:tc>
        <w:tc>
          <w:tcPr>
            <w:tcW w:w="683" w:type="dxa"/>
            <w:vAlign w:val="center"/>
          </w:tcPr>
          <w:p w14:paraId="3DDE1F4C" w14:textId="0B2271D0" w:rsidR="006E16D8" w:rsidRPr="003A36E3" w:rsidRDefault="006A39AA"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6E16D8" w:rsidRPr="003A36E3">
              <w:rPr>
                <w:rFonts w:ascii="Arial" w:eastAsiaTheme="minorEastAsia" w:hAnsi="Arial" w:cs="Arial"/>
                <w:sz w:val="18"/>
                <w:szCs w:val="18"/>
                <w:lang w:val="ro-MD"/>
              </w:rPr>
              <w:t xml:space="preserve"> 2025</w:t>
            </w:r>
          </w:p>
        </w:tc>
        <w:tc>
          <w:tcPr>
            <w:tcW w:w="1061" w:type="dxa"/>
            <w:vAlign w:val="center"/>
          </w:tcPr>
          <w:p w14:paraId="3A60CEB0" w14:textId="07C35C43" w:rsidR="006E16D8" w:rsidRPr="003A36E3" w:rsidRDefault="006A39AA"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tc>
        <w:tc>
          <w:tcPr>
            <w:tcW w:w="4365" w:type="dxa"/>
          </w:tcPr>
          <w:p w14:paraId="1928C001" w14:textId="77777777" w:rsidR="00546D54" w:rsidRPr="003A36E3" w:rsidRDefault="00546D54" w:rsidP="00546D54">
            <w:pPr>
              <w:spacing w:after="0" w:line="240" w:lineRule="auto"/>
              <w:jc w:val="both"/>
              <w:rPr>
                <w:rFonts w:ascii="Arial" w:hAnsi="Arial" w:cs="Arial"/>
                <w:sz w:val="18"/>
                <w:szCs w:val="18"/>
                <w:lang w:val="ro-MD"/>
              </w:rPr>
            </w:pPr>
            <w:r w:rsidRPr="003A36E3">
              <w:rPr>
                <w:rFonts w:ascii="Arial" w:hAnsi="Arial" w:cs="Arial"/>
                <w:sz w:val="18"/>
                <w:szCs w:val="18"/>
                <w:lang w:val="ro-MD"/>
              </w:rPr>
              <w:t>Aprofundarea și diversificarea pieței interne a datoriei publice a MD este avansată: (i) Îmbunătățirea cadrului de reglementare pentru consolidarea sistemului de dealeri primari și (ii) Adoptarea cadrului de reglementare pentru emiterea instrumentelor de datorie pe piețele internaționale.</w:t>
            </w:r>
          </w:p>
          <w:p w14:paraId="4B5A93C5" w14:textId="77777777" w:rsidR="00546D54" w:rsidRPr="003A36E3" w:rsidRDefault="00546D54" w:rsidP="00546D54">
            <w:pPr>
              <w:spacing w:after="0" w:line="240" w:lineRule="auto"/>
              <w:jc w:val="both"/>
              <w:rPr>
                <w:rFonts w:ascii="Arial" w:hAnsi="Arial" w:cs="Arial"/>
                <w:sz w:val="18"/>
                <w:szCs w:val="18"/>
                <w:lang w:val="ro-MD"/>
              </w:rPr>
            </w:pPr>
          </w:p>
          <w:p w14:paraId="274F2884" w14:textId="6CE3C940" w:rsidR="006E16D8" w:rsidRPr="003A36E3" w:rsidRDefault="00546D54" w:rsidP="00546D54">
            <w:pPr>
              <w:spacing w:after="0" w:line="240" w:lineRule="auto"/>
              <w:jc w:val="both"/>
              <w:rPr>
                <w:rFonts w:ascii="Arial" w:hAnsi="Arial" w:cs="Arial"/>
                <w:sz w:val="18"/>
                <w:szCs w:val="18"/>
                <w:lang w:val="ro-MD"/>
              </w:rPr>
            </w:pPr>
            <w:r w:rsidRPr="003A36E3">
              <w:rPr>
                <w:rFonts w:ascii="Arial" w:hAnsi="Arial" w:cs="Arial"/>
                <w:sz w:val="18"/>
                <w:szCs w:val="18"/>
                <w:lang w:val="ro-MD"/>
              </w:rPr>
              <w:t>Linia de referință: Începând cu 2024, Cadrul de reglementare pentru dealerii primari este depășit; Emiterea de către MD a instrumentelor de datorie pe piețele internaționale nu este pe deplin reglementată.</w:t>
            </w:r>
          </w:p>
        </w:tc>
        <w:tc>
          <w:tcPr>
            <w:tcW w:w="5441" w:type="dxa"/>
          </w:tcPr>
          <w:p w14:paraId="0704FCF9" w14:textId="77777777" w:rsidR="00F604B1" w:rsidRPr="003A36E3" w:rsidRDefault="00F604B1" w:rsidP="00F604B1">
            <w:pPr>
              <w:jc w:val="both"/>
              <w:rPr>
                <w:rFonts w:ascii="Arial" w:hAnsi="Arial" w:cs="Arial"/>
                <w:sz w:val="18"/>
                <w:szCs w:val="18"/>
                <w:lang w:val="ro-MD"/>
              </w:rPr>
            </w:pPr>
            <w:r w:rsidRPr="003A36E3">
              <w:rPr>
                <w:rFonts w:ascii="Arial" w:hAnsi="Arial" w:cs="Arial"/>
                <w:sz w:val="18"/>
                <w:szCs w:val="18"/>
                <w:lang w:val="ro-MD"/>
              </w:rPr>
              <w:t>(i) Regulamentul BNM nr. 170/2018 este modificat pentru a facilita dezvoltarea sistemului de dealeri primari ajustând indicatorii de evaluare pentru dealerii primari; (ii) Este adoptată legislația secundară (regulamentul MF) care definește procedurile pentru selectarea intermediarilor financiari și juridici.</w:t>
            </w:r>
          </w:p>
          <w:p w14:paraId="71837A78" w14:textId="729A469D" w:rsidR="006E16D8" w:rsidRPr="003A36E3" w:rsidRDefault="00F604B1" w:rsidP="00F604B1">
            <w:pPr>
              <w:jc w:val="both"/>
              <w:rPr>
                <w:rFonts w:ascii="Arial" w:hAnsi="Arial" w:cs="Arial"/>
                <w:sz w:val="18"/>
                <w:szCs w:val="18"/>
                <w:lang w:val="ro-MD"/>
              </w:rPr>
            </w:pPr>
            <w:r w:rsidRPr="003A36E3">
              <w:rPr>
                <w:rFonts w:ascii="Arial" w:hAnsi="Arial" w:cs="Arial"/>
                <w:sz w:val="18"/>
                <w:szCs w:val="18"/>
                <w:lang w:val="ro-MD"/>
              </w:rPr>
              <w:t xml:space="preserve">Sursa de verificare:  </w:t>
            </w:r>
            <w:r w:rsidR="0059048A">
              <w:rPr>
                <w:rFonts w:ascii="Arial" w:hAnsi="Arial" w:cs="Arial"/>
                <w:sz w:val="18"/>
                <w:szCs w:val="18"/>
                <w:lang w:val="ro-MD"/>
              </w:rPr>
              <w:t>Paginile</w:t>
            </w:r>
            <w:r w:rsidRPr="003A36E3">
              <w:rPr>
                <w:rFonts w:ascii="Arial" w:hAnsi="Arial" w:cs="Arial"/>
                <w:sz w:val="18"/>
                <w:szCs w:val="18"/>
                <w:lang w:val="ro-MD"/>
              </w:rPr>
              <w:t xml:space="preserve"> web ale MF/BNM.</w:t>
            </w:r>
          </w:p>
        </w:tc>
      </w:tr>
      <w:tr w:rsidR="006E16D8" w:rsidRPr="00BD0643" w14:paraId="41C97A77" w14:textId="77777777" w:rsidTr="0059048A">
        <w:trPr>
          <w:trHeight w:val="300"/>
        </w:trPr>
        <w:tc>
          <w:tcPr>
            <w:tcW w:w="851" w:type="dxa"/>
            <w:vAlign w:val="center"/>
          </w:tcPr>
          <w:p w14:paraId="64FDC09E" w14:textId="0C0BBE42" w:rsidR="006E16D8" w:rsidRPr="003A36E3" w:rsidRDefault="00310A4A" w:rsidP="002F7854">
            <w:pPr>
              <w:spacing w:after="0" w:line="240" w:lineRule="auto"/>
              <w:jc w:val="both"/>
              <w:rPr>
                <w:rStyle w:val="eop"/>
                <w:rFonts w:ascii="Arial" w:eastAsiaTheme="minorEastAsia" w:hAnsi="Arial" w:cs="Arial"/>
                <w:sz w:val="18"/>
                <w:szCs w:val="18"/>
                <w:lang w:val="ro-MD"/>
              </w:rPr>
            </w:pPr>
            <w:r w:rsidRPr="003A36E3">
              <w:rPr>
                <w:rFonts w:ascii="Arial" w:eastAsiaTheme="minorEastAsia" w:hAnsi="Arial" w:cs="Arial"/>
                <w:sz w:val="18"/>
                <w:szCs w:val="18"/>
                <w:lang w:val="ro-MD"/>
              </w:rPr>
              <w:t>Gestionarea finanțelor publice</w:t>
            </w:r>
            <w:r w:rsidRPr="003A36E3">
              <w:rPr>
                <w:rStyle w:val="eop"/>
                <w:rFonts w:ascii="Arial" w:eastAsiaTheme="minorEastAsia" w:hAnsi="Arial" w:cs="Arial"/>
                <w:sz w:val="18"/>
                <w:szCs w:val="18"/>
                <w:lang w:val="ro-MD"/>
              </w:rPr>
              <w:t xml:space="preserve"> </w:t>
            </w:r>
          </w:p>
        </w:tc>
        <w:tc>
          <w:tcPr>
            <w:tcW w:w="425" w:type="dxa"/>
            <w:vAlign w:val="center"/>
          </w:tcPr>
          <w:p w14:paraId="75D35399"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276" w:type="dxa"/>
            <w:vAlign w:val="center"/>
          </w:tcPr>
          <w:p w14:paraId="473B0B7E" w14:textId="18CCBDBF" w:rsidR="006E16D8" w:rsidRPr="003A36E3" w:rsidRDefault="0088165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Sistemul de gestionare a investițiilor publice este transparent și bazat pe norme, cu procese de </w:t>
            </w:r>
            <w:r w:rsidRPr="003A36E3">
              <w:rPr>
                <w:rFonts w:ascii="Arial" w:eastAsiaTheme="minorEastAsia" w:hAnsi="Arial" w:cs="Arial"/>
                <w:sz w:val="18"/>
                <w:szCs w:val="18"/>
                <w:lang w:val="ro-MD"/>
              </w:rPr>
              <w:lastRenderedPageBreak/>
              <w:t>evaluare, bugetare și execuție aliniate la cele mai bune practici internaționale, cu o execuție îmbunătățită a investițiilor de capital.</w:t>
            </w:r>
          </w:p>
        </w:tc>
        <w:tc>
          <w:tcPr>
            <w:tcW w:w="357" w:type="dxa"/>
            <w:vAlign w:val="center"/>
          </w:tcPr>
          <w:p w14:paraId="3F34C4CE"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6</w:t>
            </w:r>
          </w:p>
        </w:tc>
        <w:tc>
          <w:tcPr>
            <w:tcW w:w="683" w:type="dxa"/>
            <w:vAlign w:val="center"/>
          </w:tcPr>
          <w:p w14:paraId="666ED91E" w14:textId="23EAA2F2" w:rsidR="006E16D8" w:rsidRPr="003A36E3" w:rsidRDefault="006A39AA"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6E16D8" w:rsidRPr="003A36E3">
              <w:rPr>
                <w:rFonts w:ascii="Arial" w:eastAsiaTheme="minorEastAsia" w:hAnsi="Arial" w:cs="Arial"/>
                <w:sz w:val="18"/>
                <w:szCs w:val="18"/>
                <w:lang w:val="ro-MD"/>
              </w:rPr>
              <w:t xml:space="preserve"> 2025</w:t>
            </w:r>
          </w:p>
        </w:tc>
        <w:tc>
          <w:tcPr>
            <w:tcW w:w="1061" w:type="dxa"/>
            <w:vAlign w:val="center"/>
          </w:tcPr>
          <w:p w14:paraId="458C3C46" w14:textId="7353DE9B" w:rsidR="006E16D8" w:rsidRPr="003A36E3" w:rsidRDefault="006A39AA"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p w14:paraId="2FF1243E" w14:textId="77777777" w:rsidR="006E16D8" w:rsidRPr="003A36E3" w:rsidRDefault="006E16D8" w:rsidP="002F7854">
            <w:pPr>
              <w:spacing w:after="0" w:line="240" w:lineRule="auto"/>
              <w:jc w:val="both"/>
              <w:rPr>
                <w:rFonts w:ascii="Arial" w:eastAsiaTheme="minorEastAsia" w:hAnsi="Arial" w:cs="Arial"/>
                <w:sz w:val="18"/>
                <w:szCs w:val="18"/>
                <w:lang w:val="ro-MD"/>
              </w:rPr>
            </w:pPr>
          </w:p>
          <w:p w14:paraId="51083E0E" w14:textId="4ECA5D31" w:rsidR="006E16D8" w:rsidRPr="003A36E3" w:rsidRDefault="00801CFF"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Cancelaria de Stat</w:t>
            </w:r>
          </w:p>
        </w:tc>
        <w:tc>
          <w:tcPr>
            <w:tcW w:w="4365" w:type="dxa"/>
          </w:tcPr>
          <w:p w14:paraId="4F011AC2" w14:textId="77777777" w:rsidR="00541D50" w:rsidRPr="003A36E3" w:rsidRDefault="00541D50" w:rsidP="00541D50">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Gestionarea investițiilor publice este consolidată prin instituirea unui punct focal desemnat pentru gestionarea investițiilor publice (GIP) în fiecare minister, prin crearea de unități de planificare a investițiilor publice în cel puțin 5 ministere, prin simplificarea procedurilor GIP și prin digitalizarea monitorizării proiectelor de investiții.</w:t>
            </w:r>
          </w:p>
          <w:p w14:paraId="786C5219" w14:textId="77777777" w:rsidR="00541D50" w:rsidRPr="003A36E3" w:rsidRDefault="00541D50" w:rsidP="00541D50">
            <w:pPr>
              <w:spacing w:after="0" w:line="240" w:lineRule="auto"/>
              <w:jc w:val="both"/>
              <w:rPr>
                <w:rFonts w:ascii="Arial" w:eastAsiaTheme="minorEastAsia" w:hAnsi="Arial" w:cs="Arial"/>
                <w:sz w:val="18"/>
                <w:szCs w:val="18"/>
                <w:lang w:val="ro-MD"/>
              </w:rPr>
            </w:pPr>
          </w:p>
          <w:p w14:paraId="22ADCCD4" w14:textId="16B3225E" w:rsidR="006E16D8" w:rsidRPr="003A36E3" w:rsidRDefault="00541D50" w:rsidP="00541D50">
            <w:pPr>
              <w:shd w:val="clear" w:color="auto" w:fill="FFFFFF" w:themeFill="background1"/>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Linia de referință: Capacitățile de pregătire a proiectelor de investiții de capital sunt limitate în cadrul ministerelor. Abordarea în două etape a evaluării proiectelor se bazează pe două Regulamente (Regulamentele 1070 și 684) care nu sunt pe deplin aliniate.</w:t>
            </w:r>
            <w:r w:rsidR="0059048A">
              <w:rPr>
                <w:rFonts w:ascii="Arial" w:eastAsiaTheme="minorEastAsia" w:hAnsi="Arial" w:cs="Arial"/>
                <w:sz w:val="18"/>
                <w:szCs w:val="18"/>
                <w:lang w:val="ro-MD"/>
              </w:rPr>
              <w:t xml:space="preserve"> </w:t>
            </w:r>
            <w:r w:rsidRPr="003A36E3">
              <w:rPr>
                <w:rFonts w:ascii="Arial" w:eastAsiaTheme="minorEastAsia" w:hAnsi="Arial" w:cs="Arial"/>
                <w:sz w:val="18"/>
                <w:szCs w:val="18"/>
                <w:lang w:val="ro-MD"/>
              </w:rPr>
              <w:t>În ceea ce privește monitorizarea investițiilor de capital, există obligația ca ministerele de resort să prezinte Ministerului Finanțelor rapoarte anuale privind implementarea proiectelor, dar nu există niciun instrument IT pentru monitorizarea implementării proiectelor de capital.</w:t>
            </w:r>
          </w:p>
        </w:tc>
        <w:tc>
          <w:tcPr>
            <w:tcW w:w="5441" w:type="dxa"/>
          </w:tcPr>
          <w:p w14:paraId="6F637CC2" w14:textId="77777777" w:rsidR="003B3C96" w:rsidRPr="003A36E3" w:rsidRDefault="003B3C96" w:rsidP="003B3C9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Gestionarea investițiilor publice a fost consolidată:</w:t>
            </w:r>
          </w:p>
          <w:p w14:paraId="56B6213A" w14:textId="77777777" w:rsidR="003B3C96" w:rsidRPr="003A36E3" w:rsidRDefault="003B3C96" w:rsidP="003B3C9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 În cadrul tuturor ministerelor au fost instituite puncte focale de planificare a investițiilor publice. Personalul din aceste puncte focale este echipat pentru a aplica în practică metodologiile elaborate, asigurând coordonarea eficientă a punerii în aplicare a gestionării investițiilor publice în cadrul ministerelor și agențiilor subordonate acestora. În plus, sunt înființate unități GIP în cel puțin 5 ministere.</w:t>
            </w:r>
          </w:p>
          <w:p w14:paraId="24258690" w14:textId="77777777" w:rsidR="003B3C96" w:rsidRPr="003A36E3" w:rsidRDefault="003B3C96" w:rsidP="003B3C9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(ii) Procedurile de gestionare a investițiilor publice (GIP) sunt optimizate, două regulamente privind GIP fiind acum complet aliniate pentru a spori coerența și eficiența.</w:t>
            </w:r>
          </w:p>
          <w:p w14:paraId="4EA809A5" w14:textId="0ABD39C8" w:rsidR="003B3C96" w:rsidRPr="003A36E3" w:rsidRDefault="003B3C96" w:rsidP="003B3C9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(iii) </w:t>
            </w:r>
            <w:r w:rsidR="00F249EB">
              <w:rPr>
                <w:rFonts w:ascii="Arial" w:eastAsiaTheme="minorEastAsia" w:hAnsi="Arial" w:cs="Arial"/>
                <w:sz w:val="18"/>
                <w:szCs w:val="18"/>
                <w:lang w:val="ro-MD"/>
              </w:rPr>
              <w:t>Există</w:t>
            </w:r>
            <w:r w:rsidRPr="003A36E3">
              <w:rPr>
                <w:rFonts w:ascii="Arial" w:eastAsiaTheme="minorEastAsia" w:hAnsi="Arial" w:cs="Arial"/>
                <w:sz w:val="18"/>
                <w:szCs w:val="18"/>
                <w:lang w:val="ro-MD"/>
              </w:rPr>
              <w:t xml:space="preserve"> un instrument de soluții IT pentru a facilita monitorizarea proiectelor de capital, îmbunătățind supravegherea și responsabilitatea în ceea ce privește executarea investițiilor publice.</w:t>
            </w:r>
          </w:p>
          <w:p w14:paraId="1F86D5C9" w14:textId="77777777" w:rsidR="003B3C96" w:rsidRPr="003A36E3" w:rsidRDefault="003B3C96" w:rsidP="003B3C9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w:t>
            </w:r>
          </w:p>
          <w:p w14:paraId="14AE0F7E" w14:textId="12C44781" w:rsidR="006E16D8" w:rsidRPr="003A36E3" w:rsidRDefault="003B3C96" w:rsidP="003B3C9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Raportul Ministerului Finanțelor, Raportul Cancelariei de Stat</w:t>
            </w:r>
          </w:p>
        </w:tc>
      </w:tr>
      <w:tr w:rsidR="006E16D8" w:rsidRPr="00BD0643" w14:paraId="3AD18240" w14:textId="77777777" w:rsidTr="0059048A">
        <w:trPr>
          <w:trHeight w:val="300"/>
        </w:trPr>
        <w:tc>
          <w:tcPr>
            <w:tcW w:w="851" w:type="dxa"/>
            <w:vAlign w:val="center"/>
          </w:tcPr>
          <w:p w14:paraId="696BED83" w14:textId="77777777" w:rsidR="006E16D8" w:rsidRPr="003A36E3" w:rsidRDefault="006E16D8" w:rsidP="002F7854">
            <w:pPr>
              <w:spacing w:line="240" w:lineRule="auto"/>
              <w:jc w:val="both"/>
              <w:rPr>
                <w:rFonts w:ascii="Arial" w:eastAsiaTheme="minorEastAsia" w:hAnsi="Arial" w:cs="Arial"/>
                <w:sz w:val="18"/>
                <w:szCs w:val="18"/>
                <w:lang w:val="ro-MD"/>
              </w:rPr>
            </w:pPr>
          </w:p>
        </w:tc>
        <w:tc>
          <w:tcPr>
            <w:tcW w:w="425" w:type="dxa"/>
            <w:vAlign w:val="center"/>
          </w:tcPr>
          <w:p w14:paraId="6C83A2F6" w14:textId="77777777" w:rsidR="006E16D8" w:rsidRPr="003A36E3" w:rsidRDefault="006E16D8" w:rsidP="002F7854">
            <w:pPr>
              <w:spacing w:line="240" w:lineRule="auto"/>
              <w:jc w:val="both"/>
              <w:rPr>
                <w:rFonts w:ascii="Arial" w:eastAsiaTheme="minorEastAsia" w:hAnsi="Arial" w:cs="Arial"/>
                <w:sz w:val="18"/>
                <w:szCs w:val="18"/>
                <w:lang w:val="ro-MD"/>
              </w:rPr>
            </w:pPr>
          </w:p>
        </w:tc>
        <w:tc>
          <w:tcPr>
            <w:tcW w:w="1276" w:type="dxa"/>
            <w:vAlign w:val="center"/>
          </w:tcPr>
          <w:p w14:paraId="110FB88C" w14:textId="1ED90991" w:rsidR="006E16D8" w:rsidRPr="003A36E3" w:rsidRDefault="00C61A4D"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Sistemul de gestionare a investițiilor publice este transparent și bazat pe norme, cu procese de evaluare, bugetare și execuție aliniate la cele mai bune practici internaționale, cu o execuție îmbunătățită a investițiilor de capital.</w:t>
            </w:r>
          </w:p>
        </w:tc>
        <w:tc>
          <w:tcPr>
            <w:tcW w:w="357" w:type="dxa"/>
            <w:vAlign w:val="center"/>
          </w:tcPr>
          <w:p w14:paraId="23278C08" w14:textId="77777777" w:rsidR="006E16D8" w:rsidRPr="003A36E3" w:rsidRDefault="006E16D8"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7</w:t>
            </w:r>
          </w:p>
        </w:tc>
        <w:tc>
          <w:tcPr>
            <w:tcW w:w="683" w:type="dxa"/>
            <w:vAlign w:val="center"/>
          </w:tcPr>
          <w:p w14:paraId="3F33D916" w14:textId="2955286E" w:rsidR="006E16D8" w:rsidRPr="003A36E3" w:rsidRDefault="00C61A4D"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6E16D8" w:rsidRPr="003A36E3">
              <w:rPr>
                <w:rFonts w:ascii="Arial" w:eastAsiaTheme="minorEastAsia" w:hAnsi="Arial" w:cs="Arial"/>
                <w:sz w:val="18"/>
                <w:szCs w:val="18"/>
                <w:lang w:val="ro-MD"/>
              </w:rPr>
              <w:t xml:space="preserve"> 2026</w:t>
            </w:r>
          </w:p>
        </w:tc>
        <w:tc>
          <w:tcPr>
            <w:tcW w:w="1061" w:type="dxa"/>
            <w:vAlign w:val="center"/>
          </w:tcPr>
          <w:p w14:paraId="79BC858E" w14:textId="77777777" w:rsidR="00FC2A27" w:rsidRPr="003A36E3" w:rsidRDefault="00FC2A27" w:rsidP="00FC2A27">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p w14:paraId="505C9E8F" w14:textId="77777777" w:rsidR="00FC2A27" w:rsidRPr="003A36E3" w:rsidRDefault="00FC2A27" w:rsidP="00FC2A27">
            <w:pPr>
              <w:spacing w:after="0" w:line="240" w:lineRule="auto"/>
              <w:jc w:val="both"/>
              <w:rPr>
                <w:rFonts w:ascii="Arial" w:eastAsiaTheme="minorEastAsia" w:hAnsi="Arial" w:cs="Arial"/>
                <w:sz w:val="18"/>
                <w:szCs w:val="18"/>
                <w:lang w:val="ro-MD"/>
              </w:rPr>
            </w:pPr>
          </w:p>
          <w:p w14:paraId="0C3BA51A" w14:textId="77777777" w:rsidR="00FC2A27" w:rsidRPr="003A36E3" w:rsidRDefault="00FC2A27" w:rsidP="00FC2A27">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Cancelaria de Stat</w:t>
            </w:r>
          </w:p>
          <w:p w14:paraId="67397F0E" w14:textId="77777777" w:rsidR="00FC2A27" w:rsidRPr="003A36E3" w:rsidRDefault="00FC2A27" w:rsidP="00FC2A27">
            <w:pPr>
              <w:spacing w:after="0" w:line="240" w:lineRule="auto"/>
              <w:jc w:val="both"/>
              <w:rPr>
                <w:rFonts w:ascii="Arial" w:eastAsiaTheme="minorEastAsia" w:hAnsi="Arial" w:cs="Arial"/>
                <w:sz w:val="18"/>
                <w:szCs w:val="18"/>
                <w:lang w:val="ro-MD"/>
              </w:rPr>
            </w:pPr>
          </w:p>
          <w:p w14:paraId="23CC2729" w14:textId="77777777" w:rsidR="00FC2A27" w:rsidRPr="003A36E3" w:rsidRDefault="00FC2A27" w:rsidP="00FC2A27">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Infrastructurii și Dezvoltării Regionale</w:t>
            </w:r>
          </w:p>
          <w:p w14:paraId="284A129E" w14:textId="6A071906" w:rsidR="006E16D8" w:rsidRPr="003A36E3" w:rsidRDefault="00FC2A27" w:rsidP="00FC2A27">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Mediului</w:t>
            </w:r>
          </w:p>
        </w:tc>
        <w:tc>
          <w:tcPr>
            <w:tcW w:w="4365" w:type="dxa"/>
          </w:tcPr>
          <w:p w14:paraId="3CB90925" w14:textId="77777777" w:rsidR="006E16D8" w:rsidRPr="003A36E3" w:rsidRDefault="006E16D8" w:rsidP="002F7854">
            <w:pPr>
              <w:spacing w:after="0"/>
              <w:jc w:val="both"/>
              <w:rPr>
                <w:rFonts w:ascii="Arial" w:eastAsiaTheme="minorEastAsia" w:hAnsi="Arial" w:cs="Arial"/>
                <w:sz w:val="18"/>
                <w:szCs w:val="18"/>
                <w:lang w:val="ro-MD"/>
              </w:rPr>
            </w:pPr>
          </w:p>
          <w:p w14:paraId="6B3EA395" w14:textId="49CB15DE" w:rsidR="0098080E" w:rsidRPr="003A36E3" w:rsidRDefault="00654167" w:rsidP="0098080E">
            <w:pPr>
              <w:shd w:val="clear" w:color="auto" w:fill="FFFFFF" w:themeFill="background1"/>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Portofoliul</w:t>
            </w:r>
            <w:r w:rsidR="0098080E" w:rsidRPr="003A36E3">
              <w:rPr>
                <w:rFonts w:ascii="Arial" w:eastAsiaTheme="minorEastAsia" w:hAnsi="Arial" w:cs="Arial"/>
                <w:sz w:val="18"/>
                <w:szCs w:val="18"/>
                <w:lang w:val="ro-MD"/>
              </w:rPr>
              <w:t xml:space="preserve"> național de proiecte </w:t>
            </w:r>
            <w:r w:rsidRPr="003A36E3">
              <w:rPr>
                <w:rFonts w:ascii="Arial" w:eastAsiaTheme="minorEastAsia" w:hAnsi="Arial" w:cs="Arial"/>
                <w:sz w:val="18"/>
                <w:szCs w:val="18"/>
                <w:lang w:val="ro-MD"/>
              </w:rPr>
              <w:t xml:space="preserve">unice </w:t>
            </w:r>
            <w:r w:rsidR="0098080E" w:rsidRPr="003A36E3">
              <w:rPr>
                <w:rFonts w:ascii="Arial" w:eastAsiaTheme="minorEastAsia" w:hAnsi="Arial" w:cs="Arial"/>
                <w:sz w:val="18"/>
                <w:szCs w:val="18"/>
                <w:lang w:val="ro-MD"/>
              </w:rPr>
              <w:t xml:space="preserve">este pe deplin pus în aplicare pentru toate fondurile, cu cerințe coerente și aliniate la nivel intern: </w:t>
            </w:r>
          </w:p>
          <w:p w14:paraId="5D1682F0" w14:textId="77777777" w:rsidR="0098080E" w:rsidRPr="003A36E3" w:rsidRDefault="0098080E" w:rsidP="0098080E">
            <w:pPr>
              <w:shd w:val="clear" w:color="auto" w:fill="FFFFFF" w:themeFill="background1"/>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(i) Numai propunerile de proiecte evaluate în conformitate cu normele generale privind GIP și care sunt considerate eligibile sunt incluse în CBTM și luate în considerare pentru finanțare prin bugetul anual. </w:t>
            </w:r>
          </w:p>
          <w:p w14:paraId="43AA1C1C" w14:textId="77777777" w:rsidR="0098080E" w:rsidRPr="003A36E3" w:rsidRDefault="0098080E" w:rsidP="0098080E">
            <w:pPr>
              <w:shd w:val="clear" w:color="auto" w:fill="FFFFFF" w:themeFill="background1"/>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(ii) Pentru fondurile speciale, toate propunerile de proiecte publice de investiții de capital la scară largă sunt depuse prin intermediul sistemului IT de evaluare a proiectelor și evaluate în conformitate cu normele generale privind pregătirea și evaluarea proiectelor de investiții de capital.  </w:t>
            </w:r>
          </w:p>
          <w:p w14:paraId="70053FBA" w14:textId="77777777" w:rsidR="0098080E" w:rsidRPr="003A36E3" w:rsidRDefault="0098080E" w:rsidP="0098080E">
            <w:pPr>
              <w:shd w:val="clear" w:color="auto" w:fill="FFFFFF" w:themeFill="background1"/>
              <w:spacing w:after="0"/>
              <w:jc w:val="both"/>
              <w:rPr>
                <w:rFonts w:ascii="Arial" w:eastAsiaTheme="minorEastAsia" w:hAnsi="Arial" w:cs="Arial"/>
                <w:sz w:val="18"/>
                <w:szCs w:val="18"/>
                <w:lang w:val="ro-MD"/>
              </w:rPr>
            </w:pPr>
          </w:p>
          <w:p w14:paraId="146AAF72" w14:textId="545492BE" w:rsidR="0098080E" w:rsidRPr="003A36E3" w:rsidRDefault="0098080E" w:rsidP="0098080E">
            <w:pPr>
              <w:shd w:val="clear" w:color="auto" w:fill="FFFFFF" w:themeFill="background1"/>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Linia de referință: Pentru bugetul din 2025, 4 din cele 14 proiecte noi de investiții de capital </w:t>
            </w:r>
            <w:r w:rsidR="00BA4761" w:rsidRPr="003A36E3">
              <w:rPr>
                <w:rFonts w:ascii="Arial" w:eastAsiaTheme="minorEastAsia" w:hAnsi="Arial" w:cs="Arial"/>
                <w:sz w:val="18"/>
                <w:szCs w:val="18"/>
                <w:lang w:val="ro-MD"/>
              </w:rPr>
              <w:t>nu au fost depuse prin intermediul instrumentului IT al Portofoliului de proiecte unice, dar au fost totuși introduse în buget.</w:t>
            </w:r>
            <w:r w:rsidRPr="003A36E3">
              <w:rPr>
                <w:rFonts w:ascii="Arial" w:eastAsiaTheme="minorEastAsia" w:hAnsi="Arial" w:cs="Arial"/>
                <w:sz w:val="18"/>
                <w:szCs w:val="18"/>
                <w:lang w:val="ro-MD"/>
              </w:rPr>
              <w:t xml:space="preserve">  </w:t>
            </w:r>
          </w:p>
          <w:p w14:paraId="1BD73686" w14:textId="5BD9590B" w:rsidR="006E16D8" w:rsidRPr="003A36E3" w:rsidRDefault="0098080E" w:rsidP="0098080E">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În decembrie 2024, fondurile speciale au propriile norme de evaluare a GIP.    </w:t>
            </w:r>
          </w:p>
        </w:tc>
        <w:tc>
          <w:tcPr>
            <w:tcW w:w="5441" w:type="dxa"/>
          </w:tcPr>
          <w:p w14:paraId="2A5376B7" w14:textId="77777777" w:rsidR="006E16D8" w:rsidRPr="003A36E3" w:rsidRDefault="006E16D8"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w:t>
            </w:r>
          </w:p>
          <w:p w14:paraId="1B7E8700" w14:textId="77777777" w:rsidR="00654167" w:rsidRPr="003A36E3" w:rsidRDefault="00654167" w:rsidP="00654167">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Proiectele de investiții de capital la scară largă sunt definite în legislație pe baza unor parametri stabiliți aliniați la cele mai bune practici internaționale, asigurând coerența, transparența și guvernanța eficace în gestionarea investițiilor publice.</w:t>
            </w:r>
          </w:p>
          <w:p w14:paraId="600DD6AD" w14:textId="77777777" w:rsidR="00654167" w:rsidRPr="003A36E3" w:rsidRDefault="00654167" w:rsidP="00654167">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Legislația primară și secundară a fondurilor speciale este modificată pentru a permite ca proiectele la scară largă să urmeze proiectele generale de investiții și să fie prezentate în cadrul Portofoliului de proiecte unice.</w:t>
            </w:r>
          </w:p>
          <w:p w14:paraId="0DF19639" w14:textId="77777777" w:rsidR="00654167" w:rsidRPr="003A36E3" w:rsidRDefault="00654167" w:rsidP="00654167">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Toate proiectele mari de investiții de capital ale Fondului rutier, ale Fondului de dezvoltare regională și ale Fondului pentru Mediu sunt integrate în Portofoliul de proiecte unice. </w:t>
            </w:r>
          </w:p>
          <w:p w14:paraId="081CC75A" w14:textId="77777777" w:rsidR="00654167" w:rsidRPr="003A36E3" w:rsidRDefault="00654167" w:rsidP="00654167">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w:t>
            </w:r>
          </w:p>
          <w:p w14:paraId="5318757A" w14:textId="713A2D4A" w:rsidR="00654167" w:rsidRPr="003A36E3" w:rsidRDefault="00654167" w:rsidP="00654167">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Rapoartele Ministerului Finanțelor, Raportul Cancelariei de Stat </w:t>
            </w:r>
          </w:p>
          <w:p w14:paraId="6C5FA27C" w14:textId="77777777" w:rsidR="00654167" w:rsidRPr="003A36E3" w:rsidRDefault="00654167" w:rsidP="00654167">
            <w:pPr>
              <w:spacing w:after="0"/>
              <w:jc w:val="both"/>
              <w:rPr>
                <w:rFonts w:ascii="Arial" w:eastAsiaTheme="minorEastAsia" w:hAnsi="Arial" w:cs="Arial"/>
                <w:sz w:val="18"/>
                <w:szCs w:val="18"/>
                <w:lang w:val="ro-MD"/>
              </w:rPr>
            </w:pPr>
          </w:p>
          <w:p w14:paraId="4ECA24E6" w14:textId="5FE8521D" w:rsidR="006E16D8" w:rsidRPr="003A36E3" w:rsidRDefault="00654167" w:rsidP="00654167">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Rapoartele Ministerului Finanțelor </w:t>
            </w:r>
          </w:p>
        </w:tc>
      </w:tr>
      <w:tr w:rsidR="006E16D8" w:rsidRPr="00BD0643" w14:paraId="534D8C3A" w14:textId="77777777" w:rsidTr="0059048A">
        <w:trPr>
          <w:trHeight w:val="300"/>
        </w:trPr>
        <w:tc>
          <w:tcPr>
            <w:tcW w:w="851" w:type="dxa"/>
            <w:vAlign w:val="center"/>
          </w:tcPr>
          <w:p w14:paraId="127E99DC" w14:textId="77777777" w:rsidR="006E16D8" w:rsidRPr="003A36E3" w:rsidRDefault="006E16D8" w:rsidP="002F7854">
            <w:pPr>
              <w:spacing w:after="0" w:line="240" w:lineRule="auto"/>
              <w:jc w:val="both"/>
              <w:rPr>
                <w:rFonts w:ascii="Arial" w:eastAsiaTheme="minorEastAsia" w:hAnsi="Arial" w:cs="Arial"/>
                <w:sz w:val="18"/>
                <w:szCs w:val="18"/>
                <w:lang w:val="ro-MD"/>
              </w:rPr>
            </w:pPr>
          </w:p>
        </w:tc>
        <w:tc>
          <w:tcPr>
            <w:tcW w:w="425" w:type="dxa"/>
            <w:vAlign w:val="center"/>
          </w:tcPr>
          <w:p w14:paraId="1DE140C6"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276" w:type="dxa"/>
            <w:vAlign w:val="center"/>
          </w:tcPr>
          <w:p w14:paraId="657EBA14" w14:textId="1998B027" w:rsidR="006E16D8" w:rsidRPr="003A36E3" w:rsidRDefault="0097338F"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Un sistem de achiziții publice transparent și eficient asigură un raport calitate-preț </w:t>
            </w:r>
            <w:r w:rsidRPr="003A36E3">
              <w:rPr>
                <w:rFonts w:ascii="Arial" w:eastAsiaTheme="minorEastAsia" w:hAnsi="Arial" w:cs="Arial"/>
                <w:sz w:val="18"/>
                <w:szCs w:val="18"/>
                <w:lang w:val="ro-MD"/>
              </w:rPr>
              <w:lastRenderedPageBreak/>
              <w:t>pentru cetățeni și creează condiții de concurență echitabile pentru întreprinderi.</w:t>
            </w:r>
          </w:p>
        </w:tc>
        <w:tc>
          <w:tcPr>
            <w:tcW w:w="357" w:type="dxa"/>
            <w:vAlign w:val="center"/>
          </w:tcPr>
          <w:p w14:paraId="49B57C6A"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8</w:t>
            </w:r>
          </w:p>
        </w:tc>
        <w:tc>
          <w:tcPr>
            <w:tcW w:w="683" w:type="dxa"/>
            <w:vAlign w:val="center"/>
          </w:tcPr>
          <w:p w14:paraId="5272BE9B" w14:textId="72730881" w:rsidR="006E16D8" w:rsidRPr="003A36E3" w:rsidRDefault="00FC2A2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6E16D8" w:rsidRPr="003A36E3">
              <w:rPr>
                <w:rFonts w:ascii="Arial" w:eastAsiaTheme="minorEastAsia" w:hAnsi="Arial" w:cs="Arial"/>
                <w:sz w:val="18"/>
                <w:szCs w:val="18"/>
                <w:lang w:val="ro-MD"/>
              </w:rPr>
              <w:t xml:space="preserve"> 2027</w:t>
            </w:r>
          </w:p>
        </w:tc>
        <w:tc>
          <w:tcPr>
            <w:tcW w:w="1061" w:type="dxa"/>
            <w:vAlign w:val="center"/>
          </w:tcPr>
          <w:p w14:paraId="170720D2" w14:textId="3AF4F423" w:rsidR="006E16D8" w:rsidRPr="003A36E3" w:rsidRDefault="00FC2A27"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tc>
        <w:tc>
          <w:tcPr>
            <w:tcW w:w="4365" w:type="dxa"/>
          </w:tcPr>
          <w:p w14:paraId="4F6D6527" w14:textId="77777777" w:rsidR="00E812A0" w:rsidRPr="003A36E3" w:rsidRDefault="00E812A0" w:rsidP="00E812A0">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Cel puțin 3 instituții de achiziții publice centralizate sunt înființate și operaționale la nivel central și/sau local. Ponderea valorii totale a contractelor încheiate de instituțiile de achiziții centralizate crește până la 25% din totalul achizițiilor publice.</w:t>
            </w:r>
          </w:p>
          <w:p w14:paraId="50985063" w14:textId="32CE70A5" w:rsidR="006E16D8" w:rsidRPr="003A36E3" w:rsidRDefault="00E812A0" w:rsidP="00E812A0">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2024, achizițiile centralizate acopereau 10% din valoarea totală a achizițiilor publice.</w:t>
            </w:r>
          </w:p>
          <w:p w14:paraId="7E50D18F" w14:textId="77777777" w:rsidR="006E16D8" w:rsidRPr="003A36E3" w:rsidRDefault="006E16D8" w:rsidP="002F7854">
            <w:pPr>
              <w:spacing w:after="0" w:line="240" w:lineRule="auto"/>
              <w:jc w:val="both"/>
              <w:rPr>
                <w:rFonts w:ascii="Arial" w:eastAsiaTheme="minorEastAsia" w:hAnsi="Arial" w:cs="Arial"/>
                <w:sz w:val="18"/>
                <w:szCs w:val="18"/>
                <w:lang w:val="ro-MD"/>
              </w:rPr>
            </w:pPr>
          </w:p>
        </w:tc>
        <w:tc>
          <w:tcPr>
            <w:tcW w:w="5441" w:type="dxa"/>
          </w:tcPr>
          <w:p w14:paraId="255D0580" w14:textId="77777777" w:rsidR="0001259A" w:rsidRPr="003A36E3" w:rsidRDefault="0001259A" w:rsidP="0001259A">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MD definește cel mai bun model de centralizare a achizițiilor publice atât la nivel central, cât și la nivel local și pregătește un raport analitic privind scenariile bazate pe dovezi pentru centralizarea achizițiilor publice atât la nivel central, cât și la nivel local, luând în considerare analiza impactului cererii de pe piață. Cel puțin 3 instituții de achiziții publice centralizate sunt înființate și operaționale la nivel central și/sau local. Activitățile de achiziții </w:t>
            </w:r>
            <w:r w:rsidRPr="003A36E3">
              <w:rPr>
                <w:rFonts w:ascii="Arial" w:eastAsiaTheme="minorEastAsia" w:hAnsi="Arial" w:cs="Arial"/>
                <w:sz w:val="18"/>
                <w:szCs w:val="18"/>
                <w:lang w:val="ro-MD"/>
              </w:rPr>
              <w:lastRenderedPageBreak/>
              <w:t>publice centralizate sunt definite ca activități desfășurate în mod permanent în una dintre următoarele forme: (a) achiziționarea de bunuri și/sau servicii destinate altor autorități contractante; (b) atribuirea de contracte de achiziții publice sau acorduri-cadru pentru bunuri, servicii sau lucrări, în numele și în beneficiul altor autorități contractante.</w:t>
            </w:r>
          </w:p>
          <w:p w14:paraId="7CA8C22F" w14:textId="77777777" w:rsidR="0001259A" w:rsidRPr="003A36E3" w:rsidRDefault="0001259A" w:rsidP="0001259A">
            <w:pPr>
              <w:spacing w:after="0"/>
              <w:jc w:val="both"/>
              <w:rPr>
                <w:rFonts w:ascii="Arial" w:eastAsiaTheme="minorEastAsia" w:hAnsi="Arial" w:cs="Arial"/>
                <w:sz w:val="18"/>
                <w:szCs w:val="18"/>
                <w:lang w:val="ro-MD"/>
              </w:rPr>
            </w:pPr>
          </w:p>
          <w:p w14:paraId="300D0AA0" w14:textId="6DC5B479" w:rsidR="006E16D8" w:rsidRPr="003A36E3" w:rsidRDefault="0001259A" w:rsidP="0001259A">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Raportarea pe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MF cu privire la ponderea achizițiilor centralizate în valoarea totală a achizițiilor, anual.</w:t>
            </w:r>
          </w:p>
        </w:tc>
      </w:tr>
      <w:tr w:rsidR="006E16D8" w:rsidRPr="00BD0643" w14:paraId="572A1E73" w14:textId="77777777" w:rsidTr="0059048A">
        <w:trPr>
          <w:trHeight w:val="300"/>
        </w:trPr>
        <w:tc>
          <w:tcPr>
            <w:tcW w:w="851" w:type="dxa"/>
            <w:vAlign w:val="center"/>
          </w:tcPr>
          <w:p w14:paraId="3FB55637" w14:textId="17D2BAD4" w:rsidR="006E16D8" w:rsidRPr="003A36E3" w:rsidRDefault="00310A4A" w:rsidP="002F7854">
            <w:pPr>
              <w:spacing w:after="0" w:line="240" w:lineRule="auto"/>
              <w:jc w:val="both"/>
              <w:rPr>
                <w:rStyle w:val="eop"/>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Gestionarea finanțelor publice</w:t>
            </w:r>
            <w:r w:rsidRPr="003A36E3">
              <w:rPr>
                <w:rStyle w:val="eop"/>
                <w:rFonts w:ascii="Arial" w:eastAsiaTheme="minorEastAsia" w:hAnsi="Arial" w:cs="Arial"/>
                <w:sz w:val="18"/>
                <w:szCs w:val="18"/>
                <w:lang w:val="ro-MD"/>
              </w:rPr>
              <w:t xml:space="preserve"> </w:t>
            </w:r>
          </w:p>
        </w:tc>
        <w:tc>
          <w:tcPr>
            <w:tcW w:w="425" w:type="dxa"/>
            <w:vAlign w:val="center"/>
          </w:tcPr>
          <w:p w14:paraId="2AB950E0"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3</w:t>
            </w:r>
          </w:p>
        </w:tc>
        <w:tc>
          <w:tcPr>
            <w:tcW w:w="1276" w:type="dxa"/>
            <w:vAlign w:val="center"/>
          </w:tcPr>
          <w:p w14:paraId="22607380" w14:textId="017AC468" w:rsidR="006E16D8" w:rsidRPr="003A36E3" w:rsidRDefault="0049282A"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Un sistem de achiziții publice transparent și eficient asigură un raport calitate-preț pentru cetățeni și creează condiții de concurență echitabile pentru întreprinderi.</w:t>
            </w:r>
          </w:p>
        </w:tc>
        <w:tc>
          <w:tcPr>
            <w:tcW w:w="357" w:type="dxa"/>
            <w:vAlign w:val="center"/>
          </w:tcPr>
          <w:p w14:paraId="693BABF8"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9</w:t>
            </w:r>
          </w:p>
        </w:tc>
        <w:tc>
          <w:tcPr>
            <w:tcW w:w="683" w:type="dxa"/>
            <w:vAlign w:val="center"/>
          </w:tcPr>
          <w:p w14:paraId="31414B52" w14:textId="55CD45BF" w:rsidR="006E16D8" w:rsidRPr="003A36E3" w:rsidRDefault="00350D8A"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6E16D8" w:rsidRPr="003A36E3">
              <w:rPr>
                <w:rFonts w:ascii="Arial" w:eastAsiaTheme="minorEastAsia" w:hAnsi="Arial" w:cs="Arial"/>
                <w:sz w:val="18"/>
                <w:szCs w:val="18"/>
                <w:lang w:val="ro-MD"/>
              </w:rPr>
              <w:t xml:space="preserve"> 2027</w:t>
            </w:r>
          </w:p>
        </w:tc>
        <w:tc>
          <w:tcPr>
            <w:tcW w:w="1061" w:type="dxa"/>
            <w:vAlign w:val="center"/>
          </w:tcPr>
          <w:p w14:paraId="30F356CA" w14:textId="37F23715" w:rsidR="006E16D8" w:rsidRPr="003A36E3" w:rsidRDefault="00EB79A9"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w:t>
            </w:r>
            <w:r w:rsidR="0059048A">
              <w:rPr>
                <w:rFonts w:ascii="Arial" w:eastAsiaTheme="minorEastAsia" w:hAnsi="Arial" w:cs="Arial"/>
                <w:sz w:val="18"/>
                <w:szCs w:val="18"/>
                <w:lang w:val="ro-MD"/>
              </w:rPr>
              <w:t>r</w:t>
            </w:r>
            <w:r w:rsidRPr="003A36E3">
              <w:rPr>
                <w:rFonts w:ascii="Arial" w:eastAsiaTheme="minorEastAsia" w:hAnsi="Arial" w:cs="Arial"/>
                <w:sz w:val="18"/>
                <w:szCs w:val="18"/>
                <w:lang w:val="ro-MD"/>
              </w:rPr>
              <w:t>,</w:t>
            </w:r>
            <w:r w:rsidR="0059048A">
              <w:rPr>
                <w:rFonts w:ascii="Arial" w:eastAsiaTheme="minorEastAsia" w:hAnsi="Arial" w:cs="Arial"/>
                <w:sz w:val="18"/>
                <w:szCs w:val="18"/>
                <w:lang w:val="ro-MD"/>
              </w:rPr>
              <w:t xml:space="preserve"> </w:t>
            </w:r>
            <w:r w:rsidRPr="003A36E3">
              <w:rPr>
                <w:rFonts w:ascii="Arial" w:eastAsiaTheme="minorEastAsia" w:hAnsi="Arial" w:cs="Arial"/>
                <w:sz w:val="18"/>
                <w:szCs w:val="18"/>
                <w:lang w:val="ro-MD"/>
              </w:rPr>
              <w:t>Agenția Achiziții Publice</w:t>
            </w:r>
          </w:p>
        </w:tc>
        <w:tc>
          <w:tcPr>
            <w:tcW w:w="4365" w:type="dxa"/>
          </w:tcPr>
          <w:p w14:paraId="447F621D" w14:textId="77777777" w:rsidR="00DD1559" w:rsidRPr="003A36E3" w:rsidRDefault="00DD1559" w:rsidP="00DD1559">
            <w:pPr>
              <w:spacing w:before="240" w:after="24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profesionalizării personalului din domeniul achizițiilor publice din cadrul autorităților contractante, inclusiv punerea în aplicare a unui sistem de certificare în conformitate cu cele mai bune practici ale UE. Cel puțin 200 de specialiști sunt certificați în domeniul achizițiilor publice și sunt implementate cel puțin 10 programe de formare.</w:t>
            </w:r>
          </w:p>
          <w:p w14:paraId="3D9570B6" w14:textId="65E3CACC" w:rsidR="006E16D8" w:rsidRPr="003A36E3" w:rsidRDefault="00DD1559" w:rsidP="00DD155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nu există un sistem de certificare a specialiștilor în domeniul achizițiilor publice. MD are 2.500 de autorități contractante. Deoarece fiecare autoritate contractantă include cel puțin cinci membri în grupul său de lucru, aproape 7.500 de persoane sunt implicate în procedurile de achiziții publice. Agenția Achiziții Publice oferă cursuri de instruire pentru personalul din domeniul achizițiilor publice. În 2024, au fost organizate în total 22 de sesiuni de instruire, la care au participat 1.639 de persoane.</w:t>
            </w:r>
          </w:p>
        </w:tc>
        <w:tc>
          <w:tcPr>
            <w:tcW w:w="5441" w:type="dxa"/>
          </w:tcPr>
          <w:p w14:paraId="32F68317" w14:textId="77777777" w:rsidR="00D0384E" w:rsidRPr="003A36E3" w:rsidRDefault="00D0384E" w:rsidP="00D0384E">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(i) Dezvoltarea, validarea și aprobarea sistemului național de certificare pentru specialiștii în domeniul achizițiilor publice; Cel puțin 200 de funcționari publici sunt certificați. (ii) organizarea (punerea în aplicare) a programelor de formare (cel puțin 10).</w:t>
            </w:r>
          </w:p>
          <w:p w14:paraId="7A51DA97" w14:textId="77777777" w:rsidR="00D0384E" w:rsidRPr="003A36E3" w:rsidRDefault="00D0384E" w:rsidP="00D0384E">
            <w:pPr>
              <w:spacing w:after="0"/>
              <w:jc w:val="both"/>
              <w:rPr>
                <w:rFonts w:ascii="Arial" w:eastAsiaTheme="minorEastAsia" w:hAnsi="Arial" w:cs="Arial"/>
                <w:sz w:val="18"/>
                <w:szCs w:val="18"/>
                <w:lang w:val="ro-MD"/>
              </w:rPr>
            </w:pPr>
          </w:p>
          <w:p w14:paraId="360FC5D3" w14:textId="77777777" w:rsidR="00D0384E" w:rsidRPr="003A36E3" w:rsidRDefault="00D0384E" w:rsidP="00D0384E">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MD adoptă modificări la Legea privind achizițiile publice care reglementează instituirea grupului de lucru responsabil de implementarea proceselor de achiziții publice, obligând autoritatea contractantă să includă în grupul de lucru un specialist certificat în domeniul achizițiilor publice, în funcție de obiectul achiziției. Modificările legislative definesc cazurile în care desemnarea unui specialist atestat în domeniul achizițiilor publice devine obligatorie. Profesionalizarea personalului implicat în achizițiile publice este structurată pe două niveluri: (i) Profesionalizarea membrilor grupului de lucru care participă la o formare generală; (ii) Certificarea specialiștilor avansați implicați în procedurile de achiziții publice în conformitate cu viitoarele dispoziții legale. Certificarea asigură prezența experților calificați în cadrul achizițiilor publice complexe.</w:t>
            </w:r>
          </w:p>
          <w:p w14:paraId="70C86588" w14:textId="77777777" w:rsidR="00D0384E" w:rsidRPr="003A36E3" w:rsidRDefault="00D0384E" w:rsidP="00D0384E">
            <w:pPr>
              <w:spacing w:after="0"/>
              <w:jc w:val="both"/>
              <w:rPr>
                <w:rFonts w:ascii="Arial" w:eastAsiaTheme="minorEastAsia" w:hAnsi="Arial" w:cs="Arial"/>
                <w:sz w:val="18"/>
                <w:szCs w:val="18"/>
                <w:lang w:val="ro-MD"/>
              </w:rPr>
            </w:pPr>
          </w:p>
          <w:p w14:paraId="0501DE00" w14:textId="3C3A8750" w:rsidR="006E16D8" w:rsidRPr="003A36E3" w:rsidRDefault="00D0384E" w:rsidP="00D0384E">
            <w:pPr>
              <w:tabs>
                <w:tab w:val="left" w:pos="305"/>
              </w:tabs>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Surse de verificare: Publicarea listei specialiștilor certificați pe </w:t>
            </w:r>
            <w:r w:rsidR="00CE1E75">
              <w:rPr>
                <w:rFonts w:ascii="Arial" w:eastAsiaTheme="minorEastAsia" w:hAnsi="Arial" w:cs="Arial"/>
                <w:sz w:val="18"/>
                <w:szCs w:val="18"/>
                <w:lang w:val="ro-MD"/>
              </w:rPr>
              <w:t>pagina</w:t>
            </w:r>
            <w:r w:rsidRPr="003A36E3">
              <w:rPr>
                <w:rFonts w:ascii="Arial" w:eastAsiaTheme="minorEastAsia" w:hAnsi="Arial" w:cs="Arial"/>
                <w:sz w:val="18"/>
                <w:szCs w:val="18"/>
                <w:lang w:val="ro-MD"/>
              </w:rPr>
              <w:t xml:space="preserve"> web oficial</w:t>
            </w:r>
            <w:r w:rsidR="00CE1E75">
              <w:rPr>
                <w:rFonts w:ascii="Arial" w:eastAsiaTheme="minorEastAsia" w:hAnsi="Arial" w:cs="Arial"/>
                <w:sz w:val="18"/>
                <w:szCs w:val="18"/>
                <w:lang w:val="ro-MD"/>
              </w:rPr>
              <w:t xml:space="preserve">ă a </w:t>
            </w:r>
            <w:r w:rsidRPr="003A36E3">
              <w:rPr>
                <w:rFonts w:ascii="Arial" w:eastAsiaTheme="minorEastAsia" w:hAnsi="Arial" w:cs="Arial"/>
                <w:sz w:val="18"/>
                <w:szCs w:val="18"/>
                <w:lang w:val="ro-MD"/>
              </w:rPr>
              <w:t>Agenției Achiziții Publice, Monitorul Oficial, portalul Guvernului pentru hotărâri de guvern, raportul Ministerului Finanțelor către Comisia Europeană.</w:t>
            </w:r>
          </w:p>
        </w:tc>
      </w:tr>
      <w:tr w:rsidR="006E16D8" w:rsidRPr="00BD0643" w14:paraId="0BCF2B5A" w14:textId="77777777" w:rsidTr="0059048A">
        <w:trPr>
          <w:trHeight w:val="300"/>
        </w:trPr>
        <w:tc>
          <w:tcPr>
            <w:tcW w:w="851" w:type="dxa"/>
            <w:vAlign w:val="center"/>
          </w:tcPr>
          <w:p w14:paraId="59CEA6E2" w14:textId="5AD98FFE" w:rsidR="006E16D8" w:rsidRPr="003A36E3" w:rsidRDefault="00310A4A" w:rsidP="002F7854">
            <w:pPr>
              <w:spacing w:after="0" w:line="240" w:lineRule="auto"/>
              <w:jc w:val="both"/>
              <w:rPr>
                <w:rStyle w:val="eop"/>
                <w:rFonts w:ascii="Arial" w:eastAsiaTheme="minorEastAsia" w:hAnsi="Arial" w:cs="Arial"/>
                <w:sz w:val="18"/>
                <w:szCs w:val="18"/>
                <w:lang w:val="ro-MD"/>
              </w:rPr>
            </w:pPr>
            <w:r w:rsidRPr="003A36E3">
              <w:rPr>
                <w:rFonts w:ascii="Arial" w:eastAsiaTheme="minorEastAsia" w:hAnsi="Arial" w:cs="Arial"/>
                <w:sz w:val="18"/>
                <w:szCs w:val="18"/>
                <w:lang w:val="ro-MD"/>
              </w:rPr>
              <w:t>Gestionarea finanțelor publice</w:t>
            </w:r>
            <w:r w:rsidRPr="003A36E3">
              <w:rPr>
                <w:rStyle w:val="eop"/>
                <w:rFonts w:ascii="Arial" w:eastAsiaTheme="minorEastAsia" w:hAnsi="Arial" w:cs="Arial"/>
                <w:sz w:val="18"/>
                <w:szCs w:val="18"/>
                <w:lang w:val="ro-MD"/>
              </w:rPr>
              <w:t xml:space="preserve"> </w:t>
            </w:r>
          </w:p>
        </w:tc>
        <w:tc>
          <w:tcPr>
            <w:tcW w:w="425" w:type="dxa"/>
            <w:vAlign w:val="center"/>
          </w:tcPr>
          <w:p w14:paraId="67E516CC"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3</w:t>
            </w:r>
          </w:p>
        </w:tc>
        <w:tc>
          <w:tcPr>
            <w:tcW w:w="1276" w:type="dxa"/>
            <w:vAlign w:val="center"/>
          </w:tcPr>
          <w:p w14:paraId="5AA8831F" w14:textId="6EB570E1" w:rsidR="006E16D8" w:rsidRPr="003A36E3" w:rsidRDefault="0049282A"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Un sistem de achiziții publice transparent și eficient asigură un raport calitate-preț </w:t>
            </w:r>
            <w:r w:rsidRPr="003A36E3">
              <w:rPr>
                <w:rFonts w:ascii="Arial" w:eastAsiaTheme="minorEastAsia" w:hAnsi="Arial" w:cs="Arial"/>
                <w:sz w:val="18"/>
                <w:szCs w:val="18"/>
                <w:lang w:val="ro-MD"/>
              </w:rPr>
              <w:lastRenderedPageBreak/>
              <w:t>pentru cetățeni și creează condiții de concurență echitabile pentru întreprinderi.</w:t>
            </w:r>
          </w:p>
        </w:tc>
        <w:tc>
          <w:tcPr>
            <w:tcW w:w="357" w:type="dxa"/>
            <w:vAlign w:val="center"/>
          </w:tcPr>
          <w:p w14:paraId="0DBB3580"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10</w:t>
            </w:r>
          </w:p>
        </w:tc>
        <w:tc>
          <w:tcPr>
            <w:tcW w:w="683" w:type="dxa"/>
            <w:vAlign w:val="center"/>
          </w:tcPr>
          <w:p w14:paraId="62001EEE" w14:textId="14540BEF" w:rsidR="006E16D8" w:rsidRPr="003A36E3" w:rsidRDefault="00D0384E"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decembrie</w:t>
            </w:r>
            <w:r w:rsidR="006E16D8" w:rsidRPr="003A36E3">
              <w:rPr>
                <w:rFonts w:ascii="Arial" w:eastAsiaTheme="minorEastAsia" w:hAnsi="Arial" w:cs="Arial"/>
                <w:sz w:val="18"/>
                <w:szCs w:val="18"/>
                <w:lang w:val="ro-MD"/>
              </w:rPr>
              <w:t xml:space="preserve"> 2027</w:t>
            </w:r>
          </w:p>
        </w:tc>
        <w:tc>
          <w:tcPr>
            <w:tcW w:w="1061" w:type="dxa"/>
            <w:vAlign w:val="center"/>
          </w:tcPr>
          <w:p w14:paraId="39AF697A" w14:textId="6C743E7A" w:rsidR="006E16D8" w:rsidRPr="003A36E3" w:rsidRDefault="009D412A"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tc>
        <w:tc>
          <w:tcPr>
            <w:tcW w:w="4365" w:type="dxa"/>
          </w:tcPr>
          <w:p w14:paraId="196E3F12" w14:textId="6392D9D5" w:rsidR="006E16D8" w:rsidRPr="003A36E3" w:rsidRDefault="003335BE" w:rsidP="002F7854">
            <w:pPr>
              <w:tabs>
                <w:tab w:val="left" w:pos="306"/>
              </w:tabs>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Noul sistem electronic de achiziții publice pilotat, concentrându-se pe modulele esențiale impuse de acquis-ul UE, cum ar fi licitația electronică, atribuirea electronică, facturarea electronică și reclamația electronică, inclusiv lansarea cataloagelor electronice de achiziții publice.</w:t>
            </w:r>
          </w:p>
          <w:p w14:paraId="35764F89" w14:textId="77777777" w:rsidR="006E16D8" w:rsidRPr="003A36E3" w:rsidRDefault="006E16D8" w:rsidP="002F7854">
            <w:pPr>
              <w:tabs>
                <w:tab w:val="left" w:pos="306"/>
              </w:tabs>
              <w:spacing w:after="0" w:line="240" w:lineRule="auto"/>
              <w:ind w:left="21"/>
              <w:jc w:val="both"/>
              <w:rPr>
                <w:rFonts w:ascii="Arial" w:eastAsiaTheme="minorEastAsia" w:hAnsi="Arial" w:cs="Arial"/>
                <w:sz w:val="18"/>
                <w:szCs w:val="18"/>
                <w:lang w:val="ro-MD"/>
              </w:rPr>
            </w:pPr>
          </w:p>
          <w:p w14:paraId="2B85D181" w14:textId="3F5003ED" w:rsidR="006E16D8" w:rsidRPr="003A36E3" w:rsidRDefault="00C44E29"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Linia de referință: În 2024, sistemul electronic de achiziții publice Mtender este doar parțial dezvoltat pentru a sprijini cererile de ofertă, licitațiile deschise, licitațiile restrânse, acordurile-cadru și licitațiile electronice. Acesta nu acoperă întregul ciclu de achiziții publice - de la planificarea și derularea procedurilor până la atribuirea și gestionarea contractelor, inclusiv modificările. Sistemul electronic de achiziții publice Mtender are următoarele funcționalități: 4 module sunt complet dezvoltate (înregistrare electronică, licitație electronică, autentificare electronică, notificare electronică); 6 module sunt parțial dezvoltate (gestionare electronică a documentelor, planificare electronică, notificare electronică, licitație electronică, calificare electronică, atribuire electronică); 7 module nu sunt dezvoltate (acces electronic, evaluare electronică, cabinete electronice, reclamație electronică, gestionarea contractelor electronice, facturare electronică, monitorizare electronică). Acesta acceptă cereri de ofertă, licitații deschise, licitații restrânse, acorduri-cadru și licitații electronice. </w:t>
            </w:r>
          </w:p>
          <w:p w14:paraId="47C30A52" w14:textId="77777777" w:rsidR="006E16D8" w:rsidRPr="003A36E3" w:rsidRDefault="006E16D8" w:rsidP="002F7854">
            <w:pPr>
              <w:spacing w:after="0" w:line="240" w:lineRule="auto"/>
              <w:jc w:val="both"/>
              <w:rPr>
                <w:rFonts w:ascii="Arial" w:eastAsiaTheme="minorEastAsia" w:hAnsi="Arial" w:cs="Arial"/>
                <w:sz w:val="18"/>
                <w:szCs w:val="18"/>
                <w:lang w:val="ro-MD"/>
              </w:rPr>
            </w:pPr>
          </w:p>
        </w:tc>
        <w:tc>
          <w:tcPr>
            <w:tcW w:w="5441" w:type="dxa"/>
          </w:tcPr>
          <w:p w14:paraId="26DFAB63" w14:textId="77777777" w:rsidR="000632C2" w:rsidRPr="003A36E3" w:rsidRDefault="000632C2" w:rsidP="000632C2">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Pilotarea noului sistem electronic de achiziții publice cu cel puțin următoarele module - licitație electronică, atribuire electronică, facturare electronică și reclamație electronică - și lansarea cataloagelor electronice de achiziții.</w:t>
            </w:r>
          </w:p>
          <w:p w14:paraId="6DBEC74F" w14:textId="77777777" w:rsidR="000632C2" w:rsidRPr="003A36E3" w:rsidRDefault="000632C2" w:rsidP="000632C2">
            <w:pPr>
              <w:spacing w:after="0" w:line="240" w:lineRule="auto"/>
              <w:jc w:val="both"/>
              <w:rPr>
                <w:rFonts w:ascii="Arial" w:eastAsiaTheme="minorEastAsia" w:hAnsi="Arial" w:cs="Arial"/>
                <w:sz w:val="18"/>
                <w:szCs w:val="18"/>
                <w:lang w:val="ro-MD"/>
              </w:rPr>
            </w:pPr>
          </w:p>
          <w:p w14:paraId="65802B0B" w14:textId="4AF11371" w:rsidR="006E16D8" w:rsidRPr="003A36E3" w:rsidRDefault="000632C2" w:rsidP="000632C2">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Moldova întreprinde următoarele etape pentru dezvoltarea și lansarea noului sistem electronic de achiziții publice: aprobarea conceptului de reinginerie a sistemului electronic de achiziții </w:t>
            </w:r>
            <w:r w:rsidRPr="003A36E3">
              <w:rPr>
                <w:rFonts w:ascii="Arial" w:eastAsiaTheme="minorEastAsia" w:hAnsi="Arial" w:cs="Arial"/>
                <w:sz w:val="18"/>
                <w:szCs w:val="18"/>
                <w:lang w:val="ro-MD"/>
              </w:rPr>
              <w:lastRenderedPageBreak/>
              <w:t>publice din perspectiva integrării și interoperabilității acestuia la nivel național și european; descrierea și aprobarea proceselor de afaceri și pregătirea documentației de atribuire pentru implementarea sistemului electronic de achiziții publice; desfășurarea procedurii de achiziții publice pentru selectarea furnizorilor necesari; proiectarea și dezvoltarea sistemului electronic de achiziții publice; instruirea utilizatorilor din cadrul autorităților/entităților contractante și operatorilor economici cu privire la utilizarea sistemului electronic de achiziții publice.</w:t>
            </w:r>
          </w:p>
          <w:p w14:paraId="561F7BF6" w14:textId="77777777" w:rsidR="00D24063" w:rsidRPr="003A36E3" w:rsidRDefault="00D24063" w:rsidP="000632C2">
            <w:pPr>
              <w:spacing w:after="0" w:line="240" w:lineRule="auto"/>
              <w:jc w:val="both"/>
              <w:rPr>
                <w:rFonts w:ascii="Arial" w:eastAsiaTheme="minorEastAsia" w:hAnsi="Arial" w:cs="Arial"/>
                <w:sz w:val="18"/>
                <w:szCs w:val="18"/>
                <w:u w:val="single"/>
                <w:lang w:val="ro-MD"/>
              </w:rPr>
            </w:pPr>
          </w:p>
          <w:p w14:paraId="0100286E" w14:textId="029E91E9" w:rsidR="006E16D8" w:rsidRPr="003A36E3" w:rsidRDefault="004534C2"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Surse de verificare: Rapoartele IT ale MF privind punerea în aplicare a achizițiilor publice electronice; Monitorul Oficial; linkul către procedura de achiziție inițiată; extras din documentul de predare-primire; planul de execuție a lucrărilor; extras din procesul-verbal de recepție a modulelor implementate; anunțuri privind sesiunile de formare publicate pe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Ministerului Finanțelor și/sau al Agenției Achiziții Publice; extras din documentul de predare-primire al proiectului pilot.</w:t>
            </w:r>
          </w:p>
        </w:tc>
      </w:tr>
      <w:tr w:rsidR="006E16D8" w:rsidRPr="00BD0643" w14:paraId="2CF3BECB" w14:textId="77777777" w:rsidTr="0059048A">
        <w:trPr>
          <w:trHeight w:val="300"/>
        </w:trPr>
        <w:tc>
          <w:tcPr>
            <w:tcW w:w="851" w:type="dxa"/>
            <w:vAlign w:val="center"/>
          </w:tcPr>
          <w:p w14:paraId="24553A33" w14:textId="0FCEEE31" w:rsidR="006E16D8" w:rsidRPr="003A36E3" w:rsidRDefault="00310A4A" w:rsidP="002F7854">
            <w:pPr>
              <w:spacing w:after="0" w:line="240" w:lineRule="auto"/>
              <w:jc w:val="both"/>
              <w:rPr>
                <w:rStyle w:val="eop"/>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Gestionarea finanțelor publice</w:t>
            </w:r>
            <w:r w:rsidRPr="003A36E3">
              <w:rPr>
                <w:rStyle w:val="eop"/>
                <w:rFonts w:ascii="Arial" w:eastAsiaTheme="minorEastAsia" w:hAnsi="Arial" w:cs="Arial"/>
                <w:sz w:val="18"/>
                <w:szCs w:val="18"/>
                <w:lang w:val="ro-MD"/>
              </w:rPr>
              <w:t xml:space="preserve"> </w:t>
            </w:r>
          </w:p>
        </w:tc>
        <w:tc>
          <w:tcPr>
            <w:tcW w:w="425" w:type="dxa"/>
            <w:vAlign w:val="center"/>
          </w:tcPr>
          <w:p w14:paraId="74A68E57"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4</w:t>
            </w:r>
          </w:p>
        </w:tc>
        <w:tc>
          <w:tcPr>
            <w:tcW w:w="1276" w:type="dxa"/>
            <w:vAlign w:val="center"/>
          </w:tcPr>
          <w:p w14:paraId="34AF9B50" w14:textId="2D021B11" w:rsidR="006E16D8" w:rsidRPr="003A36E3" w:rsidRDefault="00BB1B7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sistemului fiscal contribuie la sustenabilitatea fiscală, asigură condiții de concurență echitabile și oferă servicii mai bune pentru cetățeni și întreprinderi</w:t>
            </w:r>
          </w:p>
        </w:tc>
        <w:tc>
          <w:tcPr>
            <w:tcW w:w="357" w:type="dxa"/>
            <w:vAlign w:val="center"/>
          </w:tcPr>
          <w:p w14:paraId="4FE621B4"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11</w:t>
            </w:r>
          </w:p>
        </w:tc>
        <w:tc>
          <w:tcPr>
            <w:tcW w:w="683" w:type="dxa"/>
            <w:vAlign w:val="center"/>
          </w:tcPr>
          <w:p w14:paraId="4AA7E7D5" w14:textId="2F9933B2" w:rsidR="006E16D8" w:rsidRPr="003A36E3" w:rsidRDefault="0059048A" w:rsidP="002F7854">
            <w:pPr>
              <w:spacing w:after="0" w:line="240" w:lineRule="auto"/>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6E16D8" w:rsidRPr="003A36E3">
              <w:rPr>
                <w:rFonts w:ascii="Arial" w:eastAsiaTheme="minorEastAsia" w:hAnsi="Arial" w:cs="Arial"/>
                <w:sz w:val="18"/>
                <w:szCs w:val="18"/>
                <w:lang w:val="ro-MD"/>
              </w:rPr>
              <w:t xml:space="preserve"> 2026 </w:t>
            </w:r>
          </w:p>
        </w:tc>
        <w:tc>
          <w:tcPr>
            <w:tcW w:w="1061" w:type="dxa"/>
            <w:vAlign w:val="center"/>
          </w:tcPr>
          <w:p w14:paraId="5738442E" w14:textId="77777777" w:rsidR="00642BEB" w:rsidRPr="003A36E3" w:rsidRDefault="00642BEB" w:rsidP="00642B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p w14:paraId="0BFBE5C3" w14:textId="249C6FC8" w:rsidR="006E16D8" w:rsidRPr="003A36E3" w:rsidRDefault="00642BEB" w:rsidP="00642B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Serviciul Fiscal de Stat</w:t>
            </w:r>
          </w:p>
        </w:tc>
        <w:tc>
          <w:tcPr>
            <w:tcW w:w="4365" w:type="dxa"/>
          </w:tcPr>
          <w:p w14:paraId="59AA149F" w14:textId="77777777" w:rsidR="006E16D8" w:rsidRPr="003A36E3" w:rsidRDefault="006E16D8" w:rsidP="002F7854">
            <w:pPr>
              <w:spacing w:after="0" w:line="240" w:lineRule="auto"/>
              <w:jc w:val="both"/>
              <w:rPr>
                <w:rFonts w:ascii="Arial" w:eastAsiaTheme="minorEastAsia" w:hAnsi="Arial" w:cs="Arial"/>
                <w:sz w:val="18"/>
                <w:szCs w:val="18"/>
                <w:lang w:val="ro-MD"/>
              </w:rPr>
            </w:pPr>
          </w:p>
          <w:p w14:paraId="20EAE0C9" w14:textId="77777777" w:rsidR="00C76623" w:rsidRPr="003A36E3" w:rsidRDefault="00C76623" w:rsidP="00C7662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Mai multe servicii fiscale sunt puse la dispoziția întreprinderilor și a cetățenilor pe cale electronică, 18 din 19 (90%) servicii pentru contribuabili fiind digitalizate. </w:t>
            </w:r>
          </w:p>
          <w:p w14:paraId="6DBE3591" w14:textId="77777777" w:rsidR="00C76623" w:rsidRPr="003A36E3" w:rsidRDefault="00C76623" w:rsidP="00C76623">
            <w:pPr>
              <w:spacing w:after="0" w:line="240" w:lineRule="auto"/>
              <w:jc w:val="both"/>
              <w:rPr>
                <w:rFonts w:ascii="Arial" w:eastAsiaTheme="minorEastAsia" w:hAnsi="Arial" w:cs="Arial"/>
                <w:sz w:val="18"/>
                <w:szCs w:val="18"/>
                <w:lang w:val="ro-MD"/>
              </w:rPr>
            </w:pPr>
          </w:p>
          <w:p w14:paraId="3519DE82" w14:textId="77777777" w:rsidR="00C76623" w:rsidRPr="003A36E3" w:rsidRDefault="00C76623" w:rsidP="00C76623">
            <w:pPr>
              <w:spacing w:after="0" w:line="240" w:lineRule="auto"/>
              <w:jc w:val="both"/>
              <w:rPr>
                <w:rFonts w:ascii="Arial" w:eastAsiaTheme="minorEastAsia" w:hAnsi="Arial" w:cs="Arial"/>
                <w:sz w:val="18"/>
                <w:szCs w:val="18"/>
                <w:lang w:val="ro-MD"/>
              </w:rPr>
            </w:pPr>
          </w:p>
          <w:p w14:paraId="2FC31DE5" w14:textId="3C79EB2E" w:rsidR="006E16D8" w:rsidRPr="003A36E3" w:rsidRDefault="00C76623" w:rsidP="00C7662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2024, 14 din 19 (74%) servicii pentru contribuabili sunt digitalizate.</w:t>
            </w:r>
          </w:p>
        </w:tc>
        <w:tc>
          <w:tcPr>
            <w:tcW w:w="5441" w:type="dxa"/>
          </w:tcPr>
          <w:p w14:paraId="6B5EADBC" w14:textId="77777777" w:rsidR="006E16D8" w:rsidRPr="003A36E3" w:rsidRDefault="006E16D8" w:rsidP="002F7854">
            <w:pPr>
              <w:spacing w:after="0" w:line="240" w:lineRule="auto"/>
              <w:jc w:val="both"/>
              <w:rPr>
                <w:rFonts w:ascii="Arial" w:eastAsiaTheme="minorEastAsia" w:hAnsi="Arial" w:cs="Arial"/>
                <w:sz w:val="18"/>
                <w:szCs w:val="18"/>
                <w:lang w:val="ro-MD"/>
              </w:rPr>
            </w:pPr>
          </w:p>
          <w:p w14:paraId="418434A3" w14:textId="77777777" w:rsidR="00762432" w:rsidRPr="003A36E3" w:rsidRDefault="00762432" w:rsidP="00762432">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Patru servicii pentru contribuabili sunt puse la dispoziție în format digital:  Autorizare utilizator final, Certificat privind impozitul pe venit achitat de persoanele fizice cetățeni străini sau apatrizi care au obținut statutul de rezident al Republicii Moldova, Confirmare privind reluarea raportării fiscale și Certificat privind impozitul pe venit achitat de un nerezident în Republica Moldova.</w:t>
            </w:r>
          </w:p>
          <w:p w14:paraId="07E417E0" w14:textId="77777777" w:rsidR="00762432" w:rsidRPr="003A36E3" w:rsidRDefault="00762432" w:rsidP="00762432">
            <w:pPr>
              <w:spacing w:after="0" w:line="240" w:lineRule="auto"/>
              <w:jc w:val="both"/>
              <w:rPr>
                <w:rFonts w:ascii="Arial" w:eastAsiaTheme="minorEastAsia" w:hAnsi="Arial" w:cs="Arial"/>
                <w:sz w:val="18"/>
                <w:szCs w:val="18"/>
                <w:lang w:val="ro-MD"/>
              </w:rPr>
            </w:pPr>
          </w:p>
          <w:p w14:paraId="19406E78" w14:textId="5474AADD" w:rsidR="006E16D8" w:rsidRPr="003A36E3" w:rsidRDefault="00762432" w:rsidP="00762432">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Rapoartele Serviciului Fiscal.</w:t>
            </w:r>
          </w:p>
        </w:tc>
      </w:tr>
      <w:tr w:rsidR="006E16D8" w:rsidRPr="00BD0643" w14:paraId="4D8D0DDD" w14:textId="77777777" w:rsidTr="0059048A">
        <w:trPr>
          <w:trHeight w:val="300"/>
        </w:trPr>
        <w:tc>
          <w:tcPr>
            <w:tcW w:w="851" w:type="dxa"/>
            <w:vAlign w:val="center"/>
          </w:tcPr>
          <w:p w14:paraId="62F9B69E" w14:textId="7A9DFBEB" w:rsidR="006E16D8" w:rsidRPr="003A36E3" w:rsidRDefault="00310A4A" w:rsidP="002F7854">
            <w:pPr>
              <w:spacing w:after="0" w:line="240" w:lineRule="auto"/>
              <w:jc w:val="both"/>
              <w:rPr>
                <w:rStyle w:val="eop"/>
                <w:rFonts w:ascii="Arial" w:eastAsiaTheme="minorEastAsia" w:hAnsi="Arial" w:cs="Arial"/>
                <w:sz w:val="18"/>
                <w:szCs w:val="18"/>
                <w:lang w:val="ro-MD"/>
              </w:rPr>
            </w:pPr>
            <w:r w:rsidRPr="003A36E3">
              <w:rPr>
                <w:rFonts w:ascii="Arial" w:eastAsiaTheme="minorEastAsia" w:hAnsi="Arial" w:cs="Arial"/>
                <w:sz w:val="18"/>
                <w:szCs w:val="18"/>
                <w:lang w:val="ro-MD"/>
              </w:rPr>
              <w:t>Gestionarea finanțelor publice</w:t>
            </w:r>
            <w:r w:rsidRPr="003A36E3">
              <w:rPr>
                <w:rStyle w:val="eop"/>
                <w:rFonts w:ascii="Arial" w:eastAsiaTheme="minorEastAsia" w:hAnsi="Arial" w:cs="Arial"/>
                <w:sz w:val="18"/>
                <w:szCs w:val="18"/>
                <w:lang w:val="ro-MD"/>
              </w:rPr>
              <w:t xml:space="preserve"> </w:t>
            </w:r>
          </w:p>
        </w:tc>
        <w:tc>
          <w:tcPr>
            <w:tcW w:w="425" w:type="dxa"/>
            <w:vAlign w:val="center"/>
          </w:tcPr>
          <w:p w14:paraId="20DFA863"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4</w:t>
            </w:r>
          </w:p>
        </w:tc>
        <w:tc>
          <w:tcPr>
            <w:tcW w:w="1276" w:type="dxa"/>
            <w:vAlign w:val="center"/>
          </w:tcPr>
          <w:p w14:paraId="3F4BA167" w14:textId="73C3AA42" w:rsidR="006E16D8" w:rsidRPr="003A36E3" w:rsidRDefault="00BB1B7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Consolidarea sistemului fiscal contribuie la sustenabilitatea fiscală, </w:t>
            </w:r>
            <w:r w:rsidRPr="003A36E3">
              <w:rPr>
                <w:rFonts w:ascii="Arial" w:eastAsiaTheme="minorEastAsia" w:hAnsi="Arial" w:cs="Arial"/>
                <w:sz w:val="18"/>
                <w:szCs w:val="18"/>
                <w:lang w:val="ro-MD"/>
              </w:rPr>
              <w:lastRenderedPageBreak/>
              <w:t>asigură condiții de concurență echitabile și oferă servicii mai bune pentru cetățeni și întreprinderi</w:t>
            </w:r>
          </w:p>
        </w:tc>
        <w:tc>
          <w:tcPr>
            <w:tcW w:w="357" w:type="dxa"/>
            <w:vAlign w:val="center"/>
          </w:tcPr>
          <w:p w14:paraId="537BB22D"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12</w:t>
            </w:r>
          </w:p>
        </w:tc>
        <w:tc>
          <w:tcPr>
            <w:tcW w:w="683" w:type="dxa"/>
            <w:vAlign w:val="center"/>
          </w:tcPr>
          <w:p w14:paraId="4B6F464F" w14:textId="5D3040F5" w:rsidR="006E16D8" w:rsidRPr="003A36E3" w:rsidRDefault="0059048A" w:rsidP="002F7854">
            <w:pPr>
              <w:spacing w:after="0" w:line="240" w:lineRule="auto"/>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6E16D8" w:rsidRPr="003A36E3">
              <w:rPr>
                <w:rFonts w:ascii="Arial" w:eastAsiaTheme="minorEastAsia" w:hAnsi="Arial" w:cs="Arial"/>
                <w:sz w:val="18"/>
                <w:szCs w:val="18"/>
                <w:lang w:val="ro-MD"/>
              </w:rPr>
              <w:t xml:space="preserve"> 2027 </w:t>
            </w:r>
          </w:p>
        </w:tc>
        <w:tc>
          <w:tcPr>
            <w:tcW w:w="1061" w:type="dxa"/>
            <w:vAlign w:val="center"/>
          </w:tcPr>
          <w:p w14:paraId="43D2485E" w14:textId="77777777" w:rsidR="00642BEB" w:rsidRPr="003A36E3" w:rsidRDefault="00642BEB" w:rsidP="00642B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p w14:paraId="3E0441B1" w14:textId="28EC2B47" w:rsidR="006E16D8" w:rsidRPr="003A36E3" w:rsidRDefault="00642BEB" w:rsidP="00642B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Serviciul Fiscal de Stat </w:t>
            </w:r>
          </w:p>
        </w:tc>
        <w:tc>
          <w:tcPr>
            <w:tcW w:w="4365" w:type="dxa"/>
          </w:tcPr>
          <w:p w14:paraId="209E24F0" w14:textId="77777777" w:rsidR="00041294" w:rsidRPr="003A36E3" w:rsidRDefault="00041294" w:rsidP="0004129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Administrația fiscală este modernizată prin (i) consolidarea abordării bazate pe riscuri în ceea ce privește gestionarea riscului de conformitate prin revizuirea și punerea în aplicare a noului program de conformitate și (ii) un sistem automatizat de </w:t>
            </w:r>
            <w:r w:rsidRPr="003A36E3">
              <w:rPr>
                <w:rFonts w:ascii="Arial" w:eastAsiaTheme="minorEastAsia" w:hAnsi="Arial" w:cs="Arial"/>
                <w:sz w:val="18"/>
                <w:szCs w:val="18"/>
                <w:lang w:val="ro-MD"/>
              </w:rPr>
              <w:lastRenderedPageBreak/>
              <w:t xml:space="preserve">gestionare a riscului de conformitate devine operațional. </w:t>
            </w:r>
          </w:p>
          <w:p w14:paraId="6DFBC122" w14:textId="77777777" w:rsidR="00041294" w:rsidRPr="003A36E3" w:rsidRDefault="00041294" w:rsidP="00041294">
            <w:pPr>
              <w:spacing w:after="0" w:line="240" w:lineRule="auto"/>
              <w:jc w:val="both"/>
              <w:rPr>
                <w:rFonts w:ascii="Arial" w:eastAsiaTheme="minorEastAsia" w:hAnsi="Arial" w:cs="Arial"/>
                <w:sz w:val="18"/>
                <w:szCs w:val="18"/>
                <w:lang w:val="ro-MD"/>
              </w:rPr>
            </w:pPr>
          </w:p>
          <w:p w14:paraId="03DCC76F" w14:textId="6E2D2D29" w:rsidR="006E16D8" w:rsidRPr="003A36E3" w:rsidRDefault="00041294" w:rsidP="00041294">
            <w:pPr>
              <w:spacing w:after="0" w:line="240" w:lineRule="auto"/>
              <w:jc w:val="both"/>
              <w:rPr>
                <w:rFonts w:ascii="Arial" w:hAnsi="Arial" w:cs="Arial"/>
                <w:sz w:val="18"/>
                <w:szCs w:val="18"/>
                <w:lang w:val="ro-MD"/>
              </w:rPr>
            </w:pPr>
            <w:r w:rsidRPr="003A36E3">
              <w:rPr>
                <w:rFonts w:ascii="Arial" w:eastAsiaTheme="minorEastAsia" w:hAnsi="Arial" w:cs="Arial"/>
                <w:sz w:val="18"/>
                <w:szCs w:val="18"/>
                <w:lang w:val="ro-MD"/>
              </w:rPr>
              <w:t>Linia de referință: Începând cu 2024, există un program de conformare, dar acesta trebuie actualizat. Gestionarea riscului de conformitate fiscală și evaluarea riscurilor nu sunt automatizate.</w:t>
            </w:r>
            <w:r w:rsidR="006E16D8" w:rsidRPr="003A36E3">
              <w:rPr>
                <w:rFonts w:ascii="Arial" w:hAnsi="Arial" w:cs="Arial"/>
                <w:sz w:val="18"/>
                <w:szCs w:val="18"/>
                <w:lang w:val="ro-MD"/>
              </w:rPr>
              <w:t xml:space="preserve"> </w:t>
            </w:r>
          </w:p>
        </w:tc>
        <w:tc>
          <w:tcPr>
            <w:tcW w:w="5441" w:type="dxa"/>
          </w:tcPr>
          <w:p w14:paraId="46481F4F" w14:textId="6237E1E4" w:rsidR="00B61300" w:rsidRPr="003A36E3" w:rsidRDefault="00B61300" w:rsidP="00B61300">
            <w:pPr>
              <w:spacing w:after="0" w:line="240" w:lineRule="auto"/>
              <w:jc w:val="both"/>
              <w:rPr>
                <w:rFonts w:ascii="Arial" w:hAnsi="Arial" w:cs="Arial"/>
                <w:sz w:val="18"/>
                <w:szCs w:val="18"/>
                <w:lang w:val="ro-MD"/>
              </w:rPr>
            </w:pPr>
            <w:r w:rsidRPr="003A36E3">
              <w:rPr>
                <w:rFonts w:ascii="Arial" w:hAnsi="Arial" w:cs="Arial"/>
                <w:sz w:val="18"/>
                <w:szCs w:val="18"/>
                <w:lang w:val="ro-MD"/>
              </w:rPr>
              <w:lastRenderedPageBreak/>
              <w:t>(i)</w:t>
            </w:r>
            <w:r w:rsidR="0059048A">
              <w:rPr>
                <w:rFonts w:ascii="Arial" w:hAnsi="Arial" w:cs="Arial"/>
                <w:sz w:val="18"/>
                <w:szCs w:val="18"/>
                <w:lang w:val="ro-MD"/>
              </w:rPr>
              <w:t xml:space="preserve"> </w:t>
            </w:r>
            <w:r w:rsidRPr="003A36E3">
              <w:rPr>
                <w:rFonts w:ascii="Arial" w:hAnsi="Arial" w:cs="Arial"/>
                <w:sz w:val="18"/>
                <w:szCs w:val="18"/>
                <w:lang w:val="ro-MD"/>
              </w:rPr>
              <w:t xml:space="preserve">Gestionarea riscului de conformitate este reechilibrată între conformitatea voluntară și cea impusă, există o utilizare eficientă a măsurilor punitive, inclusiv a sancțiunilor, în timp ce domeniile prioritare sunt selectate pe baza unei analize cuprinzătoare a riscurilor. </w:t>
            </w:r>
          </w:p>
          <w:p w14:paraId="57E5F423" w14:textId="77777777" w:rsidR="00B61300" w:rsidRPr="003A36E3" w:rsidRDefault="00B61300" w:rsidP="00B61300">
            <w:pPr>
              <w:spacing w:after="0" w:line="240" w:lineRule="auto"/>
              <w:jc w:val="both"/>
              <w:rPr>
                <w:rFonts w:ascii="Arial" w:hAnsi="Arial" w:cs="Arial"/>
                <w:sz w:val="18"/>
                <w:szCs w:val="18"/>
                <w:lang w:val="ro-MD"/>
              </w:rPr>
            </w:pPr>
            <w:r w:rsidRPr="003A36E3">
              <w:rPr>
                <w:rFonts w:ascii="Arial" w:hAnsi="Arial" w:cs="Arial"/>
                <w:sz w:val="18"/>
                <w:szCs w:val="18"/>
                <w:lang w:val="ro-MD"/>
              </w:rPr>
              <w:lastRenderedPageBreak/>
              <w:t xml:space="preserve">(ii) Există un sistem automatizat de gestionare a riscurilor, cu reguli de risc și evaluare a riscurilor încorporate. Soluția IT pentru gestionarea riscului de conformitate este operațională, incluzând contribuabili majori și un modul analitic. </w:t>
            </w:r>
          </w:p>
          <w:p w14:paraId="71A11FDC" w14:textId="2BD3C5C6" w:rsidR="006E16D8" w:rsidRPr="003A36E3" w:rsidRDefault="00B61300" w:rsidP="00B61300">
            <w:pPr>
              <w:spacing w:after="0" w:line="240" w:lineRule="auto"/>
              <w:jc w:val="both"/>
              <w:rPr>
                <w:rFonts w:ascii="Arial" w:eastAsiaTheme="minorEastAsia" w:hAnsi="Arial" w:cs="Arial"/>
                <w:sz w:val="18"/>
                <w:szCs w:val="18"/>
                <w:lang w:val="ro-MD"/>
              </w:rPr>
            </w:pPr>
            <w:r w:rsidRPr="003A36E3">
              <w:rPr>
                <w:rFonts w:ascii="Arial" w:hAnsi="Arial" w:cs="Arial"/>
                <w:sz w:val="18"/>
                <w:szCs w:val="18"/>
                <w:lang w:val="ro-MD"/>
              </w:rPr>
              <w:t>Sursa de verificare: Rapoartele Serviciului Fiscal, noul raport TADAT, dacă este disponibil</w:t>
            </w:r>
          </w:p>
        </w:tc>
      </w:tr>
      <w:tr w:rsidR="006E16D8" w:rsidRPr="00BD0643" w14:paraId="5E4E91AD" w14:textId="77777777" w:rsidTr="0059048A">
        <w:trPr>
          <w:trHeight w:val="300"/>
        </w:trPr>
        <w:tc>
          <w:tcPr>
            <w:tcW w:w="851" w:type="dxa"/>
            <w:shd w:val="clear" w:color="auto" w:fill="FFFFFF" w:themeFill="background1"/>
            <w:vAlign w:val="center"/>
          </w:tcPr>
          <w:p w14:paraId="05493D2F" w14:textId="4BCB816E" w:rsidR="006E16D8" w:rsidRPr="003A36E3" w:rsidRDefault="00310A4A" w:rsidP="002F7854">
            <w:pPr>
              <w:spacing w:after="0" w:line="240" w:lineRule="auto"/>
              <w:jc w:val="both"/>
              <w:rPr>
                <w:rStyle w:val="eop"/>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Gestionarea finanțelor publice</w:t>
            </w:r>
            <w:r w:rsidRPr="003A36E3">
              <w:rPr>
                <w:rStyle w:val="eop"/>
                <w:rFonts w:ascii="Arial" w:eastAsiaTheme="minorEastAsia" w:hAnsi="Arial" w:cs="Arial"/>
                <w:sz w:val="18"/>
                <w:szCs w:val="18"/>
                <w:lang w:val="ro-MD"/>
              </w:rPr>
              <w:t xml:space="preserve"> </w:t>
            </w:r>
          </w:p>
        </w:tc>
        <w:tc>
          <w:tcPr>
            <w:tcW w:w="425" w:type="dxa"/>
            <w:shd w:val="clear" w:color="auto" w:fill="FFFFFF" w:themeFill="background1"/>
            <w:vAlign w:val="center"/>
          </w:tcPr>
          <w:p w14:paraId="65BCDAF6"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4</w:t>
            </w:r>
          </w:p>
        </w:tc>
        <w:tc>
          <w:tcPr>
            <w:tcW w:w="1276" w:type="dxa"/>
            <w:shd w:val="clear" w:color="auto" w:fill="FFFFFF" w:themeFill="background1"/>
            <w:vAlign w:val="center"/>
          </w:tcPr>
          <w:p w14:paraId="1928F3A0" w14:textId="6176FAE9" w:rsidR="006E16D8" w:rsidRPr="003A36E3" w:rsidRDefault="00C967A4"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sistemului fiscal contribuie la sustenabilitatea fiscală, asigură condiții de concurență echitabile și oferă servicii mai bune pentru cetățeni și întreprinderi</w:t>
            </w:r>
          </w:p>
        </w:tc>
        <w:tc>
          <w:tcPr>
            <w:tcW w:w="357" w:type="dxa"/>
            <w:shd w:val="clear" w:color="auto" w:fill="FFFFFF" w:themeFill="background1"/>
            <w:vAlign w:val="center"/>
          </w:tcPr>
          <w:p w14:paraId="5316F5F3"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13</w:t>
            </w:r>
          </w:p>
        </w:tc>
        <w:tc>
          <w:tcPr>
            <w:tcW w:w="683" w:type="dxa"/>
            <w:shd w:val="clear" w:color="auto" w:fill="FFFFFF" w:themeFill="background1"/>
            <w:vAlign w:val="center"/>
          </w:tcPr>
          <w:p w14:paraId="32E6474A" w14:textId="0777A1E6" w:rsidR="006E16D8" w:rsidRPr="003A36E3" w:rsidRDefault="00D939FE"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6E16D8" w:rsidRPr="003A36E3">
              <w:rPr>
                <w:rFonts w:ascii="Arial" w:eastAsiaTheme="minorEastAsia" w:hAnsi="Arial" w:cs="Arial"/>
                <w:sz w:val="18"/>
                <w:szCs w:val="18"/>
                <w:lang w:val="ro-MD"/>
              </w:rPr>
              <w:t xml:space="preserve"> 2027</w:t>
            </w:r>
          </w:p>
        </w:tc>
        <w:tc>
          <w:tcPr>
            <w:tcW w:w="1061" w:type="dxa"/>
            <w:shd w:val="clear" w:color="auto" w:fill="FFFFFF" w:themeFill="background1"/>
            <w:vAlign w:val="center"/>
          </w:tcPr>
          <w:p w14:paraId="74A5D8C0" w14:textId="77777777" w:rsidR="00642BEB" w:rsidRPr="003A36E3" w:rsidRDefault="00642BEB" w:rsidP="00642B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p w14:paraId="7303F641" w14:textId="19792A40" w:rsidR="006E16D8" w:rsidRPr="003A36E3" w:rsidRDefault="00642BEB" w:rsidP="00642BE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Serviciul Fiscal de Stat</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Pr>
          <w:p w14:paraId="1740313A" w14:textId="1535EF99" w:rsidR="00E5213F" w:rsidRPr="003A36E3" w:rsidRDefault="00E5213F" w:rsidP="00E5213F">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 xml:space="preserve">Ponderea auditurilor fiscale bazate pe riscuri crește la 30% din totalul auditurilor din ultimele 12 luni; procesul de audit fiscal este digitalizat prin implementarea unui sistem automatizat de gestionare a cazurilor și prin crearea unui depozit de date. </w:t>
            </w:r>
          </w:p>
          <w:p w14:paraId="6CB1366A" w14:textId="14AD469B" w:rsidR="006E16D8" w:rsidRPr="003A36E3" w:rsidRDefault="00E5213F" w:rsidP="00E5213F">
            <w:pPr>
              <w:pStyle w:val="paragraph"/>
              <w:spacing w:before="0" w:beforeAutospacing="0" w:after="0" w:afterAutospacing="0"/>
              <w:jc w:val="both"/>
              <w:textAlignment w:val="baseline"/>
              <w:rPr>
                <w:rFonts w:ascii="Arial" w:hAnsi="Arial" w:cs="Arial"/>
                <w:sz w:val="18"/>
                <w:szCs w:val="18"/>
                <w:lang w:val="ro-MD"/>
              </w:rPr>
            </w:pPr>
            <w:r w:rsidRPr="003A36E3">
              <w:rPr>
                <w:rStyle w:val="normaltextrun"/>
                <w:rFonts w:ascii="Arial" w:hAnsi="Arial" w:cs="Arial"/>
                <w:sz w:val="18"/>
                <w:szCs w:val="18"/>
                <w:lang w:val="ro-MD"/>
              </w:rPr>
              <w:t>Linia de referință: Sistemul de audit nu este automatizat și nu este legat de analiza de evaluare a riscurilor. O mică parte din activitățile legate de auditul STS sunt bazate pe riscuri, 93% din cazurile de audit fiind mandatate/nebazate pe riscuri. Sistemul de audit fiscal nu respectă normele privind protecția datelor.</w:t>
            </w:r>
          </w:p>
        </w:tc>
        <w:tc>
          <w:tcPr>
            <w:tcW w:w="5441" w:type="dxa"/>
            <w:tcBorders>
              <w:top w:val="single" w:sz="6" w:space="0" w:color="000000"/>
              <w:left w:val="single" w:sz="6" w:space="0" w:color="000000"/>
              <w:bottom w:val="single" w:sz="6" w:space="0" w:color="000000"/>
              <w:right w:val="single" w:sz="6" w:space="0" w:color="000000"/>
            </w:tcBorders>
            <w:shd w:val="clear" w:color="auto" w:fill="FFFFFF"/>
          </w:tcPr>
          <w:p w14:paraId="7600A32B" w14:textId="35CF63BB" w:rsidR="00DE08A1" w:rsidRPr="003A36E3" w:rsidRDefault="00DE08A1" w:rsidP="00DE08A1">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 xml:space="preserve">(i) Ponderea cazurilor de audit fiscal bazate pe riscuri este majorată la cel puțin 30 % din totalul auditurilor pentru perioada iulie 2026 - iunie 2027; (ii) este pus în aplicare un sistem automatizat de gestionare a cazurilor și (iii) este asigurat un depozit de date în care STS poate compara, extrage și analiza cu ușurință volume mai mari de date.  </w:t>
            </w:r>
          </w:p>
          <w:p w14:paraId="11809545" w14:textId="77777777" w:rsidR="00DE08A1" w:rsidRPr="003A36E3" w:rsidRDefault="00DE08A1" w:rsidP="00DE08A1">
            <w:pPr>
              <w:pStyle w:val="paragraph"/>
              <w:spacing w:after="0" w:afterAutospacing="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 xml:space="preserve">Sursa de verificare: </w:t>
            </w:r>
          </w:p>
          <w:p w14:paraId="6F13A045" w14:textId="534A262E" w:rsidR="006E16D8" w:rsidRPr="003A36E3" w:rsidRDefault="00DE08A1" w:rsidP="00DE08A1">
            <w:pPr>
              <w:pStyle w:val="paragraph"/>
              <w:spacing w:before="0" w:beforeAutospacing="0" w:after="0" w:afterAutospacing="0"/>
              <w:jc w:val="both"/>
              <w:textAlignment w:val="baseline"/>
              <w:rPr>
                <w:rFonts w:ascii="Arial" w:hAnsi="Arial" w:cs="Arial"/>
                <w:sz w:val="18"/>
                <w:szCs w:val="18"/>
                <w:lang w:val="ro-MD"/>
              </w:rPr>
            </w:pPr>
            <w:r w:rsidRPr="003A36E3">
              <w:rPr>
                <w:rStyle w:val="normaltextrun"/>
                <w:rFonts w:ascii="Arial" w:hAnsi="Arial" w:cs="Arial"/>
                <w:sz w:val="18"/>
                <w:szCs w:val="18"/>
                <w:lang w:val="ro-MD"/>
              </w:rPr>
              <w:t xml:space="preserve">Datele/raportul </w:t>
            </w:r>
            <w:r w:rsidR="0075111E" w:rsidRPr="003A36E3">
              <w:rPr>
                <w:rStyle w:val="normaltextrun"/>
                <w:rFonts w:ascii="Arial" w:hAnsi="Arial" w:cs="Arial"/>
                <w:sz w:val="18"/>
                <w:szCs w:val="18"/>
                <w:lang w:val="ro-MD"/>
              </w:rPr>
              <w:t>S</w:t>
            </w:r>
            <w:r w:rsidRPr="003A36E3">
              <w:rPr>
                <w:rStyle w:val="normaltextrun"/>
                <w:rFonts w:ascii="Arial" w:hAnsi="Arial" w:cs="Arial"/>
                <w:sz w:val="18"/>
                <w:szCs w:val="18"/>
                <w:lang w:val="ro-MD"/>
              </w:rPr>
              <w:t xml:space="preserve">erviciului </w:t>
            </w:r>
            <w:r w:rsidR="0075111E" w:rsidRPr="003A36E3">
              <w:rPr>
                <w:rStyle w:val="normaltextrun"/>
                <w:rFonts w:ascii="Arial" w:hAnsi="Arial" w:cs="Arial"/>
                <w:sz w:val="18"/>
                <w:szCs w:val="18"/>
                <w:lang w:val="ro-MD"/>
              </w:rPr>
              <w:t>F</w:t>
            </w:r>
            <w:r w:rsidRPr="003A36E3">
              <w:rPr>
                <w:rStyle w:val="normaltextrun"/>
                <w:rFonts w:ascii="Arial" w:hAnsi="Arial" w:cs="Arial"/>
                <w:sz w:val="18"/>
                <w:szCs w:val="18"/>
                <w:lang w:val="ro-MD"/>
              </w:rPr>
              <w:t xml:space="preserve">iscal de </w:t>
            </w:r>
            <w:r w:rsidR="0075111E" w:rsidRPr="003A36E3">
              <w:rPr>
                <w:rStyle w:val="normaltextrun"/>
                <w:rFonts w:ascii="Arial" w:hAnsi="Arial" w:cs="Arial"/>
                <w:sz w:val="18"/>
                <w:szCs w:val="18"/>
                <w:lang w:val="ro-MD"/>
              </w:rPr>
              <w:t>S</w:t>
            </w:r>
            <w:r w:rsidRPr="003A36E3">
              <w:rPr>
                <w:rStyle w:val="normaltextrun"/>
                <w:rFonts w:ascii="Arial" w:hAnsi="Arial" w:cs="Arial"/>
                <w:sz w:val="18"/>
                <w:szCs w:val="18"/>
                <w:lang w:val="ro-MD"/>
              </w:rPr>
              <w:t>tat furnizat către UE</w:t>
            </w:r>
          </w:p>
        </w:tc>
      </w:tr>
      <w:tr w:rsidR="006E16D8" w:rsidRPr="003A36E3" w14:paraId="22B6BDE6" w14:textId="77777777" w:rsidTr="0059048A">
        <w:trPr>
          <w:trHeight w:val="300"/>
        </w:trPr>
        <w:tc>
          <w:tcPr>
            <w:tcW w:w="851" w:type="dxa"/>
            <w:vAlign w:val="center"/>
          </w:tcPr>
          <w:p w14:paraId="77D65C28" w14:textId="2F166BB7" w:rsidR="006E16D8" w:rsidRPr="003A36E3" w:rsidRDefault="00310A4A" w:rsidP="002F7854">
            <w:pPr>
              <w:spacing w:after="0" w:line="240" w:lineRule="auto"/>
              <w:jc w:val="both"/>
              <w:rPr>
                <w:rStyle w:val="eop"/>
                <w:rFonts w:ascii="Arial" w:eastAsiaTheme="minorEastAsia" w:hAnsi="Arial" w:cs="Arial"/>
                <w:sz w:val="18"/>
                <w:szCs w:val="18"/>
                <w:lang w:val="ro-MD"/>
              </w:rPr>
            </w:pPr>
            <w:r w:rsidRPr="003A36E3">
              <w:rPr>
                <w:rFonts w:ascii="Arial" w:eastAsiaTheme="minorEastAsia" w:hAnsi="Arial" w:cs="Arial"/>
                <w:sz w:val="18"/>
                <w:szCs w:val="18"/>
                <w:lang w:val="ro-MD"/>
              </w:rPr>
              <w:t>Gestionarea finanțelor publice</w:t>
            </w:r>
            <w:r w:rsidRPr="003A36E3">
              <w:rPr>
                <w:rStyle w:val="eop"/>
                <w:rFonts w:ascii="Arial" w:eastAsiaTheme="minorEastAsia" w:hAnsi="Arial" w:cs="Arial"/>
                <w:sz w:val="18"/>
                <w:szCs w:val="18"/>
                <w:lang w:val="ro-MD"/>
              </w:rPr>
              <w:t xml:space="preserve"> </w:t>
            </w:r>
          </w:p>
        </w:tc>
        <w:tc>
          <w:tcPr>
            <w:tcW w:w="425" w:type="dxa"/>
            <w:vAlign w:val="center"/>
          </w:tcPr>
          <w:p w14:paraId="759A5201"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5</w:t>
            </w:r>
          </w:p>
        </w:tc>
        <w:tc>
          <w:tcPr>
            <w:tcW w:w="1276" w:type="dxa"/>
            <w:vAlign w:val="center"/>
          </w:tcPr>
          <w:p w14:paraId="3C48EAB9" w14:textId="44AD80E3" w:rsidR="006E16D8" w:rsidRPr="003A36E3" w:rsidRDefault="00FE51CD"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sistemului de audit extern</w:t>
            </w:r>
          </w:p>
        </w:tc>
        <w:tc>
          <w:tcPr>
            <w:tcW w:w="357" w:type="dxa"/>
            <w:vAlign w:val="center"/>
          </w:tcPr>
          <w:p w14:paraId="54618682"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14</w:t>
            </w:r>
          </w:p>
        </w:tc>
        <w:tc>
          <w:tcPr>
            <w:tcW w:w="683" w:type="dxa"/>
            <w:vAlign w:val="center"/>
          </w:tcPr>
          <w:p w14:paraId="3C72181F" w14:textId="5C99E6AE" w:rsidR="006E16D8" w:rsidRPr="003A36E3" w:rsidRDefault="00D939FE"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6E16D8" w:rsidRPr="003A36E3">
              <w:rPr>
                <w:rFonts w:ascii="Arial" w:eastAsiaTheme="minorEastAsia" w:hAnsi="Arial" w:cs="Arial"/>
                <w:sz w:val="18"/>
                <w:szCs w:val="18"/>
                <w:lang w:val="ro-MD"/>
              </w:rPr>
              <w:t xml:space="preserve"> 2026</w:t>
            </w:r>
          </w:p>
        </w:tc>
        <w:tc>
          <w:tcPr>
            <w:tcW w:w="1061" w:type="dxa"/>
            <w:vAlign w:val="center"/>
          </w:tcPr>
          <w:p w14:paraId="00143083" w14:textId="32EA9DD4" w:rsidR="006E16D8" w:rsidRPr="003A36E3" w:rsidRDefault="00642BEB"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tc>
        <w:tc>
          <w:tcPr>
            <w:tcW w:w="4365" w:type="dxa"/>
          </w:tcPr>
          <w:p w14:paraId="20269EEF" w14:textId="77777777" w:rsidR="00304366" w:rsidRPr="003A36E3" w:rsidRDefault="00304366" w:rsidP="0030436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Sunt adoptate modificări legislative care sporesc independența bugetară a Curții de Conturi.</w:t>
            </w:r>
          </w:p>
          <w:p w14:paraId="04ABFBFD" w14:textId="77777777" w:rsidR="00304366" w:rsidRPr="003A36E3" w:rsidRDefault="00304366" w:rsidP="00304366">
            <w:pPr>
              <w:spacing w:after="0" w:line="240" w:lineRule="auto"/>
              <w:jc w:val="both"/>
              <w:rPr>
                <w:rFonts w:ascii="Arial" w:eastAsiaTheme="minorEastAsia" w:hAnsi="Arial" w:cs="Arial"/>
                <w:sz w:val="18"/>
                <w:szCs w:val="18"/>
                <w:lang w:val="ro-MD"/>
              </w:rPr>
            </w:pPr>
          </w:p>
          <w:p w14:paraId="21D11AE7" w14:textId="54EEBF1F" w:rsidR="006E16D8" w:rsidRPr="003A36E3" w:rsidRDefault="00304366" w:rsidP="00304366">
            <w:pPr>
              <w:spacing w:after="0" w:line="240" w:lineRule="auto"/>
              <w:jc w:val="both"/>
              <w:rPr>
                <w:rFonts w:ascii="Arial" w:hAnsi="Arial" w:cs="Arial"/>
                <w:sz w:val="18"/>
                <w:szCs w:val="18"/>
                <w:lang w:val="ro-MD"/>
              </w:rPr>
            </w:pPr>
            <w:r w:rsidRPr="003A36E3">
              <w:rPr>
                <w:rFonts w:ascii="Arial" w:eastAsiaTheme="minorEastAsia" w:hAnsi="Arial" w:cs="Arial"/>
                <w:sz w:val="18"/>
                <w:szCs w:val="18"/>
                <w:lang w:val="ro-MD"/>
              </w:rPr>
              <w:t>Linia de referință: în 2024, Instituția Supremă de Audit din MD (Curtea de Conturi) se bucură de o independență bugetară limitată. Independența financiară a ISA este limitată de Legea 260/2017, care stipulează că bugetul Curții de Conturi este aprobat în conformitate cu Legea 181/2014 pentru autoritățile bugetare independente/autonome. Bugetul Curții de Conturi este elaborat și aprobat ca bugetul fiecărei instituții bugetare, trimis și negociat cu Ministerul Finanțelor înainte de a fi inclus în proiectul legii bugetare anuale. Conform raportului SIGMA privind RAP 2023, unele dispoziții legale intră în conflict cu legislația CC.</w:t>
            </w:r>
          </w:p>
        </w:tc>
        <w:tc>
          <w:tcPr>
            <w:tcW w:w="5441" w:type="dxa"/>
          </w:tcPr>
          <w:p w14:paraId="765DAECE" w14:textId="77777777" w:rsidR="00D35A1B" w:rsidRPr="003A36E3" w:rsidRDefault="00D35A1B" w:rsidP="00D35A1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Sunt adoptate modificări juridice la Legea privind Curtea de Conturi (CC) și, eventual, la alte legi, pentru a alinia legislația CC la cele mai bune practici internaționale și pentru a reduce dispozițiile contradictorii din alte legi. Dispozițiile juridice permit ca bugetul Curții de Conturi să fie aprobat de Parlament fără ca puterea executivă să modifice proiectul de lege. Procedurile Parlamentului sunt ajustate în consecință.</w:t>
            </w:r>
          </w:p>
          <w:p w14:paraId="03080E00" w14:textId="77777777" w:rsidR="00D35A1B" w:rsidRPr="003A36E3" w:rsidRDefault="00D35A1B" w:rsidP="00D35A1B">
            <w:pPr>
              <w:spacing w:after="0" w:line="240" w:lineRule="auto"/>
              <w:jc w:val="both"/>
              <w:rPr>
                <w:rFonts w:ascii="Arial" w:eastAsiaTheme="minorEastAsia" w:hAnsi="Arial" w:cs="Arial"/>
                <w:sz w:val="18"/>
                <w:szCs w:val="18"/>
                <w:lang w:val="ro-MD"/>
              </w:rPr>
            </w:pPr>
          </w:p>
          <w:p w14:paraId="7C328118" w14:textId="280B8384" w:rsidR="006E16D8" w:rsidRPr="003A36E3" w:rsidRDefault="00D35A1B" w:rsidP="00D35A1B">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w:t>
            </w:r>
            <w:r w:rsidR="0059048A">
              <w:rPr>
                <w:rFonts w:ascii="Arial" w:eastAsiaTheme="minorEastAsia" w:hAnsi="Arial" w:cs="Arial"/>
                <w:sz w:val="18"/>
                <w:szCs w:val="18"/>
                <w:lang w:val="ro-MD"/>
              </w:rPr>
              <w:t>Monitorul</w:t>
            </w:r>
            <w:r w:rsidRPr="003A36E3">
              <w:rPr>
                <w:rFonts w:ascii="Arial" w:eastAsiaTheme="minorEastAsia" w:hAnsi="Arial" w:cs="Arial"/>
                <w:sz w:val="18"/>
                <w:szCs w:val="18"/>
                <w:lang w:val="ro-MD"/>
              </w:rPr>
              <w:t xml:space="preserve"> Oficial,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Parlamentului</w:t>
            </w:r>
          </w:p>
        </w:tc>
      </w:tr>
      <w:tr w:rsidR="006E16D8" w:rsidRPr="00BD0643" w14:paraId="50A3BD21" w14:textId="77777777" w:rsidTr="0059048A">
        <w:trPr>
          <w:trHeight w:val="300"/>
        </w:trPr>
        <w:tc>
          <w:tcPr>
            <w:tcW w:w="851" w:type="dxa"/>
            <w:vAlign w:val="center"/>
          </w:tcPr>
          <w:p w14:paraId="2BE90DCF" w14:textId="0833CD50" w:rsidR="006E16D8" w:rsidRPr="003A36E3" w:rsidRDefault="00310A4A" w:rsidP="002F7854">
            <w:pPr>
              <w:spacing w:after="0" w:line="240" w:lineRule="auto"/>
              <w:jc w:val="both"/>
              <w:rPr>
                <w:rStyle w:val="eop"/>
                <w:rFonts w:ascii="Arial" w:eastAsiaTheme="minorEastAsia" w:hAnsi="Arial" w:cs="Arial"/>
                <w:sz w:val="18"/>
                <w:szCs w:val="18"/>
                <w:lang w:val="ro-MD"/>
              </w:rPr>
            </w:pPr>
            <w:bookmarkStart w:id="4" w:name="_Hlk192887001"/>
            <w:r w:rsidRPr="003A36E3">
              <w:rPr>
                <w:rFonts w:ascii="Arial" w:eastAsiaTheme="minorEastAsia" w:hAnsi="Arial" w:cs="Arial"/>
                <w:sz w:val="18"/>
                <w:szCs w:val="18"/>
                <w:lang w:val="ro-MD"/>
              </w:rPr>
              <w:t>Gestionarea finanțelor publice</w:t>
            </w:r>
            <w:r w:rsidRPr="003A36E3">
              <w:rPr>
                <w:rStyle w:val="eop"/>
                <w:rFonts w:ascii="Arial" w:eastAsiaTheme="minorEastAsia" w:hAnsi="Arial" w:cs="Arial"/>
                <w:sz w:val="18"/>
                <w:szCs w:val="18"/>
                <w:lang w:val="ro-MD"/>
              </w:rPr>
              <w:t xml:space="preserve"> </w:t>
            </w:r>
          </w:p>
        </w:tc>
        <w:tc>
          <w:tcPr>
            <w:tcW w:w="425" w:type="dxa"/>
            <w:vAlign w:val="center"/>
          </w:tcPr>
          <w:p w14:paraId="26C38E86"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5</w:t>
            </w:r>
          </w:p>
        </w:tc>
        <w:tc>
          <w:tcPr>
            <w:tcW w:w="1276" w:type="dxa"/>
            <w:vAlign w:val="center"/>
          </w:tcPr>
          <w:p w14:paraId="373F79BB" w14:textId="0AA9B0A1" w:rsidR="006E16D8" w:rsidRPr="003A36E3" w:rsidRDefault="00C23ADC"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sistemului de audit extern</w:t>
            </w:r>
          </w:p>
        </w:tc>
        <w:tc>
          <w:tcPr>
            <w:tcW w:w="357" w:type="dxa"/>
            <w:vAlign w:val="center"/>
          </w:tcPr>
          <w:p w14:paraId="192DC69D"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15</w:t>
            </w:r>
          </w:p>
        </w:tc>
        <w:tc>
          <w:tcPr>
            <w:tcW w:w="683" w:type="dxa"/>
            <w:vAlign w:val="center"/>
          </w:tcPr>
          <w:p w14:paraId="0C293A0C" w14:textId="23717F09" w:rsidR="006E16D8" w:rsidRPr="003A36E3" w:rsidRDefault="00530E72"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6E16D8" w:rsidRPr="003A36E3">
              <w:rPr>
                <w:rFonts w:ascii="Arial" w:eastAsiaTheme="minorEastAsia" w:hAnsi="Arial" w:cs="Arial"/>
                <w:sz w:val="18"/>
                <w:szCs w:val="18"/>
                <w:lang w:val="ro-MD"/>
              </w:rPr>
              <w:t xml:space="preserve"> 2027</w:t>
            </w:r>
          </w:p>
        </w:tc>
        <w:tc>
          <w:tcPr>
            <w:tcW w:w="1061" w:type="dxa"/>
            <w:vAlign w:val="center"/>
          </w:tcPr>
          <w:p w14:paraId="24A49D00" w14:textId="17EFBBC9" w:rsidR="006E16D8" w:rsidRPr="003A36E3" w:rsidRDefault="00432496"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Curtea de Conturi; beneficiarii </w:t>
            </w:r>
            <w:r w:rsidRPr="003A36E3">
              <w:rPr>
                <w:rFonts w:ascii="Arial" w:eastAsiaTheme="minorEastAsia" w:hAnsi="Arial" w:cs="Arial"/>
                <w:sz w:val="18"/>
                <w:szCs w:val="18"/>
                <w:lang w:val="ro-MD"/>
              </w:rPr>
              <w:lastRenderedPageBreak/>
              <w:t>auditurilor ISA</w:t>
            </w:r>
          </w:p>
        </w:tc>
        <w:tc>
          <w:tcPr>
            <w:tcW w:w="4365" w:type="dxa"/>
          </w:tcPr>
          <w:p w14:paraId="7E991213" w14:textId="77777777" w:rsidR="00AE271C" w:rsidRPr="003A36E3" w:rsidRDefault="00AE271C" w:rsidP="00AE271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Funcția de audit extern este consolidată prin audituri de performanță îmbunătățite și o mai bună urmărire a recomandărilor: (i) Ponderea capacității totale de audit a Curții de Conturi dedicată auditurilor de performanță crește la 15 %; (ii) Ponderea </w:t>
            </w:r>
            <w:r w:rsidRPr="003A36E3">
              <w:rPr>
                <w:rFonts w:ascii="Arial" w:eastAsiaTheme="minorEastAsia" w:hAnsi="Arial" w:cs="Arial"/>
                <w:sz w:val="18"/>
                <w:szCs w:val="18"/>
                <w:lang w:val="ro-MD"/>
              </w:rPr>
              <w:lastRenderedPageBreak/>
              <w:t>recomandărilor Curții de Conturi adresate instituțiilor publice auditate pentru toate tipurile de audituri efectuate în 2025 se află pe o tendință pozitivă, cu cel puțin 50 % din recomandări implementate parțial sau integral. (iii) Capacitățile Curții de Conturi sunt consolidate.</w:t>
            </w:r>
          </w:p>
          <w:p w14:paraId="5157594A" w14:textId="77777777" w:rsidR="00AE271C" w:rsidRPr="003A36E3" w:rsidRDefault="00AE271C" w:rsidP="00AE271C">
            <w:pPr>
              <w:spacing w:after="0" w:line="240" w:lineRule="auto"/>
              <w:jc w:val="both"/>
              <w:rPr>
                <w:rFonts w:ascii="Arial" w:eastAsiaTheme="minorEastAsia" w:hAnsi="Arial" w:cs="Arial"/>
                <w:sz w:val="18"/>
                <w:szCs w:val="18"/>
                <w:lang w:val="ro-MD"/>
              </w:rPr>
            </w:pPr>
          </w:p>
          <w:p w14:paraId="461FF2FE" w14:textId="1F0950F7" w:rsidR="006E16D8" w:rsidRPr="003A36E3" w:rsidRDefault="00AE271C" w:rsidP="00AE271C">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2022, ponderea recomandărilor CC realizate în 2021 a fost de 20 % pentru implementarea integrală, 40 % pentru implementarea parțială sau integrală (raportul ISA, raportul de evaluare SIGMA din 2023). În 2024, capacitățile de audit al performanței în cadrul CC sunt foarte limitate.</w:t>
            </w:r>
          </w:p>
        </w:tc>
        <w:tc>
          <w:tcPr>
            <w:tcW w:w="5441" w:type="dxa"/>
          </w:tcPr>
          <w:p w14:paraId="0A4BC0E3" w14:textId="77777777" w:rsidR="00BD7305" w:rsidRPr="003A36E3" w:rsidRDefault="00BD7305" w:rsidP="00BD7305">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Funcția de audit extern este consolidată prin intensificarea auditurilor de performanță și o mai bună urmărire a recomandărilor privind toate tipurile de audit de către instituțiile publice auditate. Ponderea capacității totale de audit a Curții de Conturi dedicată auditurilor de performanță crește la 15% din întreaga capacitate </w:t>
            </w:r>
            <w:r w:rsidRPr="003A36E3">
              <w:rPr>
                <w:rFonts w:ascii="Arial" w:eastAsiaTheme="minorEastAsia" w:hAnsi="Arial" w:cs="Arial"/>
                <w:sz w:val="18"/>
                <w:szCs w:val="18"/>
                <w:lang w:val="ro-MD"/>
              </w:rPr>
              <w:lastRenderedPageBreak/>
              <w:t>de audit. Ponderea recomandărilor Curții de Conturi adresate instituțiilor publice auditate pentru toate tipurile de audituri în 2025 se află pe o tendință pozitivă, cu cel puțin 50 % din recomandări implementate parțial sau integral.</w:t>
            </w:r>
          </w:p>
          <w:p w14:paraId="173370D3" w14:textId="77777777" w:rsidR="00BD7305" w:rsidRPr="003A36E3" w:rsidRDefault="00BD7305" w:rsidP="00BD7305">
            <w:pPr>
              <w:spacing w:after="0" w:line="240" w:lineRule="auto"/>
              <w:jc w:val="both"/>
              <w:rPr>
                <w:rFonts w:ascii="Arial" w:eastAsiaTheme="minorEastAsia" w:hAnsi="Arial" w:cs="Arial"/>
                <w:sz w:val="18"/>
                <w:szCs w:val="18"/>
                <w:lang w:val="ro-MD"/>
              </w:rPr>
            </w:pPr>
          </w:p>
          <w:p w14:paraId="2B7C1683" w14:textId="77777777" w:rsidR="00BD7305" w:rsidRPr="003A36E3" w:rsidRDefault="00BD7305" w:rsidP="00BD7305">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Capacitățile Curții de Conturi sunt consolidate prin intermediul cursurilor de formare oferite pentru a dezvolta recomandări de bună calitate și pentru a avea o colaborare eficientă cu entitățile auditate.</w:t>
            </w:r>
          </w:p>
          <w:p w14:paraId="52785A7C" w14:textId="77777777" w:rsidR="00BD7305" w:rsidRPr="003A36E3" w:rsidRDefault="00BD7305" w:rsidP="00BD7305">
            <w:pPr>
              <w:spacing w:after="0" w:line="240" w:lineRule="auto"/>
              <w:jc w:val="both"/>
              <w:rPr>
                <w:rFonts w:ascii="Arial" w:eastAsiaTheme="minorEastAsia" w:hAnsi="Arial" w:cs="Arial"/>
                <w:sz w:val="18"/>
                <w:szCs w:val="18"/>
                <w:lang w:val="ro-MD"/>
              </w:rPr>
            </w:pPr>
          </w:p>
          <w:p w14:paraId="72B09D00" w14:textId="63F51B5F" w:rsidR="006E16D8" w:rsidRPr="003A36E3" w:rsidRDefault="00BD7305" w:rsidP="00BD7305">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ISA/raportul de activitate al ISA.</w:t>
            </w:r>
          </w:p>
        </w:tc>
      </w:tr>
      <w:bookmarkEnd w:id="4"/>
      <w:tr w:rsidR="006E16D8" w:rsidRPr="003A36E3" w14:paraId="3DC6ED8D" w14:textId="77777777" w:rsidTr="0059048A">
        <w:trPr>
          <w:trHeight w:val="5270"/>
        </w:trPr>
        <w:tc>
          <w:tcPr>
            <w:tcW w:w="851" w:type="dxa"/>
            <w:vAlign w:val="center"/>
          </w:tcPr>
          <w:p w14:paraId="349B73A1" w14:textId="2B3A9FF7" w:rsidR="006E16D8" w:rsidRPr="003A36E3" w:rsidRDefault="00310A4A"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Gestionarea finanțelor publice</w:t>
            </w:r>
          </w:p>
        </w:tc>
        <w:tc>
          <w:tcPr>
            <w:tcW w:w="425" w:type="dxa"/>
            <w:vAlign w:val="center"/>
          </w:tcPr>
          <w:p w14:paraId="4AAFBCC2"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6</w:t>
            </w:r>
          </w:p>
        </w:tc>
        <w:tc>
          <w:tcPr>
            <w:tcW w:w="1276" w:type="dxa"/>
            <w:vAlign w:val="center"/>
          </w:tcPr>
          <w:p w14:paraId="52E92D13" w14:textId="3C4A146F" w:rsidR="006E16D8" w:rsidRPr="003A36E3" w:rsidRDefault="00354B93"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Consolidarea controlului public intern și financiar</w:t>
            </w:r>
          </w:p>
        </w:tc>
        <w:tc>
          <w:tcPr>
            <w:tcW w:w="357" w:type="dxa"/>
            <w:vAlign w:val="center"/>
          </w:tcPr>
          <w:p w14:paraId="5673207F"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16</w:t>
            </w:r>
          </w:p>
        </w:tc>
        <w:tc>
          <w:tcPr>
            <w:tcW w:w="683" w:type="dxa"/>
            <w:vAlign w:val="center"/>
          </w:tcPr>
          <w:p w14:paraId="19B285E0" w14:textId="7BE612D4" w:rsidR="006E16D8" w:rsidRPr="003A36E3" w:rsidRDefault="0059048A" w:rsidP="002F7854">
            <w:pPr>
              <w:spacing w:after="0" w:line="240" w:lineRule="auto"/>
              <w:jc w:val="both"/>
              <w:rPr>
                <w:rFonts w:ascii="Arial" w:eastAsiaTheme="minorEastAsia" w:hAnsi="Arial" w:cs="Arial"/>
                <w:sz w:val="18"/>
                <w:szCs w:val="18"/>
                <w:lang w:val="ro-MD"/>
              </w:rPr>
            </w:pPr>
            <w:r>
              <w:rPr>
                <w:rFonts w:ascii="Arial" w:eastAsiaTheme="minorEastAsia" w:hAnsi="Arial" w:cs="Arial"/>
                <w:sz w:val="18"/>
                <w:szCs w:val="18"/>
                <w:lang w:val="ro-MD"/>
              </w:rPr>
              <w:t>d</w:t>
            </w:r>
            <w:r w:rsidR="00D84E6F" w:rsidRPr="003A36E3">
              <w:rPr>
                <w:rFonts w:ascii="Arial" w:eastAsiaTheme="minorEastAsia" w:hAnsi="Arial" w:cs="Arial"/>
                <w:sz w:val="18"/>
                <w:szCs w:val="18"/>
                <w:lang w:val="ro-MD"/>
              </w:rPr>
              <w:t>ecembrie</w:t>
            </w:r>
            <w:r w:rsidR="006E16D8" w:rsidRPr="003A36E3">
              <w:rPr>
                <w:rFonts w:ascii="Arial" w:eastAsiaTheme="minorEastAsia" w:hAnsi="Arial" w:cs="Arial"/>
                <w:sz w:val="18"/>
                <w:szCs w:val="18"/>
                <w:lang w:val="ro-MD"/>
              </w:rPr>
              <w:t xml:space="preserve"> 2026</w:t>
            </w:r>
          </w:p>
        </w:tc>
        <w:tc>
          <w:tcPr>
            <w:tcW w:w="1061" w:type="dxa"/>
            <w:vAlign w:val="center"/>
          </w:tcPr>
          <w:p w14:paraId="70C69EC4" w14:textId="6D3E2A96" w:rsidR="006E16D8" w:rsidRPr="003A36E3" w:rsidRDefault="001D60E1"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tc>
        <w:tc>
          <w:tcPr>
            <w:tcW w:w="4365" w:type="dxa"/>
          </w:tcPr>
          <w:p w14:paraId="0EC5AE7B" w14:textId="77777777" w:rsidR="006E16D8" w:rsidRPr="003A36E3" w:rsidRDefault="006E16D8" w:rsidP="002F7854">
            <w:pPr>
              <w:spacing w:after="0" w:line="240" w:lineRule="auto"/>
              <w:jc w:val="both"/>
              <w:rPr>
                <w:rFonts w:ascii="Arial" w:eastAsiaTheme="minorEastAsia" w:hAnsi="Arial" w:cs="Arial"/>
                <w:sz w:val="18"/>
                <w:szCs w:val="18"/>
                <w:lang w:val="ro-MD"/>
              </w:rPr>
            </w:pPr>
          </w:p>
          <w:p w14:paraId="4C6B37D6" w14:textId="77777777" w:rsidR="000D2C5E" w:rsidRPr="003A36E3" w:rsidRDefault="000D2C5E" w:rsidP="000D2C5E">
            <w:pPr>
              <w:spacing w:after="0" w:line="240" w:lineRule="auto"/>
              <w:jc w:val="both"/>
              <w:rPr>
                <w:rFonts w:ascii="Arial" w:hAnsi="Arial" w:cs="Arial"/>
                <w:sz w:val="18"/>
                <w:szCs w:val="18"/>
                <w:lang w:val="ro-MD"/>
              </w:rPr>
            </w:pPr>
            <w:r w:rsidRPr="003A36E3">
              <w:rPr>
                <w:rFonts w:ascii="Arial" w:hAnsi="Arial" w:cs="Arial"/>
                <w:sz w:val="18"/>
                <w:szCs w:val="18"/>
                <w:lang w:val="ro-MD"/>
              </w:rPr>
              <w:t>Abordarea gestionării riscurilor în cadrul CFPI este implementată: (i) orientările pentru gestionarea în instituțiile publice de nivel central sunt aliniate la cele mai bune practici ale UE, bazate pe cadrele de gestionare a riscurilor recunoscute la nivel internațional, și implementate în cel puțin 50% din organizațiile utilizatoare de buget de prim nivel (ministere, organisme subordonate, agenții); (ii) instrumentul de gestionare a riscurilor, care sprijină și este aliniat la orientările pentru gestionarea riscurilor, care se bazează pe cele mai bune practici ale UE și pe cadrele de gestionare a riscurilor recunoscute la nivel internațional, integrat în sistemul informatic de monitorizare și raportare a performanței guvernului central (E-monitorizare) este operațional în cel puțin 50% din organismele publice ale guvernului central.</w:t>
            </w:r>
          </w:p>
          <w:p w14:paraId="4849FB1D" w14:textId="77777777" w:rsidR="000D2C5E" w:rsidRPr="003A36E3" w:rsidRDefault="000D2C5E" w:rsidP="000D2C5E">
            <w:pPr>
              <w:spacing w:after="0" w:line="240" w:lineRule="auto"/>
              <w:jc w:val="both"/>
              <w:rPr>
                <w:rFonts w:ascii="Arial" w:hAnsi="Arial" w:cs="Arial"/>
                <w:sz w:val="18"/>
                <w:szCs w:val="18"/>
                <w:lang w:val="ro-MD"/>
              </w:rPr>
            </w:pPr>
          </w:p>
          <w:p w14:paraId="3409E27A" w14:textId="5933505D" w:rsidR="006E16D8" w:rsidRPr="003A36E3" w:rsidRDefault="000D2C5E" w:rsidP="000D2C5E">
            <w:pPr>
              <w:spacing w:after="0" w:line="240" w:lineRule="auto"/>
              <w:jc w:val="both"/>
              <w:rPr>
                <w:rFonts w:ascii="Arial" w:eastAsiaTheme="minorEastAsia" w:hAnsi="Arial" w:cs="Arial"/>
                <w:sz w:val="18"/>
                <w:szCs w:val="18"/>
                <w:lang w:val="ro-MD"/>
              </w:rPr>
            </w:pPr>
            <w:r w:rsidRPr="003A36E3">
              <w:rPr>
                <w:rFonts w:ascii="Arial" w:hAnsi="Arial" w:cs="Arial"/>
                <w:sz w:val="18"/>
                <w:szCs w:val="18"/>
                <w:lang w:val="ro-MD"/>
              </w:rPr>
              <w:t>Linia de referință: În 2024, abordarea gestionării riscurilor nu este utilizată pe scară largă în instituțiile publice de nivel central.</w:t>
            </w:r>
          </w:p>
        </w:tc>
        <w:tc>
          <w:tcPr>
            <w:tcW w:w="5441" w:type="dxa"/>
          </w:tcPr>
          <w:p w14:paraId="7A4231F7" w14:textId="77777777" w:rsidR="006E16D8" w:rsidRPr="003A36E3" w:rsidRDefault="006E16D8" w:rsidP="002F7854">
            <w:pPr>
              <w:spacing w:after="0" w:line="240" w:lineRule="auto"/>
              <w:jc w:val="both"/>
              <w:rPr>
                <w:rFonts w:ascii="Arial" w:eastAsiaTheme="minorEastAsia" w:hAnsi="Arial" w:cs="Arial"/>
                <w:sz w:val="18"/>
                <w:szCs w:val="18"/>
                <w:lang w:val="ro-MD"/>
              </w:rPr>
            </w:pPr>
          </w:p>
          <w:p w14:paraId="46315367" w14:textId="0FEC5D89" w:rsidR="00E43735" w:rsidRPr="003A36E3" w:rsidRDefault="00E43735" w:rsidP="00E43735">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(i) Orientările privind gestionarea riscurilor sunt îmbunătățite în conformitate cu cele mai bune practici ale UE și cu cadrele de gestionare a riscurilor recunoscute la nivel internațional și se realizează cel puțin un exercițiu pilot într-un organism public central (minister/agenție) privind punerea în aplicare a orientărilor. Rezultatele exercițiilor pilot sunt utilizate pentru a desfășura implementarea practică a ghidului la nivelul administrației publice centrale (ministere, </w:t>
            </w:r>
            <w:r w:rsidR="00E3783D" w:rsidRPr="003A36E3">
              <w:rPr>
                <w:rFonts w:ascii="Arial" w:hAnsi="Arial" w:cs="Arial"/>
                <w:sz w:val="18"/>
                <w:szCs w:val="18"/>
                <w:lang w:val="ro-MD"/>
              </w:rPr>
              <w:t>organisme subordonate</w:t>
            </w:r>
            <w:r w:rsidRPr="003A36E3">
              <w:rPr>
                <w:rFonts w:ascii="Arial" w:hAnsi="Arial" w:cs="Arial"/>
                <w:sz w:val="18"/>
                <w:szCs w:val="18"/>
                <w:lang w:val="ro-MD"/>
              </w:rPr>
              <w:t>, agenții).</w:t>
            </w:r>
          </w:p>
          <w:p w14:paraId="6D596816" w14:textId="727FB1A1" w:rsidR="00E43735" w:rsidRPr="003A36E3" w:rsidRDefault="00E43735" w:rsidP="00E43735">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(ii) Instrumentul de gestionare a riscurilor este integrat în cadrul sistemului informatic de monitorizare și raportare a performanței administrației publice centrale (E-monitorizare) în cel puțin 50% din organismele publice ale administrației publice centrale (ministere, </w:t>
            </w:r>
            <w:r w:rsidR="0099359F" w:rsidRPr="003A36E3">
              <w:rPr>
                <w:rFonts w:ascii="Arial" w:hAnsi="Arial" w:cs="Arial"/>
                <w:sz w:val="18"/>
                <w:szCs w:val="18"/>
                <w:lang w:val="ro-MD"/>
              </w:rPr>
              <w:t xml:space="preserve">organisme subordonate </w:t>
            </w:r>
            <w:r w:rsidRPr="003A36E3">
              <w:rPr>
                <w:rFonts w:ascii="Arial" w:hAnsi="Arial" w:cs="Arial"/>
                <w:sz w:val="18"/>
                <w:szCs w:val="18"/>
                <w:lang w:val="ro-MD"/>
              </w:rPr>
              <w:t>și agenții).</w:t>
            </w:r>
          </w:p>
          <w:p w14:paraId="19FB13BF" w14:textId="77777777" w:rsidR="00E43735" w:rsidRPr="003A36E3" w:rsidRDefault="00E43735" w:rsidP="00E43735">
            <w:pPr>
              <w:spacing w:after="0" w:line="240" w:lineRule="auto"/>
              <w:jc w:val="both"/>
              <w:rPr>
                <w:rFonts w:ascii="Arial" w:hAnsi="Arial" w:cs="Arial"/>
                <w:sz w:val="18"/>
                <w:szCs w:val="18"/>
                <w:lang w:val="ro-MD"/>
              </w:rPr>
            </w:pPr>
          </w:p>
          <w:p w14:paraId="503154B0" w14:textId="25B02448" w:rsidR="00E43735" w:rsidRPr="003A36E3" w:rsidRDefault="00E43735" w:rsidP="00E43735">
            <w:pPr>
              <w:spacing w:after="0" w:line="240" w:lineRule="auto"/>
              <w:jc w:val="both"/>
              <w:rPr>
                <w:rFonts w:ascii="Arial" w:hAnsi="Arial" w:cs="Arial"/>
                <w:sz w:val="18"/>
                <w:szCs w:val="18"/>
                <w:lang w:val="ro-MD"/>
              </w:rPr>
            </w:pPr>
            <w:r w:rsidRPr="003A36E3">
              <w:rPr>
                <w:rFonts w:ascii="Arial" w:hAnsi="Arial" w:cs="Arial"/>
                <w:sz w:val="18"/>
                <w:szCs w:val="18"/>
                <w:lang w:val="ro-MD"/>
              </w:rPr>
              <w:t xml:space="preserve">Sursa de verificare: </w:t>
            </w:r>
            <w:r w:rsidR="00CE1E75">
              <w:rPr>
                <w:rFonts w:ascii="Arial" w:hAnsi="Arial" w:cs="Arial"/>
                <w:sz w:val="18"/>
                <w:szCs w:val="18"/>
                <w:lang w:val="ro-MD"/>
              </w:rPr>
              <w:t>pagina</w:t>
            </w:r>
            <w:r w:rsidRPr="003A36E3">
              <w:rPr>
                <w:rFonts w:ascii="Arial" w:hAnsi="Arial" w:cs="Arial"/>
                <w:sz w:val="18"/>
                <w:szCs w:val="18"/>
                <w:lang w:val="ro-MD"/>
              </w:rPr>
              <w:t xml:space="preserve"> web/raportul Cancelariei de Stat  </w:t>
            </w:r>
          </w:p>
          <w:p w14:paraId="04B4D1FC" w14:textId="0F8AB6A9" w:rsidR="006E16D8" w:rsidRPr="003A36E3" w:rsidRDefault="00E43735" w:rsidP="00E43735">
            <w:pPr>
              <w:spacing w:after="0" w:line="240" w:lineRule="auto"/>
              <w:jc w:val="both"/>
              <w:rPr>
                <w:rFonts w:ascii="Arial" w:eastAsiaTheme="minorEastAsia" w:hAnsi="Arial" w:cs="Arial"/>
                <w:sz w:val="18"/>
                <w:szCs w:val="18"/>
                <w:lang w:val="ro-MD"/>
              </w:rPr>
            </w:pPr>
            <w:r w:rsidRPr="003A36E3">
              <w:rPr>
                <w:rFonts w:ascii="Arial" w:hAnsi="Arial" w:cs="Arial"/>
                <w:sz w:val="18"/>
                <w:szCs w:val="18"/>
                <w:lang w:val="ro-MD"/>
              </w:rPr>
              <w:t>Raportul anual consolidat al CFPI</w:t>
            </w:r>
          </w:p>
        </w:tc>
      </w:tr>
      <w:tr w:rsidR="006E16D8" w:rsidRPr="00BD0643" w14:paraId="0E5CE832" w14:textId="77777777" w:rsidTr="0059048A">
        <w:trPr>
          <w:trHeight w:val="300"/>
        </w:trPr>
        <w:tc>
          <w:tcPr>
            <w:tcW w:w="851" w:type="dxa"/>
            <w:vAlign w:val="center"/>
          </w:tcPr>
          <w:p w14:paraId="1393FD5D" w14:textId="332B9A78" w:rsidR="006E16D8" w:rsidRPr="003A36E3" w:rsidRDefault="00310A4A"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Gestionarea finanțelor publice</w:t>
            </w:r>
          </w:p>
        </w:tc>
        <w:tc>
          <w:tcPr>
            <w:tcW w:w="425" w:type="dxa"/>
            <w:vAlign w:val="center"/>
          </w:tcPr>
          <w:p w14:paraId="2F6B82AC"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7</w:t>
            </w:r>
          </w:p>
        </w:tc>
        <w:tc>
          <w:tcPr>
            <w:tcW w:w="1276" w:type="dxa"/>
            <w:vAlign w:val="center"/>
          </w:tcPr>
          <w:p w14:paraId="4A80C891" w14:textId="76A63C3A" w:rsidR="006E16D8" w:rsidRPr="003A36E3" w:rsidRDefault="00855E7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Consolidarea sistemelor publice de control intern </w:t>
            </w:r>
            <w:r w:rsidRPr="003A36E3">
              <w:rPr>
                <w:rFonts w:ascii="Arial" w:eastAsiaTheme="minorEastAsia" w:hAnsi="Arial" w:cs="Arial"/>
                <w:sz w:val="18"/>
                <w:szCs w:val="18"/>
                <w:lang w:val="ro-MD"/>
              </w:rPr>
              <w:lastRenderedPageBreak/>
              <w:t>și financiar și de audit</w:t>
            </w:r>
          </w:p>
        </w:tc>
        <w:tc>
          <w:tcPr>
            <w:tcW w:w="357" w:type="dxa"/>
            <w:vAlign w:val="center"/>
          </w:tcPr>
          <w:p w14:paraId="499B3279"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17</w:t>
            </w:r>
          </w:p>
        </w:tc>
        <w:tc>
          <w:tcPr>
            <w:tcW w:w="683" w:type="dxa"/>
            <w:vAlign w:val="center"/>
          </w:tcPr>
          <w:p w14:paraId="61EC36F4" w14:textId="4BFA7E18" w:rsidR="006E16D8" w:rsidRPr="003A36E3" w:rsidRDefault="00D8061F"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6E16D8" w:rsidRPr="003A36E3">
              <w:rPr>
                <w:rFonts w:ascii="Arial" w:eastAsiaTheme="minorEastAsia" w:hAnsi="Arial" w:cs="Arial"/>
                <w:sz w:val="18"/>
                <w:szCs w:val="18"/>
                <w:lang w:val="ro-MD"/>
              </w:rPr>
              <w:t xml:space="preserve"> 2027 </w:t>
            </w:r>
          </w:p>
        </w:tc>
        <w:tc>
          <w:tcPr>
            <w:tcW w:w="1061" w:type="dxa"/>
            <w:vAlign w:val="center"/>
          </w:tcPr>
          <w:p w14:paraId="3E05172B" w14:textId="7B410CD8" w:rsidR="006E16D8" w:rsidRPr="003A36E3" w:rsidRDefault="001D60E1"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tc>
        <w:tc>
          <w:tcPr>
            <w:tcW w:w="4365" w:type="dxa"/>
          </w:tcPr>
          <w:p w14:paraId="7B4543D7" w14:textId="77777777" w:rsidR="007F77D5" w:rsidRPr="003A36E3" w:rsidRDefault="007F77D5" w:rsidP="007F77D5">
            <w:pPr>
              <w:spacing w:before="240"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Sistemul de control financiar public intern este consolidat: (i) Mandatul Consiliului CFPI este consolidat prin creșterea capacităților de supraveghere privind funcționarea independentă a </w:t>
            </w:r>
            <w:r w:rsidRPr="003A36E3">
              <w:rPr>
                <w:rFonts w:ascii="Arial" w:eastAsiaTheme="minorEastAsia" w:hAnsi="Arial" w:cs="Arial"/>
                <w:sz w:val="18"/>
                <w:szCs w:val="18"/>
                <w:lang w:val="ro-MD"/>
              </w:rPr>
              <w:lastRenderedPageBreak/>
              <w:t>activității de audit intern. (ii) Capacitatea și resursele UAC sunt consolidate, inclusiv prin creșterea numărului de angajați ai UAC, iar instrumentul IT de raportare CFPI este extins la administrațiile locale; (iii) rețeaua de coordonatori ai controlului intern este extinsă la administrațiile publice locale.</w:t>
            </w:r>
          </w:p>
          <w:p w14:paraId="42B4E5BF" w14:textId="2B488D96" w:rsidR="006E16D8" w:rsidRPr="003A36E3" w:rsidRDefault="007F77D5" w:rsidP="007F77D5">
            <w:pPr>
              <w:spacing w:before="240"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Personalul UAC în 2024 a fost în număr de 7. Independență limitată a supravegherii auditului intern. Nu există un instrument IT de monitorizare și raportare pentru supravegherea administrațiilor publice locale de către UAC.</w:t>
            </w:r>
          </w:p>
        </w:tc>
        <w:tc>
          <w:tcPr>
            <w:tcW w:w="5441" w:type="dxa"/>
          </w:tcPr>
          <w:p w14:paraId="15FEEF93" w14:textId="77777777" w:rsidR="00C7653B" w:rsidRPr="003A36E3" w:rsidRDefault="00C7653B" w:rsidP="00C7653B">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(i) Organizarea și regulamentul Consiliului CFPI sunt revizuite, prin extinderea mandatului acestuia privind capacitățile de supraveghere a independenței funcției de audit intern. Acest lucru se referă în special la asigurarea faptului că auditul intern poate </w:t>
            </w:r>
            <w:r w:rsidRPr="003A36E3">
              <w:rPr>
                <w:rFonts w:ascii="Arial" w:eastAsiaTheme="minorEastAsia" w:hAnsi="Arial" w:cs="Arial"/>
                <w:sz w:val="18"/>
                <w:szCs w:val="18"/>
                <w:lang w:val="ro-MD"/>
              </w:rPr>
              <w:lastRenderedPageBreak/>
              <w:t>funcționa fără influențe nejustificate și poate evalua în mod obiectiv sistemele publice de gestionare și control.</w:t>
            </w:r>
          </w:p>
          <w:p w14:paraId="7039A8C6" w14:textId="77777777" w:rsidR="00C7653B" w:rsidRPr="003A36E3" w:rsidRDefault="00C7653B" w:rsidP="00C7653B">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(ii) Capacitățile UAC sunt sporite, inclusiv prin creșterea personalului UAC la cel puțin 10 persoane. Instrumentul IT de raportare al CFPI este extins la administrațiile locale cu peste 50.000 de locuitori;</w:t>
            </w:r>
          </w:p>
          <w:p w14:paraId="6F0CB3FB" w14:textId="77777777" w:rsidR="00C7653B" w:rsidRPr="003A36E3" w:rsidRDefault="00C7653B" w:rsidP="00C7653B">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(iii) Rețeaua de coordonatori ai controlului intern este extinsă la administrațiile publice locale (orașe și autorități/raioane de nivelul al doilea).</w:t>
            </w:r>
          </w:p>
          <w:p w14:paraId="55618E5B" w14:textId="77777777" w:rsidR="00C7653B" w:rsidRPr="003A36E3" w:rsidRDefault="00C7653B" w:rsidP="00C7653B">
            <w:pPr>
              <w:spacing w:after="0" w:line="257" w:lineRule="auto"/>
              <w:jc w:val="both"/>
              <w:rPr>
                <w:rFonts w:ascii="Arial" w:eastAsiaTheme="minorEastAsia" w:hAnsi="Arial" w:cs="Arial"/>
                <w:sz w:val="18"/>
                <w:szCs w:val="18"/>
                <w:lang w:val="ro-MD"/>
              </w:rPr>
            </w:pPr>
          </w:p>
          <w:p w14:paraId="2D3FD228" w14:textId="0B22BDA3" w:rsidR="006E16D8" w:rsidRPr="003A36E3" w:rsidRDefault="00C7653B" w:rsidP="00C7653B">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MF, rapoartele MF; raportul de activitate al Consiliului CFPI</w:t>
            </w:r>
          </w:p>
        </w:tc>
      </w:tr>
      <w:tr w:rsidR="006E16D8" w:rsidRPr="00BD0643" w14:paraId="783CF90A" w14:textId="77777777" w:rsidTr="0059048A">
        <w:trPr>
          <w:trHeight w:val="300"/>
        </w:trPr>
        <w:tc>
          <w:tcPr>
            <w:tcW w:w="851" w:type="dxa"/>
            <w:vAlign w:val="center"/>
          </w:tcPr>
          <w:p w14:paraId="673D7746" w14:textId="51F8449A" w:rsidR="006E16D8" w:rsidRPr="003A36E3" w:rsidRDefault="00310A4A" w:rsidP="002F7854">
            <w:pPr>
              <w:spacing w:after="0" w:line="240" w:lineRule="auto"/>
              <w:jc w:val="both"/>
              <w:rPr>
                <w:rStyle w:val="eop"/>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Gestionarea finanțelor publice</w:t>
            </w:r>
            <w:r w:rsidRPr="003A36E3">
              <w:rPr>
                <w:rStyle w:val="eop"/>
                <w:rFonts w:ascii="Arial" w:eastAsiaTheme="minorEastAsia" w:hAnsi="Arial" w:cs="Arial"/>
                <w:sz w:val="18"/>
                <w:szCs w:val="18"/>
                <w:lang w:val="ro-MD"/>
              </w:rPr>
              <w:t xml:space="preserve"> </w:t>
            </w:r>
          </w:p>
        </w:tc>
        <w:tc>
          <w:tcPr>
            <w:tcW w:w="425" w:type="dxa"/>
            <w:vAlign w:val="center"/>
          </w:tcPr>
          <w:p w14:paraId="3C15A620"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8</w:t>
            </w:r>
          </w:p>
        </w:tc>
        <w:tc>
          <w:tcPr>
            <w:tcW w:w="1276" w:type="dxa"/>
            <w:vAlign w:val="center"/>
          </w:tcPr>
          <w:p w14:paraId="2592F078" w14:textId="1ED7DA5C" w:rsidR="006E16D8" w:rsidRPr="003A36E3" w:rsidRDefault="00E212B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Măsuri antifraudă și protecția intereselor financiare ale UE</w:t>
            </w:r>
          </w:p>
        </w:tc>
        <w:tc>
          <w:tcPr>
            <w:tcW w:w="357" w:type="dxa"/>
            <w:vAlign w:val="center"/>
          </w:tcPr>
          <w:p w14:paraId="111FF314"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18</w:t>
            </w:r>
          </w:p>
        </w:tc>
        <w:tc>
          <w:tcPr>
            <w:tcW w:w="683" w:type="dxa"/>
            <w:vAlign w:val="center"/>
          </w:tcPr>
          <w:p w14:paraId="11BD04AF" w14:textId="62AAD4E3" w:rsidR="006E16D8" w:rsidRPr="003A36E3" w:rsidRDefault="0059048A" w:rsidP="002F7854">
            <w:pPr>
              <w:spacing w:after="0" w:line="240" w:lineRule="auto"/>
              <w:jc w:val="both"/>
              <w:rPr>
                <w:rFonts w:ascii="Arial" w:eastAsiaTheme="minorEastAsia" w:hAnsi="Arial" w:cs="Arial"/>
                <w:sz w:val="18"/>
                <w:szCs w:val="18"/>
                <w:lang w:val="ro-MD"/>
              </w:rPr>
            </w:pPr>
            <w:r>
              <w:rPr>
                <w:rFonts w:ascii="Arial" w:eastAsiaTheme="minorEastAsia" w:hAnsi="Arial" w:cs="Arial"/>
                <w:sz w:val="18"/>
                <w:szCs w:val="18"/>
                <w:lang w:val="ro-MD"/>
              </w:rPr>
              <w:t>d</w:t>
            </w:r>
            <w:r w:rsidR="00D84E6F" w:rsidRPr="003A36E3">
              <w:rPr>
                <w:rFonts w:ascii="Arial" w:eastAsiaTheme="minorEastAsia" w:hAnsi="Arial" w:cs="Arial"/>
                <w:sz w:val="18"/>
                <w:szCs w:val="18"/>
                <w:lang w:val="ro-MD"/>
              </w:rPr>
              <w:t>ecembrie</w:t>
            </w:r>
            <w:r w:rsidR="006E16D8" w:rsidRPr="003A36E3">
              <w:rPr>
                <w:rFonts w:ascii="Arial" w:eastAsiaTheme="minorEastAsia" w:hAnsi="Arial" w:cs="Arial"/>
                <w:sz w:val="18"/>
                <w:szCs w:val="18"/>
                <w:lang w:val="ro-MD"/>
              </w:rPr>
              <w:t xml:space="preserve"> 2025</w:t>
            </w:r>
          </w:p>
        </w:tc>
        <w:tc>
          <w:tcPr>
            <w:tcW w:w="1061" w:type="dxa"/>
            <w:vAlign w:val="center"/>
          </w:tcPr>
          <w:p w14:paraId="1B696CD1" w14:textId="39721D0B" w:rsidR="006E16D8" w:rsidRPr="003A36E3" w:rsidRDefault="001D60E1"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tc>
        <w:tc>
          <w:tcPr>
            <w:tcW w:w="4365" w:type="dxa"/>
          </w:tcPr>
          <w:p w14:paraId="707133AA" w14:textId="77777777" w:rsidR="009622C0" w:rsidRPr="003A36E3" w:rsidRDefault="009622C0" w:rsidP="009622C0">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Rețeaua AFCOS este creată și pusă în aplicare prin desemnarea oficială a coordonatorului național AFCOS, modificarea cadrului de reglementare în vederea înființării Platformei de coordonare antifraudă și semnarea acordurilor relevante între instituțiile publice naționale din MD care participă la protecția intereselor financiare ale UE.</w:t>
            </w:r>
          </w:p>
          <w:p w14:paraId="41D7E589" w14:textId="77777777" w:rsidR="009622C0" w:rsidRPr="003A36E3" w:rsidRDefault="009622C0" w:rsidP="009622C0">
            <w:pPr>
              <w:spacing w:after="0" w:line="257" w:lineRule="auto"/>
              <w:jc w:val="both"/>
              <w:rPr>
                <w:rFonts w:ascii="Arial" w:eastAsiaTheme="minorEastAsia" w:hAnsi="Arial" w:cs="Arial"/>
                <w:sz w:val="18"/>
                <w:szCs w:val="18"/>
                <w:lang w:val="ro-MD"/>
              </w:rPr>
            </w:pPr>
          </w:p>
          <w:p w14:paraId="128D9E73" w14:textId="77777777" w:rsidR="009622C0" w:rsidRPr="003A36E3" w:rsidRDefault="009622C0" w:rsidP="009622C0">
            <w:pPr>
              <w:spacing w:after="0" w:line="257" w:lineRule="auto"/>
              <w:jc w:val="both"/>
              <w:rPr>
                <w:rFonts w:ascii="Arial" w:eastAsiaTheme="minorEastAsia" w:hAnsi="Arial" w:cs="Arial"/>
                <w:sz w:val="18"/>
                <w:szCs w:val="18"/>
                <w:lang w:val="ro-MD"/>
              </w:rPr>
            </w:pPr>
          </w:p>
          <w:p w14:paraId="582CDA51" w14:textId="5E0467E9" w:rsidR="006E16D8" w:rsidRPr="003A36E3" w:rsidRDefault="009622C0" w:rsidP="009622C0">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Din decembrie 2024, rețeaua AFCOS nu este instituită.</w:t>
            </w:r>
          </w:p>
        </w:tc>
        <w:tc>
          <w:tcPr>
            <w:tcW w:w="5441" w:type="dxa"/>
          </w:tcPr>
          <w:p w14:paraId="5F2A7682" w14:textId="77777777" w:rsidR="000462AA" w:rsidRPr="003A36E3" w:rsidRDefault="000462AA" w:rsidP="000462AA">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 Se adoptă Hotărârea de Guvern pentru atribuirea Inspectoratului de Stat pentru Control Financiar a rolului de Autoritate Națională de Coordonare Antifraudă, ceea ce va conferi Inspectoratului de Stat pentru Control Financiar atât responsabilități sporite, cât și drepturi în contextul programelor de cooperare transfrontalieră. Această modificare facilitează o colaborare mai eficientă între instituțiile implicate, cu scopul de a consolida mecanismele de prevenire și combatere a fraudei.</w:t>
            </w:r>
          </w:p>
          <w:p w14:paraId="7B1138AF" w14:textId="77777777" w:rsidR="000462AA" w:rsidRPr="003A36E3" w:rsidRDefault="000462AA" w:rsidP="000462AA">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(ii) Se adoptă Hotărârea de Guvern care reglementează cadrul instituțional și punerea în aplicare a mecanismului de funcționare a sistemului de coordonare antifraudă (AFCOS);</w:t>
            </w:r>
          </w:p>
          <w:p w14:paraId="5EB87B26" w14:textId="77777777" w:rsidR="000462AA" w:rsidRPr="003A36E3" w:rsidRDefault="000462AA" w:rsidP="000462AA">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(iii) Se semnează Acorduri de cooperare între autoritățile publice competente din MD care participă la protecția intereselor financiare ale UE.</w:t>
            </w:r>
          </w:p>
          <w:p w14:paraId="66593818" w14:textId="77777777" w:rsidR="000462AA" w:rsidRPr="003A36E3" w:rsidRDefault="000462AA" w:rsidP="000462AA">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w:t>
            </w:r>
          </w:p>
          <w:p w14:paraId="1245C64A" w14:textId="07C9E204" w:rsidR="006E16D8" w:rsidRPr="003A36E3" w:rsidRDefault="000462AA" w:rsidP="000462AA">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Portalul guvernamental pentru hotărâri de guvern;</w:t>
            </w:r>
          </w:p>
        </w:tc>
      </w:tr>
      <w:tr w:rsidR="006E16D8" w:rsidRPr="003A36E3" w14:paraId="402C3B3F" w14:textId="77777777" w:rsidTr="0059048A">
        <w:trPr>
          <w:trHeight w:val="2972"/>
        </w:trPr>
        <w:tc>
          <w:tcPr>
            <w:tcW w:w="851" w:type="dxa"/>
            <w:vAlign w:val="center"/>
          </w:tcPr>
          <w:p w14:paraId="4573305B" w14:textId="7517BFE5" w:rsidR="006E16D8" w:rsidRPr="003A36E3" w:rsidRDefault="009F2151"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Gestionarea finanțelor publice </w:t>
            </w:r>
          </w:p>
        </w:tc>
        <w:tc>
          <w:tcPr>
            <w:tcW w:w="425" w:type="dxa"/>
            <w:vAlign w:val="center"/>
          </w:tcPr>
          <w:p w14:paraId="6F12F151"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8</w:t>
            </w:r>
          </w:p>
        </w:tc>
        <w:tc>
          <w:tcPr>
            <w:tcW w:w="1276" w:type="dxa"/>
            <w:vAlign w:val="center"/>
          </w:tcPr>
          <w:p w14:paraId="2C6AC316" w14:textId="7747250C" w:rsidR="006E16D8" w:rsidRPr="003A36E3" w:rsidRDefault="00894EB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Măsuri antifraudă și protecția intereselor financiare ale UE </w:t>
            </w:r>
          </w:p>
        </w:tc>
        <w:tc>
          <w:tcPr>
            <w:tcW w:w="357" w:type="dxa"/>
            <w:vAlign w:val="center"/>
          </w:tcPr>
          <w:p w14:paraId="16CAE7EE"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19</w:t>
            </w:r>
          </w:p>
        </w:tc>
        <w:tc>
          <w:tcPr>
            <w:tcW w:w="683" w:type="dxa"/>
            <w:vAlign w:val="center"/>
          </w:tcPr>
          <w:p w14:paraId="01304D23" w14:textId="36695176" w:rsidR="006E16D8" w:rsidRPr="003A36E3" w:rsidRDefault="0059048A" w:rsidP="002F7854">
            <w:pPr>
              <w:spacing w:after="0" w:line="240" w:lineRule="auto"/>
              <w:jc w:val="both"/>
              <w:rPr>
                <w:rFonts w:ascii="Arial" w:eastAsiaTheme="minorEastAsia" w:hAnsi="Arial" w:cs="Arial"/>
                <w:sz w:val="18"/>
                <w:szCs w:val="18"/>
                <w:lang w:val="ro-MD"/>
              </w:rPr>
            </w:pPr>
            <w:r>
              <w:rPr>
                <w:rFonts w:ascii="Arial" w:eastAsiaTheme="minorEastAsia" w:hAnsi="Arial" w:cs="Arial"/>
                <w:sz w:val="18"/>
                <w:szCs w:val="18"/>
                <w:lang w:val="ro-MD"/>
              </w:rPr>
              <w:t>d</w:t>
            </w:r>
            <w:r w:rsidR="00D84E6F" w:rsidRPr="003A36E3">
              <w:rPr>
                <w:rFonts w:ascii="Arial" w:eastAsiaTheme="minorEastAsia" w:hAnsi="Arial" w:cs="Arial"/>
                <w:sz w:val="18"/>
                <w:szCs w:val="18"/>
                <w:lang w:val="ro-MD"/>
              </w:rPr>
              <w:t>ecembrie</w:t>
            </w:r>
            <w:r w:rsidR="006E16D8" w:rsidRPr="003A36E3">
              <w:rPr>
                <w:rFonts w:ascii="Arial" w:eastAsiaTheme="minorEastAsia" w:hAnsi="Arial" w:cs="Arial"/>
                <w:sz w:val="18"/>
                <w:szCs w:val="18"/>
                <w:lang w:val="ro-MD"/>
              </w:rPr>
              <w:t xml:space="preserve"> 2026</w:t>
            </w:r>
          </w:p>
        </w:tc>
        <w:tc>
          <w:tcPr>
            <w:tcW w:w="1061" w:type="dxa"/>
            <w:vAlign w:val="center"/>
          </w:tcPr>
          <w:p w14:paraId="250E2B31" w14:textId="062818C2" w:rsidR="006E16D8" w:rsidRPr="003A36E3" w:rsidRDefault="001D60E1"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Ministerul Finanțelor </w:t>
            </w:r>
          </w:p>
        </w:tc>
        <w:tc>
          <w:tcPr>
            <w:tcW w:w="4365" w:type="dxa"/>
          </w:tcPr>
          <w:p w14:paraId="7EE89F14" w14:textId="77777777" w:rsidR="00366CBE" w:rsidRPr="003A36E3" w:rsidRDefault="00366CBE" w:rsidP="00366CBE">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 Se adoptă un cadru strategic multianual antifraudă. Acesta include un plan de acțiune cuprinzător aliniat la orientările stabilite de Oficiul European de Luptă Antifraudă (OLAF) pentru strategiile naționale antifraudă.</w:t>
            </w:r>
          </w:p>
          <w:p w14:paraId="3D2BCE62" w14:textId="77777777" w:rsidR="00366CBE" w:rsidRPr="003A36E3" w:rsidRDefault="00366CBE" w:rsidP="00366CBE">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(ii) Este adoptată metodologia de gestionare/investigare a neregulilor și a fraudei, asigurându-se o abordare structurată și coerentă a raportării acestor cazuri.  Noua metodologie este pilotată în cel puțin 2 autorități publice care utilizează fonduri UE și apoi implementată la nivel național.</w:t>
            </w:r>
          </w:p>
          <w:p w14:paraId="549952DA" w14:textId="77777777" w:rsidR="00366CBE" w:rsidRPr="003A36E3" w:rsidRDefault="00366CBE" w:rsidP="00366CBE">
            <w:pPr>
              <w:spacing w:after="0" w:line="240" w:lineRule="auto"/>
              <w:jc w:val="both"/>
              <w:rPr>
                <w:rFonts w:ascii="Arial" w:eastAsiaTheme="minorEastAsia" w:hAnsi="Arial" w:cs="Arial"/>
                <w:sz w:val="18"/>
                <w:szCs w:val="18"/>
                <w:lang w:val="ro-MD"/>
              </w:rPr>
            </w:pPr>
          </w:p>
          <w:p w14:paraId="50494775" w14:textId="190C5974" w:rsidR="006E16D8" w:rsidRPr="003A36E3" w:rsidRDefault="00366CBE" w:rsidP="00366CBE">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strategia antifraudă și metodologia de gestionare/ investigare a neregulilor și a fraudei nu sunt aliniate la orientările OLAF.</w:t>
            </w:r>
          </w:p>
        </w:tc>
        <w:tc>
          <w:tcPr>
            <w:tcW w:w="5441" w:type="dxa"/>
          </w:tcPr>
          <w:p w14:paraId="26472FF8" w14:textId="06E61842" w:rsidR="006E16D8" w:rsidRPr="003A36E3" w:rsidRDefault="00866546" w:rsidP="002F7854">
            <w:pPr>
              <w:spacing w:before="240"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(i) Cadrul strategic național pe termen mediu pentru protecția intereselor financiare ale UE este adoptat și pus în aplicare cu garanții solide împotriva fraudei și deturnării de fonduri. Acest cadru include un plan de acțiune cuprinzător, aliniat la orientările stabilite de Oficiul European de Luptă Antifraudă (OLAF) pentru strategiile naționale antifraudă. </w:t>
            </w:r>
            <w:r w:rsidR="006E16D8" w:rsidRPr="003A36E3">
              <w:rPr>
                <w:rFonts w:ascii="Arial" w:eastAsiaTheme="minorEastAsia" w:hAnsi="Arial" w:cs="Arial"/>
                <w:sz w:val="18"/>
                <w:szCs w:val="18"/>
                <w:lang w:val="ro-MD"/>
              </w:rPr>
              <w:t xml:space="preserve"> </w:t>
            </w:r>
          </w:p>
          <w:p w14:paraId="1407F61E" w14:textId="6FD5F29F" w:rsidR="006E16D8" w:rsidRPr="003A36E3" w:rsidRDefault="00866546" w:rsidP="002F7854">
            <w:pPr>
              <w:spacing w:before="240"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(ii) Metodologia de gestionare/ investigare a fraudelor și neregulilor este aprobată prin ordin al MF și pusă la dispoziția ministerelor de resort pentru a fi pusă în aplicare. </w:t>
            </w:r>
            <w:r w:rsidR="006E16D8" w:rsidRPr="003A36E3">
              <w:rPr>
                <w:rFonts w:ascii="Arial" w:eastAsiaTheme="minorEastAsia" w:hAnsi="Arial" w:cs="Arial"/>
                <w:sz w:val="18"/>
                <w:szCs w:val="18"/>
                <w:lang w:val="ro-MD"/>
              </w:rPr>
              <w:t xml:space="preserve"> </w:t>
            </w:r>
          </w:p>
          <w:p w14:paraId="10799925" w14:textId="77777777" w:rsidR="006E16D8" w:rsidRPr="003A36E3" w:rsidRDefault="006E16D8" w:rsidP="002F7854">
            <w:pPr>
              <w:spacing w:after="0" w:line="240" w:lineRule="auto"/>
              <w:jc w:val="both"/>
              <w:rPr>
                <w:rFonts w:ascii="Arial" w:eastAsiaTheme="minorEastAsia" w:hAnsi="Arial" w:cs="Arial"/>
                <w:sz w:val="18"/>
                <w:szCs w:val="18"/>
                <w:lang w:val="ro-MD"/>
              </w:rPr>
            </w:pPr>
          </w:p>
          <w:p w14:paraId="23F4D56B" w14:textId="5F1CB507" w:rsidR="006E16D8" w:rsidRPr="003A36E3" w:rsidRDefault="0051390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Monitorul Oficial,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Ministerului Finanțelor; Strategia este partajată cu serviciile Comisiei (OLAF/ENEST).</w:t>
            </w:r>
          </w:p>
        </w:tc>
      </w:tr>
      <w:tr w:rsidR="006E16D8" w:rsidRPr="00BD0643" w14:paraId="7452F0F5" w14:textId="77777777" w:rsidTr="0059048A">
        <w:trPr>
          <w:trHeight w:val="279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E6BFD" w14:textId="37CDC23E" w:rsidR="006E16D8" w:rsidRPr="003A36E3" w:rsidRDefault="009F2151"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Gestionarea finanțelor publice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1A9CB" w14:textId="77777777" w:rsidR="006E16D8" w:rsidRPr="003A36E3" w:rsidRDefault="006E16D8"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FF75A" w14:textId="3C7722E4" w:rsidR="006E16D8" w:rsidRPr="003A36E3" w:rsidRDefault="00894EB5"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Măsuri antifraudă și protecția intereselor financiare ale UE </w:t>
            </w: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0DC6A" w14:textId="77777777" w:rsidR="006E16D8" w:rsidRPr="003A36E3" w:rsidRDefault="006E16D8"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20</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48223" w14:textId="0E66983F" w:rsidR="006E16D8" w:rsidRPr="003A36E3" w:rsidRDefault="0059048A" w:rsidP="002F7854">
            <w:pPr>
              <w:spacing w:line="240" w:lineRule="auto"/>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6E16D8" w:rsidRPr="003A36E3">
              <w:rPr>
                <w:rFonts w:ascii="Arial" w:eastAsiaTheme="minorEastAsia" w:hAnsi="Arial" w:cs="Arial"/>
                <w:sz w:val="18"/>
                <w:szCs w:val="18"/>
                <w:lang w:val="ro-MD"/>
              </w:rPr>
              <w:t xml:space="preserve"> 2027</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67B84" w14:textId="6299F405" w:rsidR="006E16D8" w:rsidRPr="003A36E3" w:rsidRDefault="001D60E1"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Ministerul Finanțelor </w:t>
            </w: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030A5" w14:textId="77777777" w:rsidR="00AB48DA" w:rsidRPr="003A36E3" w:rsidRDefault="00AB48DA" w:rsidP="00AB48DA">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Sistemul informatic automatizat pentru monitorizarea și coordonarea antifraudă este operațional. Sistemul informatic antifraudă devine operațional, integrând module-cheie pentru eficientizarea proceselor antifraudă, inclusiv registrul neregulilor și al suspiciunilor de fraudă și sistemul de primire/diseminare/monitorizare pentru coordonarea antifraudă.</w:t>
            </w:r>
          </w:p>
          <w:p w14:paraId="78C2F88A" w14:textId="42D6FA7D" w:rsidR="006E16D8" w:rsidRPr="003A36E3" w:rsidRDefault="00AB48DA" w:rsidP="00AB48DA">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Începând cu 2024, sistemul de informare antifraudă nu este în funcțiune, iar MD nu raportează nereguli către UE.</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0454" w14:textId="501BCBD9" w:rsidR="00422840" w:rsidRPr="003A36E3" w:rsidRDefault="00422840" w:rsidP="00422840">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Adoptarea unei Hotărâri de Guvern, cu conceptul sistemului informațional, specificațiile sistemului informațional, reglementarea resursei informaționale, sistemul testat și lansat în conformitate cu cerințele și normele din Hotărârea de Guvern. </w:t>
            </w:r>
          </w:p>
          <w:p w14:paraId="176BD4EC" w14:textId="77777777" w:rsidR="00422840" w:rsidRPr="003A36E3" w:rsidRDefault="00422840" w:rsidP="00422840">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Sistemul de Informare Antifraudă (SIA), denumit generic „MCAF” (Monitorizare și Coordonare Antifraudă), integrează module esențiale pentru eficientizarea proceselor antifraudă. Printre acestea se numără Registrul neregulilor și suspiciunilor de fraudă (RNSF), care identifică și documentează cazurile potențiale de fraudă, și Sistemul de primire/difuzare/monitorizare al coordonării antifraudă (RDM SCAF), destinat coordonării și monitorizării măsurilor antifraudă la nivel operațional. Sistemul național de Informare Antifraudă permite transferul de informații relevante către Comisie prin intermediul Sistemului de gestionare a neregulilor (SGI).</w:t>
            </w:r>
          </w:p>
          <w:p w14:paraId="13F98B7C" w14:textId="69492E57" w:rsidR="006E16D8" w:rsidRPr="003A36E3" w:rsidRDefault="00422840" w:rsidP="00422840">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Monitorul Oficial, portalul web al actelor juridice din Republica Moldova </w:t>
            </w:r>
            <w:r w:rsidR="000E3211" w:rsidRPr="003A36E3">
              <w:rPr>
                <w:rStyle w:val="normaltextrun"/>
                <w:rFonts w:ascii="Arial" w:hAnsi="Arial" w:cs="Arial"/>
                <w:sz w:val="18"/>
                <w:szCs w:val="18"/>
                <w:lang w:val="ro-MD"/>
              </w:rPr>
              <w:t>(</w:t>
            </w:r>
            <w:hyperlink r:id="rId11" w:tgtFrame="_blank" w:history="1">
              <w:r w:rsidR="000E3211" w:rsidRPr="003A36E3">
                <w:rPr>
                  <w:rStyle w:val="normaltextrun"/>
                  <w:rFonts w:ascii="Arial" w:hAnsi="Arial" w:cs="Arial"/>
                  <w:sz w:val="18"/>
                  <w:szCs w:val="18"/>
                  <w:u w:val="single"/>
                  <w:shd w:val="clear" w:color="auto" w:fill="E1E3E6"/>
                  <w:lang w:val="ro-MD"/>
                </w:rPr>
                <w:t>www.legis.md</w:t>
              </w:r>
            </w:hyperlink>
            <w:r w:rsidR="000E3211" w:rsidRPr="003A36E3">
              <w:rPr>
                <w:rStyle w:val="normaltextrun"/>
                <w:rFonts w:ascii="Arial" w:hAnsi="Arial" w:cs="Arial"/>
                <w:sz w:val="18"/>
                <w:szCs w:val="18"/>
                <w:lang w:val="ro-MD"/>
              </w:rPr>
              <w:t>)</w:t>
            </w:r>
            <w:r w:rsidRPr="003A36E3">
              <w:rPr>
                <w:rFonts w:ascii="Arial" w:eastAsiaTheme="minorEastAsia" w:hAnsi="Arial" w:cs="Arial"/>
                <w:sz w:val="18"/>
                <w:szCs w:val="18"/>
                <w:lang w:val="ro-MD"/>
              </w:rPr>
              <w:t xml:space="preserve">, raportul de pe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guvernului</w:t>
            </w:r>
          </w:p>
        </w:tc>
      </w:tr>
      <w:tr w:rsidR="006E16D8" w:rsidRPr="00BD0643" w14:paraId="08370DD6" w14:textId="77777777" w:rsidTr="0059048A">
        <w:trPr>
          <w:trHeight w:val="300"/>
        </w:trPr>
        <w:tc>
          <w:tcPr>
            <w:tcW w:w="851" w:type="dxa"/>
            <w:vAlign w:val="center"/>
          </w:tcPr>
          <w:p w14:paraId="2CF2CBA2" w14:textId="7E46732C" w:rsidR="006E16D8" w:rsidRPr="003A36E3" w:rsidRDefault="009F2151"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Gestionarea finanțelor publice</w:t>
            </w:r>
          </w:p>
        </w:tc>
        <w:tc>
          <w:tcPr>
            <w:tcW w:w="425" w:type="dxa"/>
            <w:vAlign w:val="center"/>
          </w:tcPr>
          <w:p w14:paraId="797ADD97" w14:textId="77777777" w:rsidR="006E16D8" w:rsidRPr="003A36E3" w:rsidRDefault="006E16D8"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8</w:t>
            </w:r>
          </w:p>
        </w:tc>
        <w:tc>
          <w:tcPr>
            <w:tcW w:w="1276" w:type="dxa"/>
            <w:vAlign w:val="center"/>
          </w:tcPr>
          <w:p w14:paraId="38CF470F" w14:textId="51486DAC" w:rsidR="006E16D8" w:rsidRPr="003A36E3" w:rsidRDefault="00894EB5" w:rsidP="002F7854">
            <w:pPr>
              <w:spacing w:line="240" w:lineRule="auto"/>
              <w:jc w:val="both"/>
              <w:rPr>
                <w:rFonts w:ascii="Arial" w:eastAsiaTheme="minorEastAsia" w:hAnsi="Arial" w:cs="Arial"/>
                <w:i/>
                <w:iCs/>
                <w:sz w:val="18"/>
                <w:szCs w:val="18"/>
                <w:lang w:val="ro-MD"/>
              </w:rPr>
            </w:pPr>
            <w:r w:rsidRPr="003A36E3">
              <w:rPr>
                <w:rFonts w:ascii="Arial" w:eastAsiaTheme="minorEastAsia" w:hAnsi="Arial" w:cs="Arial"/>
                <w:sz w:val="18"/>
                <w:szCs w:val="18"/>
                <w:lang w:val="ro-MD"/>
              </w:rPr>
              <w:t xml:space="preserve">Măsuri antifraudă și protecția intereselor financiare ale UE </w:t>
            </w:r>
          </w:p>
        </w:tc>
        <w:tc>
          <w:tcPr>
            <w:tcW w:w="357" w:type="dxa"/>
            <w:vAlign w:val="center"/>
          </w:tcPr>
          <w:p w14:paraId="02E5DC33" w14:textId="77777777" w:rsidR="006E16D8" w:rsidRPr="003A36E3" w:rsidRDefault="006E16D8" w:rsidP="002F7854">
            <w:pPr>
              <w:spacing w:line="240" w:lineRule="auto"/>
              <w:jc w:val="both"/>
              <w:rPr>
                <w:rFonts w:ascii="Arial" w:eastAsiaTheme="minorEastAsia" w:hAnsi="Arial" w:cs="Arial"/>
                <w:i/>
                <w:iCs/>
                <w:sz w:val="18"/>
                <w:szCs w:val="18"/>
                <w:lang w:val="ro-MD"/>
              </w:rPr>
            </w:pPr>
            <w:r w:rsidRPr="003A36E3">
              <w:rPr>
                <w:rFonts w:ascii="Arial" w:eastAsiaTheme="minorEastAsia" w:hAnsi="Arial" w:cs="Arial"/>
                <w:i/>
                <w:iCs/>
                <w:sz w:val="18"/>
                <w:szCs w:val="18"/>
                <w:lang w:val="ro-MD"/>
              </w:rPr>
              <w:t>21</w:t>
            </w:r>
          </w:p>
        </w:tc>
        <w:tc>
          <w:tcPr>
            <w:tcW w:w="683" w:type="dxa"/>
            <w:vAlign w:val="center"/>
          </w:tcPr>
          <w:p w14:paraId="473D4A86" w14:textId="40352103" w:rsidR="006E16D8" w:rsidRPr="003A36E3" w:rsidRDefault="00146FDF"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6E16D8" w:rsidRPr="003A36E3">
              <w:rPr>
                <w:rFonts w:ascii="Arial" w:eastAsiaTheme="minorEastAsia" w:hAnsi="Arial" w:cs="Arial"/>
                <w:sz w:val="18"/>
                <w:szCs w:val="18"/>
                <w:lang w:val="ro-MD"/>
              </w:rPr>
              <w:t xml:space="preserve"> 2026</w:t>
            </w:r>
          </w:p>
          <w:p w14:paraId="1560C0CA" w14:textId="77777777" w:rsidR="006E16D8" w:rsidRPr="003A36E3" w:rsidRDefault="006E16D8" w:rsidP="002F7854">
            <w:pPr>
              <w:spacing w:line="240" w:lineRule="auto"/>
              <w:jc w:val="both"/>
              <w:rPr>
                <w:rFonts w:ascii="Arial" w:eastAsiaTheme="minorEastAsia" w:hAnsi="Arial" w:cs="Arial"/>
                <w:i/>
                <w:iCs/>
                <w:sz w:val="18"/>
                <w:szCs w:val="18"/>
                <w:lang w:val="ro-MD"/>
              </w:rPr>
            </w:pPr>
          </w:p>
        </w:tc>
        <w:tc>
          <w:tcPr>
            <w:tcW w:w="1061" w:type="dxa"/>
            <w:vAlign w:val="center"/>
          </w:tcPr>
          <w:p w14:paraId="3BD0C226" w14:textId="1BC45C95" w:rsidR="006E16D8" w:rsidRPr="003A36E3" w:rsidRDefault="00146FDF" w:rsidP="002F7854">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Justiției</w:t>
            </w:r>
          </w:p>
          <w:p w14:paraId="52B5118E" w14:textId="3425458B" w:rsidR="006E16D8" w:rsidRPr="003A36E3" w:rsidRDefault="001D60E1" w:rsidP="002F7854">
            <w:pPr>
              <w:spacing w:line="240" w:lineRule="auto"/>
              <w:jc w:val="both"/>
              <w:rPr>
                <w:rFonts w:ascii="Arial" w:eastAsiaTheme="minorEastAsia" w:hAnsi="Arial" w:cs="Arial"/>
                <w:i/>
                <w:iCs/>
                <w:sz w:val="18"/>
                <w:szCs w:val="18"/>
                <w:lang w:val="ro-MD"/>
              </w:rPr>
            </w:pPr>
            <w:r w:rsidRPr="003A36E3">
              <w:rPr>
                <w:rFonts w:ascii="Arial" w:eastAsiaTheme="minorEastAsia" w:hAnsi="Arial" w:cs="Arial"/>
                <w:sz w:val="18"/>
                <w:szCs w:val="18"/>
                <w:lang w:val="ro-MD"/>
              </w:rPr>
              <w:t>Ministerul Finanțelor</w:t>
            </w:r>
          </w:p>
        </w:tc>
        <w:tc>
          <w:tcPr>
            <w:tcW w:w="4365" w:type="dxa"/>
          </w:tcPr>
          <w:p w14:paraId="3B87A9A5" w14:textId="77777777" w:rsidR="005846A7" w:rsidRPr="003A36E3" w:rsidRDefault="005846A7" w:rsidP="005846A7">
            <w:pPr>
              <w:spacing w:after="0" w:line="240" w:lineRule="auto"/>
              <w:jc w:val="both"/>
              <w:rPr>
                <w:rStyle w:val="Strong"/>
                <w:rFonts w:ascii="Arial" w:hAnsi="Arial" w:cs="Arial"/>
                <w:b w:val="0"/>
                <w:bCs w:val="0"/>
                <w:sz w:val="18"/>
                <w:szCs w:val="18"/>
                <w:lang w:val="ro-MD"/>
              </w:rPr>
            </w:pPr>
            <w:r w:rsidRPr="003A36E3">
              <w:rPr>
                <w:rStyle w:val="Strong"/>
                <w:rFonts w:ascii="Arial" w:hAnsi="Arial" w:cs="Arial"/>
                <w:b w:val="0"/>
                <w:bCs w:val="0"/>
                <w:sz w:val="18"/>
                <w:szCs w:val="18"/>
                <w:lang w:val="ro-MD"/>
              </w:rPr>
              <w:t xml:space="preserve">În consultare cu serviciile Comisiei Europene, consolidarea sistemului de investigare a criminalității financiare, prin revizuirea competențelor juridice și creșterea capacităților organismelor naționale specializate de investigare de a detecta și investiga în mod proactiv criminalitatea financiară și actele ilegale conexe care afectează interesele financiare ale statelor membre și ale UE. </w:t>
            </w:r>
          </w:p>
          <w:p w14:paraId="5E83FA0D" w14:textId="77777777" w:rsidR="005846A7" w:rsidRPr="003A36E3" w:rsidRDefault="005846A7" w:rsidP="005846A7">
            <w:pPr>
              <w:spacing w:after="0" w:line="240" w:lineRule="auto"/>
              <w:jc w:val="both"/>
              <w:rPr>
                <w:rStyle w:val="Strong"/>
                <w:rFonts w:ascii="Arial" w:hAnsi="Arial" w:cs="Arial"/>
                <w:b w:val="0"/>
                <w:bCs w:val="0"/>
                <w:sz w:val="18"/>
                <w:szCs w:val="18"/>
                <w:lang w:val="ro-MD"/>
              </w:rPr>
            </w:pPr>
          </w:p>
          <w:p w14:paraId="18691114" w14:textId="7C974183" w:rsidR="006E16D8" w:rsidRPr="003A36E3" w:rsidRDefault="005846A7" w:rsidP="005846A7">
            <w:pPr>
              <w:spacing w:after="0" w:line="240" w:lineRule="auto"/>
              <w:jc w:val="both"/>
              <w:rPr>
                <w:rFonts w:ascii="Arial" w:hAnsi="Arial" w:cs="Arial"/>
                <w:sz w:val="18"/>
                <w:szCs w:val="18"/>
                <w:lang w:val="ro-MD"/>
              </w:rPr>
            </w:pPr>
            <w:r w:rsidRPr="003A36E3">
              <w:rPr>
                <w:rStyle w:val="Strong"/>
                <w:rFonts w:ascii="Arial" w:hAnsi="Arial" w:cs="Arial"/>
                <w:b w:val="0"/>
                <w:bCs w:val="0"/>
                <w:sz w:val="18"/>
                <w:szCs w:val="18"/>
                <w:lang w:val="ro-MD"/>
              </w:rPr>
              <w:t>Linia de referință: în pofida cadrului de reglementare corespunzător, investigațiile/urmăririle penale privind criminalitatea financiară sunt limitate.</w:t>
            </w:r>
          </w:p>
        </w:tc>
        <w:tc>
          <w:tcPr>
            <w:tcW w:w="5441" w:type="dxa"/>
          </w:tcPr>
          <w:p w14:paraId="1D28A0B4" w14:textId="77777777" w:rsidR="00C44C59" w:rsidRPr="003A36E3" w:rsidRDefault="00C44C59" w:rsidP="00C44C59">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Amendamente juridice adoptate.</w:t>
            </w:r>
          </w:p>
          <w:p w14:paraId="3AA9E418" w14:textId="77777777" w:rsidR="00C44C59" w:rsidRPr="003A36E3" w:rsidRDefault="00C44C59" w:rsidP="00C44C59">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Autoritatea (autoritățile) competentă(e) a (au) fost abilitată(e).</w:t>
            </w:r>
          </w:p>
          <w:p w14:paraId="30B2FDEB" w14:textId="52B8CD03" w:rsidR="006E16D8" w:rsidRPr="003A36E3" w:rsidRDefault="00C44C59" w:rsidP="00C44C59">
            <w:pPr>
              <w:spacing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Monitorul Oficial, Legea bugetului pentru anii 2025 și 2026,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guvernului, rapoarte ale instituțiilor relevante.</w:t>
            </w:r>
          </w:p>
        </w:tc>
      </w:tr>
      <w:tr w:rsidR="006E16D8" w:rsidRPr="003A36E3" w14:paraId="78A5FA2A" w14:textId="77777777" w:rsidTr="0059048A">
        <w:trPr>
          <w:trHeight w:val="300"/>
        </w:trPr>
        <w:tc>
          <w:tcPr>
            <w:tcW w:w="851" w:type="dxa"/>
            <w:vAlign w:val="center"/>
          </w:tcPr>
          <w:p w14:paraId="431A827D" w14:textId="7F375D66" w:rsidR="006E16D8" w:rsidRPr="003A36E3" w:rsidRDefault="00F3471E"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Reforma întreprinderilor de stat</w:t>
            </w:r>
          </w:p>
        </w:tc>
        <w:tc>
          <w:tcPr>
            <w:tcW w:w="425" w:type="dxa"/>
            <w:vAlign w:val="center"/>
          </w:tcPr>
          <w:p w14:paraId="6B0CD4A4"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9</w:t>
            </w:r>
          </w:p>
        </w:tc>
        <w:tc>
          <w:tcPr>
            <w:tcW w:w="1276" w:type="dxa"/>
            <w:vAlign w:val="center"/>
          </w:tcPr>
          <w:p w14:paraId="6646929C" w14:textId="796F06CC" w:rsidR="006E16D8" w:rsidRPr="003A36E3" w:rsidRDefault="00567221"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Asigurarea sustenabilității și viabilității financiare a sectorului întreprinderilor de stat</w:t>
            </w:r>
          </w:p>
        </w:tc>
        <w:tc>
          <w:tcPr>
            <w:tcW w:w="357" w:type="dxa"/>
            <w:vAlign w:val="center"/>
          </w:tcPr>
          <w:p w14:paraId="3C734E67"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22</w:t>
            </w:r>
          </w:p>
        </w:tc>
        <w:tc>
          <w:tcPr>
            <w:tcW w:w="683" w:type="dxa"/>
            <w:vAlign w:val="center"/>
          </w:tcPr>
          <w:p w14:paraId="2E939631" w14:textId="6A056768" w:rsidR="006E16D8" w:rsidRPr="003A36E3" w:rsidRDefault="00567221"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6E16D8" w:rsidRPr="003A36E3">
              <w:rPr>
                <w:rFonts w:ascii="Arial" w:eastAsiaTheme="minorEastAsia" w:hAnsi="Arial" w:cs="Arial"/>
                <w:sz w:val="18"/>
                <w:szCs w:val="18"/>
                <w:lang w:val="ro-MD"/>
              </w:rPr>
              <w:t xml:space="preserve"> 2026  </w:t>
            </w:r>
          </w:p>
        </w:tc>
        <w:tc>
          <w:tcPr>
            <w:tcW w:w="1061" w:type="dxa"/>
            <w:vAlign w:val="center"/>
          </w:tcPr>
          <w:p w14:paraId="6EF5A84B" w14:textId="78D7EB54" w:rsidR="006E16D8" w:rsidRPr="003A36E3" w:rsidRDefault="00800643"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Agenția Proprietății Publice</w:t>
            </w:r>
          </w:p>
        </w:tc>
        <w:tc>
          <w:tcPr>
            <w:tcW w:w="4365" w:type="dxa"/>
          </w:tcPr>
          <w:p w14:paraId="254A9173" w14:textId="77777777" w:rsidR="00F46C81" w:rsidRPr="003A36E3" w:rsidRDefault="00F46C81" w:rsidP="00F46C81">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Sunt elaborate profiluri de investiții pentru 5 întreprinderi de stat și sunt lansate proceduri de privatizare. </w:t>
            </w:r>
          </w:p>
          <w:p w14:paraId="38BAC158" w14:textId="77777777" w:rsidR="00F46C81" w:rsidRPr="003A36E3" w:rsidRDefault="00F46C81" w:rsidP="00F46C81">
            <w:pPr>
              <w:spacing w:after="0" w:line="240" w:lineRule="auto"/>
              <w:jc w:val="both"/>
              <w:rPr>
                <w:rFonts w:ascii="Arial" w:eastAsiaTheme="minorEastAsia" w:hAnsi="Arial" w:cs="Arial"/>
                <w:sz w:val="18"/>
                <w:szCs w:val="18"/>
                <w:lang w:val="ro-MD"/>
              </w:rPr>
            </w:pPr>
          </w:p>
          <w:p w14:paraId="232715EF" w14:textId="6F981B44" w:rsidR="006E16D8" w:rsidRPr="003A36E3" w:rsidRDefault="00F46C81" w:rsidP="00F46C81">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Linia de referință: Triajul întreprinderilor de stat a fost finalizat în 2024, dar punerea sa în aplicare nu a început.  Hotărârea de guvern privind mecanismul de triaj al întreprinderilor de stat cuprindea Categoria 1 - întreprinderi care nu sunt eligibile pentru privatizare - 66 întreprinderi de stat; Categoria 2 - întreprinderi recomandate pentru reorganizare într-o altă formă juridică de organizare - 55 întreprinderi de stat; Categoria 3 - întreprinderi considerate eligibile </w:t>
            </w:r>
            <w:r w:rsidRPr="003A36E3">
              <w:rPr>
                <w:rFonts w:ascii="Arial" w:eastAsiaTheme="minorEastAsia" w:hAnsi="Arial" w:cs="Arial"/>
                <w:sz w:val="18"/>
                <w:szCs w:val="18"/>
                <w:lang w:val="ro-MD"/>
              </w:rPr>
              <w:lastRenderedPageBreak/>
              <w:t>pentru privatizare după reorganizare/restructurare - 10 întreprinderi de stat; Categoria 4 - întreprinderi recomandate pentru privatizare imediată - întreprinderi de stat; Categoria 5 - întreprinderi recomandate pentru lichidare; Guvernanța corporativă a întreprinderilor de stat din Moldova - 97 întreprinderi de stat.</w:t>
            </w:r>
          </w:p>
        </w:tc>
        <w:tc>
          <w:tcPr>
            <w:tcW w:w="5441" w:type="dxa"/>
          </w:tcPr>
          <w:p w14:paraId="59931C98" w14:textId="77777777" w:rsidR="00A56E85" w:rsidRPr="003A36E3" w:rsidRDefault="00A56E85" w:rsidP="00A56E85">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Elaborarea profilului de investiții pentru 5 întreprinderi de stat (din cele 10 clasificate pentru privatizare imediată) și lansarea procedurii de privatizare pentru acestea.  </w:t>
            </w:r>
          </w:p>
          <w:p w14:paraId="7BBCD419" w14:textId="77777777" w:rsidR="00A56E85" w:rsidRPr="003A36E3" w:rsidRDefault="00A56E85" w:rsidP="00A56E85">
            <w:pPr>
              <w:spacing w:after="0" w:line="240" w:lineRule="auto"/>
              <w:jc w:val="both"/>
              <w:rPr>
                <w:rFonts w:ascii="Arial" w:eastAsiaTheme="minorEastAsia" w:hAnsi="Arial" w:cs="Arial"/>
                <w:sz w:val="18"/>
                <w:szCs w:val="18"/>
                <w:lang w:val="ro-MD"/>
              </w:rPr>
            </w:pPr>
          </w:p>
          <w:p w14:paraId="1621BDF8" w14:textId="77777777" w:rsidR="00A56E85" w:rsidRPr="003A36E3" w:rsidRDefault="00A56E85" w:rsidP="00A56E85">
            <w:pPr>
              <w:spacing w:after="0" w:line="240" w:lineRule="auto"/>
              <w:jc w:val="both"/>
              <w:rPr>
                <w:rFonts w:ascii="Arial" w:eastAsiaTheme="minorEastAsia" w:hAnsi="Arial" w:cs="Arial"/>
                <w:sz w:val="18"/>
                <w:szCs w:val="18"/>
                <w:lang w:val="ro-MD"/>
              </w:rPr>
            </w:pPr>
          </w:p>
          <w:p w14:paraId="1F4AFF66" w14:textId="27818260" w:rsidR="006E16D8" w:rsidRPr="003A36E3" w:rsidRDefault="00A56E85" w:rsidP="00A56E85">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Rapoartele Ministerului Economiei privind punerea în aplicare a triajului. Rapoartele Agenției Proprietății Publice.</w:t>
            </w:r>
          </w:p>
        </w:tc>
      </w:tr>
      <w:tr w:rsidR="006E16D8" w:rsidRPr="00BD0643" w14:paraId="05A98003" w14:textId="77777777" w:rsidTr="0059048A">
        <w:trPr>
          <w:trHeight w:val="300"/>
        </w:trPr>
        <w:tc>
          <w:tcPr>
            <w:tcW w:w="851" w:type="dxa"/>
            <w:vAlign w:val="center"/>
          </w:tcPr>
          <w:p w14:paraId="127B22B6" w14:textId="0905575E" w:rsidR="006E16D8" w:rsidRPr="003A36E3" w:rsidRDefault="00800643"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Reforma întreprinderilor de stat</w:t>
            </w:r>
          </w:p>
        </w:tc>
        <w:tc>
          <w:tcPr>
            <w:tcW w:w="425" w:type="dxa"/>
            <w:vAlign w:val="center"/>
          </w:tcPr>
          <w:p w14:paraId="18EF4C1A"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9</w:t>
            </w:r>
          </w:p>
        </w:tc>
        <w:tc>
          <w:tcPr>
            <w:tcW w:w="1276" w:type="dxa"/>
            <w:vAlign w:val="center"/>
          </w:tcPr>
          <w:p w14:paraId="2F474CD3" w14:textId="1136AD32" w:rsidR="006E16D8" w:rsidRPr="003A36E3" w:rsidRDefault="003F4ED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Asigurarea sustenabilității și viabilității financiare a sectorului întreprinderilor de stat</w:t>
            </w:r>
          </w:p>
        </w:tc>
        <w:tc>
          <w:tcPr>
            <w:tcW w:w="357" w:type="dxa"/>
            <w:vAlign w:val="center"/>
          </w:tcPr>
          <w:p w14:paraId="5D5B0A26"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23</w:t>
            </w:r>
          </w:p>
        </w:tc>
        <w:tc>
          <w:tcPr>
            <w:tcW w:w="683" w:type="dxa"/>
            <w:vAlign w:val="center"/>
          </w:tcPr>
          <w:p w14:paraId="08A1494C" w14:textId="2FF2B114" w:rsidR="006E16D8" w:rsidRPr="003A36E3" w:rsidRDefault="0059048A" w:rsidP="002F7854">
            <w:pPr>
              <w:spacing w:after="0" w:line="240" w:lineRule="auto"/>
              <w:jc w:val="both"/>
              <w:rPr>
                <w:rFonts w:ascii="Arial" w:eastAsiaTheme="minorEastAsia" w:hAnsi="Arial" w:cs="Arial"/>
                <w:sz w:val="18"/>
                <w:szCs w:val="18"/>
                <w:lang w:val="ro-MD"/>
              </w:rPr>
            </w:pPr>
            <w:r>
              <w:rPr>
                <w:rFonts w:ascii="Arial" w:eastAsiaTheme="minorEastAsia" w:hAnsi="Arial" w:cs="Arial"/>
                <w:sz w:val="18"/>
                <w:szCs w:val="18"/>
                <w:lang w:val="ro-MD"/>
              </w:rPr>
              <w:t>d</w:t>
            </w:r>
            <w:r w:rsidR="00D84E6F" w:rsidRPr="003A36E3">
              <w:rPr>
                <w:rFonts w:ascii="Arial" w:eastAsiaTheme="minorEastAsia" w:hAnsi="Arial" w:cs="Arial"/>
                <w:sz w:val="18"/>
                <w:szCs w:val="18"/>
                <w:lang w:val="ro-MD"/>
              </w:rPr>
              <w:t>ecembrie</w:t>
            </w:r>
            <w:r w:rsidR="006E16D8" w:rsidRPr="003A36E3">
              <w:rPr>
                <w:rFonts w:ascii="Arial" w:eastAsiaTheme="minorEastAsia" w:hAnsi="Arial" w:cs="Arial"/>
                <w:sz w:val="18"/>
                <w:szCs w:val="18"/>
                <w:lang w:val="ro-MD"/>
              </w:rPr>
              <w:t xml:space="preserve"> 2026</w:t>
            </w:r>
          </w:p>
        </w:tc>
        <w:tc>
          <w:tcPr>
            <w:tcW w:w="1061" w:type="dxa"/>
            <w:vAlign w:val="center"/>
          </w:tcPr>
          <w:p w14:paraId="2E8594E5" w14:textId="704583C3" w:rsidR="006E16D8" w:rsidRPr="003A36E3" w:rsidRDefault="00800643"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Agenția Proprietății Publice</w:t>
            </w:r>
          </w:p>
        </w:tc>
        <w:tc>
          <w:tcPr>
            <w:tcW w:w="4365" w:type="dxa"/>
          </w:tcPr>
          <w:p w14:paraId="2A77A0C2" w14:textId="77777777" w:rsidR="00A14EA5" w:rsidRPr="003A36E3" w:rsidRDefault="00A14EA5" w:rsidP="00A14EA5">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Cel puțin 10 întreprinderi de stat [din 97 inactive și generatoare de pierderi] sunt lichidate și cel puțin 15 sunt reorganizate (din 55 clasificate pentru schimbarea formei juridice de organizare)</w:t>
            </w:r>
          </w:p>
          <w:p w14:paraId="4A5F0379" w14:textId="77777777" w:rsidR="00A14EA5" w:rsidRPr="003A36E3" w:rsidRDefault="00A14EA5" w:rsidP="00A14EA5">
            <w:pPr>
              <w:spacing w:after="0" w:line="240" w:lineRule="auto"/>
              <w:jc w:val="both"/>
              <w:rPr>
                <w:rFonts w:ascii="Arial" w:eastAsiaTheme="minorEastAsia" w:hAnsi="Arial" w:cs="Arial"/>
                <w:sz w:val="18"/>
                <w:szCs w:val="18"/>
                <w:lang w:val="ro-MD"/>
              </w:rPr>
            </w:pPr>
          </w:p>
          <w:p w14:paraId="123E6491" w14:textId="3A15205C" w:rsidR="006E16D8" w:rsidRPr="003A36E3" w:rsidRDefault="00A14EA5" w:rsidP="00A14EA5">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Triajul întreprinderilor de stat a fost finalizat în 2024, dar punerea sa în aplicare (lichidarea și reorganizarea întreprinderilor de stat) nu a început.</w:t>
            </w:r>
          </w:p>
        </w:tc>
        <w:tc>
          <w:tcPr>
            <w:tcW w:w="5441" w:type="dxa"/>
          </w:tcPr>
          <w:p w14:paraId="2E9B96B7" w14:textId="77777777" w:rsidR="0092401D" w:rsidRPr="003A36E3" w:rsidRDefault="0092401D" w:rsidP="0092401D">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Această acțiune privește categoria 2 și categoria 5 de întreprinderi de stat în procesul de triaj.</w:t>
            </w:r>
          </w:p>
          <w:p w14:paraId="21F1A8AC" w14:textId="77777777" w:rsidR="0092401D" w:rsidRPr="003A36E3" w:rsidRDefault="0092401D" w:rsidP="0092401D">
            <w:pPr>
              <w:spacing w:after="0" w:line="240" w:lineRule="auto"/>
              <w:jc w:val="both"/>
              <w:rPr>
                <w:rFonts w:ascii="Arial" w:eastAsiaTheme="minorEastAsia" w:hAnsi="Arial" w:cs="Arial"/>
                <w:sz w:val="18"/>
                <w:szCs w:val="18"/>
                <w:lang w:val="ro-MD"/>
              </w:rPr>
            </w:pPr>
          </w:p>
          <w:p w14:paraId="5135AC55" w14:textId="4EE09F2E" w:rsidR="006E16D8" w:rsidRPr="003A36E3" w:rsidRDefault="0092401D" w:rsidP="0092401D">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Rapoartele Ministerului Dezvoltării Economice și Digitalizării privind punerea în aplicare a triajului.</w:t>
            </w:r>
          </w:p>
        </w:tc>
      </w:tr>
      <w:tr w:rsidR="006E16D8" w:rsidRPr="00BD0643" w14:paraId="322EF035" w14:textId="77777777" w:rsidTr="0059048A">
        <w:trPr>
          <w:trHeight w:val="300"/>
        </w:trPr>
        <w:tc>
          <w:tcPr>
            <w:tcW w:w="851" w:type="dxa"/>
            <w:vAlign w:val="center"/>
          </w:tcPr>
          <w:p w14:paraId="52A0ABF6" w14:textId="3A0B1FE6" w:rsidR="006E16D8" w:rsidRPr="003A36E3" w:rsidRDefault="00800643" w:rsidP="002F7854">
            <w:pPr>
              <w:spacing w:after="0" w:line="240" w:lineRule="auto"/>
              <w:jc w:val="both"/>
              <w:rPr>
                <w:rFonts w:ascii="Arial" w:eastAsiaTheme="minorEastAsia" w:hAnsi="Arial" w:cs="Arial"/>
                <w:sz w:val="18"/>
                <w:szCs w:val="18"/>
                <w:lang w:val="ro-MD"/>
              </w:rPr>
            </w:pPr>
            <w:bookmarkStart w:id="5" w:name="_Hlk192856366"/>
            <w:r w:rsidRPr="003A36E3">
              <w:rPr>
                <w:rFonts w:ascii="Arial" w:eastAsiaTheme="minorEastAsia" w:hAnsi="Arial" w:cs="Arial"/>
                <w:sz w:val="18"/>
                <w:szCs w:val="18"/>
                <w:lang w:val="ro-MD"/>
              </w:rPr>
              <w:t>Reforma întreprinderilor de stat</w:t>
            </w:r>
          </w:p>
        </w:tc>
        <w:tc>
          <w:tcPr>
            <w:tcW w:w="425" w:type="dxa"/>
            <w:vAlign w:val="center"/>
          </w:tcPr>
          <w:p w14:paraId="78F1D108"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9</w:t>
            </w:r>
          </w:p>
        </w:tc>
        <w:tc>
          <w:tcPr>
            <w:tcW w:w="1276" w:type="dxa"/>
            <w:vAlign w:val="center"/>
          </w:tcPr>
          <w:p w14:paraId="6FED29D9" w14:textId="6444D36E" w:rsidR="006E16D8" w:rsidRPr="003A36E3" w:rsidRDefault="003F4ED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Asigurarea sustenabilității și viabilității financiare a sectorului întreprinderilor de stat</w:t>
            </w:r>
          </w:p>
        </w:tc>
        <w:tc>
          <w:tcPr>
            <w:tcW w:w="357" w:type="dxa"/>
            <w:vAlign w:val="center"/>
          </w:tcPr>
          <w:p w14:paraId="786B531A"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24</w:t>
            </w:r>
          </w:p>
        </w:tc>
        <w:tc>
          <w:tcPr>
            <w:tcW w:w="683" w:type="dxa"/>
            <w:vAlign w:val="center"/>
          </w:tcPr>
          <w:p w14:paraId="48601497" w14:textId="61E04F87" w:rsidR="006E16D8" w:rsidRPr="003A36E3" w:rsidRDefault="003F4ED5"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iunie</w:t>
            </w:r>
            <w:r w:rsidR="006E16D8" w:rsidRPr="003A36E3">
              <w:rPr>
                <w:rFonts w:ascii="Arial" w:eastAsiaTheme="minorEastAsia" w:hAnsi="Arial" w:cs="Arial"/>
                <w:sz w:val="18"/>
                <w:szCs w:val="18"/>
                <w:lang w:val="ro-MD"/>
              </w:rPr>
              <w:t xml:space="preserve"> 2027</w:t>
            </w:r>
          </w:p>
        </w:tc>
        <w:tc>
          <w:tcPr>
            <w:tcW w:w="1061" w:type="dxa"/>
            <w:vAlign w:val="center"/>
          </w:tcPr>
          <w:p w14:paraId="2902C058" w14:textId="37488B4C" w:rsidR="006E16D8" w:rsidRPr="003A36E3" w:rsidRDefault="00E825DB"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Dezvoltării Economice și Digitalizării, Agenția Proprietății Publice</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77A89DEF" w14:textId="13F5B5D9" w:rsidR="005C37E1" w:rsidRPr="003A36E3" w:rsidRDefault="005C37E1" w:rsidP="005C37E1">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 xml:space="preserve">Responsabilitatea întreprinderilor de stat și guvernanța corporativă sunt consolidate: (i) Normele sunt modificate pentru a impune numirea a 1/3 din membrii independenți ai Consiliului de administrație în întreprinderile de stat care rămân în proprietatea statului, în timp ce normele de remunerare și indicatorii cheie de performanță pentru membrii Consiliului de administrație al întreprinderilor de stat sunt ajustate pentru a asigura remunerarea corespunzătoare a membrilor Consiliului de administrație în întreprinderile de stat care rămân în proprietatea statului. Normele sunt modificate prin introducerea cerinței ca un membru independent să facă parte din comitetul de selecție. </w:t>
            </w:r>
          </w:p>
          <w:p w14:paraId="2982CEF2" w14:textId="7B96823F" w:rsidR="006E16D8" w:rsidRPr="003A36E3" w:rsidRDefault="005C37E1" w:rsidP="002F7854">
            <w:pPr>
              <w:pStyle w:val="paragraph"/>
              <w:spacing w:before="0" w:beforeAutospacing="0" w:after="0" w:afterAutospacing="0"/>
              <w:jc w:val="both"/>
              <w:textAlignment w:val="baseline"/>
              <w:rPr>
                <w:rFonts w:ascii="Arial" w:hAnsi="Arial" w:cs="Arial"/>
                <w:sz w:val="18"/>
                <w:szCs w:val="18"/>
                <w:lang w:val="ro-MD"/>
              </w:rPr>
            </w:pPr>
            <w:r w:rsidRPr="003A36E3">
              <w:rPr>
                <w:rStyle w:val="normaltextrun"/>
                <w:rFonts w:ascii="Arial" w:hAnsi="Arial" w:cs="Arial"/>
                <w:sz w:val="18"/>
                <w:szCs w:val="18"/>
                <w:lang w:val="ro-MD"/>
              </w:rPr>
              <w:t>(ii) Sunt numite noi Consilii de administrație în 12 întreprinderi de stat cheie, inclusiv în telecomunicații, căi ferate, energie electrică, gaze și prelucrarea metalelor, cel puțin 1/3 din membri fiind independenți.</w:t>
            </w:r>
            <w:r w:rsidR="006E16D8" w:rsidRPr="003A36E3">
              <w:rPr>
                <w:rStyle w:val="normaltextrun"/>
                <w:rFonts w:ascii="Arial" w:hAnsi="Arial" w:cs="Arial"/>
                <w:sz w:val="18"/>
                <w:szCs w:val="18"/>
                <w:lang w:val="ro-MD"/>
              </w:rPr>
              <w:t xml:space="preserve"> </w:t>
            </w:r>
            <w:r w:rsidR="006E16D8" w:rsidRPr="003A36E3">
              <w:rPr>
                <w:rStyle w:val="eop"/>
                <w:rFonts w:ascii="Arial" w:hAnsi="Arial" w:cs="Arial"/>
                <w:sz w:val="18"/>
                <w:szCs w:val="18"/>
                <w:lang w:val="ro-MD"/>
              </w:rPr>
              <w:t> </w:t>
            </w:r>
          </w:p>
          <w:p w14:paraId="50A39236" w14:textId="5725B696" w:rsidR="00DE3C72" w:rsidRPr="003A36E3" w:rsidRDefault="00DE3C72" w:rsidP="00DE3C72">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 xml:space="preserve">(iii) Este introdusă cerința de a publica auditurile întreprinderilor de stat, în timp ce cerințele de calitate ale acestora sunt consolidate; Codul de guvernanță corporativă pentru întreprinderile de stat este adoptat la nivel de societate de cel puțin 90% din întreprinderile de stat active și sunt publicate </w:t>
            </w:r>
            <w:r w:rsidRPr="003A36E3">
              <w:rPr>
                <w:rStyle w:val="normaltextrun"/>
                <w:rFonts w:ascii="Arial" w:hAnsi="Arial" w:cs="Arial"/>
                <w:sz w:val="18"/>
                <w:szCs w:val="18"/>
                <w:lang w:val="ro-MD"/>
              </w:rPr>
              <w:lastRenderedPageBreak/>
              <w:t xml:space="preserve">rapoartele anuale de punere în aplicare a guvernanței corporative. </w:t>
            </w:r>
          </w:p>
          <w:p w14:paraId="664ACB06" w14:textId="2E2D032D" w:rsidR="006E16D8" w:rsidRPr="003A36E3" w:rsidRDefault="00DE3C72" w:rsidP="00DE3C72">
            <w:pPr>
              <w:spacing w:after="0" w:line="240" w:lineRule="auto"/>
              <w:jc w:val="both"/>
              <w:rPr>
                <w:rFonts w:ascii="Arial" w:hAnsi="Arial" w:cs="Arial"/>
                <w:sz w:val="18"/>
                <w:szCs w:val="18"/>
                <w:lang w:val="ro-MD"/>
              </w:rPr>
            </w:pPr>
            <w:r w:rsidRPr="003A36E3">
              <w:rPr>
                <w:rStyle w:val="normaltextrun"/>
                <w:rFonts w:ascii="Arial" w:hAnsi="Arial" w:cs="Arial"/>
                <w:sz w:val="18"/>
                <w:szCs w:val="18"/>
                <w:lang w:val="ro-MD"/>
              </w:rPr>
              <w:t>Linia de referință: Triajul întreprinderilor de stat a fost finalizat în 2024, dar punerea sa în aplicare nu a început. Există un audit extern obligatoriu al întreprinderilor de stat care are loc o dată pe an, însă rezultatele auditului sunt rareori publicate. Codul model de guvernanță corporativă pentru întreprinderile de stat a fost aprobat în octombrie 2023. Până în martie 2025, 37 din cele 70 de întreprinderi de stat active au adoptat Codul.</w:t>
            </w:r>
            <w:r w:rsidR="006E16D8" w:rsidRPr="003A36E3">
              <w:rPr>
                <w:rStyle w:val="eop"/>
                <w:rFonts w:ascii="Arial" w:hAnsi="Arial" w:cs="Arial"/>
                <w:sz w:val="18"/>
                <w:szCs w:val="18"/>
                <w:lang w:val="ro-MD"/>
              </w:rPr>
              <w:t> </w:t>
            </w:r>
          </w:p>
        </w:tc>
        <w:tc>
          <w:tcPr>
            <w:tcW w:w="5441" w:type="dxa"/>
            <w:tcBorders>
              <w:top w:val="single" w:sz="6" w:space="0" w:color="000000"/>
              <w:left w:val="single" w:sz="6" w:space="0" w:color="000000"/>
              <w:bottom w:val="single" w:sz="6" w:space="0" w:color="000000"/>
              <w:right w:val="single" w:sz="6" w:space="0" w:color="000000"/>
            </w:tcBorders>
            <w:shd w:val="clear" w:color="auto" w:fill="FFFFFF"/>
          </w:tcPr>
          <w:p w14:paraId="66EF1568" w14:textId="3C6DFF94" w:rsidR="00BE0D39" w:rsidRPr="003A36E3" w:rsidRDefault="00BE0D39" w:rsidP="00BE0D39">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lastRenderedPageBreak/>
              <w:t xml:space="preserve">(i) Cadrul juridic primar este modificat pentru a înlocui includerea opțională a membrilor independenți în cadrul Consiliului de administrație cu includerea obligatorie și pentru a solicita întreprinderilor de stat (cele care vor rămâne în proprietatea statului) să aibă cel puțin 1/3 din membrii independenți în cadrul Consiliului de administrație. Regulamentul privind selectarea candidaților pentru funcția de membru al Consiliilor de administrație este modificat prin introducerea cerinței ca un membru independent să facă parte din comitetul de selecție. Normele de remunerare și indicatorii-cheie de performanță pentru membrii Consiliilor de administrație ale întreprinderilor de stat sunt ajustate. </w:t>
            </w:r>
          </w:p>
          <w:p w14:paraId="1FE01DFB" w14:textId="0C8025F5" w:rsidR="006E16D8" w:rsidRPr="003A36E3" w:rsidRDefault="00BE0D39" w:rsidP="00BE0D39">
            <w:pPr>
              <w:jc w:val="both"/>
              <w:rPr>
                <w:rFonts w:ascii="Arial" w:eastAsiaTheme="minorHAnsi" w:hAnsi="Arial" w:cs="Arial"/>
                <w:color w:val="000000"/>
                <w:kern w:val="0"/>
                <w:sz w:val="18"/>
                <w:szCs w:val="18"/>
                <w:lang w:val="ro-MD" w:eastAsia="en-IE"/>
              </w:rPr>
            </w:pPr>
            <w:r w:rsidRPr="003A36E3">
              <w:rPr>
                <w:rStyle w:val="normaltextrun"/>
                <w:rFonts w:ascii="Arial" w:hAnsi="Arial" w:cs="Arial"/>
                <w:sz w:val="18"/>
                <w:szCs w:val="18"/>
                <w:lang w:val="ro-MD"/>
              </w:rPr>
              <w:t>(ii) Noile Consilii de administrație sunt numite în 12 întreprinderi de stat-cheie, cel puțin 1/3 din membri fiind independenți, inclusiv SA „Moldtelecom”; SA „Termoelectrica”; „Energocom”; SA„Metalferos”; SA „Moldexpo”; ÎS „Poșta Moldovei”;</w:t>
            </w:r>
            <w:r w:rsidR="0059048A">
              <w:rPr>
                <w:rStyle w:val="normaltextrun"/>
                <w:rFonts w:ascii="Arial" w:hAnsi="Arial" w:cs="Arial"/>
                <w:sz w:val="18"/>
                <w:szCs w:val="18"/>
                <w:lang w:val="ro-MD"/>
              </w:rPr>
              <w:t xml:space="preserve"> </w:t>
            </w:r>
            <w:r w:rsidRPr="003A36E3">
              <w:rPr>
                <w:rStyle w:val="normaltextrun"/>
                <w:rFonts w:ascii="Arial" w:hAnsi="Arial" w:cs="Arial"/>
                <w:sz w:val="18"/>
                <w:szCs w:val="18"/>
                <w:lang w:val="ro-MD"/>
              </w:rPr>
              <w:t>ÎS „Aeroportul Internațional Chișinău”; ÎS „Expediția Hidro-Geologică din Moldova”, Rețelele Electrice de Distribuție Nord, CET Nord (Bălți), Portul Fluvial Ungheni, Societatea pe Acțiuni ,,Administrația de Stat a Drumurilor”, în conformitate cu rezultatele exercițiului guvernamental de triaj.</w:t>
            </w:r>
            <w:r w:rsidR="006E16D8" w:rsidRPr="003A36E3">
              <w:rPr>
                <w:rStyle w:val="normaltextrun"/>
                <w:rFonts w:ascii="Arial" w:hAnsi="Arial" w:cs="Arial"/>
                <w:sz w:val="18"/>
                <w:szCs w:val="18"/>
                <w:lang w:val="ro-MD"/>
              </w:rPr>
              <w:t xml:space="preserve"> </w:t>
            </w:r>
            <w:r w:rsidR="006E16D8" w:rsidRPr="003A36E3">
              <w:rPr>
                <w:rStyle w:val="eop"/>
                <w:rFonts w:ascii="Arial" w:hAnsi="Arial" w:cs="Arial"/>
                <w:sz w:val="18"/>
                <w:szCs w:val="18"/>
                <w:lang w:val="ro-MD"/>
              </w:rPr>
              <w:t> </w:t>
            </w:r>
          </w:p>
          <w:p w14:paraId="40700C3F" w14:textId="6D65E7D8" w:rsidR="008276CB" w:rsidRPr="003A36E3" w:rsidRDefault="008276CB" w:rsidP="008276CB">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 xml:space="preserve">(iii) Cadrul juridic este modificat pentru a îmbunătăți calitatea auditurilor independente ale întreprinderilor de stat; regulamentul relevant este modificat pentru a impune publicarea rapoartelor anuale de audit independent pe </w:t>
            </w:r>
            <w:r w:rsidR="0059048A">
              <w:rPr>
                <w:rStyle w:val="normaltextrun"/>
                <w:rFonts w:ascii="Arial" w:hAnsi="Arial" w:cs="Arial"/>
                <w:sz w:val="18"/>
                <w:szCs w:val="18"/>
                <w:lang w:val="ro-MD"/>
              </w:rPr>
              <w:t>paginile</w:t>
            </w:r>
            <w:r w:rsidRPr="003A36E3">
              <w:rPr>
                <w:rStyle w:val="normaltextrun"/>
                <w:rFonts w:ascii="Arial" w:hAnsi="Arial" w:cs="Arial"/>
                <w:sz w:val="18"/>
                <w:szCs w:val="18"/>
                <w:lang w:val="ro-MD"/>
              </w:rPr>
              <w:t xml:space="preserve"> web ale Ministerului sau </w:t>
            </w:r>
            <w:r w:rsidRPr="003A36E3">
              <w:rPr>
                <w:rStyle w:val="normaltextrun"/>
                <w:rFonts w:ascii="Arial" w:hAnsi="Arial" w:cs="Arial"/>
                <w:sz w:val="18"/>
                <w:szCs w:val="18"/>
                <w:lang w:val="ro-MD"/>
              </w:rPr>
              <w:lastRenderedPageBreak/>
              <w:t xml:space="preserve">ale Agenției Proprietății Publice. Codul de guvernanță corporativă al întreprinderilor de stat este aprobat la nivel de societate de cel puțin 90% din întreprinderile de stat active și sunt publicate rapoarte anuale de punere în aplicare a guvernanței corporative a întreprinderilor de stat.  </w:t>
            </w:r>
          </w:p>
          <w:p w14:paraId="3040FC34" w14:textId="4BEA4A0B" w:rsidR="006E16D8" w:rsidRPr="003A36E3" w:rsidRDefault="008276CB" w:rsidP="008276CB">
            <w:pPr>
              <w:spacing w:after="0" w:line="240" w:lineRule="auto"/>
              <w:jc w:val="both"/>
              <w:rPr>
                <w:rFonts w:ascii="Arial" w:eastAsiaTheme="minorEastAsia" w:hAnsi="Arial" w:cs="Arial"/>
                <w:sz w:val="18"/>
                <w:szCs w:val="18"/>
                <w:lang w:val="ro-MD"/>
              </w:rPr>
            </w:pPr>
            <w:r w:rsidRPr="003A36E3">
              <w:rPr>
                <w:rStyle w:val="normaltextrun"/>
                <w:rFonts w:ascii="Arial" w:hAnsi="Arial" w:cs="Arial"/>
                <w:sz w:val="18"/>
                <w:szCs w:val="18"/>
                <w:lang w:val="ro-MD"/>
              </w:rPr>
              <w:t xml:space="preserve">Sursa de verificare: Rapoartele Ministerului Economiei, </w:t>
            </w:r>
            <w:r w:rsidR="00CE1E75">
              <w:rPr>
                <w:rStyle w:val="normaltextrun"/>
                <w:rFonts w:ascii="Arial" w:hAnsi="Arial" w:cs="Arial"/>
                <w:sz w:val="18"/>
                <w:szCs w:val="18"/>
                <w:lang w:val="ro-MD"/>
              </w:rPr>
              <w:t xml:space="preserve">pagina </w:t>
            </w:r>
            <w:r w:rsidRPr="003A36E3">
              <w:rPr>
                <w:rStyle w:val="normaltextrun"/>
                <w:rFonts w:ascii="Arial" w:hAnsi="Arial" w:cs="Arial"/>
                <w:sz w:val="18"/>
                <w:szCs w:val="18"/>
                <w:lang w:val="ro-MD"/>
              </w:rPr>
              <w:t>web/rapoartele Agenției Proprietății Publice</w:t>
            </w:r>
          </w:p>
        </w:tc>
      </w:tr>
      <w:tr w:rsidR="006E16D8" w:rsidRPr="00BD0643" w14:paraId="653ACFAF" w14:textId="77777777" w:rsidTr="0059048A">
        <w:trPr>
          <w:trHeight w:val="300"/>
        </w:trPr>
        <w:tc>
          <w:tcPr>
            <w:tcW w:w="851" w:type="dxa"/>
            <w:vAlign w:val="center"/>
          </w:tcPr>
          <w:p w14:paraId="4DC1EBA8" w14:textId="7AEE1079" w:rsidR="006E16D8" w:rsidRPr="003A36E3" w:rsidRDefault="0060094D" w:rsidP="002F7854">
            <w:pPr>
              <w:spacing w:after="0" w:line="240" w:lineRule="auto"/>
              <w:jc w:val="both"/>
              <w:rPr>
                <w:rFonts w:ascii="Arial" w:eastAsiaTheme="minorEastAsia" w:hAnsi="Arial" w:cs="Arial"/>
                <w:sz w:val="18"/>
                <w:szCs w:val="18"/>
                <w:lang w:val="ro-MD"/>
              </w:rPr>
            </w:pPr>
            <w:bookmarkStart w:id="6" w:name="_Hlk192757513"/>
            <w:bookmarkEnd w:id="5"/>
            <w:r w:rsidRPr="003A36E3">
              <w:rPr>
                <w:rFonts w:ascii="Arial" w:eastAsiaTheme="minorEastAsia" w:hAnsi="Arial" w:cs="Arial"/>
                <w:sz w:val="18"/>
                <w:szCs w:val="18"/>
                <w:lang w:val="ro-MD"/>
              </w:rPr>
              <w:lastRenderedPageBreak/>
              <w:t>Reforma administrației publice</w:t>
            </w:r>
          </w:p>
        </w:tc>
        <w:tc>
          <w:tcPr>
            <w:tcW w:w="425" w:type="dxa"/>
            <w:vAlign w:val="center"/>
          </w:tcPr>
          <w:p w14:paraId="237A7409"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10</w:t>
            </w:r>
          </w:p>
        </w:tc>
        <w:tc>
          <w:tcPr>
            <w:tcW w:w="1276" w:type="dxa"/>
            <w:vAlign w:val="center"/>
          </w:tcPr>
          <w:p w14:paraId="2BC2353E" w14:textId="7760902D" w:rsidR="006E16D8" w:rsidRPr="003A36E3" w:rsidRDefault="00FB5BB0" w:rsidP="002F7854">
            <w:pPr>
              <w:spacing w:after="0" w:line="240" w:lineRule="auto"/>
              <w:ind w:right="-64"/>
              <w:jc w:val="both"/>
              <w:rPr>
                <w:rFonts w:ascii="Arial" w:eastAsiaTheme="minorEastAsia" w:hAnsi="Arial" w:cs="Arial"/>
                <w:sz w:val="18"/>
                <w:szCs w:val="18"/>
                <w:lang w:val="ro-MD"/>
              </w:rPr>
            </w:pPr>
            <w:r w:rsidRPr="003A36E3">
              <w:rPr>
                <w:rFonts w:ascii="Arial" w:eastAsiaTheme="minorEastAsia" w:hAnsi="Arial" w:cs="Arial"/>
                <w:sz w:val="18"/>
                <w:szCs w:val="18"/>
                <w:lang w:val="ro-MD"/>
              </w:rPr>
              <w:t>Asigurarea unui sistem instituțional flexibil și eficient al administrației publice centrale, prin reformarea autorităților publice subordonate guvernului și a instituțiilor publice, prin creșterea capacității administrative a acestora</w:t>
            </w:r>
          </w:p>
        </w:tc>
        <w:tc>
          <w:tcPr>
            <w:tcW w:w="357" w:type="dxa"/>
            <w:vAlign w:val="center"/>
          </w:tcPr>
          <w:p w14:paraId="5481594C" w14:textId="77777777" w:rsidR="006E16D8" w:rsidRPr="003A36E3" w:rsidRDefault="006E16D8"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25</w:t>
            </w:r>
          </w:p>
        </w:tc>
        <w:tc>
          <w:tcPr>
            <w:tcW w:w="683" w:type="dxa"/>
            <w:vAlign w:val="center"/>
          </w:tcPr>
          <w:p w14:paraId="014BA748" w14:textId="7D3733A0" w:rsidR="006E16D8" w:rsidRPr="003A36E3" w:rsidRDefault="0059048A" w:rsidP="002F7854">
            <w:pPr>
              <w:spacing w:after="0" w:line="240" w:lineRule="auto"/>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6E16D8" w:rsidRPr="003A36E3">
              <w:rPr>
                <w:rFonts w:ascii="Arial" w:eastAsiaTheme="minorEastAsia" w:hAnsi="Arial" w:cs="Arial"/>
                <w:sz w:val="18"/>
                <w:szCs w:val="18"/>
                <w:lang w:val="ro-MD"/>
              </w:rPr>
              <w:t xml:space="preserve"> 2027</w:t>
            </w:r>
          </w:p>
        </w:tc>
        <w:tc>
          <w:tcPr>
            <w:tcW w:w="1061" w:type="dxa"/>
            <w:vAlign w:val="center"/>
          </w:tcPr>
          <w:p w14:paraId="4E5D337F" w14:textId="2BBE9D8A" w:rsidR="006E16D8" w:rsidRPr="003A36E3" w:rsidRDefault="001F1BFC" w:rsidP="002F7854">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Cancelaria de Stat</w:t>
            </w:r>
          </w:p>
        </w:tc>
        <w:tc>
          <w:tcPr>
            <w:tcW w:w="4365" w:type="dxa"/>
          </w:tcPr>
          <w:p w14:paraId="58F0B15F" w14:textId="77777777" w:rsidR="00E3783D" w:rsidRPr="003A36E3" w:rsidRDefault="00E3783D" w:rsidP="00E3783D">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Instituțiile publice (reglementate de dispozițiile Legii privind instituțiile publice) sunt aliniate la cadrul de reglementare standard (guvernanță internă, gestionarea resurselor umane, sistemul de salarizare și planificarea și raportarea bugetară, inclusiv cu privire la subvenții), prin elaborarea și aprobarea legislației primare și secundare. </w:t>
            </w:r>
          </w:p>
          <w:p w14:paraId="24D15DA8" w14:textId="77777777" w:rsidR="00E3783D" w:rsidRPr="003A36E3" w:rsidRDefault="00E3783D" w:rsidP="00E3783D">
            <w:pPr>
              <w:spacing w:after="0"/>
              <w:jc w:val="both"/>
              <w:rPr>
                <w:rFonts w:ascii="Arial" w:eastAsiaTheme="minorEastAsia" w:hAnsi="Arial" w:cs="Arial"/>
                <w:sz w:val="18"/>
                <w:szCs w:val="18"/>
                <w:lang w:val="ro-MD"/>
              </w:rPr>
            </w:pPr>
          </w:p>
          <w:p w14:paraId="0F02CF33" w14:textId="77777777" w:rsidR="00E3783D" w:rsidRPr="003A36E3" w:rsidRDefault="00E3783D" w:rsidP="00E3783D">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Autoritățile publice centrale subordonate guvernului sunt restructurate pe baza analizei funcțiilor și competențelor lor și sunt aliniate la principiile SIGMA (ministerele se concentrează pe elaborarea politicilor, iar autoritățile administrative subordonate ministerelor asigură punerea în aplicare a politicilor). 90% din autoritățile publice centrale care sunt subordonate guvernului sunt restructurate.</w:t>
            </w:r>
          </w:p>
          <w:p w14:paraId="79D390D8" w14:textId="77777777" w:rsidR="00E3783D" w:rsidRPr="003A36E3" w:rsidRDefault="00E3783D" w:rsidP="00E3783D">
            <w:pPr>
              <w:spacing w:after="0"/>
              <w:jc w:val="both"/>
              <w:rPr>
                <w:rFonts w:ascii="Arial" w:eastAsiaTheme="minorEastAsia" w:hAnsi="Arial" w:cs="Arial"/>
                <w:sz w:val="18"/>
                <w:szCs w:val="18"/>
                <w:lang w:val="ro-MD"/>
              </w:rPr>
            </w:pPr>
          </w:p>
          <w:p w14:paraId="64FB2DEB" w14:textId="4468ACF3" w:rsidR="006E16D8" w:rsidRPr="003A36E3" w:rsidRDefault="00E3783D" w:rsidP="00E3783D">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80 de instituții publice care furnizează servicii administrative nu aderă la un cadru de reglementare unic.</w:t>
            </w:r>
          </w:p>
        </w:tc>
        <w:tc>
          <w:tcPr>
            <w:tcW w:w="5441" w:type="dxa"/>
          </w:tcPr>
          <w:p w14:paraId="131D6F3C" w14:textId="77777777" w:rsidR="006E16D8" w:rsidRPr="003A36E3" w:rsidRDefault="006E16D8" w:rsidP="002F7854">
            <w:pPr>
              <w:spacing w:after="0" w:line="240" w:lineRule="auto"/>
              <w:jc w:val="both"/>
              <w:rPr>
                <w:rFonts w:ascii="Arial" w:eastAsiaTheme="minorEastAsia" w:hAnsi="Arial" w:cs="Arial"/>
                <w:sz w:val="18"/>
                <w:szCs w:val="18"/>
                <w:lang w:val="ro-MD"/>
              </w:rPr>
            </w:pPr>
          </w:p>
          <w:p w14:paraId="064FC41B" w14:textId="2B3CEBBE" w:rsidR="009925E6" w:rsidRPr="003A36E3" w:rsidRDefault="009925E6" w:rsidP="009925E6">
            <w:pPr>
              <w:spacing w:after="0" w:line="240" w:lineRule="auto"/>
              <w:ind w:right="-64"/>
              <w:jc w:val="both"/>
              <w:rPr>
                <w:rFonts w:ascii="Arial" w:hAnsi="Arial" w:cs="Arial"/>
                <w:sz w:val="18"/>
                <w:szCs w:val="18"/>
                <w:lang w:val="ro-MD"/>
              </w:rPr>
            </w:pPr>
            <w:r w:rsidRPr="003A36E3">
              <w:rPr>
                <w:rFonts w:ascii="Arial" w:hAnsi="Arial" w:cs="Arial"/>
                <w:sz w:val="18"/>
                <w:szCs w:val="18"/>
                <w:lang w:val="ro-MD"/>
              </w:rPr>
              <w:t>(i)</w:t>
            </w:r>
            <w:r w:rsidR="0059048A">
              <w:rPr>
                <w:rFonts w:ascii="Arial" w:hAnsi="Arial" w:cs="Arial"/>
                <w:sz w:val="18"/>
                <w:szCs w:val="18"/>
                <w:lang w:val="ro-MD"/>
              </w:rPr>
              <w:t xml:space="preserve"> </w:t>
            </w:r>
            <w:r w:rsidRPr="003A36E3">
              <w:rPr>
                <w:rFonts w:ascii="Arial" w:hAnsi="Arial" w:cs="Arial"/>
                <w:sz w:val="18"/>
                <w:szCs w:val="18"/>
                <w:lang w:val="ro-MD"/>
              </w:rPr>
              <w:t>Legea este modificată pentru a permite tuturor instituțiilor publice să adere la un cadru de reglementare coerent și transparent, Legea privind instituțiile publice, cu excepția celor din domeniile educației, cercetării, sănătății, culturii, tineretului și sportului, care sunt reglementate prin legi specifice. 80 instituțiile publice care furnizează servicii administrative este ajustată în acest fel, cu excepția celor din domeniile educației, cercetării, sănătății, culturii, tineretului și sportului, care sunt reglementate prin legi specifice.</w:t>
            </w:r>
          </w:p>
          <w:p w14:paraId="3D22EE44" w14:textId="77777777" w:rsidR="009925E6" w:rsidRPr="003A36E3" w:rsidRDefault="009925E6" w:rsidP="009925E6">
            <w:pPr>
              <w:spacing w:after="0" w:line="240" w:lineRule="auto"/>
              <w:ind w:right="-64"/>
              <w:jc w:val="both"/>
              <w:rPr>
                <w:rFonts w:ascii="Arial" w:hAnsi="Arial" w:cs="Arial"/>
                <w:sz w:val="18"/>
                <w:szCs w:val="18"/>
                <w:lang w:val="ro-MD"/>
              </w:rPr>
            </w:pPr>
          </w:p>
          <w:p w14:paraId="001B71DC" w14:textId="4258816E" w:rsidR="009925E6" w:rsidRPr="003A36E3" w:rsidRDefault="009925E6" w:rsidP="009925E6">
            <w:pPr>
              <w:spacing w:after="0" w:line="240" w:lineRule="auto"/>
              <w:ind w:right="-64"/>
              <w:jc w:val="both"/>
              <w:rPr>
                <w:rFonts w:ascii="Arial" w:hAnsi="Arial" w:cs="Arial"/>
                <w:sz w:val="18"/>
                <w:szCs w:val="18"/>
                <w:lang w:val="ro-MD"/>
              </w:rPr>
            </w:pPr>
            <w:r w:rsidRPr="003A36E3">
              <w:rPr>
                <w:rFonts w:ascii="Arial" w:hAnsi="Arial" w:cs="Arial"/>
                <w:sz w:val="18"/>
                <w:szCs w:val="18"/>
                <w:lang w:val="ro-MD"/>
              </w:rPr>
              <w:t>(ii)</w:t>
            </w:r>
            <w:r w:rsidR="0059048A">
              <w:rPr>
                <w:rFonts w:ascii="Arial" w:hAnsi="Arial" w:cs="Arial"/>
                <w:sz w:val="18"/>
                <w:szCs w:val="18"/>
                <w:lang w:val="ro-MD"/>
              </w:rPr>
              <w:t xml:space="preserve"> </w:t>
            </w:r>
            <w:r w:rsidRPr="003A36E3">
              <w:rPr>
                <w:rFonts w:ascii="Arial" w:hAnsi="Arial" w:cs="Arial"/>
                <w:sz w:val="18"/>
                <w:szCs w:val="18"/>
                <w:lang w:val="ro-MD"/>
              </w:rPr>
              <w:t xml:space="preserve">Autoritățile publice centrale aflate în subordinea Guvernului migrează în subordinea ministerelor de resort, unde se elaborează politicile, în timp ce doar cele cu responsabilități intersectoriale rămân în coordonarea directă a Guvernului. 90% din autoritățile publice centrale care sunt în subordinea Guvernului sunt restructurate. </w:t>
            </w:r>
          </w:p>
          <w:p w14:paraId="3EEC1C82" w14:textId="5E33A7D1" w:rsidR="006E16D8" w:rsidRPr="003A36E3" w:rsidRDefault="009925E6" w:rsidP="009925E6">
            <w:pPr>
              <w:spacing w:after="0" w:line="240" w:lineRule="auto"/>
              <w:jc w:val="both"/>
              <w:rPr>
                <w:rFonts w:ascii="Arial" w:eastAsiaTheme="minorEastAsia" w:hAnsi="Arial" w:cs="Arial"/>
                <w:sz w:val="18"/>
                <w:szCs w:val="18"/>
                <w:lang w:val="ro-MD"/>
              </w:rPr>
            </w:pPr>
            <w:r w:rsidRPr="003A36E3">
              <w:rPr>
                <w:rFonts w:ascii="Arial" w:hAnsi="Arial" w:cs="Arial"/>
                <w:sz w:val="18"/>
                <w:szCs w:val="18"/>
                <w:lang w:val="ro-MD"/>
              </w:rPr>
              <w:t xml:space="preserve">Sursa de verificare: Monitorul Oficial; portalul web al actelor juridice din Republica Moldova </w:t>
            </w:r>
            <w:r w:rsidR="00236475" w:rsidRPr="003A36E3">
              <w:rPr>
                <w:rStyle w:val="normaltextrun"/>
                <w:rFonts w:ascii="Arial" w:hAnsi="Arial" w:cs="Arial"/>
                <w:sz w:val="18"/>
                <w:szCs w:val="18"/>
                <w:lang w:val="ro-MD"/>
              </w:rPr>
              <w:t>(</w:t>
            </w:r>
            <w:hyperlink r:id="rId12" w:tgtFrame="_blank" w:history="1">
              <w:r w:rsidR="00236475" w:rsidRPr="003A36E3">
                <w:rPr>
                  <w:rStyle w:val="normaltextrun"/>
                  <w:rFonts w:ascii="Arial" w:hAnsi="Arial" w:cs="Arial"/>
                  <w:sz w:val="18"/>
                  <w:szCs w:val="18"/>
                  <w:u w:val="single"/>
                  <w:shd w:val="clear" w:color="auto" w:fill="E1E3E6"/>
                  <w:lang w:val="ro-MD"/>
                </w:rPr>
                <w:t>www.legis.md</w:t>
              </w:r>
            </w:hyperlink>
            <w:r w:rsidR="00236475" w:rsidRPr="003A36E3">
              <w:rPr>
                <w:rStyle w:val="normaltextrun"/>
                <w:rFonts w:ascii="Arial" w:hAnsi="Arial" w:cs="Arial"/>
                <w:sz w:val="18"/>
                <w:szCs w:val="18"/>
                <w:lang w:val="ro-MD"/>
              </w:rPr>
              <w:t xml:space="preserve">); </w:t>
            </w:r>
            <w:r w:rsidRPr="003A36E3">
              <w:rPr>
                <w:rFonts w:ascii="Arial" w:hAnsi="Arial" w:cs="Arial"/>
                <w:sz w:val="18"/>
                <w:szCs w:val="18"/>
                <w:lang w:val="ro-MD"/>
              </w:rPr>
              <w:t xml:space="preserve"> </w:t>
            </w:r>
            <w:r w:rsidR="0059048A">
              <w:rPr>
                <w:rFonts w:ascii="Arial" w:hAnsi="Arial" w:cs="Arial"/>
                <w:sz w:val="18"/>
                <w:szCs w:val="18"/>
                <w:lang w:val="ro-MD"/>
              </w:rPr>
              <w:t>paginile</w:t>
            </w:r>
            <w:r w:rsidRPr="003A36E3">
              <w:rPr>
                <w:rFonts w:ascii="Arial" w:hAnsi="Arial" w:cs="Arial"/>
                <w:sz w:val="18"/>
                <w:szCs w:val="18"/>
                <w:lang w:val="ro-MD"/>
              </w:rPr>
              <w:t xml:space="preserve"> web ale ministerelor și regulamentele interne ale instituțiilor publice, disponibile pe </w:t>
            </w:r>
            <w:r w:rsidR="00CE1E75">
              <w:rPr>
                <w:rFonts w:ascii="Arial" w:hAnsi="Arial" w:cs="Arial"/>
                <w:sz w:val="18"/>
                <w:szCs w:val="18"/>
                <w:lang w:val="ro-MD"/>
              </w:rPr>
              <w:t>pagina</w:t>
            </w:r>
            <w:r w:rsidRPr="003A36E3">
              <w:rPr>
                <w:rFonts w:ascii="Arial" w:hAnsi="Arial" w:cs="Arial"/>
                <w:sz w:val="18"/>
                <w:szCs w:val="18"/>
                <w:lang w:val="ro-MD"/>
              </w:rPr>
              <w:t xml:space="preserve"> web corespunzăto</w:t>
            </w:r>
            <w:r w:rsidR="00CE1E75">
              <w:rPr>
                <w:rFonts w:ascii="Arial" w:hAnsi="Arial" w:cs="Arial"/>
                <w:sz w:val="18"/>
                <w:szCs w:val="18"/>
                <w:lang w:val="ro-MD"/>
              </w:rPr>
              <w:t>a</w:t>
            </w:r>
            <w:r w:rsidRPr="003A36E3">
              <w:rPr>
                <w:rFonts w:ascii="Arial" w:hAnsi="Arial" w:cs="Arial"/>
                <w:sz w:val="18"/>
                <w:szCs w:val="18"/>
                <w:lang w:val="ro-MD"/>
              </w:rPr>
              <w:t>r</w:t>
            </w:r>
            <w:r w:rsidR="00CE1E75">
              <w:rPr>
                <w:rFonts w:ascii="Arial" w:hAnsi="Arial" w:cs="Arial"/>
                <w:sz w:val="18"/>
                <w:szCs w:val="18"/>
                <w:lang w:val="ro-MD"/>
              </w:rPr>
              <w:t>e</w:t>
            </w:r>
            <w:r w:rsidRPr="003A36E3">
              <w:rPr>
                <w:rFonts w:ascii="Arial" w:hAnsi="Arial" w:cs="Arial"/>
                <w:sz w:val="18"/>
                <w:szCs w:val="18"/>
                <w:lang w:val="ro-MD"/>
              </w:rPr>
              <w:t>.</w:t>
            </w:r>
          </w:p>
        </w:tc>
      </w:tr>
      <w:tr w:rsidR="006E16D8" w:rsidRPr="00BD0643" w14:paraId="650605CE" w14:textId="77777777" w:rsidTr="0059048A">
        <w:trPr>
          <w:trHeight w:val="300"/>
        </w:trPr>
        <w:tc>
          <w:tcPr>
            <w:tcW w:w="851" w:type="dxa"/>
            <w:vAlign w:val="center"/>
          </w:tcPr>
          <w:p w14:paraId="1C3E5BD8" w14:textId="6533E2F6" w:rsidR="006E16D8" w:rsidRPr="003A36E3" w:rsidRDefault="001F1BFC" w:rsidP="00686AC6">
            <w:pPr>
              <w:spacing w:after="0" w:line="240" w:lineRule="auto"/>
              <w:jc w:val="both"/>
              <w:rPr>
                <w:rFonts w:ascii="Arial" w:eastAsiaTheme="minorEastAsia" w:hAnsi="Arial" w:cs="Arial"/>
                <w:sz w:val="18"/>
                <w:szCs w:val="18"/>
                <w:lang w:val="ro-MD"/>
              </w:rPr>
            </w:pPr>
            <w:bookmarkStart w:id="7" w:name="_Hlk192770003"/>
            <w:bookmarkEnd w:id="6"/>
            <w:r w:rsidRPr="003A36E3">
              <w:rPr>
                <w:rFonts w:ascii="Arial" w:eastAsiaTheme="minorEastAsia" w:hAnsi="Arial" w:cs="Arial"/>
                <w:sz w:val="18"/>
                <w:szCs w:val="18"/>
                <w:lang w:val="ro-MD"/>
              </w:rPr>
              <w:t>Reforma administrației publice</w:t>
            </w:r>
          </w:p>
        </w:tc>
        <w:tc>
          <w:tcPr>
            <w:tcW w:w="425" w:type="dxa"/>
            <w:vAlign w:val="center"/>
          </w:tcPr>
          <w:p w14:paraId="1F563D32" w14:textId="77777777" w:rsidR="006E16D8" w:rsidRPr="003A36E3" w:rsidRDefault="006E16D8" w:rsidP="00686AC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11</w:t>
            </w:r>
          </w:p>
        </w:tc>
        <w:tc>
          <w:tcPr>
            <w:tcW w:w="1276" w:type="dxa"/>
            <w:vAlign w:val="center"/>
          </w:tcPr>
          <w:p w14:paraId="4A7664D4" w14:textId="463F2952" w:rsidR="006E16D8" w:rsidRPr="003A36E3" w:rsidRDefault="00D135D2" w:rsidP="00686AC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Stabilirea unui cadru eficient de dezvoltare a carierei și a unui sistem de remunerare mai transparent, pentru a face </w:t>
            </w:r>
            <w:r w:rsidRPr="003A36E3">
              <w:rPr>
                <w:rFonts w:ascii="Arial" w:eastAsiaTheme="minorEastAsia" w:hAnsi="Arial" w:cs="Arial"/>
                <w:sz w:val="18"/>
                <w:szCs w:val="18"/>
                <w:lang w:val="ro-MD"/>
              </w:rPr>
              <w:lastRenderedPageBreak/>
              <w:t>serviciul public mai atractiv și mai performant</w:t>
            </w:r>
          </w:p>
        </w:tc>
        <w:tc>
          <w:tcPr>
            <w:tcW w:w="357" w:type="dxa"/>
            <w:vAlign w:val="center"/>
          </w:tcPr>
          <w:p w14:paraId="3B0705AA" w14:textId="77777777" w:rsidR="006E16D8" w:rsidRPr="003A36E3" w:rsidRDefault="006E16D8" w:rsidP="00686AC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26</w:t>
            </w:r>
          </w:p>
        </w:tc>
        <w:tc>
          <w:tcPr>
            <w:tcW w:w="683" w:type="dxa"/>
            <w:vAlign w:val="center"/>
          </w:tcPr>
          <w:p w14:paraId="17710CC6" w14:textId="1018A27E" w:rsidR="006E16D8" w:rsidRPr="003A36E3" w:rsidRDefault="0059048A" w:rsidP="00686AC6">
            <w:pPr>
              <w:spacing w:after="0" w:line="240" w:lineRule="auto"/>
              <w:jc w:val="both"/>
              <w:rPr>
                <w:rFonts w:ascii="Arial" w:eastAsiaTheme="minorEastAsia" w:hAnsi="Arial" w:cs="Arial"/>
                <w:sz w:val="18"/>
                <w:szCs w:val="18"/>
                <w:lang w:val="ro-MD"/>
              </w:rPr>
            </w:pPr>
            <w:r>
              <w:rPr>
                <w:rFonts w:ascii="Arial" w:eastAsiaTheme="minorEastAsia" w:hAnsi="Arial" w:cs="Arial"/>
                <w:sz w:val="18"/>
                <w:szCs w:val="18"/>
                <w:lang w:val="ro-MD"/>
              </w:rPr>
              <w:t>i</w:t>
            </w:r>
            <w:r w:rsidR="00E825DB" w:rsidRPr="003A36E3">
              <w:rPr>
                <w:rFonts w:ascii="Arial" w:eastAsiaTheme="minorEastAsia" w:hAnsi="Arial" w:cs="Arial"/>
                <w:sz w:val="18"/>
                <w:szCs w:val="18"/>
                <w:lang w:val="ro-MD"/>
              </w:rPr>
              <w:t>unie</w:t>
            </w:r>
            <w:r w:rsidR="006E16D8" w:rsidRPr="003A36E3">
              <w:rPr>
                <w:rFonts w:ascii="Arial" w:eastAsiaTheme="minorEastAsia" w:hAnsi="Arial" w:cs="Arial"/>
                <w:sz w:val="18"/>
                <w:szCs w:val="18"/>
                <w:lang w:val="ro-MD"/>
              </w:rPr>
              <w:t xml:space="preserve"> 2027</w:t>
            </w:r>
          </w:p>
        </w:tc>
        <w:tc>
          <w:tcPr>
            <w:tcW w:w="1061" w:type="dxa"/>
            <w:vAlign w:val="center"/>
          </w:tcPr>
          <w:p w14:paraId="2B0942DD" w14:textId="77777777" w:rsidR="00A00AF9" w:rsidRPr="003A36E3" w:rsidRDefault="00A00AF9" w:rsidP="00A00AF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Cancelaria de Stat</w:t>
            </w:r>
          </w:p>
          <w:p w14:paraId="155EB4C6" w14:textId="1D56F353" w:rsidR="006E16D8" w:rsidRPr="003A36E3" w:rsidRDefault="00A00AF9" w:rsidP="00A00AF9">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41040F92" w14:textId="3D5DB53D" w:rsidR="00DD317E" w:rsidRPr="003A36E3" w:rsidRDefault="00DD317E" w:rsidP="00DD317E">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Reforma salarială a funcției publice este pusă în aplicare prin:</w:t>
            </w:r>
          </w:p>
          <w:p w14:paraId="53D629C2" w14:textId="1C1E8069" w:rsidR="00DD317E" w:rsidRPr="003A36E3" w:rsidRDefault="00DD317E" w:rsidP="006A54D5">
            <w:pPr>
              <w:pStyle w:val="paragraph"/>
              <w:spacing w:before="0" w:beforeAutospacing="0" w:after="0" w:afterAutospacing="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(i)</w:t>
            </w:r>
            <w:r w:rsidR="0059048A">
              <w:rPr>
                <w:rStyle w:val="normaltextrun"/>
                <w:rFonts w:ascii="Arial" w:hAnsi="Arial" w:cs="Arial"/>
                <w:sz w:val="18"/>
                <w:szCs w:val="18"/>
                <w:lang w:val="ro-MD"/>
              </w:rPr>
              <w:t xml:space="preserve"> </w:t>
            </w:r>
            <w:r w:rsidRPr="003A36E3">
              <w:rPr>
                <w:rStyle w:val="normaltextrun"/>
                <w:rFonts w:ascii="Arial" w:hAnsi="Arial" w:cs="Arial"/>
                <w:sz w:val="18"/>
                <w:szCs w:val="18"/>
                <w:lang w:val="ro-MD"/>
              </w:rPr>
              <w:t>Adoptarea unei noi grile de salarizare bazate pe rezultatele evaluării posturilor;</w:t>
            </w:r>
          </w:p>
          <w:p w14:paraId="5A0CC986" w14:textId="77777777" w:rsidR="00DD317E" w:rsidRPr="003A36E3" w:rsidRDefault="00DD317E" w:rsidP="006A54D5">
            <w:pPr>
              <w:pStyle w:val="paragraph"/>
              <w:spacing w:before="0" w:beforeAutospacing="0" w:after="0" w:afterAutospacing="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(i) Reducerea valorilor de referință ale grilei de salarizare de la 9 la cel mult 6 sunt adoptate și implementate;</w:t>
            </w:r>
          </w:p>
          <w:p w14:paraId="379BEF8C" w14:textId="77777777" w:rsidR="00DD317E" w:rsidRPr="003A36E3" w:rsidRDefault="00DD317E" w:rsidP="006A54D5">
            <w:pPr>
              <w:pStyle w:val="paragraph"/>
              <w:spacing w:before="0" w:beforeAutospacing="0" w:after="0" w:afterAutospacing="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(ii) Creșterea părții salariale fixe la 70% din bugetul de salarii al instituției;</w:t>
            </w:r>
          </w:p>
          <w:p w14:paraId="12143F50" w14:textId="7441ADD7" w:rsidR="006E16D8" w:rsidRPr="003A36E3" w:rsidRDefault="00DD317E" w:rsidP="006A54D5">
            <w:pPr>
              <w:pStyle w:val="paragraph"/>
              <w:spacing w:before="0" w:beforeAutospacing="0" w:after="0" w:afterAutospacing="0"/>
              <w:jc w:val="both"/>
              <w:textAlignment w:val="baseline"/>
              <w:rPr>
                <w:rFonts w:ascii="Arial" w:hAnsi="Arial" w:cs="Arial"/>
                <w:sz w:val="18"/>
                <w:szCs w:val="18"/>
                <w:lang w:val="ro-MD"/>
              </w:rPr>
            </w:pPr>
            <w:r w:rsidRPr="003A36E3">
              <w:rPr>
                <w:rStyle w:val="normaltextrun"/>
                <w:rFonts w:ascii="Arial" w:hAnsi="Arial" w:cs="Arial"/>
                <w:sz w:val="18"/>
                <w:szCs w:val="18"/>
                <w:lang w:val="ro-MD"/>
              </w:rPr>
              <w:lastRenderedPageBreak/>
              <w:t>(iv) Definirea unor condiții clare pentru suplimentele salariale direcționate în funcție de performanță.</w:t>
            </w:r>
            <w:r w:rsidR="006E16D8" w:rsidRPr="003A36E3">
              <w:rPr>
                <w:rStyle w:val="eop"/>
                <w:rFonts w:ascii="Arial" w:hAnsi="Arial" w:cs="Arial"/>
                <w:sz w:val="18"/>
                <w:szCs w:val="18"/>
                <w:lang w:val="ro-MD"/>
              </w:rPr>
              <w:t> </w:t>
            </w:r>
          </w:p>
          <w:p w14:paraId="2DCD95F0" w14:textId="77777777" w:rsidR="006E16D8" w:rsidRPr="003A36E3" w:rsidRDefault="006E16D8" w:rsidP="00686AC6">
            <w:pPr>
              <w:pStyle w:val="paragraph"/>
              <w:spacing w:before="0" w:beforeAutospacing="0" w:after="0" w:afterAutospacing="0"/>
              <w:jc w:val="both"/>
              <w:textAlignment w:val="baseline"/>
              <w:rPr>
                <w:rFonts w:ascii="Arial" w:hAnsi="Arial" w:cs="Arial"/>
                <w:sz w:val="18"/>
                <w:szCs w:val="18"/>
                <w:lang w:val="ro-MD"/>
              </w:rPr>
            </w:pPr>
            <w:r w:rsidRPr="003A36E3">
              <w:rPr>
                <w:rStyle w:val="normaltextrun"/>
                <w:rFonts w:ascii="Arial" w:hAnsi="Arial" w:cs="Arial"/>
                <w:sz w:val="18"/>
                <w:szCs w:val="18"/>
                <w:lang w:val="ro-MD"/>
              </w:rPr>
              <w:t> </w:t>
            </w:r>
            <w:r w:rsidRPr="003A36E3">
              <w:rPr>
                <w:rStyle w:val="eop"/>
                <w:rFonts w:ascii="Arial" w:hAnsi="Arial" w:cs="Arial"/>
                <w:sz w:val="18"/>
                <w:szCs w:val="18"/>
                <w:lang w:val="ro-MD"/>
              </w:rPr>
              <w:t> </w:t>
            </w:r>
          </w:p>
          <w:p w14:paraId="20ED82BB" w14:textId="527C34CB" w:rsidR="006E16D8" w:rsidRPr="003A36E3" w:rsidRDefault="00A35A79" w:rsidP="00686AC6">
            <w:pPr>
              <w:pStyle w:val="paragraph"/>
              <w:spacing w:before="0" w:beforeAutospacing="0" w:after="0" w:afterAutospacing="0"/>
              <w:jc w:val="both"/>
              <w:textAlignment w:val="baseline"/>
              <w:rPr>
                <w:rFonts w:ascii="Arial" w:hAnsi="Arial" w:cs="Arial"/>
                <w:sz w:val="18"/>
                <w:szCs w:val="18"/>
                <w:lang w:val="ro-MD"/>
              </w:rPr>
            </w:pPr>
            <w:r w:rsidRPr="003A36E3">
              <w:rPr>
                <w:rStyle w:val="normaltextrun"/>
                <w:rFonts w:ascii="Arial" w:hAnsi="Arial" w:cs="Arial"/>
                <w:sz w:val="18"/>
                <w:szCs w:val="18"/>
                <w:lang w:val="ro-MD"/>
              </w:rPr>
              <w:t>Linia de referință: Grila de salarizare trebuie actualizată pentru a se alinia rezultatelor evaluării posturilor. Partea fixă din salariile funcționarilor publici în 2024 variază de la 10 % la 90 %, în funcție de tipurile specifice de posturi. Numărul valorilor de referință este de 9 în sectorul bugetar, inclusiv 3 valori de referință pentru sistemul judiciar/procuraturii. Condițiile pentru stabilirea suplimentelor salariale nu sunt suficient de clare.</w:t>
            </w:r>
            <w:r w:rsidR="006E16D8" w:rsidRPr="003A36E3">
              <w:rPr>
                <w:rStyle w:val="normaltextrun"/>
                <w:rFonts w:ascii="Arial" w:hAnsi="Arial" w:cs="Arial"/>
                <w:sz w:val="18"/>
                <w:szCs w:val="18"/>
                <w:lang w:val="ro-MD"/>
              </w:rPr>
              <w:t> </w:t>
            </w:r>
            <w:r w:rsidR="006E16D8" w:rsidRPr="003A36E3">
              <w:rPr>
                <w:rStyle w:val="eop"/>
                <w:rFonts w:ascii="Arial" w:hAnsi="Arial" w:cs="Arial"/>
                <w:sz w:val="18"/>
                <w:szCs w:val="18"/>
                <w:lang w:val="ro-MD"/>
              </w:rPr>
              <w:t> </w:t>
            </w:r>
          </w:p>
          <w:p w14:paraId="6006C371" w14:textId="52BCF3C8" w:rsidR="006E16D8" w:rsidRPr="003A36E3" w:rsidRDefault="006E16D8" w:rsidP="00686AC6">
            <w:pPr>
              <w:pStyle w:val="paragraph"/>
              <w:spacing w:before="0" w:beforeAutospacing="0" w:after="0" w:afterAutospacing="0"/>
              <w:jc w:val="both"/>
              <w:textAlignment w:val="baseline"/>
              <w:rPr>
                <w:rFonts w:ascii="Arial" w:eastAsiaTheme="minorEastAsia" w:hAnsi="Arial" w:cs="Arial"/>
                <w:sz w:val="18"/>
                <w:szCs w:val="18"/>
                <w:lang w:val="ro-MD"/>
              </w:rPr>
            </w:pPr>
            <w:r w:rsidRPr="003A36E3">
              <w:rPr>
                <w:rStyle w:val="normaltextrun"/>
                <w:rFonts w:ascii="Arial" w:hAnsi="Arial" w:cs="Arial"/>
                <w:sz w:val="18"/>
                <w:szCs w:val="18"/>
                <w:lang w:val="ro-MD"/>
              </w:rPr>
              <w:t> </w:t>
            </w:r>
            <w:r w:rsidRPr="003A36E3">
              <w:rPr>
                <w:rStyle w:val="eop"/>
                <w:rFonts w:ascii="Arial" w:hAnsi="Arial" w:cs="Arial"/>
                <w:sz w:val="18"/>
                <w:szCs w:val="18"/>
                <w:lang w:val="ro-MD"/>
              </w:rPr>
              <w:t> </w:t>
            </w:r>
          </w:p>
        </w:tc>
        <w:tc>
          <w:tcPr>
            <w:tcW w:w="5441" w:type="dxa"/>
            <w:tcBorders>
              <w:top w:val="single" w:sz="6" w:space="0" w:color="000000"/>
              <w:left w:val="single" w:sz="6" w:space="0" w:color="000000"/>
              <w:bottom w:val="single" w:sz="6" w:space="0" w:color="000000"/>
              <w:right w:val="single" w:sz="6" w:space="0" w:color="000000"/>
            </w:tcBorders>
            <w:shd w:val="clear" w:color="auto" w:fill="auto"/>
          </w:tcPr>
          <w:p w14:paraId="2E67386E" w14:textId="3059A500" w:rsidR="00450EF3" w:rsidRPr="003A36E3" w:rsidRDefault="00450EF3" w:rsidP="00450EF3">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lastRenderedPageBreak/>
              <w:t xml:space="preserve">(i) În urma adoptării Planului de acțiune privind reforma salarială, grila de salarizare este revizuită pe baza noii metodologii riguroase de evaluare a posturilor și a rezultatelor evaluării posturilor. Grila salarială revizuită este adoptată prin intermediul legislației primare și secundare. </w:t>
            </w:r>
          </w:p>
          <w:p w14:paraId="3A9805DC" w14:textId="5930FE4E" w:rsidR="00450EF3" w:rsidRPr="003A36E3" w:rsidRDefault="00450EF3" w:rsidP="00450EF3">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(ii)</w:t>
            </w:r>
            <w:r w:rsidR="0059048A">
              <w:rPr>
                <w:rStyle w:val="normaltextrun"/>
                <w:rFonts w:ascii="Arial" w:hAnsi="Arial" w:cs="Arial"/>
                <w:sz w:val="18"/>
                <w:szCs w:val="18"/>
                <w:lang w:val="ro-MD"/>
              </w:rPr>
              <w:t xml:space="preserve"> </w:t>
            </w:r>
            <w:r w:rsidRPr="003A36E3">
              <w:rPr>
                <w:rStyle w:val="normaltextrun"/>
                <w:rFonts w:ascii="Arial" w:hAnsi="Arial" w:cs="Arial"/>
                <w:sz w:val="18"/>
                <w:szCs w:val="18"/>
                <w:lang w:val="ro-MD"/>
              </w:rPr>
              <w:t xml:space="preserve">Partea salarială fixă atinge 70 % din bugetul de salarii al instituției bugetare de linia întâi (principalul titular al bugetului) prin modificări ale legislației primare și secundare.   </w:t>
            </w:r>
          </w:p>
          <w:p w14:paraId="41493459" w14:textId="5ECE7B2A" w:rsidR="00450EF3" w:rsidRPr="003A36E3" w:rsidRDefault="00450EF3" w:rsidP="00450EF3">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lastRenderedPageBreak/>
              <w:t>(iii)Sunt introduse modificări ale cadrului de reglementare pentru a reduce numărul de valori de referință, pe baza unui plan de acțiune adoptat, de la 9 la cel mult 6 până în iunie 2027 și la cel mult 4 până în 2032 (și anume 2 în administrația publică și 2 pentru procurori și judecători supuși unei evaluări externe/extraordinare și judecători ai Curții Constituționale) Reducerea valorilor de referință la cel mult 6 este pusă în aplicare.</w:t>
            </w:r>
          </w:p>
          <w:p w14:paraId="6E10CA9F" w14:textId="0A0FDF3E" w:rsidR="00450EF3" w:rsidRPr="003A36E3" w:rsidRDefault="00450EF3" w:rsidP="00450EF3">
            <w:pPr>
              <w:pStyle w:val="paragraph"/>
              <w:spacing w:after="0"/>
              <w:jc w:val="both"/>
              <w:textAlignment w:val="baseline"/>
              <w:rPr>
                <w:rStyle w:val="normaltextrun"/>
                <w:rFonts w:ascii="Arial" w:hAnsi="Arial" w:cs="Arial"/>
                <w:sz w:val="18"/>
                <w:szCs w:val="18"/>
                <w:lang w:val="ro-MD"/>
              </w:rPr>
            </w:pPr>
            <w:r w:rsidRPr="003A36E3">
              <w:rPr>
                <w:rStyle w:val="normaltextrun"/>
                <w:rFonts w:ascii="Arial" w:hAnsi="Arial" w:cs="Arial"/>
                <w:sz w:val="18"/>
                <w:szCs w:val="18"/>
                <w:lang w:val="ro-MD"/>
              </w:rPr>
              <w:t xml:space="preserve">(iv)Se adoptă și se pune în aplicare legislația primară și secundară care stabilește condiții clare bazate pe performanță pentru stabilirea suplimentelor salariale, inclusiv pentru activitatea legată de sarcinile UE. </w:t>
            </w:r>
          </w:p>
          <w:p w14:paraId="6216C228" w14:textId="097DFE87" w:rsidR="006E16D8" w:rsidRPr="003A36E3" w:rsidRDefault="00450EF3" w:rsidP="00450EF3">
            <w:pPr>
              <w:pStyle w:val="paragraph"/>
              <w:spacing w:before="0" w:beforeAutospacing="0" w:after="0" w:afterAutospacing="0"/>
              <w:jc w:val="both"/>
              <w:textAlignment w:val="baseline"/>
              <w:rPr>
                <w:rFonts w:ascii="Arial" w:eastAsiaTheme="minorEastAsia" w:hAnsi="Arial" w:cs="Arial"/>
                <w:sz w:val="18"/>
                <w:szCs w:val="18"/>
                <w:lang w:val="ro-MD"/>
              </w:rPr>
            </w:pPr>
            <w:r w:rsidRPr="003A36E3">
              <w:rPr>
                <w:rStyle w:val="normaltextrun"/>
                <w:rFonts w:ascii="Arial" w:hAnsi="Arial" w:cs="Arial"/>
                <w:sz w:val="18"/>
                <w:szCs w:val="18"/>
                <w:lang w:val="ro-MD"/>
              </w:rPr>
              <w:t>Sursa de verificare: portalul web al actelor juridice din Republica Moldova</w:t>
            </w:r>
            <w:r w:rsidR="006E16D8" w:rsidRPr="003A36E3">
              <w:rPr>
                <w:rStyle w:val="normaltextrun"/>
                <w:rFonts w:ascii="Arial" w:hAnsi="Arial" w:cs="Arial"/>
                <w:sz w:val="18"/>
                <w:szCs w:val="18"/>
                <w:lang w:val="ro-MD"/>
              </w:rPr>
              <w:t xml:space="preserve"> (</w:t>
            </w:r>
            <w:hyperlink r:id="rId13" w:tgtFrame="_blank" w:history="1">
              <w:r w:rsidR="006E16D8" w:rsidRPr="003A36E3">
                <w:rPr>
                  <w:rStyle w:val="normaltextrun"/>
                  <w:rFonts w:ascii="Arial" w:hAnsi="Arial" w:cs="Arial"/>
                  <w:sz w:val="18"/>
                  <w:szCs w:val="18"/>
                  <w:u w:val="single"/>
                  <w:shd w:val="clear" w:color="auto" w:fill="E1E3E6"/>
                  <w:lang w:val="ro-MD"/>
                </w:rPr>
                <w:t>www.legis.md</w:t>
              </w:r>
            </w:hyperlink>
            <w:r w:rsidR="006E16D8" w:rsidRPr="003A36E3">
              <w:rPr>
                <w:rStyle w:val="normaltextrun"/>
                <w:rFonts w:ascii="Arial" w:hAnsi="Arial" w:cs="Arial"/>
                <w:sz w:val="18"/>
                <w:szCs w:val="18"/>
                <w:lang w:val="ro-MD"/>
              </w:rPr>
              <w:t xml:space="preserve">); </w:t>
            </w:r>
            <w:r w:rsidR="00CE057E" w:rsidRPr="003A36E3">
              <w:rPr>
                <w:rStyle w:val="normaltextrun"/>
                <w:rFonts w:ascii="Arial" w:hAnsi="Arial" w:cs="Arial"/>
                <w:sz w:val="18"/>
                <w:szCs w:val="18"/>
                <w:lang w:val="ro-MD"/>
              </w:rPr>
              <w:t xml:space="preserve">acte administrative interne aprobate de Ministerul Finanțelor. </w:t>
            </w:r>
            <w:r w:rsidR="006E16D8" w:rsidRPr="003A36E3">
              <w:rPr>
                <w:rStyle w:val="normaltextrun"/>
                <w:rFonts w:ascii="Arial" w:hAnsi="Arial" w:cs="Arial"/>
                <w:sz w:val="18"/>
                <w:szCs w:val="18"/>
                <w:lang w:val="ro-MD"/>
              </w:rPr>
              <w:t xml:space="preserve">  </w:t>
            </w:r>
            <w:r w:rsidR="006E16D8" w:rsidRPr="003A36E3">
              <w:rPr>
                <w:rStyle w:val="eop"/>
                <w:rFonts w:ascii="Arial" w:hAnsi="Arial" w:cs="Arial"/>
                <w:sz w:val="18"/>
                <w:szCs w:val="18"/>
                <w:lang w:val="ro-MD"/>
              </w:rPr>
              <w:t> </w:t>
            </w:r>
          </w:p>
        </w:tc>
      </w:tr>
      <w:bookmarkEnd w:id="7"/>
      <w:tr w:rsidR="006E16D8" w:rsidRPr="00BD0643" w14:paraId="1A7EEBB1" w14:textId="77777777" w:rsidTr="0059048A">
        <w:trPr>
          <w:trHeight w:val="300"/>
        </w:trPr>
        <w:tc>
          <w:tcPr>
            <w:tcW w:w="851" w:type="dxa"/>
            <w:vAlign w:val="center"/>
          </w:tcPr>
          <w:p w14:paraId="33199CC8" w14:textId="4769A4B6" w:rsidR="006E16D8" w:rsidRPr="003A36E3" w:rsidRDefault="001F1BFC" w:rsidP="00686AC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Reforma administrației publice</w:t>
            </w:r>
          </w:p>
        </w:tc>
        <w:tc>
          <w:tcPr>
            <w:tcW w:w="425" w:type="dxa"/>
            <w:vAlign w:val="center"/>
          </w:tcPr>
          <w:p w14:paraId="78A0828A" w14:textId="77777777" w:rsidR="006E16D8" w:rsidRPr="003A36E3" w:rsidRDefault="006E16D8" w:rsidP="00686AC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11</w:t>
            </w:r>
          </w:p>
        </w:tc>
        <w:tc>
          <w:tcPr>
            <w:tcW w:w="1276" w:type="dxa"/>
            <w:vAlign w:val="center"/>
          </w:tcPr>
          <w:p w14:paraId="40BCD8D3" w14:textId="4CC5156A" w:rsidR="006E16D8" w:rsidRPr="003A36E3" w:rsidRDefault="00D135D2" w:rsidP="00686AC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Stabilirea unui cadru eficient de dezvoltare a carierei și a unui sistem de remunerare mai transparent, pentru a face serviciul public mai atractiv și mai performant</w:t>
            </w:r>
          </w:p>
        </w:tc>
        <w:tc>
          <w:tcPr>
            <w:tcW w:w="357" w:type="dxa"/>
            <w:vAlign w:val="center"/>
          </w:tcPr>
          <w:p w14:paraId="27D6F7B0" w14:textId="77777777" w:rsidR="006E16D8" w:rsidRPr="003A36E3" w:rsidRDefault="006E16D8" w:rsidP="00686AC6">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27</w:t>
            </w:r>
          </w:p>
        </w:tc>
        <w:tc>
          <w:tcPr>
            <w:tcW w:w="683" w:type="dxa"/>
            <w:vAlign w:val="center"/>
          </w:tcPr>
          <w:p w14:paraId="7CE8D707" w14:textId="4EB32648" w:rsidR="006E16D8" w:rsidRPr="003A36E3" w:rsidRDefault="0059048A" w:rsidP="00686AC6">
            <w:pPr>
              <w:pBdr>
                <w:top w:val="nil"/>
                <w:left w:val="nil"/>
                <w:bottom w:val="nil"/>
                <w:right w:val="nil"/>
                <w:between w:val="nil"/>
              </w:pBdr>
              <w:spacing w:after="0" w:line="240" w:lineRule="auto"/>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6E16D8" w:rsidRPr="003A36E3">
              <w:rPr>
                <w:rFonts w:ascii="Arial" w:eastAsiaTheme="minorEastAsia" w:hAnsi="Arial" w:cs="Arial"/>
                <w:sz w:val="18"/>
                <w:szCs w:val="18"/>
                <w:lang w:val="ro-MD"/>
              </w:rPr>
              <w:t xml:space="preserve"> 2027  </w:t>
            </w:r>
          </w:p>
        </w:tc>
        <w:tc>
          <w:tcPr>
            <w:tcW w:w="1061" w:type="dxa"/>
            <w:vAlign w:val="center"/>
          </w:tcPr>
          <w:p w14:paraId="21289F91" w14:textId="77777777" w:rsidR="00A00AF9" w:rsidRPr="003A36E3" w:rsidRDefault="00A00AF9" w:rsidP="00A00AF9">
            <w:pPr>
              <w:pBdr>
                <w:top w:val="nil"/>
                <w:left w:val="nil"/>
                <w:bottom w:val="nil"/>
                <w:right w:val="nil"/>
                <w:between w:val="nil"/>
              </w:pBd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Cancelaria de Stat</w:t>
            </w:r>
          </w:p>
          <w:p w14:paraId="65BA7199" w14:textId="2E7E3294" w:rsidR="006E16D8" w:rsidRPr="003A36E3" w:rsidRDefault="00A00AF9" w:rsidP="00A00AF9">
            <w:pPr>
              <w:pBdr>
                <w:top w:val="nil"/>
                <w:left w:val="nil"/>
                <w:bottom w:val="nil"/>
                <w:right w:val="nil"/>
                <w:between w:val="nil"/>
              </w:pBd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Finanțelor</w:t>
            </w:r>
          </w:p>
        </w:tc>
        <w:tc>
          <w:tcPr>
            <w:tcW w:w="4365" w:type="dxa"/>
          </w:tcPr>
          <w:p w14:paraId="35B6B598" w14:textId="77777777" w:rsidR="00670062" w:rsidRPr="003A36E3" w:rsidRDefault="00670062" w:rsidP="00670062">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Este instituit un sistem informatic de gestionare a resurselor umane (HRMIS) pentru toate instituțiile guvernamentale de nivel central, cel puțin 3 module fiind operaționale. </w:t>
            </w:r>
          </w:p>
          <w:p w14:paraId="3D615CD0" w14:textId="77777777" w:rsidR="00670062" w:rsidRPr="003A36E3" w:rsidRDefault="00670062" w:rsidP="00670062">
            <w:pPr>
              <w:spacing w:after="0" w:line="240" w:lineRule="auto"/>
              <w:jc w:val="both"/>
              <w:rPr>
                <w:rFonts w:ascii="Arial" w:eastAsiaTheme="minorEastAsia" w:hAnsi="Arial" w:cs="Arial"/>
                <w:sz w:val="18"/>
                <w:szCs w:val="18"/>
                <w:lang w:val="ro-MD"/>
              </w:rPr>
            </w:pPr>
          </w:p>
          <w:p w14:paraId="37C14395" w14:textId="5B32742C" w:rsidR="006E16D8" w:rsidRPr="003A36E3" w:rsidRDefault="00670062" w:rsidP="00670062">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2024, nu există niciun HRMIS.</w:t>
            </w:r>
          </w:p>
        </w:tc>
        <w:tc>
          <w:tcPr>
            <w:tcW w:w="5441" w:type="dxa"/>
          </w:tcPr>
          <w:p w14:paraId="2CE8DAB7" w14:textId="77777777" w:rsidR="00BD420A" w:rsidRPr="003A36E3" w:rsidRDefault="00BD420A" w:rsidP="00BD420A">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Se adoptă cadrul legislativ și de reglementare, inclusiv conceptul, regulamentul și specificațiile tehnice pentru sistemul informatic;</w:t>
            </w:r>
          </w:p>
          <w:p w14:paraId="7C1B5939" w14:textId="40111D70" w:rsidR="00BD420A" w:rsidRPr="003A36E3" w:rsidRDefault="00BD420A" w:rsidP="00BD420A">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(i)</w:t>
            </w:r>
            <w:r w:rsidR="0059048A">
              <w:rPr>
                <w:rFonts w:ascii="Arial" w:eastAsiaTheme="minorEastAsia" w:hAnsi="Arial" w:cs="Arial"/>
                <w:sz w:val="18"/>
                <w:szCs w:val="18"/>
                <w:lang w:val="ro-MD"/>
              </w:rPr>
              <w:t xml:space="preserve"> </w:t>
            </w:r>
            <w:r w:rsidRPr="003A36E3">
              <w:rPr>
                <w:rFonts w:ascii="Arial" w:eastAsiaTheme="minorEastAsia" w:hAnsi="Arial" w:cs="Arial"/>
                <w:sz w:val="18"/>
                <w:szCs w:val="18"/>
                <w:lang w:val="ro-MD"/>
              </w:rPr>
              <w:t>Crearea unei unități speciale în cadrul Departamentului Cancelariei de Stat privind gestionarea funcției publice, responsabilă de dezvoltarea, coordonarea și monitorizarea punerii în aplicare corespunzătoare a HRMIS în întreaga funcție publică. (ii)</w:t>
            </w:r>
            <w:r w:rsidR="0059048A">
              <w:rPr>
                <w:rFonts w:ascii="Arial" w:eastAsiaTheme="minorEastAsia" w:hAnsi="Arial" w:cs="Arial"/>
                <w:sz w:val="18"/>
                <w:szCs w:val="18"/>
                <w:lang w:val="ro-MD"/>
              </w:rPr>
              <w:t xml:space="preserve"> </w:t>
            </w:r>
            <w:r w:rsidRPr="003A36E3">
              <w:rPr>
                <w:rFonts w:ascii="Arial" w:eastAsiaTheme="minorEastAsia" w:hAnsi="Arial" w:cs="Arial"/>
                <w:sz w:val="18"/>
                <w:szCs w:val="18"/>
                <w:lang w:val="ro-MD"/>
              </w:rPr>
              <w:t>Derularea procedurilor de achiziții publice pentru selectarea și contractarea unui dezvoltator de soluții informatice, asigurându-se că dezvoltarea și monitorizarea sistemului se realizează modular, fiecare componentă îndeplinind cerințele de interoperabilitate și funcționale, fiind implementată mai întâi la nivelul autorităților publice centrale; (iii)Implementarea a până la 3 module la nivelul autorităților publice centrale, efectuarea testelor finale pentru aceste module și organizarea sesiunilor de formare pentru personalul de resurse umane vizat.</w:t>
            </w:r>
          </w:p>
          <w:p w14:paraId="403AC922" w14:textId="77777777" w:rsidR="00BD420A" w:rsidRPr="003A36E3" w:rsidRDefault="00BD420A" w:rsidP="00BD420A">
            <w:pPr>
              <w:spacing w:after="0" w:line="240" w:lineRule="auto"/>
              <w:jc w:val="both"/>
              <w:rPr>
                <w:rFonts w:ascii="Arial" w:eastAsiaTheme="minorEastAsia" w:hAnsi="Arial" w:cs="Arial"/>
                <w:sz w:val="18"/>
                <w:szCs w:val="18"/>
                <w:lang w:val="ro-MD"/>
              </w:rPr>
            </w:pPr>
          </w:p>
          <w:p w14:paraId="15349608" w14:textId="3D1854A2" w:rsidR="006E16D8" w:rsidRPr="003A36E3" w:rsidRDefault="00BD420A" w:rsidP="00BD420A">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portalul web al actelor juridice din Republica Moldova (</w:t>
            </w:r>
            <w:hyperlink r:id="rId14" w:tgtFrame="_blank" w:history="1">
              <w:r w:rsidR="00EA7626" w:rsidRPr="003A36E3">
                <w:rPr>
                  <w:rStyle w:val="normaltextrun"/>
                  <w:rFonts w:ascii="Arial" w:hAnsi="Arial" w:cs="Arial"/>
                  <w:sz w:val="18"/>
                  <w:szCs w:val="18"/>
                  <w:u w:val="single"/>
                  <w:shd w:val="clear" w:color="auto" w:fill="E1E3E6"/>
                  <w:lang w:val="ro-MD"/>
                </w:rPr>
                <w:t>www.legis.md</w:t>
              </w:r>
            </w:hyperlink>
            <w:r w:rsidRPr="003A36E3">
              <w:rPr>
                <w:rFonts w:ascii="Arial" w:eastAsiaTheme="minorEastAsia" w:hAnsi="Arial" w:cs="Arial"/>
                <w:sz w:val="18"/>
                <w:szCs w:val="18"/>
                <w:lang w:val="ro-MD"/>
              </w:rPr>
              <w:t xml:space="preserve">); Raportul intermediar privind implementarea Strategiei de reformă a administrației publice pe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Guvernului; accesul la HRMIS.</w:t>
            </w:r>
          </w:p>
        </w:tc>
      </w:tr>
      <w:tr w:rsidR="006E16D8" w:rsidRPr="00BD0643" w14:paraId="6BF81368" w14:textId="77777777" w:rsidTr="0059048A">
        <w:trPr>
          <w:trHeight w:val="300"/>
        </w:trPr>
        <w:tc>
          <w:tcPr>
            <w:tcW w:w="851" w:type="dxa"/>
            <w:vAlign w:val="center"/>
          </w:tcPr>
          <w:p w14:paraId="1224AD76" w14:textId="7A92EF86" w:rsidR="006E16D8" w:rsidRPr="003A36E3" w:rsidRDefault="001F1BFC" w:rsidP="00BB68B3">
            <w:pPr>
              <w:spacing w:after="0" w:line="240" w:lineRule="auto"/>
              <w:jc w:val="both"/>
              <w:rPr>
                <w:rFonts w:ascii="Arial" w:eastAsiaTheme="minorEastAsia" w:hAnsi="Arial" w:cs="Arial"/>
                <w:sz w:val="18"/>
                <w:szCs w:val="18"/>
                <w:lang w:val="ro-MD"/>
              </w:rPr>
            </w:pPr>
            <w:bookmarkStart w:id="8" w:name="_Hlk192710846"/>
            <w:r w:rsidRPr="003A36E3">
              <w:rPr>
                <w:rFonts w:ascii="Arial" w:eastAsiaTheme="minorEastAsia" w:hAnsi="Arial" w:cs="Arial"/>
                <w:sz w:val="18"/>
                <w:szCs w:val="18"/>
                <w:lang w:val="ro-MD"/>
              </w:rPr>
              <w:t>Reforma administrației publice</w:t>
            </w:r>
          </w:p>
        </w:tc>
        <w:tc>
          <w:tcPr>
            <w:tcW w:w="425" w:type="dxa"/>
            <w:vAlign w:val="center"/>
          </w:tcPr>
          <w:p w14:paraId="241F3846" w14:textId="77777777" w:rsidR="006E16D8" w:rsidRPr="003A36E3" w:rsidRDefault="006E16D8" w:rsidP="00BB68B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11</w:t>
            </w:r>
          </w:p>
        </w:tc>
        <w:tc>
          <w:tcPr>
            <w:tcW w:w="1276" w:type="dxa"/>
            <w:vAlign w:val="center"/>
          </w:tcPr>
          <w:p w14:paraId="5CBE95F1" w14:textId="1DCE31B2" w:rsidR="006E16D8" w:rsidRPr="003A36E3" w:rsidRDefault="00D135D2" w:rsidP="00BB68B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Stabilirea unui cadru eficient de dezvoltare a carierei și a unui sistem de remunerare </w:t>
            </w:r>
            <w:r w:rsidRPr="003A36E3">
              <w:rPr>
                <w:rFonts w:ascii="Arial" w:eastAsiaTheme="minorEastAsia" w:hAnsi="Arial" w:cs="Arial"/>
                <w:sz w:val="18"/>
                <w:szCs w:val="18"/>
                <w:lang w:val="ro-MD"/>
              </w:rPr>
              <w:lastRenderedPageBreak/>
              <w:t>mai transparent, pentru a face serviciul public mai atractiv și mai performant</w:t>
            </w:r>
          </w:p>
        </w:tc>
        <w:tc>
          <w:tcPr>
            <w:tcW w:w="357" w:type="dxa"/>
            <w:vAlign w:val="center"/>
          </w:tcPr>
          <w:p w14:paraId="168B2774" w14:textId="77777777" w:rsidR="006E16D8" w:rsidRPr="003A36E3" w:rsidRDefault="006E16D8" w:rsidP="00BB68B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28</w:t>
            </w:r>
          </w:p>
        </w:tc>
        <w:tc>
          <w:tcPr>
            <w:tcW w:w="683" w:type="dxa"/>
            <w:vAlign w:val="center"/>
          </w:tcPr>
          <w:p w14:paraId="73754C01" w14:textId="677CC664" w:rsidR="006E16D8" w:rsidRPr="003A36E3" w:rsidRDefault="00024F6F" w:rsidP="00BB68B3">
            <w:pPr>
              <w:spacing w:after="0" w:line="240" w:lineRule="auto"/>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6E16D8" w:rsidRPr="003A36E3">
              <w:rPr>
                <w:rFonts w:ascii="Arial" w:eastAsiaTheme="minorEastAsia" w:hAnsi="Arial" w:cs="Arial"/>
                <w:sz w:val="18"/>
                <w:szCs w:val="18"/>
                <w:lang w:val="ro-MD"/>
              </w:rPr>
              <w:t xml:space="preserve"> 2027</w:t>
            </w:r>
          </w:p>
        </w:tc>
        <w:tc>
          <w:tcPr>
            <w:tcW w:w="1061" w:type="dxa"/>
            <w:vAlign w:val="center"/>
          </w:tcPr>
          <w:p w14:paraId="75F1AB69" w14:textId="713E9EB9" w:rsidR="006E16D8" w:rsidRPr="003A36E3" w:rsidRDefault="00A00AF9" w:rsidP="00BB68B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Cancelaria de Stat</w:t>
            </w:r>
          </w:p>
        </w:tc>
        <w:tc>
          <w:tcPr>
            <w:tcW w:w="4365" w:type="dxa"/>
          </w:tcPr>
          <w:p w14:paraId="36887076" w14:textId="77777777" w:rsidR="003055F4" w:rsidRPr="003A36E3" w:rsidRDefault="003055F4" w:rsidP="003055F4">
            <w:pPr>
              <w:spacing w:before="60" w:after="6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Cadrul de dezvoltare a carierei este consolidat în cadrul autorităților publice centrale prin pilotarea sistemului centralizat de recrutare, implementarea uniformă a promovării și evaluării performanțelor și adoptarea unui nou cadru de competențe: </w:t>
            </w:r>
          </w:p>
          <w:p w14:paraId="2B4F3290" w14:textId="483E7B80" w:rsidR="003055F4" w:rsidRPr="003A36E3" w:rsidRDefault="003055F4" w:rsidP="003055F4">
            <w:pPr>
              <w:spacing w:before="60" w:after="6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(i) Pentru a asigura accesul uniform la posturile de funcționar public, noul sistem centralizat de recrutare este pilotat.</w:t>
            </w:r>
          </w:p>
          <w:p w14:paraId="18539409" w14:textId="77777777" w:rsidR="003055F4" w:rsidRPr="003A36E3" w:rsidRDefault="003055F4" w:rsidP="003055F4">
            <w:pPr>
              <w:spacing w:before="60" w:after="6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(ii) MD implementează practici uniforme de promovare și evaluare a performanțelor în cadrul autorităților publice centrale prin instituirea mecanismului de concurs intern pentru promovare, adoptarea unui ghid metodologic și furnizarea de cursuri de formare. </w:t>
            </w:r>
          </w:p>
          <w:p w14:paraId="60A8C4E5" w14:textId="5688EC50" w:rsidR="006E16D8" w:rsidRPr="003A36E3" w:rsidRDefault="003055F4" w:rsidP="003055F4">
            <w:pPr>
              <w:spacing w:before="60" w:after="60" w:line="240" w:lineRule="auto"/>
              <w:jc w:val="both"/>
              <w:rPr>
                <w:rFonts w:ascii="Arial" w:hAnsi="Arial" w:cs="Arial"/>
                <w:sz w:val="18"/>
                <w:szCs w:val="18"/>
                <w:lang w:val="ro-MD"/>
              </w:rPr>
            </w:pPr>
            <w:r w:rsidRPr="003A36E3">
              <w:rPr>
                <w:rFonts w:ascii="Arial" w:eastAsiaTheme="minorEastAsia" w:hAnsi="Arial" w:cs="Arial"/>
                <w:sz w:val="18"/>
                <w:szCs w:val="18"/>
                <w:lang w:val="ro-MD"/>
              </w:rPr>
              <w:t xml:space="preserve">(iii) Este </w:t>
            </w:r>
            <w:r w:rsidR="005F00AE">
              <w:rPr>
                <w:rFonts w:ascii="Arial" w:eastAsiaTheme="minorEastAsia" w:hAnsi="Arial" w:cs="Arial"/>
                <w:sz w:val="18"/>
                <w:szCs w:val="18"/>
                <w:lang w:val="ro-MD"/>
              </w:rPr>
              <w:t>adoptat</w:t>
            </w:r>
            <w:r w:rsidRPr="003A36E3">
              <w:rPr>
                <w:rFonts w:ascii="Arial" w:eastAsiaTheme="minorEastAsia" w:hAnsi="Arial" w:cs="Arial"/>
                <w:sz w:val="18"/>
                <w:szCs w:val="18"/>
                <w:lang w:val="ro-MD"/>
              </w:rPr>
              <w:t xml:space="preserve"> un nou cadru de competențe.</w:t>
            </w:r>
          </w:p>
          <w:p w14:paraId="45967B5A" w14:textId="77777777" w:rsidR="006E16D8" w:rsidRPr="003A36E3" w:rsidRDefault="006E16D8" w:rsidP="00BB68B3">
            <w:pPr>
              <w:spacing w:after="0" w:line="240" w:lineRule="auto"/>
              <w:jc w:val="both"/>
              <w:rPr>
                <w:rFonts w:ascii="Arial" w:eastAsiaTheme="minorEastAsia" w:hAnsi="Arial" w:cs="Arial"/>
                <w:sz w:val="18"/>
                <w:szCs w:val="18"/>
                <w:lang w:val="ro-MD"/>
              </w:rPr>
            </w:pPr>
          </w:p>
          <w:p w14:paraId="5FFE6CD3" w14:textId="36CEB504" w:rsidR="006E16D8" w:rsidRPr="003A36E3" w:rsidRDefault="002843EA" w:rsidP="00BB68B3">
            <w:pPr>
              <w:spacing w:before="60" w:after="6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Linia de </w:t>
            </w:r>
            <w:r w:rsidR="009B13D9" w:rsidRPr="003A36E3">
              <w:rPr>
                <w:rFonts w:ascii="Arial" w:eastAsiaTheme="minorEastAsia" w:hAnsi="Arial" w:cs="Arial"/>
                <w:sz w:val="18"/>
                <w:szCs w:val="18"/>
                <w:lang w:val="ro-MD"/>
              </w:rPr>
              <w:t>referință</w:t>
            </w:r>
            <w:r w:rsidRPr="003A36E3">
              <w:rPr>
                <w:rFonts w:ascii="Arial" w:eastAsiaTheme="minorEastAsia" w:hAnsi="Arial" w:cs="Arial"/>
                <w:sz w:val="18"/>
                <w:szCs w:val="18"/>
                <w:lang w:val="ro-MD"/>
              </w:rPr>
              <w:t>: Începând cu 2024, procesul de recrutare și selecție pentru funcțiile de conducere de nivel mediu și pentru cele care nu sunt de conducere este descentralizat, în timp ce recrutarea și selecția pentru funcțiile de conducere de nivel superior urmează o abordare centralizată. Strategia RAP prevede punerea în aplicare a recrutării centralizate în cadrul autorităților administrației publice centrale până în 2030. Recrutarea și selecția, procedurile standard de promovare internă sunt reglementate prin legislație specială. Cu toate acestea, comisiile de concurs funcționează cu capacități limitate, iar transparența rămâne o provocare. Nu există un cadru de competențe.</w:t>
            </w:r>
          </w:p>
          <w:p w14:paraId="3EA1C367" w14:textId="77777777" w:rsidR="006E16D8" w:rsidRPr="003A36E3" w:rsidRDefault="006E16D8" w:rsidP="00BB68B3">
            <w:pPr>
              <w:spacing w:after="0" w:line="240" w:lineRule="auto"/>
              <w:jc w:val="both"/>
              <w:rPr>
                <w:rFonts w:ascii="Arial" w:eastAsiaTheme="minorEastAsia" w:hAnsi="Arial" w:cs="Arial"/>
                <w:sz w:val="18"/>
                <w:szCs w:val="18"/>
                <w:lang w:val="ro-MD"/>
              </w:rPr>
            </w:pPr>
          </w:p>
          <w:p w14:paraId="73BC3416" w14:textId="77777777" w:rsidR="006E16D8" w:rsidRPr="003A36E3" w:rsidRDefault="006E16D8" w:rsidP="00BB68B3">
            <w:pPr>
              <w:spacing w:after="0" w:line="240" w:lineRule="auto"/>
              <w:jc w:val="both"/>
              <w:rPr>
                <w:rFonts w:ascii="Arial" w:eastAsiaTheme="minorEastAsia" w:hAnsi="Arial" w:cs="Arial"/>
                <w:sz w:val="18"/>
                <w:szCs w:val="18"/>
                <w:lang w:val="ro-MD"/>
              </w:rPr>
            </w:pPr>
          </w:p>
        </w:tc>
        <w:tc>
          <w:tcPr>
            <w:tcW w:w="5441" w:type="dxa"/>
          </w:tcPr>
          <w:p w14:paraId="26448EA6" w14:textId="77777777" w:rsidR="00BE4D73" w:rsidRPr="003A36E3" w:rsidRDefault="00BE4D73" w:rsidP="00BE4D7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(i) Procesul de recrutare centralizat cuprinde un test scris standardizat pe o platformă digitală securizată, asigurând meritocrația, transparența și o intervenție umană minimă. Proiectul pilot vizează două tipuri de funcții în cadrul administrației publice centrale. Proiectul pilot vizează două tipuri de funcții în cadrul câtorva ministere, permițând testarea sistemului înainte de implementarea pe scară largă în cadrul administrației publice centrale. Pentru punerea în aplicare a acestei etape, se înființează </w:t>
            </w:r>
            <w:r w:rsidRPr="003A36E3">
              <w:rPr>
                <w:rFonts w:ascii="Arial" w:eastAsiaTheme="minorEastAsia" w:hAnsi="Arial" w:cs="Arial"/>
                <w:sz w:val="18"/>
                <w:szCs w:val="18"/>
                <w:lang w:val="ro-MD"/>
              </w:rPr>
              <w:lastRenderedPageBreak/>
              <w:t xml:space="preserve">o unitate specială în cadrul Departamentului Cancelariei de Stat pentru gestionarea funcției publice; se adoptă conceptul privind sistemul centralizat de recrutare; se adoptă cadrul de reglementare primar și secundar pentru pilotarea sistemului centralizat de recrutare; se finalizează aranjamentele instituționale, metodologice, tehnice și logistice pentru pilotarea sistemului centralizat de recrutare. </w:t>
            </w:r>
          </w:p>
          <w:p w14:paraId="2F214BF3" w14:textId="77777777" w:rsidR="00BE4D73" w:rsidRPr="003A36E3" w:rsidRDefault="00BE4D73" w:rsidP="00BE4D7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(ii) MD implementează practici uniforme de promovare și evaluare a performanțelor în cadrul autorităților publice centrale prin instituirea mecanismului de concurs intern pentru promovare, adoptarea unui ghid metodologic pentru manageri și furnizarea de instruiri pentru managerii de nivel mediu privind evaluarea performanțelor. </w:t>
            </w:r>
          </w:p>
          <w:p w14:paraId="2B6B745B" w14:textId="4E7F8E28" w:rsidR="00BE4D73" w:rsidRPr="003A36E3" w:rsidRDefault="00BE4D73" w:rsidP="00BE4D7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(iii) Un nou cadru de competențe pentru autoritățile publice centrale este adoptat prin ordinul Cancelariei de Stat, iar cunoștințele și abilitățile-cheie sunt testate în cadrul sistemului pilotat de recrutare centralizată menționat la punctul i). </w:t>
            </w:r>
          </w:p>
          <w:p w14:paraId="545BA10C" w14:textId="77777777" w:rsidR="00BE4D73" w:rsidRPr="003A36E3" w:rsidRDefault="00BE4D73" w:rsidP="00BE4D73">
            <w:pPr>
              <w:spacing w:after="0" w:line="240" w:lineRule="auto"/>
              <w:jc w:val="both"/>
              <w:rPr>
                <w:rFonts w:ascii="Arial" w:eastAsiaTheme="minorEastAsia" w:hAnsi="Arial" w:cs="Arial"/>
                <w:sz w:val="18"/>
                <w:szCs w:val="18"/>
                <w:lang w:val="ro-MD"/>
              </w:rPr>
            </w:pPr>
          </w:p>
          <w:p w14:paraId="1D82B0A6" w14:textId="3AA3E260" w:rsidR="006E16D8" w:rsidRPr="003A36E3" w:rsidRDefault="00BE4D73" w:rsidP="00BE4D73">
            <w:pPr>
              <w:spacing w:after="0" w:line="240"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portalul web al actelor juridice din Republica Moldova (</w:t>
            </w:r>
            <w:hyperlink r:id="rId15" w:tgtFrame="_blank" w:history="1">
              <w:r w:rsidRPr="003A36E3">
                <w:rPr>
                  <w:rStyle w:val="normaltextrun"/>
                  <w:rFonts w:ascii="Arial" w:hAnsi="Arial" w:cs="Arial"/>
                  <w:sz w:val="18"/>
                  <w:szCs w:val="18"/>
                  <w:u w:val="single"/>
                  <w:shd w:val="clear" w:color="auto" w:fill="E1E3E6"/>
                  <w:lang w:val="ro-MD"/>
                </w:rPr>
                <w:t>www.legis.md</w:t>
              </w:r>
            </w:hyperlink>
            <w:r w:rsidRPr="003A36E3">
              <w:rPr>
                <w:rFonts w:ascii="Arial" w:eastAsiaTheme="minorEastAsia" w:hAnsi="Arial" w:cs="Arial"/>
                <w:sz w:val="18"/>
                <w:szCs w:val="18"/>
                <w:lang w:val="ro-MD"/>
              </w:rPr>
              <w:t>);</w:t>
            </w:r>
            <w:r w:rsidR="00024F6F">
              <w:rPr>
                <w:rFonts w:ascii="Arial" w:eastAsiaTheme="minorEastAsia" w:hAnsi="Arial" w:cs="Arial"/>
                <w:sz w:val="18"/>
                <w:szCs w:val="18"/>
                <w:lang w:val="ro-MD"/>
              </w:rPr>
              <w:t xml:space="preserve"> </w:t>
            </w:r>
            <w:r w:rsidRPr="003A36E3">
              <w:rPr>
                <w:rFonts w:ascii="Arial" w:eastAsiaTheme="minorEastAsia" w:hAnsi="Arial" w:cs="Arial"/>
                <w:sz w:val="18"/>
                <w:szCs w:val="18"/>
                <w:lang w:val="ro-MD"/>
              </w:rPr>
              <w:t xml:space="preserve">Raportul intermediar privind implementarea Strategiei de reformă a administrației publice pe </w:t>
            </w:r>
            <w:r w:rsidR="00CE1E75">
              <w:rPr>
                <w:rFonts w:ascii="Arial" w:eastAsiaTheme="minorEastAsia" w:hAnsi="Arial" w:cs="Arial"/>
                <w:sz w:val="18"/>
                <w:szCs w:val="18"/>
                <w:lang w:val="ro-MD"/>
              </w:rPr>
              <w:t>pagina web a</w:t>
            </w:r>
            <w:r w:rsidRPr="003A36E3">
              <w:rPr>
                <w:rFonts w:ascii="Arial" w:eastAsiaTheme="minorEastAsia" w:hAnsi="Arial" w:cs="Arial"/>
                <w:sz w:val="18"/>
                <w:szCs w:val="18"/>
                <w:lang w:val="ro-MD"/>
              </w:rPr>
              <w:t xml:space="preserve"> Guvernului; Ordinul Cancelariei de Stat privind adoptarea cadrului de competențe; Raportul Cancelariei de Stat privind rezultatele pilotului.</w:t>
            </w:r>
          </w:p>
        </w:tc>
      </w:tr>
      <w:bookmarkEnd w:id="8"/>
    </w:tbl>
    <w:p w14:paraId="1A4477C3" w14:textId="77777777" w:rsidR="006B3411" w:rsidRPr="003A36E3" w:rsidRDefault="006B3411" w:rsidP="002F7854">
      <w:pPr>
        <w:spacing w:after="0" w:line="257" w:lineRule="auto"/>
        <w:jc w:val="both"/>
        <w:rPr>
          <w:rFonts w:ascii="Arial" w:eastAsiaTheme="minorEastAsia" w:hAnsi="Arial" w:cs="Arial"/>
          <w:sz w:val="18"/>
          <w:szCs w:val="18"/>
          <w:lang w:val="ro-MD"/>
        </w:rPr>
        <w:sectPr w:rsidR="006B3411" w:rsidRPr="003A36E3" w:rsidSect="006B3411">
          <w:headerReference w:type="default" r:id="rId16"/>
          <w:footerReference w:type="default" r:id="rId17"/>
          <w:pgSz w:w="16838" w:h="11906" w:orient="landscape"/>
          <w:pgMar w:top="720" w:right="153" w:bottom="720" w:left="153" w:header="709" w:footer="709" w:gutter="0"/>
          <w:pgNumType w:start="1"/>
          <w:cols w:space="720"/>
        </w:sectPr>
      </w:pPr>
    </w:p>
    <w:p w14:paraId="01906BD7" w14:textId="77777777" w:rsidR="00696564" w:rsidRPr="003A36E3" w:rsidRDefault="00696564" w:rsidP="002F7854">
      <w:pPr>
        <w:spacing w:after="0" w:line="257" w:lineRule="auto"/>
        <w:jc w:val="both"/>
        <w:rPr>
          <w:rFonts w:ascii="Arial" w:eastAsiaTheme="minorEastAsia" w:hAnsi="Arial" w:cs="Arial"/>
          <w:sz w:val="18"/>
          <w:szCs w:val="18"/>
          <w:lang w:val="ro-MD"/>
        </w:rPr>
      </w:pPr>
    </w:p>
    <w:p w14:paraId="50D1094C" w14:textId="77777777" w:rsidR="00696564" w:rsidRPr="003A36E3" w:rsidRDefault="00696564" w:rsidP="002F7854">
      <w:pPr>
        <w:spacing w:after="0" w:line="257" w:lineRule="auto"/>
        <w:jc w:val="both"/>
        <w:rPr>
          <w:rFonts w:ascii="Arial" w:eastAsiaTheme="minorEastAsia" w:hAnsi="Arial" w:cs="Arial"/>
          <w:sz w:val="18"/>
          <w:szCs w:val="18"/>
          <w:lang w:val="ro-MD"/>
        </w:rPr>
      </w:pPr>
    </w:p>
    <w:p w14:paraId="0B61B01C" w14:textId="77777777" w:rsidR="00696564" w:rsidRPr="003A36E3" w:rsidRDefault="00696564" w:rsidP="002F7854">
      <w:pPr>
        <w:spacing w:after="0" w:line="257" w:lineRule="auto"/>
        <w:jc w:val="both"/>
        <w:rPr>
          <w:rFonts w:ascii="Arial" w:eastAsiaTheme="minorEastAsia" w:hAnsi="Arial" w:cs="Arial"/>
          <w:sz w:val="18"/>
          <w:szCs w:val="18"/>
          <w:lang w:val="ro-MD"/>
        </w:rPr>
      </w:pPr>
    </w:p>
    <w:p w14:paraId="4FED1E5B" w14:textId="77777777" w:rsidR="00696564" w:rsidRPr="003A36E3" w:rsidRDefault="00696564" w:rsidP="002F7854">
      <w:pPr>
        <w:spacing w:after="0" w:line="257" w:lineRule="auto"/>
        <w:jc w:val="both"/>
        <w:rPr>
          <w:rFonts w:ascii="Arial" w:eastAsiaTheme="minorEastAsia" w:hAnsi="Arial" w:cs="Arial"/>
          <w:sz w:val="18"/>
          <w:szCs w:val="18"/>
          <w:lang w:val="ro-MD"/>
        </w:rPr>
      </w:pPr>
    </w:p>
    <w:p w14:paraId="17128600" w14:textId="77777777" w:rsidR="00696564" w:rsidRPr="003A36E3" w:rsidRDefault="00696564" w:rsidP="002F7854">
      <w:pPr>
        <w:spacing w:after="0" w:line="257" w:lineRule="auto"/>
        <w:jc w:val="both"/>
        <w:rPr>
          <w:rFonts w:ascii="Arial" w:eastAsiaTheme="minorEastAsia" w:hAnsi="Arial" w:cs="Arial"/>
          <w:sz w:val="18"/>
          <w:szCs w:val="18"/>
          <w:lang w:val="ro-MD"/>
        </w:rPr>
      </w:pPr>
    </w:p>
    <w:p w14:paraId="19DDA7EC" w14:textId="77777777" w:rsidR="00696564" w:rsidRPr="003A36E3" w:rsidRDefault="00696564" w:rsidP="002F7854">
      <w:pPr>
        <w:spacing w:after="0" w:line="257" w:lineRule="auto"/>
        <w:jc w:val="both"/>
        <w:rPr>
          <w:rFonts w:ascii="Arial" w:eastAsiaTheme="minorEastAsia" w:hAnsi="Arial" w:cs="Arial"/>
          <w:sz w:val="18"/>
          <w:szCs w:val="18"/>
          <w:lang w:val="ro-MD"/>
        </w:rPr>
      </w:pPr>
    </w:p>
    <w:p w14:paraId="29BD7CCB" w14:textId="77777777" w:rsidR="00696564" w:rsidRPr="003A36E3" w:rsidRDefault="00696564" w:rsidP="002F7854">
      <w:pPr>
        <w:spacing w:after="0" w:line="257" w:lineRule="auto"/>
        <w:jc w:val="both"/>
        <w:rPr>
          <w:rFonts w:ascii="Arial" w:eastAsiaTheme="minorEastAsia" w:hAnsi="Arial" w:cs="Arial"/>
          <w:sz w:val="18"/>
          <w:szCs w:val="18"/>
          <w:lang w:val="ro-MD"/>
        </w:rPr>
      </w:pPr>
    </w:p>
    <w:p w14:paraId="69D38C79" w14:textId="3E0227F7" w:rsidR="00696564" w:rsidRPr="003A36E3" w:rsidRDefault="00AC4C07" w:rsidP="006E16D8">
      <w:pPr>
        <w:spacing w:after="0" w:line="257" w:lineRule="auto"/>
        <w:ind w:left="720" w:firstLine="720"/>
        <w:jc w:val="center"/>
        <w:rPr>
          <w:rFonts w:ascii="Arial" w:eastAsiaTheme="minorEastAsia" w:hAnsi="Arial" w:cs="Arial"/>
          <w:sz w:val="18"/>
          <w:szCs w:val="18"/>
          <w:lang w:val="ro-MD"/>
        </w:rPr>
        <w:sectPr w:rsidR="00696564" w:rsidRPr="003A36E3" w:rsidSect="009462C6">
          <w:headerReference w:type="default" r:id="rId18"/>
          <w:footerReference w:type="default" r:id="rId19"/>
          <w:pgSz w:w="16838" w:h="11906" w:orient="landscape"/>
          <w:pgMar w:top="720" w:right="153" w:bottom="720" w:left="153" w:header="709" w:footer="709" w:gutter="0"/>
          <w:pgNumType w:start="1"/>
          <w:cols w:space="720"/>
        </w:sectPr>
      </w:pPr>
      <w:r w:rsidRPr="003A36E3">
        <w:rPr>
          <w:rFonts w:ascii="Arial" w:eastAsiaTheme="minorEastAsia" w:hAnsi="Arial" w:cs="Arial"/>
          <w:sz w:val="18"/>
          <w:szCs w:val="18"/>
          <w:lang w:val="ro-MD"/>
        </w:rPr>
        <w:t>Pilonul 4: Capitalul social</w:t>
      </w:r>
    </w:p>
    <w:tbl>
      <w:tblPr>
        <w:tblW w:w="15451" w:type="dxa"/>
        <w:tblInd w:w="55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851"/>
        <w:gridCol w:w="425"/>
        <w:gridCol w:w="1276"/>
        <w:gridCol w:w="1276"/>
        <w:gridCol w:w="283"/>
        <w:gridCol w:w="993"/>
        <w:gridCol w:w="1559"/>
        <w:gridCol w:w="4252"/>
        <w:gridCol w:w="4536"/>
      </w:tblGrid>
      <w:tr w:rsidR="00591F33" w:rsidRPr="003A36E3" w14:paraId="11E54971" w14:textId="77777777" w:rsidTr="00591F33">
        <w:trPr>
          <w:trHeight w:val="300"/>
        </w:trPr>
        <w:tc>
          <w:tcPr>
            <w:tcW w:w="851" w:type="dxa"/>
          </w:tcPr>
          <w:p w14:paraId="499C21FF" w14:textId="77777777" w:rsidR="00591F33" w:rsidRPr="003A36E3" w:rsidRDefault="00591F33" w:rsidP="002F7854">
            <w:pPr>
              <w:spacing w:after="0"/>
              <w:jc w:val="both"/>
              <w:rPr>
                <w:rFonts w:ascii="Arial" w:eastAsiaTheme="minorEastAsia" w:hAnsi="Arial" w:cs="Arial"/>
                <w:sz w:val="18"/>
                <w:szCs w:val="18"/>
                <w:lang w:val="ro-MD"/>
              </w:rPr>
            </w:pPr>
          </w:p>
          <w:p w14:paraId="572179B6" w14:textId="708E9614" w:rsidR="00591F33" w:rsidRPr="003A36E3" w:rsidRDefault="007C714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Subdomeniu</w:t>
            </w:r>
            <w:r w:rsidRPr="003A36E3">
              <w:rPr>
                <w:rFonts w:ascii="Arial" w:eastAsiaTheme="minorEastAsia" w:hAnsi="Arial" w:cs="Arial"/>
                <w:sz w:val="18"/>
                <w:szCs w:val="18"/>
                <w:lang w:val="ro-MD"/>
              </w:rPr>
              <w:tab/>
            </w:r>
          </w:p>
        </w:tc>
        <w:tc>
          <w:tcPr>
            <w:tcW w:w="425" w:type="dxa"/>
          </w:tcPr>
          <w:p w14:paraId="3A473241" w14:textId="36A73545" w:rsidR="00591F33" w:rsidRPr="003A36E3" w:rsidRDefault="007C714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Reformă nr.</w:t>
            </w:r>
          </w:p>
        </w:tc>
        <w:tc>
          <w:tcPr>
            <w:tcW w:w="1276" w:type="dxa"/>
          </w:tcPr>
          <w:p w14:paraId="1BA39582" w14:textId="77777777" w:rsidR="00591F33" w:rsidRPr="003A36E3" w:rsidRDefault="00591F33" w:rsidP="002F7854">
            <w:pPr>
              <w:spacing w:after="0"/>
              <w:jc w:val="both"/>
              <w:rPr>
                <w:rFonts w:ascii="Arial" w:eastAsiaTheme="minorEastAsia" w:hAnsi="Arial" w:cs="Arial"/>
                <w:sz w:val="18"/>
                <w:szCs w:val="18"/>
                <w:lang w:val="ro-MD"/>
              </w:rPr>
            </w:pPr>
          </w:p>
        </w:tc>
        <w:tc>
          <w:tcPr>
            <w:tcW w:w="1276" w:type="dxa"/>
          </w:tcPr>
          <w:p w14:paraId="585FBA1C" w14:textId="0FCE2978" w:rsidR="00591F33" w:rsidRPr="003A36E3" w:rsidRDefault="008139EB"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Titlul reformei</w:t>
            </w:r>
            <w:r w:rsidRPr="003A36E3">
              <w:rPr>
                <w:rFonts w:ascii="Arial" w:eastAsiaTheme="minorEastAsia" w:hAnsi="Arial" w:cs="Arial"/>
                <w:sz w:val="18"/>
                <w:szCs w:val="18"/>
                <w:lang w:val="ro-MD"/>
              </w:rPr>
              <w:tab/>
            </w:r>
          </w:p>
        </w:tc>
        <w:tc>
          <w:tcPr>
            <w:tcW w:w="283" w:type="dxa"/>
          </w:tcPr>
          <w:p w14:paraId="6B739D7C" w14:textId="3FCD5946" w:rsidR="00591F33" w:rsidRPr="003A36E3" w:rsidRDefault="008139EB"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Etapa nr.</w:t>
            </w:r>
          </w:p>
        </w:tc>
        <w:tc>
          <w:tcPr>
            <w:tcW w:w="993" w:type="dxa"/>
          </w:tcPr>
          <w:p w14:paraId="4D6D8BAB" w14:textId="2C80D00E" w:rsidR="00591F33" w:rsidRPr="003A36E3" w:rsidRDefault="00BD2B90"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Termen de punere în aplicare</w:t>
            </w:r>
          </w:p>
        </w:tc>
        <w:tc>
          <w:tcPr>
            <w:tcW w:w="1559" w:type="dxa"/>
          </w:tcPr>
          <w:p w14:paraId="7E93EF11" w14:textId="7C8F3624"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Institu</w:t>
            </w:r>
            <w:r w:rsidR="00BD2B90" w:rsidRPr="003A36E3">
              <w:rPr>
                <w:rFonts w:ascii="Arial" w:eastAsiaTheme="minorEastAsia" w:hAnsi="Arial" w:cs="Arial"/>
                <w:sz w:val="18"/>
                <w:szCs w:val="18"/>
                <w:lang w:val="ro-MD"/>
              </w:rPr>
              <w:t>ții</w:t>
            </w:r>
          </w:p>
        </w:tc>
        <w:tc>
          <w:tcPr>
            <w:tcW w:w="4252" w:type="dxa"/>
          </w:tcPr>
          <w:p w14:paraId="0C47581D" w14:textId="64F6F621"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w:t>
            </w:r>
            <w:r w:rsidR="00EF7619" w:rsidRPr="003A36E3">
              <w:rPr>
                <w:rFonts w:ascii="Arial" w:eastAsiaTheme="minorEastAsia" w:hAnsi="Arial" w:cs="Arial"/>
                <w:sz w:val="18"/>
                <w:szCs w:val="18"/>
                <w:lang w:val="ro-MD"/>
              </w:rPr>
              <w:t>Condiția de plată și termenul de punere în aplicare</w:t>
            </w:r>
            <w:r w:rsidRPr="003A36E3">
              <w:rPr>
                <w:rFonts w:ascii="Arial" w:eastAsiaTheme="minorEastAsia" w:hAnsi="Arial" w:cs="Arial"/>
                <w:sz w:val="18"/>
                <w:szCs w:val="18"/>
                <w:lang w:val="ro-MD"/>
              </w:rPr>
              <w:t xml:space="preserve">/ </w:t>
            </w:r>
          </w:p>
        </w:tc>
        <w:tc>
          <w:tcPr>
            <w:tcW w:w="4536" w:type="dxa"/>
          </w:tcPr>
          <w:p w14:paraId="280C0A9B" w14:textId="357A07B1" w:rsidR="00591F33" w:rsidRPr="003A36E3" w:rsidRDefault="00EF7619"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Descrierea și definirea clară a ceea ce presupune fiecare etapă</w:t>
            </w:r>
          </w:p>
        </w:tc>
      </w:tr>
      <w:tr w:rsidR="00591F33" w:rsidRPr="00BD0643" w14:paraId="6B4236A6" w14:textId="77777777" w:rsidTr="00591F33">
        <w:trPr>
          <w:trHeight w:val="300"/>
        </w:trPr>
        <w:tc>
          <w:tcPr>
            <w:tcW w:w="851" w:type="dxa"/>
            <w:vAlign w:val="center"/>
          </w:tcPr>
          <w:p w14:paraId="243F3A56" w14:textId="2EFBF88C" w:rsidR="00591F33" w:rsidRPr="003A36E3" w:rsidRDefault="00A0597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Învățământ</w:t>
            </w:r>
            <w:r w:rsidR="003F28C6" w:rsidRPr="003A36E3">
              <w:rPr>
                <w:rFonts w:ascii="Arial" w:eastAsiaTheme="minorEastAsia" w:hAnsi="Arial" w:cs="Arial"/>
                <w:sz w:val="18"/>
                <w:szCs w:val="18"/>
                <w:lang w:val="ro-MD"/>
              </w:rPr>
              <w:t xml:space="preserve"> </w:t>
            </w:r>
          </w:p>
        </w:tc>
        <w:tc>
          <w:tcPr>
            <w:tcW w:w="425" w:type="dxa"/>
            <w:vAlign w:val="center"/>
          </w:tcPr>
          <w:p w14:paraId="28ADB741"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276" w:type="dxa"/>
          </w:tcPr>
          <w:p w14:paraId="62E0B540" w14:textId="77777777" w:rsidR="00591F33" w:rsidRPr="003A36E3" w:rsidRDefault="00591F33" w:rsidP="002F7854">
            <w:pPr>
              <w:spacing w:after="0"/>
              <w:jc w:val="both"/>
              <w:rPr>
                <w:rFonts w:ascii="Arial" w:eastAsiaTheme="minorEastAsia" w:hAnsi="Arial" w:cs="Arial"/>
                <w:sz w:val="18"/>
                <w:szCs w:val="18"/>
                <w:lang w:val="ro-MD"/>
              </w:rPr>
            </w:pPr>
          </w:p>
        </w:tc>
        <w:tc>
          <w:tcPr>
            <w:tcW w:w="1276" w:type="dxa"/>
            <w:vAlign w:val="center"/>
          </w:tcPr>
          <w:p w14:paraId="2B5C136E" w14:textId="105B1056" w:rsidR="00591F33" w:rsidRPr="003A36E3" w:rsidRDefault="00DF2A77"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Reducerea nepotrivirii dintre competențe și cerințele pieței muncii </w:t>
            </w:r>
            <w:r w:rsidR="00377A54" w:rsidRPr="003A36E3">
              <w:rPr>
                <w:rFonts w:ascii="Arial" w:eastAsiaTheme="minorEastAsia" w:hAnsi="Arial" w:cs="Arial"/>
                <w:sz w:val="18"/>
                <w:szCs w:val="18"/>
                <w:lang w:val="ro-MD"/>
              </w:rPr>
              <w:t>prin îmbunătățirea învățământului profesional tehnic</w:t>
            </w:r>
          </w:p>
        </w:tc>
        <w:tc>
          <w:tcPr>
            <w:tcW w:w="283" w:type="dxa"/>
            <w:vAlign w:val="center"/>
          </w:tcPr>
          <w:p w14:paraId="06621C23"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993" w:type="dxa"/>
          </w:tcPr>
          <w:p w14:paraId="7CDE0E87" w14:textId="2F9231DD" w:rsidR="00591F33" w:rsidRPr="003A36E3" w:rsidRDefault="00024F6F" w:rsidP="002F7854">
            <w:pPr>
              <w:spacing w:after="0"/>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591F33" w:rsidRPr="003A36E3">
              <w:rPr>
                <w:rFonts w:ascii="Arial" w:eastAsiaTheme="minorEastAsia" w:hAnsi="Arial" w:cs="Arial"/>
                <w:sz w:val="18"/>
                <w:szCs w:val="18"/>
                <w:lang w:val="ro-MD"/>
              </w:rPr>
              <w:t xml:space="preserve"> 2027</w:t>
            </w:r>
          </w:p>
        </w:tc>
        <w:tc>
          <w:tcPr>
            <w:tcW w:w="1559" w:type="dxa"/>
            <w:vAlign w:val="center"/>
          </w:tcPr>
          <w:p w14:paraId="6DE04A80" w14:textId="40E93127" w:rsidR="00591F33" w:rsidRPr="003A36E3" w:rsidRDefault="000F340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Educației și Cercetării</w:t>
            </w:r>
          </w:p>
        </w:tc>
        <w:tc>
          <w:tcPr>
            <w:tcW w:w="4252" w:type="dxa"/>
          </w:tcPr>
          <w:p w14:paraId="106555EB" w14:textId="77777777" w:rsidR="0010428E" w:rsidRPr="003A36E3" w:rsidRDefault="0010428E" w:rsidP="0010428E">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Cadrul calificărilor în ÎPT este consolidat, cu cel puțin 50 % din programele de studiu ÎPT active aliniate la programe de studii bazate pe calificări și cel puțin 4 programe ÎPT privind tranziția ecologică sunt aprobate (elaborate în colaborare cu sectorul privat).</w:t>
            </w:r>
          </w:p>
          <w:p w14:paraId="1A9DD00C" w14:textId="77777777" w:rsidR="0010428E" w:rsidRPr="003A36E3" w:rsidRDefault="0010428E" w:rsidP="0010428E">
            <w:pPr>
              <w:spacing w:after="0"/>
              <w:jc w:val="both"/>
              <w:rPr>
                <w:rFonts w:ascii="Arial" w:eastAsiaTheme="minorEastAsia" w:hAnsi="Arial" w:cs="Arial"/>
                <w:sz w:val="18"/>
                <w:szCs w:val="18"/>
                <w:lang w:val="ro-MD"/>
              </w:rPr>
            </w:pPr>
          </w:p>
          <w:p w14:paraId="618DFF03" w14:textId="33430E43" w:rsidR="00591F33" w:rsidRPr="003A36E3" w:rsidRDefault="0010428E" w:rsidP="0010428E">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2024, 0% din programele de studiu active în prezent în instituțiile de ÎPT sunt aliniate la programe de studiu bazate pe calificări și niciun program de studiu din ÎPT nu este elaborat în colaborare cu sectorul privat în domenii de calificare care permit tranziția ecologică. În 2024, 215 programe de studii/curricule în domeniul ÎPT sunt active la toate nivelurile de ÎPT (100 la nivelul ISCED 3 și 115 la nivelul ISCED 4), dar niciunul dintre acestea nu este aliniat la standardele de calificare. De asemenea, în prezent, niciun program de studii/curricule în domeniul ÎPT nu este elaborat în colaborare cu sectorul privat în domeniile de competențe care permit tranziția ecologică.</w:t>
            </w:r>
          </w:p>
        </w:tc>
        <w:tc>
          <w:tcPr>
            <w:tcW w:w="4536" w:type="dxa"/>
          </w:tcPr>
          <w:p w14:paraId="1B42E2A2" w14:textId="77777777" w:rsidR="00B050A4" w:rsidRPr="003A36E3" w:rsidRDefault="00B050A4" w:rsidP="00B050A4">
            <w:pPr>
              <w:spacing w:after="0" w:line="257" w:lineRule="auto"/>
              <w:jc w:val="both"/>
              <w:rPr>
                <w:rFonts w:ascii="Arial" w:hAnsi="Arial" w:cs="Arial"/>
                <w:sz w:val="18"/>
                <w:szCs w:val="18"/>
                <w:lang w:val="ro-MD"/>
              </w:rPr>
            </w:pPr>
            <w:r w:rsidRPr="003A36E3">
              <w:rPr>
                <w:rFonts w:ascii="Arial" w:hAnsi="Arial" w:cs="Arial"/>
                <w:sz w:val="18"/>
                <w:szCs w:val="18"/>
                <w:lang w:val="ro-MD"/>
              </w:rPr>
              <w:t xml:space="preserve">MD accelerează elaborarea standardelor de calificare și elaborează programe/curricule de ÎPT de nivel ISCED 3 și ISCED 4 în conformitate cu standardele de calificare identificate. Dezvoltă și aprobă cel puțin 4 programe de studii/curricule de ÎPT privind tranziția ecologică în colaborare cu sectorul privat, aprobă și asigură introducerea în instituțiile de ÎPT a programelor/curriculelor de ÎPT bazate pe calificări. </w:t>
            </w:r>
          </w:p>
          <w:p w14:paraId="6FFD2688" w14:textId="77777777" w:rsidR="00B050A4" w:rsidRPr="003A36E3" w:rsidRDefault="00B050A4" w:rsidP="00B050A4">
            <w:pPr>
              <w:spacing w:after="0" w:line="257" w:lineRule="auto"/>
              <w:jc w:val="both"/>
              <w:rPr>
                <w:rFonts w:ascii="Arial" w:hAnsi="Arial" w:cs="Arial"/>
                <w:sz w:val="18"/>
                <w:szCs w:val="18"/>
                <w:lang w:val="ro-MD"/>
              </w:rPr>
            </w:pPr>
          </w:p>
          <w:p w14:paraId="5DBD154D" w14:textId="79C07610" w:rsidR="00591F33" w:rsidRPr="003A36E3" w:rsidRDefault="00B050A4" w:rsidP="00B050A4">
            <w:pPr>
              <w:spacing w:after="0"/>
              <w:jc w:val="both"/>
              <w:rPr>
                <w:rFonts w:ascii="Arial" w:eastAsiaTheme="minorEastAsia" w:hAnsi="Arial" w:cs="Arial"/>
                <w:sz w:val="18"/>
                <w:szCs w:val="18"/>
                <w:lang w:val="ro-MD"/>
              </w:rPr>
            </w:pPr>
            <w:r w:rsidRPr="003A36E3">
              <w:rPr>
                <w:rFonts w:ascii="Arial" w:hAnsi="Arial" w:cs="Arial"/>
                <w:sz w:val="18"/>
                <w:szCs w:val="18"/>
                <w:lang w:val="ro-MD"/>
              </w:rPr>
              <w:t>Sursa de verificare: Registrul național al calificărilor și SIME (</w:t>
            </w:r>
            <w:r w:rsidR="00702918" w:rsidRPr="003A36E3">
              <w:rPr>
                <w:rFonts w:ascii="Arial" w:hAnsi="Arial" w:cs="Arial"/>
                <w:sz w:val="18"/>
                <w:szCs w:val="18"/>
                <w:lang w:val="ro-MD"/>
              </w:rPr>
              <w:t>EMIS</w:t>
            </w:r>
            <w:r w:rsidRPr="003A36E3">
              <w:rPr>
                <w:rFonts w:ascii="Arial" w:hAnsi="Arial" w:cs="Arial"/>
                <w:sz w:val="18"/>
                <w:szCs w:val="18"/>
                <w:lang w:val="ro-MD"/>
              </w:rPr>
              <w:t xml:space="preserve"> - Sistemul Informațional de Management în Educație), rapoartele anuale ale Ministerului Educației și Cercetării, registrul național al calificărilor.</w:t>
            </w:r>
          </w:p>
        </w:tc>
      </w:tr>
      <w:tr w:rsidR="00591F33" w:rsidRPr="00BD0643" w14:paraId="32D1CB2C" w14:textId="77777777" w:rsidTr="00591F33">
        <w:trPr>
          <w:trHeight w:val="537"/>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6376C26" w14:textId="2AFEB2A5" w:rsidR="00591F33" w:rsidRPr="003A36E3" w:rsidRDefault="00A0597F" w:rsidP="002F7854">
            <w:pPr>
              <w:jc w:val="both"/>
              <w:rPr>
                <w:rFonts w:ascii="Arial" w:eastAsiaTheme="minorEastAsia" w:hAnsi="Arial" w:cs="Arial"/>
                <w:sz w:val="18"/>
                <w:szCs w:val="18"/>
                <w:lang w:val="ro-MD"/>
              </w:rPr>
            </w:pPr>
            <w:r w:rsidRPr="003A36E3">
              <w:rPr>
                <w:rFonts w:ascii="Arial" w:eastAsiaTheme="minorEastAsia" w:hAnsi="Arial" w:cs="Arial"/>
                <w:sz w:val="18"/>
                <w:szCs w:val="18"/>
                <w:lang w:val="ro-MD"/>
              </w:rPr>
              <w:t>Învățământ</w:t>
            </w:r>
            <w:r w:rsidR="003F28C6" w:rsidRPr="003A36E3">
              <w:rPr>
                <w:rFonts w:ascii="Arial" w:eastAsiaTheme="minorEastAsia" w:hAnsi="Arial" w:cs="Arial"/>
                <w:sz w:val="18"/>
                <w:szCs w:val="18"/>
                <w:lang w:val="ro-MD"/>
              </w:rPr>
              <w:t xml:space="preserve">  </w:t>
            </w:r>
          </w:p>
        </w:tc>
        <w:tc>
          <w:tcPr>
            <w:tcW w:w="4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3CD2BB" w14:textId="77777777" w:rsidR="00591F33" w:rsidRPr="003A36E3" w:rsidRDefault="00591F33" w:rsidP="002F7854">
            <w:pPr>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EF584D" w14:textId="77777777" w:rsidR="00591F33" w:rsidRPr="003A36E3" w:rsidRDefault="00591F33" w:rsidP="002F7854">
            <w:pPr>
              <w:spacing w:after="0"/>
              <w:jc w:val="both"/>
              <w:rPr>
                <w:rFonts w:ascii="Arial" w:eastAsiaTheme="minorEastAsia" w:hAnsi="Arial" w:cs="Arial"/>
                <w:sz w:val="18"/>
                <w:szCs w:val="18"/>
                <w:lang w:val="ro-MD"/>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C25665" w14:textId="7E8A1C1A" w:rsidR="00591F33" w:rsidRPr="003A36E3" w:rsidRDefault="00DF2A77" w:rsidP="002F7854">
            <w:pPr>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Reducerea nepotrivirii dintre competențe și cerințele pieței muncii </w:t>
            </w:r>
            <w:r w:rsidR="00377A54" w:rsidRPr="003A36E3">
              <w:rPr>
                <w:rFonts w:ascii="Arial" w:eastAsiaTheme="minorEastAsia" w:hAnsi="Arial" w:cs="Arial"/>
                <w:sz w:val="18"/>
                <w:szCs w:val="18"/>
                <w:lang w:val="ro-MD"/>
              </w:rPr>
              <w:t>prin îmbunătățirea învățământul</w:t>
            </w:r>
            <w:r w:rsidR="00377A54" w:rsidRPr="003A36E3">
              <w:rPr>
                <w:rFonts w:ascii="Arial" w:eastAsiaTheme="minorEastAsia" w:hAnsi="Arial" w:cs="Arial"/>
                <w:sz w:val="18"/>
                <w:szCs w:val="18"/>
                <w:lang w:val="ro-MD"/>
              </w:rPr>
              <w:lastRenderedPageBreak/>
              <w:t>ui profesional tehnic</w:t>
            </w: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7927A6" w14:textId="77777777" w:rsidR="00591F33" w:rsidRPr="003A36E3" w:rsidRDefault="00591F33" w:rsidP="002F7854">
            <w:pPr>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2</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DF2E5AB" w14:textId="2187D0F5" w:rsidR="00591F33" w:rsidRPr="003A36E3" w:rsidRDefault="00024F6F" w:rsidP="002F7854">
            <w:pPr>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591F33" w:rsidRPr="003A36E3">
              <w:rPr>
                <w:rFonts w:ascii="Arial" w:eastAsiaTheme="minorEastAsia" w:hAnsi="Arial" w:cs="Arial"/>
                <w:sz w:val="18"/>
                <w:szCs w:val="18"/>
                <w:lang w:val="ro-MD"/>
              </w:rPr>
              <w:t xml:space="preserve"> 2027</w:t>
            </w:r>
          </w:p>
        </w:tc>
        <w:tc>
          <w:tcPr>
            <w:tcW w:w="15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61AD35" w14:textId="70BABEF8" w:rsidR="00591F33" w:rsidRPr="003A36E3" w:rsidRDefault="000F340F" w:rsidP="002F7854">
            <w:pPr>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Educației și Cercetării</w:t>
            </w: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6740B8" w14:textId="77777777" w:rsidR="006D6410" w:rsidRPr="003A36E3" w:rsidRDefault="006D6410" w:rsidP="006D6410">
            <w:pPr>
              <w:jc w:val="both"/>
              <w:rPr>
                <w:rFonts w:ascii="Arial" w:eastAsiaTheme="minorEastAsia" w:hAnsi="Arial" w:cs="Arial"/>
                <w:sz w:val="18"/>
                <w:szCs w:val="18"/>
                <w:lang w:val="ro-MD"/>
              </w:rPr>
            </w:pPr>
            <w:r w:rsidRPr="003A36E3">
              <w:rPr>
                <w:rFonts w:ascii="Arial" w:eastAsiaTheme="minorEastAsia" w:hAnsi="Arial" w:cs="Arial"/>
                <w:sz w:val="18"/>
                <w:szCs w:val="18"/>
                <w:lang w:val="ro-MD"/>
              </w:rPr>
              <w:t>Cel puțin 50% din programele active de învățământ profesional tehnic sunt conduse de cadre didactice din învățământul profesional tehnic care au participat la cursuri de formare continuă și utilizează materiale de predare și învățare sensibile la gen și dizabilități, aprobate prin ordinul Ministerului Educației și Cercetării.</w:t>
            </w:r>
          </w:p>
          <w:p w14:paraId="1F85CEBF" w14:textId="012AA6C5" w:rsidR="00591F33" w:rsidRPr="003A36E3" w:rsidRDefault="006D6410" w:rsidP="006D6410">
            <w:pPr>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Linia de referință: În 2024, 0 % din programele de ÎPT active utilizează materiale de predare și învățare sensibile la gen și dizabilități, garantate din </w:t>
            </w:r>
            <w:r w:rsidRPr="003A36E3">
              <w:rPr>
                <w:rFonts w:ascii="Arial" w:eastAsiaTheme="minorEastAsia" w:hAnsi="Arial" w:cs="Arial"/>
                <w:sz w:val="18"/>
                <w:szCs w:val="18"/>
                <w:lang w:val="ro-MD"/>
              </w:rPr>
              <w:lastRenderedPageBreak/>
              <w:t>punct de vedere al calității și aprobate de organismele de supraveghere, iar 0 % din cadrele didactice din ÎPT au fost formate în cadrul unui sistem coordonat de formare continuă a cadrelor didactice.</w:t>
            </w:r>
          </w:p>
        </w:tc>
        <w:tc>
          <w:tcPr>
            <w:tcW w:w="45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DE5CEB" w14:textId="77777777" w:rsidR="009D2998" w:rsidRPr="003A36E3" w:rsidRDefault="009D2998" w:rsidP="009D2998">
            <w:pPr>
              <w:spacing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MD revizuiește mecanismele actuale de dezvoltare, asigurare a calității producției și distribuire a materialelor didactice și de învățare din domeniul ÎPT pentru programele de studiu din ÎPT la nivelurile ISCED 3 și ISCED 4, încorporând principiile sensibilității la gen și la dizabilități. MD asigură formarea cadrelor didactice pentru profesorii din cadrul ÎPT care lucrează la nivelurile ISCED 3 și ISCED 4 cu privire la utilizarea noilor resurse de predare și învățare aprobate.</w:t>
            </w:r>
          </w:p>
          <w:p w14:paraId="5673189A" w14:textId="139F938B" w:rsidR="00591F33" w:rsidRPr="003A36E3" w:rsidRDefault="009D2998" w:rsidP="009D2998">
            <w:pPr>
              <w:spacing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Sursa de verificare: Rapoarte anuale furnizate de Ministerul Educației și Cercetării, pe baza rapoartelor </w:t>
            </w:r>
            <w:r w:rsidRPr="003A36E3">
              <w:rPr>
                <w:rFonts w:ascii="Arial" w:eastAsiaTheme="minorEastAsia" w:hAnsi="Arial" w:cs="Arial"/>
                <w:sz w:val="18"/>
                <w:szCs w:val="18"/>
                <w:lang w:val="ro-MD"/>
              </w:rPr>
              <w:lastRenderedPageBreak/>
              <w:t>instituțiilor din cadrul ÎPT și a altor documente (liste de prezență la formare, procese-verbale etc.) colectate de departamentul ÎPT al Ministerului.</w:t>
            </w:r>
          </w:p>
        </w:tc>
      </w:tr>
      <w:tr w:rsidR="00591F33" w:rsidRPr="00BD0643" w14:paraId="414CE9CC" w14:textId="77777777" w:rsidTr="00591F33">
        <w:trPr>
          <w:trHeight w:val="300"/>
        </w:trPr>
        <w:tc>
          <w:tcPr>
            <w:tcW w:w="851" w:type="dxa"/>
            <w:vAlign w:val="center"/>
          </w:tcPr>
          <w:p w14:paraId="356C1746" w14:textId="5C7DDBB2" w:rsidR="00591F33" w:rsidRPr="003A36E3" w:rsidRDefault="00A0597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Învățământ</w:t>
            </w:r>
            <w:r w:rsidR="003F28C6" w:rsidRPr="003A36E3">
              <w:rPr>
                <w:rFonts w:ascii="Arial" w:eastAsiaTheme="minorEastAsia" w:hAnsi="Arial" w:cs="Arial"/>
                <w:sz w:val="18"/>
                <w:szCs w:val="18"/>
                <w:lang w:val="ro-MD"/>
              </w:rPr>
              <w:t xml:space="preserve"> </w:t>
            </w:r>
            <w:r w:rsidR="00591F33" w:rsidRPr="003A36E3">
              <w:rPr>
                <w:rFonts w:ascii="Arial" w:eastAsiaTheme="minorEastAsia" w:hAnsi="Arial" w:cs="Arial"/>
                <w:sz w:val="18"/>
                <w:szCs w:val="18"/>
                <w:lang w:val="ro-MD"/>
              </w:rPr>
              <w:t xml:space="preserve">  </w:t>
            </w:r>
          </w:p>
        </w:tc>
        <w:tc>
          <w:tcPr>
            <w:tcW w:w="425" w:type="dxa"/>
            <w:vAlign w:val="center"/>
          </w:tcPr>
          <w:p w14:paraId="0EC5AC6D"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276" w:type="dxa"/>
          </w:tcPr>
          <w:p w14:paraId="1C47D01E" w14:textId="77777777" w:rsidR="00591F33" w:rsidRPr="003A36E3" w:rsidRDefault="00591F33" w:rsidP="002F7854">
            <w:pPr>
              <w:spacing w:after="0"/>
              <w:jc w:val="both"/>
              <w:rPr>
                <w:rFonts w:ascii="Arial" w:eastAsiaTheme="minorEastAsia" w:hAnsi="Arial" w:cs="Arial"/>
                <w:sz w:val="18"/>
                <w:szCs w:val="18"/>
                <w:lang w:val="ro-MD"/>
              </w:rPr>
            </w:pPr>
          </w:p>
        </w:tc>
        <w:tc>
          <w:tcPr>
            <w:tcW w:w="1276" w:type="dxa"/>
            <w:vAlign w:val="center"/>
          </w:tcPr>
          <w:p w14:paraId="50749CD3" w14:textId="4CCBD605" w:rsidR="00591F33" w:rsidRPr="003A36E3" w:rsidRDefault="00DF2A77"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Reducerea nepotrivirii dintre competențe și cerințele pieței muncii </w:t>
            </w:r>
            <w:r w:rsidR="00377A54" w:rsidRPr="003A36E3">
              <w:rPr>
                <w:rFonts w:ascii="Arial" w:eastAsiaTheme="minorEastAsia" w:hAnsi="Arial" w:cs="Arial"/>
                <w:sz w:val="18"/>
                <w:szCs w:val="18"/>
                <w:lang w:val="ro-MD"/>
              </w:rPr>
              <w:t>prin îmbunătățirea învățământului profesional tehnic</w:t>
            </w:r>
          </w:p>
        </w:tc>
        <w:tc>
          <w:tcPr>
            <w:tcW w:w="283" w:type="dxa"/>
            <w:vAlign w:val="center"/>
          </w:tcPr>
          <w:p w14:paraId="24B13294" w14:textId="77777777" w:rsidR="00591F33" w:rsidRPr="003A36E3" w:rsidRDefault="00591F33" w:rsidP="002F7854">
            <w:pPr>
              <w:spacing w:after="0"/>
              <w:jc w:val="both"/>
              <w:rPr>
                <w:rFonts w:ascii="Arial" w:eastAsiaTheme="minorEastAsia" w:hAnsi="Arial" w:cs="Arial"/>
                <w:sz w:val="18"/>
                <w:szCs w:val="18"/>
                <w:lang w:val="ro-MD"/>
              </w:rPr>
            </w:pPr>
          </w:p>
          <w:p w14:paraId="3CEE2F22"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3</w:t>
            </w:r>
          </w:p>
          <w:p w14:paraId="1892FD40" w14:textId="77777777" w:rsidR="00591F33" w:rsidRPr="003A36E3" w:rsidRDefault="00591F33" w:rsidP="002F7854">
            <w:pPr>
              <w:spacing w:after="0"/>
              <w:jc w:val="both"/>
              <w:rPr>
                <w:rFonts w:ascii="Arial" w:eastAsiaTheme="minorEastAsia" w:hAnsi="Arial" w:cs="Arial"/>
                <w:sz w:val="18"/>
                <w:szCs w:val="18"/>
                <w:lang w:val="ro-MD"/>
              </w:rPr>
            </w:pPr>
          </w:p>
        </w:tc>
        <w:tc>
          <w:tcPr>
            <w:tcW w:w="993" w:type="dxa"/>
          </w:tcPr>
          <w:p w14:paraId="5A0A482E" w14:textId="1E791EE3" w:rsidR="00591F33" w:rsidRPr="003A36E3" w:rsidRDefault="00024F6F" w:rsidP="002F7854">
            <w:pPr>
              <w:spacing w:after="0"/>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591F33" w:rsidRPr="003A36E3">
              <w:rPr>
                <w:rFonts w:ascii="Arial" w:eastAsiaTheme="minorEastAsia" w:hAnsi="Arial" w:cs="Arial"/>
                <w:sz w:val="18"/>
                <w:szCs w:val="18"/>
                <w:lang w:val="ro-MD"/>
              </w:rPr>
              <w:t xml:space="preserve"> 2027</w:t>
            </w:r>
          </w:p>
          <w:p w14:paraId="577FF4EF" w14:textId="77777777" w:rsidR="00591F33" w:rsidRPr="003A36E3" w:rsidRDefault="00591F33" w:rsidP="002F7854">
            <w:pPr>
              <w:spacing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w:t>
            </w:r>
          </w:p>
        </w:tc>
        <w:tc>
          <w:tcPr>
            <w:tcW w:w="1559" w:type="dxa"/>
            <w:vAlign w:val="center"/>
          </w:tcPr>
          <w:p w14:paraId="62E46810" w14:textId="2B519E05" w:rsidR="00591F33" w:rsidRPr="003A36E3" w:rsidRDefault="000F340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Educației și Cercetării</w:t>
            </w:r>
          </w:p>
        </w:tc>
        <w:tc>
          <w:tcPr>
            <w:tcW w:w="4252" w:type="dxa"/>
          </w:tcPr>
          <w:p w14:paraId="2DAB1506" w14:textId="784084A0" w:rsidR="00C665D8" w:rsidRPr="003A36E3" w:rsidRDefault="00C665D8" w:rsidP="00C665D8">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Competențele digitale ale populației sunt consolidate, cel puțin 25 % dintre profesori (din sistemul de învățământ general și ÎPT) obținând o certificare de nivel minim A1 privind competențele digitale, pe baza </w:t>
            </w:r>
            <w:r w:rsidR="001C6B07" w:rsidRPr="003A36E3">
              <w:rPr>
                <w:rFonts w:ascii="Arial" w:eastAsiaTheme="minorEastAsia" w:hAnsi="Arial" w:cs="Arial"/>
                <w:sz w:val="18"/>
                <w:szCs w:val="18"/>
                <w:lang w:val="ro-MD"/>
              </w:rPr>
              <w:t>C</w:t>
            </w:r>
            <w:r w:rsidRPr="003A36E3">
              <w:rPr>
                <w:rFonts w:ascii="Arial" w:eastAsiaTheme="minorEastAsia" w:hAnsi="Arial" w:cs="Arial"/>
                <w:sz w:val="18"/>
                <w:szCs w:val="18"/>
                <w:lang w:val="ro-MD"/>
              </w:rPr>
              <w:t>adrului DigiCompEdu, iar ponderea studenților de nivel terțiar în disciplinele STEAM și TIC crește la cel puțin 25 %.</w:t>
            </w:r>
          </w:p>
          <w:p w14:paraId="17525EEC" w14:textId="77777777" w:rsidR="00C665D8" w:rsidRPr="003A36E3" w:rsidRDefault="00C665D8" w:rsidP="00C665D8">
            <w:pPr>
              <w:spacing w:after="0" w:line="257" w:lineRule="auto"/>
              <w:jc w:val="both"/>
              <w:rPr>
                <w:rFonts w:ascii="Arial" w:eastAsiaTheme="minorEastAsia" w:hAnsi="Arial" w:cs="Arial"/>
                <w:sz w:val="18"/>
                <w:szCs w:val="18"/>
                <w:lang w:val="ro-MD"/>
              </w:rPr>
            </w:pPr>
          </w:p>
          <w:p w14:paraId="199C1F94" w14:textId="4E10521C" w:rsidR="00591F33" w:rsidRPr="003A36E3" w:rsidRDefault="00C665D8" w:rsidP="00C665D8">
            <w:pPr>
              <w:spacing w:after="0"/>
              <w:jc w:val="both"/>
              <w:rPr>
                <w:rFonts w:ascii="Arial" w:hAnsi="Arial" w:cs="Arial"/>
                <w:i/>
                <w:iCs/>
                <w:sz w:val="18"/>
                <w:szCs w:val="18"/>
                <w:lang w:val="ro-MD"/>
              </w:rPr>
            </w:pPr>
            <w:r w:rsidRPr="003A36E3">
              <w:rPr>
                <w:rFonts w:ascii="Arial" w:eastAsiaTheme="minorEastAsia" w:hAnsi="Arial" w:cs="Arial"/>
                <w:sz w:val="18"/>
                <w:szCs w:val="18"/>
                <w:lang w:val="ro-MD"/>
              </w:rPr>
              <w:t>Linia de referință: În 2024, 0% din personalul didactic din țară are o certificare privind competențele digitale, iar ponderea studenților înscriși la disciplinele STEAM (știință, tehnologie, inginerie, arte și matematică) și TIC la nivelul învățământului terțiar este de 17% din totalul studenților.</w:t>
            </w:r>
          </w:p>
        </w:tc>
        <w:tc>
          <w:tcPr>
            <w:tcW w:w="4536" w:type="dxa"/>
          </w:tcPr>
          <w:p w14:paraId="1AA044F8" w14:textId="77777777" w:rsidR="00BD776A" w:rsidRPr="003A36E3" w:rsidRDefault="00BD776A" w:rsidP="00BD776A">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MD organizează și asigură desfășurarea formării continue a cadrelor didactice privind competențele digitale în conformitate cu Cadrul EduComp. Cel puțin 25% din totalul cadrelor didactice certificate cel puțin la nivelul A1 și ponderea studenților de nivel terțiar înscriși la disciplinele STEAM și TIC este de cel puțin 25% din totalul studenților</w:t>
            </w:r>
          </w:p>
          <w:p w14:paraId="11828D14" w14:textId="77777777" w:rsidR="00BD776A" w:rsidRPr="003A36E3" w:rsidRDefault="00BD776A" w:rsidP="00BD776A">
            <w:pPr>
              <w:spacing w:after="0" w:line="257" w:lineRule="auto"/>
              <w:jc w:val="both"/>
              <w:rPr>
                <w:rFonts w:ascii="Arial" w:eastAsiaTheme="minorEastAsia" w:hAnsi="Arial" w:cs="Arial"/>
                <w:sz w:val="18"/>
                <w:szCs w:val="18"/>
                <w:lang w:val="ro-MD"/>
              </w:rPr>
            </w:pPr>
          </w:p>
          <w:p w14:paraId="586AE778" w14:textId="77777777" w:rsidR="00BD776A" w:rsidRPr="003A36E3" w:rsidRDefault="00BD776A" w:rsidP="00BD776A">
            <w:pPr>
              <w:spacing w:after="0" w:line="257" w:lineRule="auto"/>
              <w:jc w:val="both"/>
              <w:rPr>
                <w:rFonts w:ascii="Arial" w:eastAsiaTheme="minorEastAsia" w:hAnsi="Arial" w:cs="Arial"/>
                <w:sz w:val="18"/>
                <w:szCs w:val="18"/>
                <w:lang w:val="ro-MD"/>
              </w:rPr>
            </w:pPr>
          </w:p>
          <w:p w14:paraId="183ED112" w14:textId="77777777" w:rsidR="00BD776A" w:rsidRPr="003A36E3" w:rsidRDefault="00BD776A" w:rsidP="00BD776A">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w:t>
            </w:r>
          </w:p>
          <w:p w14:paraId="3D2B72D9" w14:textId="3CE75749" w:rsidR="00591F33" w:rsidRPr="003A36E3" w:rsidRDefault="00BD776A" w:rsidP="00BD776A">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Raportul anual al Ministerului Educației și Cercetării, Dovezi documentare ale formării cadrelor didactice (liste de prezență, certificate eliberate de furnizorii de formare. Pentru ponderea studenților din învățământul superior, date din SIME/EMIS al Ministerului Educației și de la Biroul Național de Statistică.</w:t>
            </w:r>
          </w:p>
        </w:tc>
      </w:tr>
      <w:tr w:rsidR="00591F33" w:rsidRPr="00BD0643" w14:paraId="5EA5585A" w14:textId="77777777" w:rsidTr="00591F33">
        <w:trPr>
          <w:trHeight w:val="300"/>
        </w:trPr>
        <w:tc>
          <w:tcPr>
            <w:tcW w:w="851" w:type="dxa"/>
            <w:vAlign w:val="center"/>
          </w:tcPr>
          <w:p w14:paraId="3EB21E49" w14:textId="6A0C9A9E" w:rsidR="00591F33" w:rsidRPr="003A36E3" w:rsidRDefault="00A0597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Învățământ</w:t>
            </w:r>
          </w:p>
        </w:tc>
        <w:tc>
          <w:tcPr>
            <w:tcW w:w="425" w:type="dxa"/>
            <w:vAlign w:val="center"/>
          </w:tcPr>
          <w:p w14:paraId="5240B4EE"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1</w:t>
            </w:r>
          </w:p>
        </w:tc>
        <w:tc>
          <w:tcPr>
            <w:tcW w:w="1276" w:type="dxa"/>
          </w:tcPr>
          <w:p w14:paraId="67EF2094" w14:textId="77777777" w:rsidR="00591F33" w:rsidRPr="003A36E3" w:rsidRDefault="00591F33" w:rsidP="002F7854">
            <w:pPr>
              <w:spacing w:after="0"/>
              <w:jc w:val="both"/>
              <w:rPr>
                <w:rFonts w:ascii="Arial" w:eastAsiaTheme="minorEastAsia" w:hAnsi="Arial" w:cs="Arial"/>
                <w:sz w:val="18"/>
                <w:szCs w:val="18"/>
                <w:lang w:val="ro-MD"/>
              </w:rPr>
            </w:pPr>
          </w:p>
        </w:tc>
        <w:tc>
          <w:tcPr>
            <w:tcW w:w="1276" w:type="dxa"/>
            <w:vAlign w:val="center"/>
          </w:tcPr>
          <w:p w14:paraId="1769E335" w14:textId="6C7116ED" w:rsidR="00591F33" w:rsidRPr="003A36E3" w:rsidRDefault="00DF2A77"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Reducerea nepotrivirii dintre competențe și cerințele pieței muncii </w:t>
            </w:r>
            <w:r w:rsidR="00377A54" w:rsidRPr="003A36E3">
              <w:rPr>
                <w:rFonts w:ascii="Arial" w:eastAsiaTheme="minorEastAsia" w:hAnsi="Arial" w:cs="Arial"/>
                <w:sz w:val="18"/>
                <w:szCs w:val="18"/>
                <w:lang w:val="ro-MD"/>
              </w:rPr>
              <w:t>prin îmbunătățirea învățământului profesional tehnic</w:t>
            </w:r>
          </w:p>
        </w:tc>
        <w:tc>
          <w:tcPr>
            <w:tcW w:w="283" w:type="dxa"/>
            <w:vAlign w:val="center"/>
          </w:tcPr>
          <w:p w14:paraId="543E2C70"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4</w:t>
            </w:r>
          </w:p>
          <w:p w14:paraId="703BA9C3" w14:textId="77777777" w:rsidR="00591F33" w:rsidRPr="003A36E3" w:rsidRDefault="00591F33" w:rsidP="002F7854">
            <w:pPr>
              <w:spacing w:after="0"/>
              <w:jc w:val="both"/>
              <w:rPr>
                <w:rFonts w:ascii="Arial" w:eastAsiaTheme="minorEastAsia" w:hAnsi="Arial" w:cs="Arial"/>
                <w:sz w:val="18"/>
                <w:szCs w:val="18"/>
                <w:lang w:val="ro-MD"/>
              </w:rPr>
            </w:pPr>
          </w:p>
        </w:tc>
        <w:tc>
          <w:tcPr>
            <w:tcW w:w="993" w:type="dxa"/>
          </w:tcPr>
          <w:p w14:paraId="3BEC9F51" w14:textId="25EAE8B5" w:rsidR="00591F33" w:rsidRPr="003A36E3" w:rsidRDefault="00024F6F" w:rsidP="002F7854">
            <w:pPr>
              <w:spacing w:after="0"/>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591F33" w:rsidRPr="003A36E3">
              <w:rPr>
                <w:rFonts w:ascii="Arial" w:eastAsiaTheme="minorEastAsia" w:hAnsi="Arial" w:cs="Arial"/>
                <w:sz w:val="18"/>
                <w:szCs w:val="18"/>
                <w:lang w:val="ro-MD"/>
              </w:rPr>
              <w:t xml:space="preserve"> 2027 </w:t>
            </w:r>
          </w:p>
        </w:tc>
        <w:tc>
          <w:tcPr>
            <w:tcW w:w="1559" w:type="dxa"/>
            <w:vAlign w:val="center"/>
          </w:tcPr>
          <w:p w14:paraId="7FA8BB77" w14:textId="5934C459" w:rsidR="00591F33" w:rsidRPr="003A36E3" w:rsidRDefault="000F340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Educației și Cercetării</w:t>
            </w:r>
          </w:p>
        </w:tc>
        <w:tc>
          <w:tcPr>
            <w:tcW w:w="4252" w:type="dxa"/>
          </w:tcPr>
          <w:p w14:paraId="16031757" w14:textId="77777777" w:rsidR="00956E9A" w:rsidRPr="003A36E3" w:rsidRDefault="00956E9A" w:rsidP="00956E9A">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Reforma învățământului dual este avansată, crescând numărul total de studenți înscriși în programe de ÎPT dual la cel puțin 6.000 pentru anii 2025-27 cumulativ și crescând numărul de studenți în programe de învățământ superior dual la cel puțin 600 pentru 2025-27 cumulativ.</w:t>
            </w:r>
          </w:p>
          <w:p w14:paraId="0FA32007" w14:textId="77777777" w:rsidR="00956E9A" w:rsidRPr="003A36E3" w:rsidRDefault="00956E9A" w:rsidP="00956E9A">
            <w:pPr>
              <w:spacing w:after="0" w:line="257" w:lineRule="auto"/>
              <w:jc w:val="both"/>
              <w:rPr>
                <w:rFonts w:ascii="Arial" w:eastAsiaTheme="minorEastAsia" w:hAnsi="Arial" w:cs="Arial"/>
                <w:sz w:val="18"/>
                <w:szCs w:val="18"/>
                <w:lang w:val="ro-MD"/>
              </w:rPr>
            </w:pPr>
          </w:p>
          <w:p w14:paraId="7FABCFB0" w14:textId="00107899" w:rsidR="00591F33" w:rsidRPr="003A36E3" w:rsidRDefault="00956E9A" w:rsidP="00956E9A">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În anul universitar 2024-25, 1.700 de studenți sunt înscriși în programe de ÎPT dual și 90 de studenți sunt înscriși în programe de învățământ superior dual.</w:t>
            </w:r>
          </w:p>
        </w:tc>
        <w:tc>
          <w:tcPr>
            <w:tcW w:w="4536" w:type="dxa"/>
          </w:tcPr>
          <w:p w14:paraId="7D4B9E60" w14:textId="4C8499D1" w:rsidR="00591F33" w:rsidRPr="003A36E3" w:rsidRDefault="00B63FBD" w:rsidP="002F7854">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MD îmbunătățește cadrul juridic și de politică pentru învățământul dual, inclusiv un mecanism solid de stimulente pentru întreprinderi pentru a intra într-o formă de colaborare cu instituțiile de învățământ (la nivelurile de ÎPT dual și terțiar dual/învățământ superior). MD să promoveze învățământul dual în rândul tinerilor prin campanii ad hoc de informare/comunicare, cu scopul de a face această oportunitate de învățare mai atractivă.</w:t>
            </w:r>
          </w:p>
          <w:p w14:paraId="5907CA6D" w14:textId="77777777" w:rsidR="00591F33" w:rsidRPr="003A36E3" w:rsidRDefault="00591F33" w:rsidP="002F7854">
            <w:pPr>
              <w:spacing w:after="0" w:line="257" w:lineRule="auto"/>
              <w:jc w:val="both"/>
              <w:rPr>
                <w:rFonts w:ascii="Arial" w:eastAsiaTheme="minorEastAsia" w:hAnsi="Arial" w:cs="Arial"/>
                <w:sz w:val="18"/>
                <w:szCs w:val="18"/>
                <w:lang w:val="ro-MD"/>
              </w:rPr>
            </w:pPr>
          </w:p>
          <w:p w14:paraId="2747837B" w14:textId="0B1D7868" w:rsidR="00591F33" w:rsidRPr="003A36E3" w:rsidRDefault="007D0AA0" w:rsidP="007D0AA0">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SIME/EMIS (Sistemul Informațional în Educație), Rapoartele Ministerului Educației și Cercetării, rapoartele de admitere furnizate de IÎS către MEC, raportul consolidat de admitere al MEC.</w:t>
            </w:r>
          </w:p>
        </w:tc>
      </w:tr>
      <w:tr w:rsidR="00591F33" w:rsidRPr="00BD0643" w14:paraId="09547F71" w14:textId="77777777" w:rsidTr="00591F33">
        <w:trPr>
          <w:trHeight w:val="652"/>
        </w:trPr>
        <w:tc>
          <w:tcPr>
            <w:tcW w:w="851" w:type="dxa"/>
            <w:vAlign w:val="center"/>
          </w:tcPr>
          <w:p w14:paraId="083B70B5" w14:textId="7F9C0B46" w:rsidR="00591F33" w:rsidRPr="003A36E3" w:rsidRDefault="00A0597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Învățământ</w:t>
            </w:r>
          </w:p>
        </w:tc>
        <w:tc>
          <w:tcPr>
            <w:tcW w:w="425" w:type="dxa"/>
            <w:vAlign w:val="center"/>
          </w:tcPr>
          <w:p w14:paraId="6B5F7477"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276" w:type="dxa"/>
          </w:tcPr>
          <w:p w14:paraId="3180DD60" w14:textId="77777777" w:rsidR="00591F33" w:rsidRPr="003A36E3" w:rsidRDefault="00591F33" w:rsidP="002F7854">
            <w:pPr>
              <w:spacing w:after="0"/>
              <w:jc w:val="both"/>
              <w:rPr>
                <w:rFonts w:ascii="Arial" w:eastAsiaTheme="minorEastAsia" w:hAnsi="Arial" w:cs="Arial"/>
                <w:sz w:val="18"/>
                <w:szCs w:val="18"/>
                <w:lang w:val="ro-MD"/>
              </w:rPr>
            </w:pPr>
          </w:p>
        </w:tc>
        <w:tc>
          <w:tcPr>
            <w:tcW w:w="1276" w:type="dxa"/>
            <w:vAlign w:val="center"/>
          </w:tcPr>
          <w:p w14:paraId="4803F995" w14:textId="3A1E8E78" w:rsidR="00591F33" w:rsidRPr="003A36E3" w:rsidRDefault="007663F4"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Îmbunătățirea calității, relevanței și incluziunii </w:t>
            </w:r>
            <w:r w:rsidRPr="003A36E3">
              <w:rPr>
                <w:rFonts w:ascii="Arial" w:eastAsiaTheme="minorEastAsia" w:hAnsi="Arial" w:cs="Arial"/>
                <w:sz w:val="18"/>
                <w:szCs w:val="18"/>
                <w:lang w:val="ro-MD"/>
              </w:rPr>
              <w:lastRenderedPageBreak/>
              <w:t>educației prin îmbunătățirea accesului la învățământul preșcolar, primar și secundar</w:t>
            </w:r>
          </w:p>
        </w:tc>
        <w:tc>
          <w:tcPr>
            <w:tcW w:w="283" w:type="dxa"/>
            <w:vAlign w:val="center"/>
          </w:tcPr>
          <w:p w14:paraId="5B8AA8D0"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5</w:t>
            </w:r>
          </w:p>
          <w:p w14:paraId="717B0BAD" w14:textId="77777777" w:rsidR="00591F33" w:rsidRPr="003A36E3" w:rsidRDefault="00591F33" w:rsidP="002F7854">
            <w:pPr>
              <w:spacing w:after="0"/>
              <w:jc w:val="both"/>
              <w:rPr>
                <w:rFonts w:ascii="Arial" w:eastAsiaTheme="minorEastAsia" w:hAnsi="Arial" w:cs="Arial"/>
                <w:sz w:val="18"/>
                <w:szCs w:val="18"/>
                <w:lang w:val="ro-MD"/>
              </w:rPr>
            </w:pPr>
          </w:p>
        </w:tc>
        <w:tc>
          <w:tcPr>
            <w:tcW w:w="993" w:type="dxa"/>
          </w:tcPr>
          <w:p w14:paraId="187BDD11" w14:textId="2D2731A4" w:rsidR="00591F33" w:rsidRPr="003A36E3" w:rsidRDefault="00024F6F" w:rsidP="002F7854">
            <w:pPr>
              <w:spacing w:after="0"/>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591F33" w:rsidRPr="003A36E3">
              <w:rPr>
                <w:rFonts w:ascii="Arial" w:eastAsiaTheme="minorEastAsia" w:hAnsi="Arial" w:cs="Arial"/>
                <w:sz w:val="18"/>
                <w:szCs w:val="18"/>
                <w:lang w:val="ro-MD"/>
              </w:rPr>
              <w:t xml:space="preserve"> 2027 </w:t>
            </w:r>
          </w:p>
        </w:tc>
        <w:tc>
          <w:tcPr>
            <w:tcW w:w="1559" w:type="dxa"/>
            <w:vAlign w:val="center"/>
          </w:tcPr>
          <w:p w14:paraId="62DC9A55" w14:textId="1B463664" w:rsidR="00591F33" w:rsidRPr="003A36E3" w:rsidRDefault="003156FD"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Muncii și Protecției Sociale</w:t>
            </w:r>
          </w:p>
        </w:tc>
        <w:tc>
          <w:tcPr>
            <w:tcW w:w="4252" w:type="dxa"/>
          </w:tcPr>
          <w:p w14:paraId="6AC3A0C9" w14:textId="77777777" w:rsidR="00C71009" w:rsidRPr="003A36E3" w:rsidRDefault="00C71009" w:rsidP="00C71009">
            <w:pPr>
              <w:spacing w:after="0"/>
              <w:jc w:val="both"/>
              <w:rPr>
                <w:rFonts w:ascii="Arial" w:hAnsi="Arial" w:cs="Arial"/>
                <w:sz w:val="18"/>
                <w:szCs w:val="18"/>
                <w:lang w:val="ro-MD"/>
              </w:rPr>
            </w:pPr>
            <w:r w:rsidRPr="003A36E3">
              <w:rPr>
                <w:rFonts w:ascii="Arial" w:hAnsi="Arial" w:cs="Arial"/>
                <w:sz w:val="18"/>
                <w:szCs w:val="18"/>
                <w:lang w:val="ro-MD"/>
              </w:rPr>
              <w:t>Furnizarea de servicii de îngrijire a copiilor în sectorul public și privat este consolidată, numărul de locuri de îngrijire a copiilor urmând să crească cu 5.000 față de 2024.</w:t>
            </w:r>
          </w:p>
          <w:p w14:paraId="6DFC236C" w14:textId="77777777" w:rsidR="00C71009" w:rsidRPr="003A36E3" w:rsidRDefault="00C71009" w:rsidP="00C71009">
            <w:pPr>
              <w:spacing w:after="0"/>
              <w:jc w:val="both"/>
              <w:rPr>
                <w:rFonts w:ascii="Arial" w:hAnsi="Arial" w:cs="Arial"/>
                <w:sz w:val="18"/>
                <w:szCs w:val="18"/>
                <w:lang w:val="ro-MD"/>
              </w:rPr>
            </w:pPr>
            <w:r w:rsidRPr="003A36E3">
              <w:rPr>
                <w:rFonts w:ascii="Arial" w:hAnsi="Arial" w:cs="Arial"/>
                <w:sz w:val="18"/>
                <w:szCs w:val="18"/>
                <w:lang w:val="ro-MD"/>
              </w:rPr>
              <w:lastRenderedPageBreak/>
              <w:t xml:space="preserve">  </w:t>
            </w:r>
          </w:p>
          <w:p w14:paraId="7CE7CF5B" w14:textId="77777777" w:rsidR="00C71009" w:rsidRPr="003A36E3" w:rsidRDefault="00C71009" w:rsidP="00C71009">
            <w:pPr>
              <w:spacing w:after="0"/>
              <w:jc w:val="both"/>
              <w:rPr>
                <w:rFonts w:ascii="Arial" w:hAnsi="Arial" w:cs="Arial"/>
                <w:sz w:val="18"/>
                <w:szCs w:val="18"/>
                <w:lang w:val="ro-MD"/>
              </w:rPr>
            </w:pPr>
            <w:r w:rsidRPr="003A36E3">
              <w:rPr>
                <w:rFonts w:ascii="Arial" w:hAnsi="Arial" w:cs="Arial"/>
                <w:sz w:val="18"/>
                <w:szCs w:val="18"/>
                <w:lang w:val="ro-MD"/>
              </w:rPr>
              <w:t xml:space="preserve"> </w:t>
            </w:r>
          </w:p>
          <w:p w14:paraId="3E019B1F" w14:textId="640AD044" w:rsidR="00591F33" w:rsidRPr="003A36E3" w:rsidRDefault="00C71009" w:rsidP="00C71009">
            <w:pPr>
              <w:spacing w:after="0" w:line="257" w:lineRule="auto"/>
              <w:jc w:val="both"/>
              <w:rPr>
                <w:rFonts w:ascii="Arial" w:hAnsi="Arial" w:cs="Arial"/>
                <w:sz w:val="18"/>
                <w:szCs w:val="18"/>
                <w:lang w:val="ro-MD"/>
              </w:rPr>
            </w:pPr>
            <w:r w:rsidRPr="003A36E3">
              <w:rPr>
                <w:rFonts w:ascii="Arial" w:hAnsi="Arial" w:cs="Arial"/>
                <w:sz w:val="18"/>
                <w:szCs w:val="18"/>
                <w:lang w:val="ro-MD"/>
              </w:rPr>
              <w:t>Linia de referință: există 15.000 de locuri de îngrijire a copiilor.</w:t>
            </w:r>
          </w:p>
        </w:tc>
        <w:tc>
          <w:tcPr>
            <w:tcW w:w="4536" w:type="dxa"/>
          </w:tcPr>
          <w:p w14:paraId="28AE7A9F" w14:textId="77777777" w:rsidR="008E6BBC" w:rsidRPr="003A36E3" w:rsidRDefault="008E6BBC" w:rsidP="008E6BBC">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Ministerul Muncii și Protecției Sociale va supraveghea renovarea și crearea de noi locuri de îngrijire a copiilor, colaborând în același timp cu sectorul privat pentru a atinge obiectivul comun. </w:t>
            </w:r>
          </w:p>
          <w:p w14:paraId="48A2F82F" w14:textId="77777777" w:rsidR="008E6BBC" w:rsidRPr="003A36E3" w:rsidRDefault="008E6BBC" w:rsidP="008E6BBC">
            <w:pPr>
              <w:spacing w:after="0" w:line="257" w:lineRule="auto"/>
              <w:jc w:val="both"/>
              <w:rPr>
                <w:rFonts w:ascii="Arial" w:eastAsiaTheme="minorEastAsia" w:hAnsi="Arial" w:cs="Arial"/>
                <w:sz w:val="18"/>
                <w:szCs w:val="18"/>
                <w:lang w:val="ro-MD"/>
              </w:rPr>
            </w:pPr>
          </w:p>
          <w:p w14:paraId="492655F5" w14:textId="2F17F56C" w:rsidR="00591F33" w:rsidRPr="003A36E3" w:rsidRDefault="008E6BBC" w:rsidP="008E6BBC">
            <w:pPr>
              <w:spacing w:after="0" w:line="257" w:lineRule="auto"/>
              <w:jc w:val="both"/>
              <w:rPr>
                <w:rFonts w:ascii="Arial" w:hAnsi="Arial" w:cs="Arial"/>
                <w:sz w:val="18"/>
                <w:szCs w:val="18"/>
                <w:lang w:val="ro-MD"/>
              </w:rPr>
            </w:pPr>
            <w:r w:rsidRPr="003A36E3">
              <w:rPr>
                <w:rFonts w:ascii="Arial" w:eastAsiaTheme="minorEastAsia" w:hAnsi="Arial" w:cs="Arial"/>
                <w:sz w:val="18"/>
                <w:szCs w:val="18"/>
                <w:lang w:val="ro-MD"/>
              </w:rPr>
              <w:lastRenderedPageBreak/>
              <w:t xml:space="preserve">Sursa de verificare: rapoarte privind numărul efectiv de copii care beneficiază de servicii de îngrijire a copiilor atât în mediul public, cât și în cel privat, rapoarte ale Ministerului Muncii și Protecției Sociale.   </w:t>
            </w:r>
          </w:p>
        </w:tc>
      </w:tr>
      <w:tr w:rsidR="00591F33" w:rsidRPr="00BD0643" w14:paraId="47888649" w14:textId="77777777" w:rsidTr="00591F33">
        <w:trPr>
          <w:trHeight w:val="4510"/>
        </w:trPr>
        <w:tc>
          <w:tcPr>
            <w:tcW w:w="851" w:type="dxa"/>
            <w:vAlign w:val="center"/>
          </w:tcPr>
          <w:p w14:paraId="09A9C71B" w14:textId="151EB99A" w:rsidR="00591F33" w:rsidRPr="003A36E3" w:rsidRDefault="00A0597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Învățământ</w:t>
            </w:r>
            <w:r w:rsidR="00591F33" w:rsidRPr="003A36E3">
              <w:rPr>
                <w:rFonts w:ascii="Arial" w:eastAsiaTheme="minorEastAsia" w:hAnsi="Arial" w:cs="Arial"/>
                <w:sz w:val="18"/>
                <w:szCs w:val="18"/>
                <w:lang w:val="ro-MD"/>
              </w:rPr>
              <w:t xml:space="preserve">  </w:t>
            </w:r>
          </w:p>
        </w:tc>
        <w:tc>
          <w:tcPr>
            <w:tcW w:w="425" w:type="dxa"/>
            <w:vAlign w:val="center"/>
          </w:tcPr>
          <w:p w14:paraId="5147FB00"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276" w:type="dxa"/>
          </w:tcPr>
          <w:p w14:paraId="61ADA1C6" w14:textId="77777777" w:rsidR="00591F33" w:rsidRPr="003A36E3" w:rsidRDefault="00591F33" w:rsidP="002F7854">
            <w:pPr>
              <w:spacing w:after="0"/>
              <w:jc w:val="both"/>
              <w:rPr>
                <w:rFonts w:ascii="Arial" w:eastAsiaTheme="minorEastAsia" w:hAnsi="Arial" w:cs="Arial"/>
                <w:sz w:val="18"/>
                <w:szCs w:val="18"/>
                <w:lang w:val="ro-MD"/>
              </w:rPr>
            </w:pPr>
          </w:p>
        </w:tc>
        <w:tc>
          <w:tcPr>
            <w:tcW w:w="1276" w:type="dxa"/>
            <w:vAlign w:val="center"/>
          </w:tcPr>
          <w:p w14:paraId="5174FE93" w14:textId="3671134B" w:rsidR="00591F33" w:rsidRPr="003A36E3" w:rsidRDefault="0037302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Îmbunătățirea calității, relevanței și incluziunii educației prin îmbunătățirea accesului la învățământul preșcolar, primar și secundar</w:t>
            </w:r>
          </w:p>
        </w:tc>
        <w:tc>
          <w:tcPr>
            <w:tcW w:w="283" w:type="dxa"/>
            <w:vAlign w:val="center"/>
          </w:tcPr>
          <w:p w14:paraId="10572380"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6</w:t>
            </w:r>
          </w:p>
          <w:p w14:paraId="79F98DA9" w14:textId="77777777" w:rsidR="00591F33" w:rsidRPr="003A36E3" w:rsidRDefault="00591F33" w:rsidP="002F7854">
            <w:pPr>
              <w:spacing w:after="0"/>
              <w:jc w:val="both"/>
              <w:rPr>
                <w:rFonts w:ascii="Arial" w:eastAsiaTheme="minorEastAsia" w:hAnsi="Arial" w:cs="Arial"/>
                <w:sz w:val="18"/>
                <w:szCs w:val="18"/>
                <w:lang w:val="ro-MD"/>
              </w:rPr>
            </w:pPr>
          </w:p>
        </w:tc>
        <w:tc>
          <w:tcPr>
            <w:tcW w:w="993" w:type="dxa"/>
          </w:tcPr>
          <w:p w14:paraId="75BC7404" w14:textId="75A285E3" w:rsidR="00591F33" w:rsidRPr="003A36E3" w:rsidRDefault="00024F6F" w:rsidP="002F7854">
            <w:pPr>
              <w:spacing w:after="0"/>
              <w:jc w:val="both"/>
              <w:rPr>
                <w:rFonts w:ascii="Arial" w:eastAsiaTheme="minorEastAsia" w:hAnsi="Arial" w:cs="Arial"/>
                <w:sz w:val="18"/>
                <w:szCs w:val="18"/>
                <w:lang w:val="ro-MD"/>
              </w:rPr>
            </w:pPr>
            <w:r>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00591F33" w:rsidRPr="003A36E3">
              <w:rPr>
                <w:rFonts w:ascii="Arial" w:eastAsiaTheme="minorEastAsia" w:hAnsi="Arial" w:cs="Arial"/>
                <w:sz w:val="18"/>
                <w:szCs w:val="18"/>
                <w:lang w:val="ro-MD"/>
              </w:rPr>
              <w:t xml:space="preserve"> 2026 </w:t>
            </w:r>
          </w:p>
          <w:p w14:paraId="59BBC5BF" w14:textId="77777777" w:rsidR="00591F33" w:rsidRPr="003A36E3" w:rsidRDefault="00591F33" w:rsidP="002F7854">
            <w:pPr>
              <w:spacing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w:t>
            </w:r>
          </w:p>
        </w:tc>
        <w:tc>
          <w:tcPr>
            <w:tcW w:w="1559" w:type="dxa"/>
            <w:vAlign w:val="center"/>
          </w:tcPr>
          <w:p w14:paraId="139E19D0" w14:textId="726B79BE" w:rsidR="00591F33" w:rsidRPr="003A36E3" w:rsidRDefault="000F340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Educației și Cercetării</w:t>
            </w:r>
          </w:p>
        </w:tc>
        <w:tc>
          <w:tcPr>
            <w:tcW w:w="4252" w:type="dxa"/>
          </w:tcPr>
          <w:p w14:paraId="3596B7C5" w14:textId="77777777" w:rsidR="00D40896" w:rsidRPr="003A36E3" w:rsidRDefault="00D40896" w:rsidP="00D40896">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Reforma curriculară este avansată, cu operaționalizarea unui sistem de monitorizare și evaluare bazat pe dovezi pentru a evalua progresul performanțelor studenților, inclusiv evaluări standardizate ale studenților bazate pe eșantioane.</w:t>
            </w:r>
          </w:p>
          <w:p w14:paraId="7214D95B" w14:textId="77777777" w:rsidR="00D40896" w:rsidRPr="003A36E3" w:rsidRDefault="00D40896" w:rsidP="00D40896">
            <w:pPr>
              <w:spacing w:after="0" w:line="257" w:lineRule="auto"/>
              <w:jc w:val="both"/>
              <w:rPr>
                <w:rFonts w:ascii="Arial" w:eastAsiaTheme="minorEastAsia" w:hAnsi="Arial" w:cs="Arial"/>
                <w:sz w:val="18"/>
                <w:szCs w:val="18"/>
                <w:lang w:val="ro-MD"/>
              </w:rPr>
            </w:pPr>
          </w:p>
          <w:p w14:paraId="040FE8EA" w14:textId="24E35B44" w:rsidR="00591F33" w:rsidRPr="003A36E3" w:rsidRDefault="00D40896" w:rsidP="00D40896">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Linia de referință:  Până în decembrie 2024, Ministerul Educației și Cercetării a inițiat o revizuire a curriculei naționale din învățământul primar până la învățământul secundar superior, dar nu există un sistem bazat pe dovezi pentru a evalua progresele înregistrate.</w:t>
            </w:r>
          </w:p>
        </w:tc>
        <w:tc>
          <w:tcPr>
            <w:tcW w:w="4536" w:type="dxa"/>
          </w:tcPr>
          <w:p w14:paraId="2F99C6C9" w14:textId="77777777" w:rsidR="006D5372" w:rsidRPr="003A36E3" w:rsidRDefault="006D5372" w:rsidP="006D5372">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MD concepe și pune în funcțiune un sistem de monitorizare și evaluare bazat pe dovezi pentru a evalua impactul reformei și pentru a formula recomandări pentru revizuiri ulterioare. MD efectuează anual teste pe bază de eșantion pentru elevii din clasele a IV-a, a IX-a și a XII-a, pentru a evalua rezultatele punerii în aplicare a programelor de învățământ general revizuite.</w:t>
            </w:r>
          </w:p>
          <w:p w14:paraId="396BEAFB" w14:textId="77777777" w:rsidR="006D5372" w:rsidRPr="003A36E3" w:rsidRDefault="006D5372" w:rsidP="006D5372">
            <w:pPr>
              <w:spacing w:after="0" w:line="257" w:lineRule="auto"/>
              <w:jc w:val="both"/>
              <w:rPr>
                <w:rFonts w:ascii="Arial" w:eastAsiaTheme="minorEastAsia" w:hAnsi="Arial" w:cs="Arial"/>
                <w:sz w:val="18"/>
                <w:szCs w:val="18"/>
                <w:lang w:val="ro-MD"/>
              </w:rPr>
            </w:pPr>
          </w:p>
          <w:p w14:paraId="078F4831" w14:textId="7C22707A" w:rsidR="00591F33" w:rsidRPr="003A36E3" w:rsidRDefault="006D5372" w:rsidP="006D5372">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Raportul Ministerului Educației și Cercetării (inclusiv toate dovezile privind mecanismele de monitorizare și evaluare a programelor școlare instituite și dovezile documentare privind testele pe bază de eșantion efectuate) și rapoartele ANCE (Agenția Națională pentru Curriculum și Evaluare).</w:t>
            </w:r>
          </w:p>
        </w:tc>
      </w:tr>
      <w:tr w:rsidR="00591F33" w:rsidRPr="00BD0643" w14:paraId="419652CD" w14:textId="77777777" w:rsidTr="00591F33">
        <w:trPr>
          <w:trHeight w:val="300"/>
        </w:trPr>
        <w:tc>
          <w:tcPr>
            <w:tcW w:w="851" w:type="dxa"/>
            <w:vAlign w:val="center"/>
          </w:tcPr>
          <w:p w14:paraId="5B948AA4" w14:textId="29F5D06A" w:rsidR="00591F33" w:rsidRPr="003A36E3" w:rsidRDefault="00A0597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Învățământ</w:t>
            </w:r>
          </w:p>
        </w:tc>
        <w:tc>
          <w:tcPr>
            <w:tcW w:w="425" w:type="dxa"/>
            <w:vAlign w:val="center"/>
          </w:tcPr>
          <w:p w14:paraId="6C979389"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2</w:t>
            </w:r>
          </w:p>
        </w:tc>
        <w:tc>
          <w:tcPr>
            <w:tcW w:w="1276" w:type="dxa"/>
          </w:tcPr>
          <w:p w14:paraId="4C2BB2FA" w14:textId="77777777" w:rsidR="00591F33" w:rsidRPr="003A36E3" w:rsidRDefault="00591F33" w:rsidP="002F7854">
            <w:pPr>
              <w:spacing w:after="0"/>
              <w:jc w:val="both"/>
              <w:rPr>
                <w:rFonts w:ascii="Arial" w:eastAsiaTheme="minorEastAsia" w:hAnsi="Arial" w:cs="Arial"/>
                <w:sz w:val="18"/>
                <w:szCs w:val="18"/>
                <w:lang w:val="ro-MD"/>
              </w:rPr>
            </w:pPr>
          </w:p>
        </w:tc>
        <w:tc>
          <w:tcPr>
            <w:tcW w:w="1276" w:type="dxa"/>
            <w:vAlign w:val="center"/>
          </w:tcPr>
          <w:p w14:paraId="0E03E66F" w14:textId="02A23292" w:rsidR="00591F33" w:rsidRPr="003A36E3" w:rsidRDefault="00E505EA"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Îmbunătățirea calității, relevanței și incluziunii educației prin îmbunătățirea accesului la învățământul preșcolar, primar și secundar</w:t>
            </w:r>
          </w:p>
        </w:tc>
        <w:tc>
          <w:tcPr>
            <w:tcW w:w="283" w:type="dxa"/>
            <w:vAlign w:val="center"/>
          </w:tcPr>
          <w:p w14:paraId="46ABE6F2" w14:textId="7777777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7</w:t>
            </w:r>
          </w:p>
          <w:p w14:paraId="4BC7BBB6" w14:textId="77777777" w:rsidR="00591F33" w:rsidRPr="003A36E3" w:rsidRDefault="00591F33" w:rsidP="002F7854">
            <w:pPr>
              <w:spacing w:after="0"/>
              <w:jc w:val="both"/>
              <w:rPr>
                <w:rFonts w:ascii="Arial" w:eastAsiaTheme="minorEastAsia" w:hAnsi="Arial" w:cs="Arial"/>
                <w:sz w:val="18"/>
                <w:szCs w:val="18"/>
                <w:lang w:val="ro-MD"/>
              </w:rPr>
            </w:pPr>
          </w:p>
        </w:tc>
        <w:tc>
          <w:tcPr>
            <w:tcW w:w="993" w:type="dxa"/>
          </w:tcPr>
          <w:p w14:paraId="4879213D" w14:textId="09DD9007" w:rsidR="00591F33" w:rsidRPr="003A36E3" w:rsidRDefault="00591F33"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w:t>
            </w:r>
            <w:r w:rsidR="00024F6F">
              <w:rPr>
                <w:rFonts w:ascii="Arial" w:eastAsiaTheme="minorEastAsia" w:hAnsi="Arial" w:cs="Arial"/>
                <w:sz w:val="18"/>
                <w:szCs w:val="18"/>
                <w:lang w:val="ro-MD"/>
              </w:rPr>
              <w:t>d</w:t>
            </w:r>
            <w:r w:rsidR="00C967A4" w:rsidRPr="003A36E3">
              <w:rPr>
                <w:rFonts w:ascii="Arial" w:eastAsiaTheme="minorEastAsia" w:hAnsi="Arial" w:cs="Arial"/>
                <w:sz w:val="18"/>
                <w:szCs w:val="18"/>
                <w:lang w:val="ro-MD"/>
              </w:rPr>
              <w:t>ecembrie</w:t>
            </w:r>
            <w:r w:rsidRPr="003A36E3">
              <w:rPr>
                <w:rFonts w:ascii="Arial" w:eastAsiaTheme="minorEastAsia" w:hAnsi="Arial" w:cs="Arial"/>
                <w:sz w:val="18"/>
                <w:szCs w:val="18"/>
                <w:lang w:val="ro-MD"/>
              </w:rPr>
              <w:t xml:space="preserve"> 2026</w:t>
            </w:r>
          </w:p>
        </w:tc>
        <w:tc>
          <w:tcPr>
            <w:tcW w:w="1559" w:type="dxa"/>
            <w:vAlign w:val="center"/>
          </w:tcPr>
          <w:p w14:paraId="69FCFF1E" w14:textId="20B776D7" w:rsidR="00591F33" w:rsidRPr="003A36E3" w:rsidRDefault="000F340F" w:rsidP="002F7854">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Ministerul Educației și Cercetării</w:t>
            </w:r>
          </w:p>
        </w:tc>
        <w:tc>
          <w:tcPr>
            <w:tcW w:w="4252" w:type="dxa"/>
          </w:tcPr>
          <w:p w14:paraId="309B938D" w14:textId="67F4E95E" w:rsidR="000D164A" w:rsidRPr="003A36E3" w:rsidRDefault="000D164A" w:rsidP="000D164A">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Sunt revizuite și aprobate toate </w:t>
            </w:r>
            <w:r w:rsidR="00003877" w:rsidRPr="003A36E3">
              <w:rPr>
                <w:rFonts w:ascii="Arial" w:eastAsiaTheme="minorEastAsia" w:hAnsi="Arial" w:cs="Arial"/>
                <w:sz w:val="18"/>
                <w:szCs w:val="18"/>
                <w:lang w:val="ro-MD"/>
              </w:rPr>
              <w:t>curriculele</w:t>
            </w:r>
            <w:r w:rsidRPr="003A36E3">
              <w:rPr>
                <w:rFonts w:ascii="Arial" w:eastAsiaTheme="minorEastAsia" w:hAnsi="Arial" w:cs="Arial"/>
                <w:sz w:val="18"/>
                <w:szCs w:val="18"/>
                <w:lang w:val="ro-MD"/>
              </w:rPr>
              <w:t xml:space="preserve"> pentru disciplinele obligatorii din învățământul secundar inferior și superior, iar cadrele didactice beneficiază de sprijin pedagogic pentru punerea lor în aplicare, cel puțin 25 % din totalul cadrelor didactice din învățământul secundar inferior și superior fiind formate pentru a preda în conformitate cu </w:t>
            </w:r>
            <w:r w:rsidR="009C6762" w:rsidRPr="003A36E3">
              <w:rPr>
                <w:rFonts w:ascii="Arial" w:eastAsiaTheme="minorEastAsia" w:hAnsi="Arial" w:cs="Arial"/>
                <w:sz w:val="18"/>
                <w:szCs w:val="18"/>
                <w:lang w:val="ro-MD"/>
              </w:rPr>
              <w:t>curriculele</w:t>
            </w:r>
            <w:r w:rsidRPr="003A36E3">
              <w:rPr>
                <w:rFonts w:ascii="Arial" w:eastAsiaTheme="minorEastAsia" w:hAnsi="Arial" w:cs="Arial"/>
                <w:sz w:val="18"/>
                <w:szCs w:val="18"/>
                <w:lang w:val="ro-MD"/>
              </w:rPr>
              <w:t xml:space="preserve"> revizuite, prin programe specifice de formare a cadrelor didactice și de mentorat (8.000 de cadre didactice din totalul de 33.000 de cadre didactice din sistemul de învățământ general).</w:t>
            </w:r>
          </w:p>
          <w:p w14:paraId="5B785F83" w14:textId="77777777" w:rsidR="000D164A" w:rsidRPr="003A36E3" w:rsidRDefault="000D164A" w:rsidP="000D164A">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t xml:space="preserve"> </w:t>
            </w:r>
          </w:p>
          <w:p w14:paraId="229B5DC1" w14:textId="61CE7AB4" w:rsidR="00591F33" w:rsidRPr="003A36E3" w:rsidRDefault="000D164A" w:rsidP="000D164A">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Linia de referință: În 2024, 0% din cadrele didactice din învățământul secundar inferior și superior sunt formate pe baza noilor </w:t>
            </w:r>
            <w:r w:rsidR="001015BE" w:rsidRPr="003A36E3">
              <w:rPr>
                <w:rFonts w:ascii="Arial" w:eastAsiaTheme="minorEastAsia" w:hAnsi="Arial" w:cs="Arial"/>
                <w:sz w:val="18"/>
                <w:szCs w:val="18"/>
                <w:lang w:val="ro-MD"/>
              </w:rPr>
              <w:t>curricule</w:t>
            </w:r>
            <w:r w:rsidRPr="003A36E3">
              <w:rPr>
                <w:rFonts w:ascii="Arial" w:eastAsiaTheme="minorEastAsia" w:hAnsi="Arial" w:cs="Arial"/>
                <w:sz w:val="18"/>
                <w:szCs w:val="18"/>
                <w:lang w:val="ro-MD"/>
              </w:rPr>
              <w:t xml:space="preserve"> (iar revizuirea </w:t>
            </w:r>
            <w:r w:rsidR="002507B9" w:rsidRPr="003A36E3">
              <w:rPr>
                <w:rFonts w:ascii="Arial" w:eastAsiaTheme="minorEastAsia" w:hAnsi="Arial" w:cs="Arial"/>
                <w:sz w:val="18"/>
                <w:szCs w:val="18"/>
                <w:lang w:val="ro-MD"/>
              </w:rPr>
              <w:t>curriculei</w:t>
            </w:r>
            <w:r w:rsidRPr="003A36E3">
              <w:rPr>
                <w:rFonts w:ascii="Arial" w:eastAsiaTheme="minorEastAsia" w:hAnsi="Arial" w:cs="Arial"/>
                <w:sz w:val="18"/>
                <w:szCs w:val="18"/>
                <w:lang w:val="ro-MD"/>
              </w:rPr>
              <w:t xml:space="preserve"> nu este încă finalizată). 28 de programe pentru disciplinele obligatorii în vigoare.</w:t>
            </w:r>
          </w:p>
        </w:tc>
        <w:tc>
          <w:tcPr>
            <w:tcW w:w="4536" w:type="dxa"/>
          </w:tcPr>
          <w:p w14:paraId="49A032BB" w14:textId="77777777" w:rsidR="00725622" w:rsidRPr="003A36E3" w:rsidRDefault="00725622" w:rsidP="00725622">
            <w:pPr>
              <w:spacing w:after="0" w:line="257" w:lineRule="auto"/>
              <w:jc w:val="both"/>
              <w:rPr>
                <w:rFonts w:ascii="Arial" w:eastAsiaTheme="minorEastAsia" w:hAnsi="Arial" w:cs="Arial"/>
                <w:sz w:val="18"/>
                <w:szCs w:val="18"/>
                <w:lang w:val="ro-MD"/>
              </w:rPr>
            </w:pPr>
            <w:r w:rsidRPr="003A36E3">
              <w:rPr>
                <w:rFonts w:ascii="Arial" w:eastAsiaTheme="minorEastAsia" w:hAnsi="Arial" w:cs="Arial"/>
                <w:sz w:val="18"/>
                <w:szCs w:val="18"/>
                <w:lang w:val="ro-MD"/>
              </w:rPr>
              <w:lastRenderedPageBreak/>
              <w:t xml:space="preserve">MD finalizează revizuirea curentă a curriculumului pentru toate cele 28 de discipline obligatorii din învățământul secundar inferior și superior și lansează formarea continuă a cadrelor didactice cu cel puțin 25% din totalul cadrelor didactice care au participat la formarea continuă specifică a cadrelor didactice (dovedită prin certificat de participare) </w:t>
            </w:r>
          </w:p>
          <w:p w14:paraId="21C71D1B" w14:textId="77777777" w:rsidR="00725622" w:rsidRPr="003A36E3" w:rsidRDefault="00725622" w:rsidP="00725622">
            <w:pPr>
              <w:spacing w:after="0" w:line="257" w:lineRule="auto"/>
              <w:jc w:val="both"/>
              <w:rPr>
                <w:rFonts w:ascii="Arial" w:eastAsiaTheme="minorEastAsia" w:hAnsi="Arial" w:cs="Arial"/>
                <w:sz w:val="18"/>
                <w:szCs w:val="18"/>
                <w:lang w:val="ro-MD"/>
              </w:rPr>
            </w:pPr>
          </w:p>
          <w:p w14:paraId="3D83EB2D" w14:textId="6EB4613C" w:rsidR="00591F33" w:rsidRPr="003A36E3" w:rsidRDefault="00725622" w:rsidP="00725622">
            <w:pPr>
              <w:spacing w:after="0"/>
              <w:jc w:val="both"/>
              <w:rPr>
                <w:rFonts w:ascii="Arial" w:eastAsiaTheme="minorEastAsia" w:hAnsi="Arial" w:cs="Arial"/>
                <w:sz w:val="18"/>
                <w:szCs w:val="18"/>
                <w:lang w:val="ro-MD"/>
              </w:rPr>
            </w:pPr>
            <w:r w:rsidRPr="003A36E3">
              <w:rPr>
                <w:rFonts w:ascii="Arial" w:eastAsiaTheme="minorEastAsia" w:hAnsi="Arial" w:cs="Arial"/>
                <w:sz w:val="18"/>
                <w:szCs w:val="18"/>
                <w:lang w:val="ro-MD"/>
              </w:rPr>
              <w:t>Sursa de verificare: Ordinul ministerial privind revizuirea curriculumului, raportul Ministerului Educației privind revizuirea curriculumului, rapoartele de formare a cadrelor didactice de la furnizorii de formare.</w:t>
            </w:r>
          </w:p>
        </w:tc>
      </w:tr>
      <w:tr w:rsidR="00F00E3C" w:rsidRPr="00BD0643" w14:paraId="78786E76" w14:textId="77777777" w:rsidTr="00591F33">
        <w:trPr>
          <w:trHeight w:val="300"/>
        </w:trPr>
        <w:tc>
          <w:tcPr>
            <w:tcW w:w="851" w:type="dxa"/>
            <w:vAlign w:val="center"/>
          </w:tcPr>
          <w:p w14:paraId="3EF35904" w14:textId="74F1B434" w:rsidR="00F00E3C" w:rsidRPr="00840B12" w:rsidRDefault="00BD0643" w:rsidP="00F00E3C">
            <w:pPr>
              <w:spacing w:after="0"/>
              <w:jc w:val="both"/>
              <w:rPr>
                <w:rFonts w:ascii="Arial" w:eastAsiaTheme="minorEastAsia" w:hAnsi="Arial" w:cs="Arial"/>
                <w:sz w:val="18"/>
                <w:szCs w:val="18"/>
                <w:lang w:val="it-IT"/>
              </w:rPr>
            </w:pPr>
            <w:r w:rsidRPr="003A36E3">
              <w:rPr>
                <w:rFonts w:ascii="Arial" w:eastAsiaTheme="minorEastAsia" w:hAnsi="Arial" w:cs="Arial"/>
                <w:sz w:val="18"/>
                <w:szCs w:val="18"/>
                <w:lang w:val="ro-MD"/>
              </w:rPr>
              <w:lastRenderedPageBreak/>
              <w:t>Învățământ</w:t>
            </w:r>
          </w:p>
        </w:tc>
        <w:tc>
          <w:tcPr>
            <w:tcW w:w="425" w:type="dxa"/>
            <w:vAlign w:val="center"/>
          </w:tcPr>
          <w:p w14:paraId="18AAC06D" w14:textId="3FDE5262"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3</w:t>
            </w:r>
          </w:p>
        </w:tc>
        <w:tc>
          <w:tcPr>
            <w:tcW w:w="1276" w:type="dxa"/>
          </w:tcPr>
          <w:p w14:paraId="522B80E5" w14:textId="77777777" w:rsidR="00F00E3C" w:rsidRPr="00840B12" w:rsidRDefault="00F00E3C" w:rsidP="00F00E3C">
            <w:pPr>
              <w:spacing w:after="0"/>
              <w:jc w:val="both"/>
              <w:rPr>
                <w:rFonts w:ascii="Arial" w:eastAsiaTheme="minorEastAsia" w:hAnsi="Arial" w:cs="Arial"/>
                <w:sz w:val="18"/>
                <w:szCs w:val="18"/>
              </w:rPr>
            </w:pPr>
          </w:p>
        </w:tc>
        <w:tc>
          <w:tcPr>
            <w:tcW w:w="1276" w:type="dxa"/>
            <w:vAlign w:val="center"/>
          </w:tcPr>
          <w:p w14:paraId="69A4E47F" w14:textId="02A66F8B"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Consolidarea rezultatelor educaționale, a calității și integrității învățământului universitar</w:t>
            </w:r>
          </w:p>
        </w:tc>
        <w:tc>
          <w:tcPr>
            <w:tcW w:w="283" w:type="dxa"/>
            <w:vAlign w:val="center"/>
          </w:tcPr>
          <w:p w14:paraId="75DEC03D" w14:textId="3577BABA"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8</w:t>
            </w:r>
          </w:p>
        </w:tc>
        <w:tc>
          <w:tcPr>
            <w:tcW w:w="993" w:type="dxa"/>
          </w:tcPr>
          <w:p w14:paraId="7D81D7C5" w14:textId="60497890" w:rsidR="00F00E3C" w:rsidRPr="00840B12" w:rsidRDefault="00F00E3C" w:rsidP="00F00E3C">
            <w:pPr>
              <w:spacing w:after="0"/>
              <w:jc w:val="both"/>
              <w:rPr>
                <w:rFonts w:ascii="Arial" w:eastAsiaTheme="minorEastAsia" w:hAnsi="Arial" w:cs="Arial"/>
                <w:sz w:val="18"/>
                <w:szCs w:val="18"/>
              </w:rPr>
            </w:pPr>
            <w:r>
              <w:rPr>
                <w:rFonts w:ascii="Arial" w:eastAsiaTheme="minorEastAsia" w:hAnsi="Arial" w:cs="Arial"/>
                <w:sz w:val="18"/>
                <w:szCs w:val="18"/>
                <w:lang w:val="ro-MD"/>
              </w:rPr>
              <w:t>i</w:t>
            </w:r>
            <w:r w:rsidRPr="00586283">
              <w:rPr>
                <w:rFonts w:ascii="Arial" w:eastAsiaTheme="minorEastAsia" w:hAnsi="Arial" w:cs="Arial"/>
                <w:sz w:val="18"/>
                <w:szCs w:val="18"/>
                <w:lang w:val="ro-MD"/>
              </w:rPr>
              <w:t xml:space="preserve">unie 2027 </w:t>
            </w:r>
          </w:p>
        </w:tc>
        <w:tc>
          <w:tcPr>
            <w:tcW w:w="1559" w:type="dxa"/>
            <w:vAlign w:val="center"/>
          </w:tcPr>
          <w:p w14:paraId="793FAB41" w14:textId="6F15638B"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Ministerul Educației și Cercetării</w:t>
            </w:r>
          </w:p>
        </w:tc>
        <w:tc>
          <w:tcPr>
            <w:tcW w:w="4252" w:type="dxa"/>
          </w:tcPr>
          <w:p w14:paraId="2298B8F8" w14:textId="77777777" w:rsidR="00F00E3C" w:rsidRPr="00586283" w:rsidRDefault="00F00E3C" w:rsidP="00F00E3C">
            <w:pPr>
              <w:spacing w:after="0" w:line="257" w:lineRule="auto"/>
              <w:jc w:val="both"/>
              <w:rPr>
                <w:rFonts w:ascii="Arial" w:hAnsi="Arial" w:cs="Arial"/>
                <w:sz w:val="18"/>
                <w:szCs w:val="18"/>
                <w:lang w:val="ro-MD"/>
              </w:rPr>
            </w:pPr>
            <w:r w:rsidRPr="00586283">
              <w:rPr>
                <w:rFonts w:ascii="Arial" w:hAnsi="Arial" w:cs="Arial"/>
                <w:sz w:val="18"/>
                <w:szCs w:val="18"/>
                <w:lang w:val="ro-MD"/>
              </w:rPr>
              <w:t xml:space="preserve">25% din programele de nivel de doctorat din Instituțiile de învățământ superior din MD sunt acreditate internațional de agențiile înregistrate EQAR (Registrul European al Agenţiilor de Asigurare a Calităţii), aliniind în continuare țara la procesul Bologna și la standardele SEIS. </w:t>
            </w:r>
          </w:p>
          <w:p w14:paraId="57FCC41B" w14:textId="77777777" w:rsidR="00F00E3C" w:rsidRPr="00586283" w:rsidRDefault="00F00E3C" w:rsidP="00F00E3C">
            <w:pPr>
              <w:spacing w:after="0" w:line="257" w:lineRule="auto"/>
              <w:jc w:val="both"/>
              <w:rPr>
                <w:rFonts w:ascii="Arial" w:eastAsiaTheme="minorEastAsia" w:hAnsi="Arial" w:cs="Arial"/>
                <w:sz w:val="18"/>
                <w:szCs w:val="18"/>
                <w:lang w:val="ro-MD"/>
              </w:rPr>
            </w:pPr>
          </w:p>
          <w:p w14:paraId="16FC1AA0" w14:textId="77777777" w:rsidR="00F00E3C" w:rsidRPr="00586283" w:rsidRDefault="00F00E3C" w:rsidP="00F00E3C">
            <w:pPr>
              <w:spacing w:after="0" w:line="257" w:lineRule="auto"/>
              <w:jc w:val="both"/>
              <w:rPr>
                <w:rFonts w:ascii="Arial" w:eastAsiaTheme="minorEastAsia" w:hAnsi="Arial" w:cs="Arial"/>
                <w:sz w:val="18"/>
                <w:szCs w:val="18"/>
                <w:lang w:val="ro-MD"/>
              </w:rPr>
            </w:pPr>
            <w:r>
              <w:rPr>
                <w:rFonts w:ascii="Arial" w:eastAsiaTheme="minorEastAsia" w:hAnsi="Arial" w:cs="Arial"/>
                <w:sz w:val="18"/>
                <w:szCs w:val="18"/>
                <w:lang w:val="ro-MD"/>
              </w:rPr>
              <w:t>Linia de referință</w:t>
            </w:r>
            <w:r w:rsidRPr="00586283">
              <w:rPr>
                <w:rFonts w:ascii="Arial" w:eastAsiaTheme="minorEastAsia" w:hAnsi="Arial" w:cs="Arial"/>
                <w:sz w:val="18"/>
                <w:szCs w:val="18"/>
                <w:lang w:val="ro-MD"/>
              </w:rPr>
              <w:t>: În decembrie 2024, 0% din programele de nivel doctoral din MD Universitis sunt acreditate internațional. Există 46 de instituții de doctorat „autorizate provizoriu”. În timp ce pentru programele de licență și masterat există mecanisme de evaluare a calității, pentru studiile doctorale nu au fost întreprinse acțiuni. În plus, în MD nu există o metodologie specifică de acreditare a școlilor doctorale, fiind nevoie de expertiză internațională în domeniu.</w:t>
            </w:r>
          </w:p>
          <w:p w14:paraId="6096254B" w14:textId="77777777" w:rsidR="00F00E3C" w:rsidRPr="00586283" w:rsidRDefault="00F00E3C" w:rsidP="00F00E3C">
            <w:pPr>
              <w:spacing w:after="0" w:line="257" w:lineRule="auto"/>
              <w:jc w:val="both"/>
              <w:rPr>
                <w:rFonts w:ascii="Arial" w:eastAsiaTheme="minorEastAsia" w:hAnsi="Arial" w:cs="Arial"/>
                <w:sz w:val="18"/>
                <w:szCs w:val="18"/>
                <w:lang w:val="ro-MD"/>
              </w:rPr>
            </w:pPr>
          </w:p>
          <w:p w14:paraId="7B219EC9" w14:textId="77777777" w:rsidR="00F00E3C" w:rsidRPr="00586283" w:rsidRDefault="00F00E3C" w:rsidP="00F00E3C">
            <w:pPr>
              <w:spacing w:after="0"/>
              <w:jc w:val="both"/>
              <w:rPr>
                <w:rFonts w:ascii="Arial" w:eastAsiaTheme="minorEastAsia" w:hAnsi="Arial" w:cs="Arial"/>
                <w:sz w:val="18"/>
                <w:szCs w:val="18"/>
                <w:lang w:val="ro-MD"/>
              </w:rPr>
            </w:pPr>
          </w:p>
          <w:p w14:paraId="5662FB62" w14:textId="77777777" w:rsidR="00F00E3C" w:rsidRPr="00F00E3C" w:rsidRDefault="00F00E3C" w:rsidP="00F00E3C">
            <w:pPr>
              <w:spacing w:after="0"/>
              <w:jc w:val="both"/>
              <w:rPr>
                <w:rFonts w:ascii="Arial" w:eastAsiaTheme="minorEastAsia" w:hAnsi="Arial" w:cs="Arial"/>
                <w:sz w:val="18"/>
                <w:szCs w:val="18"/>
                <w:lang w:val="fr-FR"/>
              </w:rPr>
            </w:pPr>
          </w:p>
        </w:tc>
        <w:tc>
          <w:tcPr>
            <w:tcW w:w="4536" w:type="dxa"/>
          </w:tcPr>
          <w:p w14:paraId="53D57E7A" w14:textId="77777777"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MD promovează evaluarea și acreditarea programelor naționale de doctorat de către agențiile internaționale de asigurare a calității (înregistrate EQAR), asigurând transparența și echivalența diplomelor între Moldova și țările din EHEA (Spațiul European al Învățământului Superior). Cel puțin 25% din totalul programelor de doctorat active în Moldova sunt acreditate internațional prin EQAR.</w:t>
            </w:r>
          </w:p>
          <w:p w14:paraId="4061F918" w14:textId="77777777" w:rsidR="00F00E3C" w:rsidRPr="00586283" w:rsidRDefault="00F00E3C" w:rsidP="00F00E3C">
            <w:pPr>
              <w:spacing w:after="0" w:line="257" w:lineRule="auto"/>
              <w:jc w:val="both"/>
              <w:rPr>
                <w:rFonts w:ascii="Arial" w:eastAsiaTheme="minorEastAsia" w:hAnsi="Arial" w:cs="Arial"/>
                <w:sz w:val="18"/>
                <w:szCs w:val="18"/>
                <w:lang w:val="ro-MD"/>
              </w:rPr>
            </w:pPr>
          </w:p>
          <w:p w14:paraId="099DE158" w14:textId="77777777" w:rsidR="00F00E3C" w:rsidRPr="00586283" w:rsidRDefault="00F00E3C" w:rsidP="00F00E3C">
            <w:pPr>
              <w:spacing w:after="0" w:line="257" w:lineRule="auto"/>
              <w:jc w:val="both"/>
              <w:rPr>
                <w:rFonts w:ascii="Arial" w:eastAsiaTheme="minorEastAsia" w:hAnsi="Arial" w:cs="Arial"/>
                <w:sz w:val="18"/>
                <w:szCs w:val="18"/>
                <w:lang w:val="ro-MD"/>
              </w:rPr>
            </w:pPr>
            <w:r>
              <w:rPr>
                <w:rFonts w:ascii="Arial" w:eastAsiaTheme="minorEastAsia" w:hAnsi="Arial" w:cs="Arial"/>
                <w:sz w:val="18"/>
                <w:szCs w:val="18"/>
                <w:lang w:val="ro-MD"/>
              </w:rPr>
              <w:t>Sursa de verificare</w:t>
            </w:r>
            <w:r w:rsidRPr="00586283">
              <w:rPr>
                <w:rFonts w:ascii="Arial" w:eastAsiaTheme="minorEastAsia" w:hAnsi="Arial" w:cs="Arial"/>
                <w:sz w:val="18"/>
                <w:szCs w:val="18"/>
                <w:lang w:val="ro-MD"/>
              </w:rPr>
              <w:t xml:space="preserve">: </w:t>
            </w:r>
          </w:p>
          <w:p w14:paraId="08DA955C" w14:textId="77777777"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Baza de date EQAR a programelor de doctorat acreditate de pe pagina web EQAR. </w:t>
            </w:r>
          </w:p>
          <w:p w14:paraId="1FC3FCBA" w14:textId="77777777" w:rsidR="00F00E3C" w:rsidRPr="00F00E3C" w:rsidRDefault="00F00E3C" w:rsidP="00F00E3C">
            <w:pPr>
              <w:spacing w:after="0" w:line="257" w:lineRule="auto"/>
              <w:jc w:val="both"/>
              <w:rPr>
                <w:rFonts w:ascii="Arial" w:eastAsiaTheme="minorEastAsia" w:hAnsi="Arial" w:cs="Arial"/>
                <w:sz w:val="18"/>
                <w:szCs w:val="18"/>
                <w:lang w:val="fr-FR"/>
              </w:rPr>
            </w:pPr>
          </w:p>
        </w:tc>
      </w:tr>
      <w:tr w:rsidR="00F00E3C" w:rsidRPr="00BD0643" w14:paraId="72A5D67D" w14:textId="77777777" w:rsidTr="00591F33">
        <w:trPr>
          <w:trHeight w:val="300"/>
        </w:trPr>
        <w:tc>
          <w:tcPr>
            <w:tcW w:w="851" w:type="dxa"/>
            <w:vAlign w:val="center"/>
          </w:tcPr>
          <w:p w14:paraId="11CBB9B4" w14:textId="168D2780" w:rsidR="00F00E3C" w:rsidRPr="00840B12" w:rsidRDefault="00BD0643" w:rsidP="00F00E3C">
            <w:pPr>
              <w:jc w:val="both"/>
              <w:rPr>
                <w:rFonts w:ascii="Arial" w:eastAsiaTheme="minorEastAsia" w:hAnsi="Arial" w:cs="Arial"/>
                <w:sz w:val="18"/>
                <w:szCs w:val="18"/>
                <w:lang w:val="it-IT"/>
              </w:rPr>
            </w:pPr>
            <w:r w:rsidRPr="003A36E3">
              <w:rPr>
                <w:rFonts w:ascii="Arial" w:eastAsiaTheme="minorEastAsia" w:hAnsi="Arial" w:cs="Arial"/>
                <w:sz w:val="18"/>
                <w:szCs w:val="18"/>
                <w:lang w:val="ro-MD"/>
              </w:rPr>
              <w:t>Învățământ</w:t>
            </w:r>
          </w:p>
        </w:tc>
        <w:tc>
          <w:tcPr>
            <w:tcW w:w="425" w:type="dxa"/>
            <w:vAlign w:val="center"/>
          </w:tcPr>
          <w:p w14:paraId="07226C21"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3</w:t>
            </w:r>
          </w:p>
          <w:p w14:paraId="46BF4FC1" w14:textId="77777777" w:rsidR="00F00E3C" w:rsidRPr="00840B12" w:rsidRDefault="00F00E3C" w:rsidP="00F00E3C">
            <w:pPr>
              <w:jc w:val="both"/>
              <w:rPr>
                <w:rFonts w:ascii="Arial" w:eastAsiaTheme="minorEastAsia" w:hAnsi="Arial" w:cs="Arial"/>
                <w:sz w:val="18"/>
                <w:szCs w:val="18"/>
              </w:rPr>
            </w:pPr>
          </w:p>
        </w:tc>
        <w:tc>
          <w:tcPr>
            <w:tcW w:w="1276" w:type="dxa"/>
          </w:tcPr>
          <w:p w14:paraId="1E1A597E" w14:textId="77777777" w:rsidR="00F00E3C" w:rsidRPr="00840B12" w:rsidRDefault="00F00E3C" w:rsidP="00F00E3C">
            <w:pPr>
              <w:spacing w:after="0"/>
              <w:jc w:val="both"/>
              <w:rPr>
                <w:rFonts w:ascii="Arial" w:eastAsiaTheme="minorEastAsia" w:hAnsi="Arial" w:cs="Arial"/>
                <w:sz w:val="18"/>
                <w:szCs w:val="18"/>
              </w:rPr>
            </w:pPr>
          </w:p>
        </w:tc>
        <w:tc>
          <w:tcPr>
            <w:tcW w:w="1276" w:type="dxa"/>
            <w:vAlign w:val="center"/>
          </w:tcPr>
          <w:p w14:paraId="69B63CB2" w14:textId="4E9AEB34"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Consolidarea rezultatelor educaționale, a calității și integrității învățământului universitar</w:t>
            </w:r>
          </w:p>
        </w:tc>
        <w:tc>
          <w:tcPr>
            <w:tcW w:w="283" w:type="dxa"/>
            <w:vAlign w:val="center"/>
          </w:tcPr>
          <w:p w14:paraId="0F43616B" w14:textId="706F3417"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9</w:t>
            </w:r>
          </w:p>
        </w:tc>
        <w:tc>
          <w:tcPr>
            <w:tcW w:w="993" w:type="dxa"/>
          </w:tcPr>
          <w:p w14:paraId="26FCF6CD" w14:textId="6B2ADB2F" w:rsidR="00F00E3C" w:rsidRPr="00840B12" w:rsidRDefault="00F00E3C" w:rsidP="00F00E3C">
            <w:pPr>
              <w:jc w:val="both"/>
              <w:rPr>
                <w:rFonts w:ascii="Arial" w:eastAsiaTheme="minorEastAsia" w:hAnsi="Arial" w:cs="Arial"/>
                <w:sz w:val="18"/>
                <w:szCs w:val="18"/>
              </w:rPr>
            </w:pPr>
            <w:r>
              <w:rPr>
                <w:rFonts w:ascii="Arial" w:eastAsiaTheme="minorEastAsia" w:hAnsi="Arial" w:cs="Arial"/>
                <w:sz w:val="18"/>
                <w:szCs w:val="18"/>
                <w:lang w:val="ro-MD"/>
              </w:rPr>
              <w:t>i</w:t>
            </w:r>
            <w:r w:rsidRPr="00586283">
              <w:rPr>
                <w:rFonts w:ascii="Arial" w:eastAsiaTheme="minorEastAsia" w:hAnsi="Arial" w:cs="Arial"/>
                <w:sz w:val="18"/>
                <w:szCs w:val="18"/>
                <w:lang w:val="ro-MD"/>
              </w:rPr>
              <w:t>unie 2026</w:t>
            </w:r>
          </w:p>
        </w:tc>
        <w:tc>
          <w:tcPr>
            <w:tcW w:w="1559" w:type="dxa"/>
            <w:vAlign w:val="center"/>
          </w:tcPr>
          <w:p w14:paraId="5194E166" w14:textId="0410049A"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Ministerul Educației și Cercetării</w:t>
            </w:r>
          </w:p>
        </w:tc>
        <w:tc>
          <w:tcPr>
            <w:tcW w:w="4252" w:type="dxa"/>
          </w:tcPr>
          <w:p w14:paraId="758D3F77" w14:textId="77777777"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În universitățile din MD sunt implementate măsuri anticorupție și antifraudă solide, cu adoptarea unui software național unic de detectare a plagiatului și cu participarea a cel puțin 50% din studenții de la ciclurile de licență din instituțiile de învățământ superior la instruiri și campanii de sensibilizare on-line sau off-line privind etica și măsurile anti</w:t>
            </w:r>
            <w:r>
              <w:rPr>
                <w:rFonts w:ascii="Arial" w:eastAsiaTheme="minorEastAsia" w:hAnsi="Arial" w:cs="Arial"/>
                <w:sz w:val="18"/>
                <w:szCs w:val="18"/>
                <w:lang w:val="ro-MD"/>
              </w:rPr>
              <w:t>-</w:t>
            </w:r>
            <w:r w:rsidRPr="00586283">
              <w:rPr>
                <w:rFonts w:ascii="Arial" w:eastAsiaTheme="minorEastAsia" w:hAnsi="Arial" w:cs="Arial"/>
                <w:sz w:val="18"/>
                <w:szCs w:val="18"/>
                <w:lang w:val="ro-MD"/>
              </w:rPr>
              <w:t xml:space="preserve">plagiat, cu implicarea Centrului Național Anticorupție. </w:t>
            </w:r>
          </w:p>
          <w:p w14:paraId="46C8A8EC" w14:textId="77777777" w:rsidR="00F00E3C" w:rsidRPr="00586283" w:rsidRDefault="00F00E3C" w:rsidP="00F00E3C">
            <w:pPr>
              <w:spacing w:after="0" w:line="257" w:lineRule="auto"/>
              <w:jc w:val="both"/>
              <w:rPr>
                <w:rFonts w:ascii="Arial" w:eastAsiaTheme="minorEastAsia" w:hAnsi="Arial" w:cs="Arial"/>
                <w:sz w:val="18"/>
                <w:szCs w:val="18"/>
                <w:lang w:val="ro-MD"/>
              </w:rPr>
            </w:pPr>
          </w:p>
          <w:p w14:paraId="1B0546C5" w14:textId="77777777" w:rsidR="00F00E3C" w:rsidRPr="00586283" w:rsidRDefault="00F00E3C" w:rsidP="00F00E3C">
            <w:pPr>
              <w:spacing w:after="0" w:line="257" w:lineRule="auto"/>
              <w:jc w:val="both"/>
              <w:rPr>
                <w:rFonts w:ascii="Arial" w:eastAsiaTheme="minorEastAsia" w:hAnsi="Arial" w:cs="Arial"/>
                <w:sz w:val="18"/>
                <w:szCs w:val="18"/>
                <w:lang w:val="ro-MD"/>
              </w:rPr>
            </w:pPr>
            <w:r>
              <w:rPr>
                <w:rFonts w:ascii="Arial" w:eastAsiaTheme="minorEastAsia" w:hAnsi="Arial" w:cs="Arial"/>
                <w:sz w:val="18"/>
                <w:szCs w:val="18"/>
                <w:lang w:val="ro-MD"/>
              </w:rPr>
              <w:t>Linia de referință</w:t>
            </w:r>
            <w:r w:rsidRPr="00586283">
              <w:rPr>
                <w:rFonts w:ascii="Arial" w:eastAsiaTheme="minorEastAsia" w:hAnsi="Arial" w:cs="Arial"/>
                <w:sz w:val="18"/>
                <w:szCs w:val="18"/>
                <w:lang w:val="ro-MD"/>
              </w:rPr>
              <w:t>: În decembrie 2024, în universitățile din MD nu se utilizează niciun instrument IT anti</w:t>
            </w:r>
            <w:r>
              <w:rPr>
                <w:rFonts w:ascii="Arial" w:eastAsiaTheme="minorEastAsia" w:hAnsi="Arial" w:cs="Arial"/>
                <w:sz w:val="18"/>
                <w:szCs w:val="18"/>
                <w:lang w:val="ro-MD"/>
              </w:rPr>
              <w:t>-</w:t>
            </w:r>
            <w:r w:rsidRPr="00586283">
              <w:rPr>
                <w:rFonts w:ascii="Arial" w:eastAsiaTheme="minorEastAsia" w:hAnsi="Arial" w:cs="Arial"/>
                <w:sz w:val="18"/>
                <w:szCs w:val="18"/>
                <w:lang w:val="ro-MD"/>
              </w:rPr>
              <w:t>plagiat avansat și nu se desfășoară în mod regulat campanii de instruire și sensibilizare privind integritatea academică. Diferitele universități utilizează ocazional softuri anti</w:t>
            </w:r>
            <w:r>
              <w:rPr>
                <w:rFonts w:ascii="Arial" w:eastAsiaTheme="minorEastAsia" w:hAnsi="Arial" w:cs="Arial"/>
                <w:sz w:val="18"/>
                <w:szCs w:val="18"/>
                <w:lang w:val="ro-MD"/>
              </w:rPr>
              <w:t>-</w:t>
            </w:r>
            <w:r w:rsidRPr="00586283">
              <w:rPr>
                <w:rFonts w:ascii="Arial" w:eastAsiaTheme="minorEastAsia" w:hAnsi="Arial" w:cs="Arial"/>
                <w:sz w:val="18"/>
                <w:szCs w:val="18"/>
                <w:lang w:val="ro-MD"/>
              </w:rPr>
              <w:t xml:space="preserve">plagiat de diferite tipuri, de obicei cu </w:t>
            </w:r>
            <w:r w:rsidRPr="00586283">
              <w:rPr>
                <w:rFonts w:ascii="Arial" w:eastAsiaTheme="minorEastAsia" w:hAnsi="Arial" w:cs="Arial"/>
                <w:sz w:val="18"/>
                <w:szCs w:val="18"/>
                <w:lang w:val="ro-MD"/>
              </w:rPr>
              <w:lastRenderedPageBreak/>
              <w:t>performanțe de calitate scăzută și fără întreținerea continuă necesară. De asemenea, nu există un cadru normativ și politic cuprinzător privind integritatea academică.</w:t>
            </w:r>
          </w:p>
          <w:p w14:paraId="239E0C8F" w14:textId="77777777" w:rsidR="00F00E3C" w:rsidRPr="00840B12" w:rsidRDefault="00F00E3C" w:rsidP="00F00E3C">
            <w:pPr>
              <w:spacing w:after="0" w:line="257" w:lineRule="auto"/>
              <w:jc w:val="both"/>
              <w:rPr>
                <w:rFonts w:ascii="Arial" w:eastAsiaTheme="minorEastAsia" w:hAnsi="Arial" w:cs="Arial"/>
                <w:sz w:val="18"/>
                <w:szCs w:val="18"/>
              </w:rPr>
            </w:pPr>
          </w:p>
        </w:tc>
        <w:tc>
          <w:tcPr>
            <w:tcW w:w="4536" w:type="dxa"/>
          </w:tcPr>
          <w:p w14:paraId="3478AFA9" w14:textId="77777777"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lastRenderedPageBreak/>
              <w:t xml:space="preserve">Ministerul Educației utilizează o soluție software unică pentru anti-plagiat în teze și disertații la toate nivelurile de învățământ superior, de la licență la doctorat, precum și pentru lansarea unei campanii privind integritatea academică. MD elaborează cadrul normativ și de politici pentru integritate/anticorupție în învățământul superior, în conlucrare cu Centrul Național Anticorupție. MD instalează un singur software IT avansat pentru detectarea plagiatului în toate instituțiile de ÎS din țară și în agențiile naționale de asigurare a calității, asigurând, de asemenea, interoperabilitatea cu modulele SIMIS (Sistemul informațional de management în învățământului superior). MD elaborează și implementează, în parteneriat cu Centrul Național Anticorupție, module de instruire (online și fizic) pentru studenții universitari </w:t>
            </w:r>
            <w:r w:rsidRPr="00586283">
              <w:rPr>
                <w:rFonts w:ascii="Arial" w:eastAsiaTheme="minorEastAsia" w:hAnsi="Arial" w:cs="Arial"/>
                <w:sz w:val="18"/>
                <w:szCs w:val="18"/>
                <w:lang w:val="ro-MD"/>
              </w:rPr>
              <w:lastRenderedPageBreak/>
              <w:t>privind etica, transparența, integritatea și campanii de comunicare/conștientizare privind efectele corupției în învățământul superior.</w:t>
            </w:r>
          </w:p>
          <w:p w14:paraId="14F7B3CC" w14:textId="77777777" w:rsidR="00F00E3C" w:rsidRPr="00586283" w:rsidRDefault="00F00E3C" w:rsidP="00F00E3C">
            <w:pPr>
              <w:spacing w:after="0" w:line="257" w:lineRule="auto"/>
              <w:jc w:val="both"/>
              <w:rPr>
                <w:rFonts w:ascii="Arial" w:eastAsiaTheme="minorEastAsia" w:hAnsi="Arial" w:cs="Arial"/>
                <w:sz w:val="18"/>
                <w:szCs w:val="18"/>
                <w:lang w:val="ro-MD"/>
              </w:rPr>
            </w:pPr>
          </w:p>
          <w:p w14:paraId="7DB964EF" w14:textId="77777777" w:rsidR="00F00E3C" w:rsidRPr="00586283" w:rsidRDefault="00F00E3C" w:rsidP="00F00E3C">
            <w:pPr>
              <w:spacing w:after="0" w:line="257" w:lineRule="auto"/>
              <w:jc w:val="both"/>
              <w:rPr>
                <w:rFonts w:ascii="Arial" w:eastAsiaTheme="minorEastAsia" w:hAnsi="Arial" w:cs="Arial"/>
                <w:sz w:val="18"/>
                <w:szCs w:val="18"/>
                <w:lang w:val="ro-MD"/>
              </w:rPr>
            </w:pPr>
            <w:r>
              <w:rPr>
                <w:rFonts w:ascii="Arial" w:eastAsiaTheme="minorEastAsia" w:hAnsi="Arial" w:cs="Arial"/>
                <w:sz w:val="18"/>
                <w:szCs w:val="18"/>
                <w:lang w:val="ro-MD"/>
              </w:rPr>
              <w:t>Sursa de verificare</w:t>
            </w:r>
            <w:r w:rsidRPr="00586283">
              <w:rPr>
                <w:rFonts w:ascii="Arial" w:eastAsiaTheme="minorEastAsia" w:hAnsi="Arial" w:cs="Arial"/>
                <w:sz w:val="18"/>
                <w:szCs w:val="18"/>
                <w:lang w:val="ro-MD"/>
              </w:rPr>
              <w:t>: Rapoartele Ministerului Educației, inclusiv Planul anticorupție aprobat anual, dovezi documentare privind achiziționarea și instalarea software-ului anti</w:t>
            </w:r>
            <w:r>
              <w:rPr>
                <w:rFonts w:ascii="Arial" w:eastAsiaTheme="minorEastAsia" w:hAnsi="Arial" w:cs="Arial"/>
                <w:sz w:val="18"/>
                <w:szCs w:val="18"/>
                <w:lang w:val="ro-MD"/>
              </w:rPr>
              <w:t>-</w:t>
            </w:r>
            <w:r w:rsidRPr="00586283">
              <w:rPr>
                <w:rFonts w:ascii="Arial" w:eastAsiaTheme="minorEastAsia" w:hAnsi="Arial" w:cs="Arial"/>
                <w:sz w:val="18"/>
                <w:szCs w:val="18"/>
                <w:lang w:val="ro-MD"/>
              </w:rPr>
              <w:t xml:space="preserve">plagiat în toate instituțiile de învățământ superior și dovezi documentare privind participarea la cursuri de instruire și campaniile de comunicare implementate. </w:t>
            </w:r>
          </w:p>
          <w:p w14:paraId="3A81878A" w14:textId="77777777" w:rsidR="00F00E3C" w:rsidRPr="00F00E3C" w:rsidRDefault="00F00E3C" w:rsidP="00F00E3C">
            <w:pPr>
              <w:spacing w:after="0" w:line="257" w:lineRule="auto"/>
              <w:jc w:val="both"/>
              <w:rPr>
                <w:rFonts w:ascii="Arial" w:eastAsiaTheme="minorEastAsia" w:hAnsi="Arial" w:cs="Arial"/>
                <w:sz w:val="18"/>
                <w:szCs w:val="18"/>
                <w:lang w:val="ro-MD"/>
              </w:rPr>
            </w:pPr>
          </w:p>
        </w:tc>
      </w:tr>
      <w:tr w:rsidR="00F00E3C" w:rsidRPr="00BD0643" w14:paraId="381D51F8" w14:textId="77777777" w:rsidTr="00591F33">
        <w:trPr>
          <w:trHeight w:val="300"/>
        </w:trPr>
        <w:tc>
          <w:tcPr>
            <w:tcW w:w="851" w:type="dxa"/>
            <w:vAlign w:val="center"/>
          </w:tcPr>
          <w:p w14:paraId="3E2DB42B"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lastRenderedPageBreak/>
              <w:t xml:space="preserve">Protecție socială  </w:t>
            </w:r>
          </w:p>
          <w:p w14:paraId="7A65A797"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 </w:t>
            </w:r>
          </w:p>
          <w:p w14:paraId="28033881" w14:textId="28DB411F"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 xml:space="preserve"> </w:t>
            </w:r>
          </w:p>
        </w:tc>
        <w:tc>
          <w:tcPr>
            <w:tcW w:w="425" w:type="dxa"/>
            <w:vAlign w:val="center"/>
          </w:tcPr>
          <w:p w14:paraId="1E9B6630" w14:textId="7735D37B"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4</w:t>
            </w:r>
          </w:p>
        </w:tc>
        <w:tc>
          <w:tcPr>
            <w:tcW w:w="1276" w:type="dxa"/>
          </w:tcPr>
          <w:p w14:paraId="26934293" w14:textId="77777777" w:rsidR="00F00E3C" w:rsidRPr="00840B12" w:rsidRDefault="00F00E3C" w:rsidP="00F00E3C">
            <w:pPr>
              <w:spacing w:after="0"/>
              <w:jc w:val="both"/>
              <w:rPr>
                <w:rFonts w:ascii="Arial" w:eastAsiaTheme="minorEastAsia" w:hAnsi="Arial" w:cs="Arial"/>
                <w:sz w:val="18"/>
                <w:szCs w:val="18"/>
              </w:rPr>
            </w:pPr>
          </w:p>
        </w:tc>
        <w:tc>
          <w:tcPr>
            <w:tcW w:w="1276" w:type="dxa"/>
            <w:vAlign w:val="center"/>
          </w:tcPr>
          <w:p w14:paraId="4AABF131" w14:textId="63E8EC59"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Îmbunătățirea calității și accesibilității serviciilor sociale care îndeplinesc standardele minime și necesitățile populației</w:t>
            </w:r>
          </w:p>
        </w:tc>
        <w:tc>
          <w:tcPr>
            <w:tcW w:w="283" w:type="dxa"/>
            <w:vAlign w:val="center"/>
          </w:tcPr>
          <w:p w14:paraId="4150AFA8" w14:textId="53ABBBF5"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10</w:t>
            </w:r>
          </w:p>
        </w:tc>
        <w:tc>
          <w:tcPr>
            <w:tcW w:w="993" w:type="dxa"/>
          </w:tcPr>
          <w:p w14:paraId="4F6F851D" w14:textId="03422F69" w:rsidR="00F00E3C" w:rsidRPr="00840B12" w:rsidRDefault="00F00E3C" w:rsidP="00F00E3C">
            <w:pPr>
              <w:spacing w:after="0"/>
              <w:jc w:val="both"/>
              <w:rPr>
                <w:rFonts w:ascii="Arial" w:eastAsiaTheme="minorEastAsia" w:hAnsi="Arial" w:cs="Arial"/>
                <w:sz w:val="18"/>
                <w:szCs w:val="18"/>
              </w:rPr>
            </w:pPr>
            <w:r>
              <w:rPr>
                <w:rFonts w:ascii="Arial" w:eastAsiaTheme="minorEastAsia" w:hAnsi="Arial" w:cs="Arial"/>
                <w:sz w:val="18"/>
                <w:szCs w:val="18"/>
                <w:lang w:val="ro-MD"/>
              </w:rPr>
              <w:t>d</w:t>
            </w:r>
            <w:r w:rsidRPr="00586283">
              <w:rPr>
                <w:rFonts w:ascii="Arial" w:eastAsiaTheme="minorEastAsia" w:hAnsi="Arial" w:cs="Arial"/>
                <w:sz w:val="18"/>
                <w:szCs w:val="18"/>
                <w:lang w:val="ro-MD"/>
              </w:rPr>
              <w:t xml:space="preserve">ecembrie 2025 </w:t>
            </w:r>
          </w:p>
        </w:tc>
        <w:tc>
          <w:tcPr>
            <w:tcW w:w="1559" w:type="dxa"/>
            <w:vAlign w:val="center"/>
          </w:tcPr>
          <w:p w14:paraId="70A3D3EC" w14:textId="77777777" w:rsidR="00F00E3C" w:rsidRPr="00586283" w:rsidRDefault="00F00E3C" w:rsidP="00F00E3C">
            <w:pPr>
              <w:rPr>
                <w:rFonts w:ascii="Arial" w:eastAsiaTheme="minorEastAsia" w:hAnsi="Arial" w:cs="Arial"/>
                <w:sz w:val="18"/>
                <w:szCs w:val="18"/>
                <w:lang w:val="ro-MD"/>
              </w:rPr>
            </w:pPr>
            <w:r w:rsidRPr="00586283">
              <w:rPr>
                <w:rFonts w:ascii="Arial" w:eastAsiaTheme="minorEastAsia" w:hAnsi="Arial" w:cs="Arial"/>
                <w:sz w:val="18"/>
                <w:szCs w:val="18"/>
                <w:lang w:val="ro-MD"/>
              </w:rPr>
              <w:t>Ministerul Muncii și Protecției Sociale</w:t>
            </w:r>
          </w:p>
          <w:p w14:paraId="04529583" w14:textId="58EF552F" w:rsidR="00F00E3C" w:rsidRPr="00840B12" w:rsidRDefault="00F00E3C" w:rsidP="00F00E3C">
            <w:pPr>
              <w:spacing w:after="0"/>
              <w:jc w:val="both"/>
              <w:rPr>
                <w:rFonts w:ascii="Arial" w:eastAsiaTheme="minorEastAsia" w:hAnsi="Arial" w:cs="Arial"/>
                <w:sz w:val="18"/>
                <w:szCs w:val="18"/>
              </w:rPr>
            </w:pPr>
          </w:p>
        </w:tc>
        <w:tc>
          <w:tcPr>
            <w:tcW w:w="4252" w:type="dxa"/>
          </w:tcPr>
          <w:p w14:paraId="788E0D3A" w14:textId="77777777"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Reglementările privind asigurarea calității și standardele minime de calitate pentru 80% din serviciile sociale sunt actualizate.</w:t>
            </w:r>
          </w:p>
          <w:p w14:paraId="7C9E5EF4" w14:textId="77777777" w:rsidR="00F00E3C" w:rsidRPr="00586283" w:rsidRDefault="00F00E3C" w:rsidP="00F00E3C">
            <w:pPr>
              <w:spacing w:after="0" w:line="257" w:lineRule="auto"/>
              <w:jc w:val="both"/>
              <w:rPr>
                <w:rFonts w:ascii="Arial" w:eastAsiaTheme="minorEastAsia" w:hAnsi="Arial" w:cs="Arial"/>
                <w:sz w:val="18"/>
                <w:szCs w:val="18"/>
                <w:lang w:val="ro-MD"/>
              </w:rPr>
            </w:pPr>
          </w:p>
          <w:p w14:paraId="48B09D9F" w14:textId="62ADC4A1" w:rsidR="00F00E3C" w:rsidRPr="00840B12" w:rsidRDefault="00F00E3C" w:rsidP="00F00E3C">
            <w:pPr>
              <w:spacing w:after="0" w:line="257" w:lineRule="auto"/>
              <w:jc w:val="both"/>
              <w:rPr>
                <w:rFonts w:ascii="Arial" w:eastAsiaTheme="minorEastAsia" w:hAnsi="Arial" w:cs="Arial"/>
                <w:sz w:val="18"/>
                <w:szCs w:val="18"/>
              </w:rPr>
            </w:pPr>
            <w:r>
              <w:rPr>
                <w:rFonts w:ascii="Arial" w:eastAsiaTheme="minorEastAsia" w:hAnsi="Arial" w:cs="Arial"/>
                <w:sz w:val="18"/>
                <w:szCs w:val="18"/>
                <w:lang w:val="ro-MD"/>
              </w:rPr>
              <w:t>Linia de referință</w:t>
            </w:r>
            <w:r w:rsidRPr="00586283">
              <w:rPr>
                <w:rFonts w:ascii="Arial" w:eastAsiaTheme="minorEastAsia" w:hAnsi="Arial" w:cs="Arial"/>
                <w:sz w:val="18"/>
                <w:szCs w:val="18"/>
                <w:lang w:val="ro-MD"/>
              </w:rPr>
              <w:t xml:space="preserve">: În 2024, există reglementări îmbunătățite și actualizate pentru 10% din serviciile sociale. </w:t>
            </w:r>
          </w:p>
        </w:tc>
        <w:tc>
          <w:tcPr>
            <w:tcW w:w="4536" w:type="dxa"/>
          </w:tcPr>
          <w:p w14:paraId="75FD9038"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Reforma vizează îmbunătățirea calității serviciilor sociale prin revizuiri ale reglementărilor privind asigurarea calității și standardele minime de calitate. Serviciile sociale vizate cuprind 47 de servicii sociale, reprezentând 100% din numărul total. </w:t>
            </w:r>
          </w:p>
          <w:p w14:paraId="1B929D05" w14:textId="77777777" w:rsidR="00F00E3C" w:rsidRPr="00586283" w:rsidRDefault="00F00E3C" w:rsidP="00F00E3C">
            <w:pPr>
              <w:spacing w:after="0"/>
              <w:jc w:val="both"/>
              <w:rPr>
                <w:rFonts w:ascii="Arial" w:hAnsi="Arial" w:cs="Arial"/>
                <w:sz w:val="18"/>
                <w:szCs w:val="18"/>
                <w:lang w:val="ro-MD"/>
              </w:rPr>
            </w:pPr>
            <w:r w:rsidRPr="00586283">
              <w:rPr>
                <w:rFonts w:ascii="Arial" w:eastAsiaTheme="minorEastAsia" w:hAnsi="Arial" w:cs="Arial"/>
                <w:sz w:val="18"/>
                <w:szCs w:val="18"/>
                <w:lang w:val="ro-MD"/>
              </w:rPr>
              <w:t>Dintre acestea, 10% (5 servicii sociale - centru de zi pentru copiii aflați în situații de risc, centru regional de asistență integrată pentru copiii victime și martori ai infracțiunilor, casă comunitară pentru persoanele cu dizabilități, serviciu de asistență telefonică gratuită pentru persoanele cu dizabilități și serviciu social de asistență telefonică gratuită pentru copii) funcționează deja în temeiul unor reglementări îmbunătățite și actualizate. Din restul de 90 %, 70 % (32 de servicii) sunt supuse actualizării în conformitate cu prioritățile Ministerului Muncii și Protecției Sociale, progresând către obiectivul final de acoperire de 80 %</w:t>
            </w:r>
            <w:r w:rsidRPr="00586283">
              <w:rPr>
                <w:rFonts w:ascii="Arial" w:hAnsi="Arial" w:cs="Arial"/>
                <w:sz w:val="18"/>
                <w:szCs w:val="18"/>
                <w:lang w:val="ro-MD"/>
              </w:rPr>
              <w:t>.</w:t>
            </w:r>
          </w:p>
          <w:p w14:paraId="629E9936" w14:textId="77777777" w:rsidR="00F00E3C" w:rsidRPr="00586283" w:rsidRDefault="00F00E3C" w:rsidP="00F00E3C">
            <w:pPr>
              <w:spacing w:after="0"/>
              <w:jc w:val="both"/>
              <w:rPr>
                <w:rFonts w:ascii="Arial" w:eastAsiaTheme="minorEastAsia" w:hAnsi="Arial" w:cs="Arial"/>
                <w:sz w:val="18"/>
                <w:szCs w:val="18"/>
                <w:lang w:val="ro-MD"/>
              </w:rPr>
            </w:pPr>
          </w:p>
          <w:p w14:paraId="4069D234" w14:textId="7968A8FF" w:rsidR="00F00E3C" w:rsidRPr="00F00E3C" w:rsidRDefault="00F00E3C" w:rsidP="00F00E3C">
            <w:pPr>
              <w:spacing w:after="0"/>
              <w:jc w:val="both"/>
              <w:rPr>
                <w:rFonts w:ascii="Arial" w:eastAsiaTheme="minorEastAsia" w:hAnsi="Arial" w:cs="Arial"/>
                <w:sz w:val="18"/>
                <w:szCs w:val="18"/>
                <w:lang w:val="fr-FR"/>
              </w:rPr>
            </w:pPr>
            <w:r>
              <w:rPr>
                <w:rFonts w:ascii="Arial" w:eastAsiaTheme="minorEastAsia" w:hAnsi="Arial" w:cs="Arial"/>
                <w:sz w:val="18"/>
                <w:szCs w:val="18"/>
                <w:lang w:val="ro-MD"/>
              </w:rPr>
              <w:t>Sursa de verificare</w:t>
            </w:r>
            <w:r w:rsidRPr="00586283">
              <w:rPr>
                <w:rFonts w:ascii="Arial" w:eastAsiaTheme="minorEastAsia" w:hAnsi="Arial" w:cs="Arial"/>
                <w:sz w:val="18"/>
                <w:szCs w:val="18"/>
                <w:lang w:val="ro-MD"/>
              </w:rPr>
              <w:t>: Pagina web a ministerului care confirmă adoptarea regulamentului privind asigurarea calității și standardele minime de calitate pentru 80% din serviciile sociale. Date de conformitate de la MMPS care monitorizează calitatea serviciilor sociale.</w:t>
            </w:r>
          </w:p>
        </w:tc>
      </w:tr>
      <w:tr w:rsidR="00F00E3C" w:rsidRPr="00BD0643" w14:paraId="04CCAB5A" w14:textId="77777777" w:rsidTr="00591F33">
        <w:trPr>
          <w:trHeight w:val="300"/>
        </w:trPr>
        <w:tc>
          <w:tcPr>
            <w:tcW w:w="851" w:type="dxa"/>
            <w:vAlign w:val="center"/>
          </w:tcPr>
          <w:p w14:paraId="5ED61C34"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Protecție socială  </w:t>
            </w:r>
          </w:p>
          <w:p w14:paraId="57DE66E4" w14:textId="5EB19CB8" w:rsidR="00F00E3C" w:rsidRPr="00840B12" w:rsidRDefault="00F00E3C" w:rsidP="00F00E3C">
            <w:pPr>
              <w:spacing w:after="0"/>
              <w:jc w:val="both"/>
              <w:rPr>
                <w:rFonts w:ascii="Arial" w:eastAsiaTheme="minorEastAsia" w:hAnsi="Arial" w:cs="Arial"/>
                <w:sz w:val="18"/>
                <w:szCs w:val="18"/>
              </w:rPr>
            </w:pPr>
          </w:p>
        </w:tc>
        <w:tc>
          <w:tcPr>
            <w:tcW w:w="425" w:type="dxa"/>
            <w:vAlign w:val="center"/>
          </w:tcPr>
          <w:p w14:paraId="5704DD2B"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4</w:t>
            </w:r>
          </w:p>
          <w:p w14:paraId="41513E2D" w14:textId="77777777" w:rsidR="00F00E3C" w:rsidRPr="00840B12" w:rsidRDefault="00F00E3C" w:rsidP="00F00E3C">
            <w:pPr>
              <w:jc w:val="both"/>
              <w:rPr>
                <w:rFonts w:ascii="Arial" w:eastAsiaTheme="minorEastAsia" w:hAnsi="Arial" w:cs="Arial"/>
                <w:sz w:val="18"/>
                <w:szCs w:val="18"/>
              </w:rPr>
            </w:pPr>
          </w:p>
        </w:tc>
        <w:tc>
          <w:tcPr>
            <w:tcW w:w="1276" w:type="dxa"/>
          </w:tcPr>
          <w:p w14:paraId="607E4DDA" w14:textId="77777777" w:rsidR="00F00E3C" w:rsidRPr="00840B12" w:rsidRDefault="00F00E3C" w:rsidP="00F00E3C">
            <w:pPr>
              <w:spacing w:after="0"/>
              <w:jc w:val="both"/>
              <w:rPr>
                <w:rFonts w:ascii="Arial" w:eastAsiaTheme="minorEastAsia" w:hAnsi="Arial" w:cs="Arial"/>
                <w:sz w:val="18"/>
                <w:szCs w:val="18"/>
              </w:rPr>
            </w:pPr>
          </w:p>
        </w:tc>
        <w:tc>
          <w:tcPr>
            <w:tcW w:w="1276" w:type="dxa"/>
            <w:vAlign w:val="center"/>
          </w:tcPr>
          <w:p w14:paraId="618DEF5F" w14:textId="70A59222"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 xml:space="preserve">Îmbunătățirea calității și accesibilității serviciilor sociale care îndeplinesc </w:t>
            </w:r>
            <w:r w:rsidRPr="00586283">
              <w:rPr>
                <w:rFonts w:ascii="Arial" w:eastAsiaTheme="minorEastAsia" w:hAnsi="Arial" w:cs="Arial"/>
                <w:sz w:val="18"/>
                <w:szCs w:val="18"/>
                <w:lang w:val="ro-MD"/>
              </w:rPr>
              <w:lastRenderedPageBreak/>
              <w:t>standardele minime și necesitățile populației</w:t>
            </w:r>
          </w:p>
        </w:tc>
        <w:tc>
          <w:tcPr>
            <w:tcW w:w="283" w:type="dxa"/>
            <w:vAlign w:val="center"/>
          </w:tcPr>
          <w:p w14:paraId="1D2500CE" w14:textId="3DF468FD"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lastRenderedPageBreak/>
              <w:t>11</w:t>
            </w:r>
          </w:p>
        </w:tc>
        <w:tc>
          <w:tcPr>
            <w:tcW w:w="993" w:type="dxa"/>
          </w:tcPr>
          <w:p w14:paraId="646C7B7D" w14:textId="13D048BD" w:rsidR="00F00E3C" w:rsidRPr="00586283" w:rsidRDefault="00F00E3C" w:rsidP="00F00E3C">
            <w:pPr>
              <w:spacing w:after="0"/>
              <w:jc w:val="both"/>
              <w:rPr>
                <w:rFonts w:ascii="Arial" w:eastAsiaTheme="minorEastAsia" w:hAnsi="Arial" w:cs="Arial"/>
                <w:sz w:val="18"/>
                <w:szCs w:val="18"/>
                <w:lang w:val="ro-MD"/>
              </w:rPr>
            </w:pPr>
            <w:r>
              <w:rPr>
                <w:rFonts w:ascii="Arial" w:eastAsiaTheme="minorEastAsia" w:hAnsi="Arial" w:cs="Arial"/>
                <w:sz w:val="18"/>
                <w:szCs w:val="18"/>
                <w:lang w:val="ro-MD"/>
              </w:rPr>
              <w:t>d</w:t>
            </w:r>
            <w:r w:rsidRPr="00586283">
              <w:rPr>
                <w:rFonts w:ascii="Arial" w:eastAsiaTheme="minorEastAsia" w:hAnsi="Arial" w:cs="Arial"/>
                <w:sz w:val="18"/>
                <w:szCs w:val="18"/>
                <w:lang w:val="ro-MD"/>
              </w:rPr>
              <w:t>ecembrie 2026</w:t>
            </w:r>
          </w:p>
          <w:p w14:paraId="2854AE51" w14:textId="77777777" w:rsidR="00F00E3C" w:rsidRPr="00840B12" w:rsidRDefault="00F00E3C" w:rsidP="00F00E3C">
            <w:pPr>
              <w:jc w:val="both"/>
              <w:rPr>
                <w:rFonts w:ascii="Arial" w:eastAsiaTheme="minorEastAsia" w:hAnsi="Arial" w:cs="Arial"/>
                <w:sz w:val="18"/>
                <w:szCs w:val="18"/>
              </w:rPr>
            </w:pPr>
          </w:p>
        </w:tc>
        <w:tc>
          <w:tcPr>
            <w:tcW w:w="1559" w:type="dxa"/>
            <w:vAlign w:val="center"/>
          </w:tcPr>
          <w:p w14:paraId="30CA527D" w14:textId="77777777" w:rsidR="00F00E3C" w:rsidRPr="00586283" w:rsidRDefault="00F00E3C" w:rsidP="00F00E3C">
            <w:pPr>
              <w:rPr>
                <w:rFonts w:ascii="Arial" w:eastAsiaTheme="minorEastAsia" w:hAnsi="Arial" w:cs="Arial"/>
                <w:sz w:val="18"/>
                <w:szCs w:val="18"/>
                <w:lang w:val="ro-MD"/>
              </w:rPr>
            </w:pPr>
            <w:r w:rsidRPr="00586283">
              <w:rPr>
                <w:rFonts w:ascii="Arial" w:eastAsiaTheme="minorEastAsia" w:hAnsi="Arial" w:cs="Arial"/>
                <w:sz w:val="18"/>
                <w:szCs w:val="18"/>
                <w:lang w:val="ro-MD"/>
              </w:rPr>
              <w:t>Ministerul Muncii și Protecției Sociale</w:t>
            </w:r>
          </w:p>
          <w:p w14:paraId="284159AC" w14:textId="77777777" w:rsidR="00F00E3C" w:rsidRPr="00840B12" w:rsidRDefault="00F00E3C" w:rsidP="00F00E3C">
            <w:pPr>
              <w:jc w:val="both"/>
              <w:rPr>
                <w:rFonts w:ascii="Arial" w:eastAsiaTheme="minorEastAsia" w:hAnsi="Arial" w:cs="Arial"/>
                <w:sz w:val="18"/>
                <w:szCs w:val="18"/>
              </w:rPr>
            </w:pPr>
          </w:p>
        </w:tc>
        <w:tc>
          <w:tcPr>
            <w:tcW w:w="4252" w:type="dxa"/>
          </w:tcPr>
          <w:p w14:paraId="7D09FA59" w14:textId="3899E546"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Cel puțin 30 000 de persoane beneficiază de servicii de asistență socială și de ocupare a forței de muncă prin intermediul unui sistem de gestiune a cazurilor coerent, </w:t>
            </w:r>
            <w:r w:rsidR="005F00AE">
              <w:rPr>
                <w:rFonts w:ascii="Arial" w:eastAsiaTheme="minorEastAsia" w:hAnsi="Arial" w:cs="Arial"/>
                <w:sz w:val="18"/>
                <w:szCs w:val="18"/>
                <w:lang w:val="ro-MD"/>
              </w:rPr>
              <w:t>implementat</w:t>
            </w:r>
            <w:r w:rsidRPr="00586283">
              <w:rPr>
                <w:rFonts w:ascii="Arial" w:eastAsiaTheme="minorEastAsia" w:hAnsi="Arial" w:cs="Arial"/>
                <w:sz w:val="18"/>
                <w:szCs w:val="18"/>
                <w:lang w:val="ro-MD"/>
              </w:rPr>
              <w:t xml:space="preserve"> pentru 15 măsuri de asistență socială și de ocupare a forței de muncă. </w:t>
            </w:r>
          </w:p>
          <w:p w14:paraId="02D61761" w14:textId="77777777"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lastRenderedPageBreak/>
              <w:t xml:space="preserve"> </w:t>
            </w:r>
          </w:p>
          <w:p w14:paraId="7F2484DE" w14:textId="6A4B9F34" w:rsidR="00F00E3C" w:rsidRPr="00F00E3C" w:rsidRDefault="00F00E3C" w:rsidP="00F00E3C">
            <w:pPr>
              <w:spacing w:after="0" w:line="257" w:lineRule="auto"/>
              <w:jc w:val="both"/>
              <w:rPr>
                <w:rFonts w:ascii="Arial" w:eastAsiaTheme="minorEastAsia" w:hAnsi="Arial" w:cs="Arial"/>
                <w:sz w:val="18"/>
                <w:szCs w:val="18"/>
                <w:lang w:val="fr-FR"/>
              </w:rPr>
            </w:pPr>
            <w:r>
              <w:rPr>
                <w:rFonts w:ascii="Arial" w:eastAsiaTheme="minorEastAsia" w:hAnsi="Arial" w:cs="Arial"/>
                <w:sz w:val="18"/>
                <w:szCs w:val="18"/>
                <w:lang w:val="ro-MD"/>
              </w:rPr>
              <w:t>Linia de referință</w:t>
            </w:r>
            <w:r w:rsidRPr="00586283">
              <w:rPr>
                <w:rFonts w:ascii="Arial" w:eastAsiaTheme="minorEastAsia" w:hAnsi="Arial" w:cs="Arial"/>
                <w:sz w:val="18"/>
                <w:szCs w:val="18"/>
                <w:lang w:val="ro-MD"/>
              </w:rPr>
              <w:t>: În 2024, 3 440 de persoane au fost asistate prin sistemul de gestiune a cazurilor. Nu există un sistem de gestiune a cazurilor pentru 15 servicii sociale.</w:t>
            </w:r>
          </w:p>
        </w:tc>
        <w:tc>
          <w:tcPr>
            <w:tcW w:w="4536" w:type="dxa"/>
          </w:tcPr>
          <w:p w14:paraId="723B3AA0" w14:textId="13F14BF6" w:rsidR="00F00E3C" w:rsidRPr="00586283" w:rsidRDefault="00F00E3C" w:rsidP="00F00E3C">
            <w:pPr>
              <w:spacing w:after="0" w:line="257" w:lineRule="auto"/>
              <w:jc w:val="both"/>
              <w:rPr>
                <w:rFonts w:ascii="Arial" w:hAnsi="Arial" w:cs="Arial"/>
                <w:sz w:val="18"/>
                <w:szCs w:val="18"/>
                <w:lang w:val="ro-MD"/>
              </w:rPr>
            </w:pPr>
            <w:r w:rsidRPr="00586283">
              <w:rPr>
                <w:rFonts w:ascii="Arial" w:hAnsi="Arial" w:cs="Arial"/>
                <w:sz w:val="18"/>
                <w:szCs w:val="18"/>
                <w:lang w:val="ro-MD"/>
              </w:rPr>
              <w:lastRenderedPageBreak/>
              <w:t>Sistem</w:t>
            </w:r>
            <w:r w:rsidR="005F00AE">
              <w:rPr>
                <w:rFonts w:ascii="Arial" w:hAnsi="Arial" w:cs="Arial"/>
                <w:sz w:val="18"/>
                <w:szCs w:val="18"/>
                <w:lang w:val="ro-MD"/>
              </w:rPr>
              <w:t>ul de gestiune a cazurilor este</w:t>
            </w:r>
            <w:r w:rsidRPr="00586283">
              <w:rPr>
                <w:rFonts w:ascii="Arial" w:hAnsi="Arial" w:cs="Arial"/>
                <w:sz w:val="18"/>
                <w:szCs w:val="18"/>
                <w:lang w:val="ro-MD"/>
              </w:rPr>
              <w:t xml:space="preserve"> implementat pentru 15 servicii de asistență socială și de ocupare a forței de muncă. Pentru fiecare dintre cele 15 servicii sociale și de ocupare a forței de muncă, acesta cuprinde manuale de operațiuni care includ următoarele elemente-cheie: înregistrarea și primirea </w:t>
            </w:r>
            <w:r w:rsidRPr="00586283">
              <w:rPr>
                <w:rFonts w:ascii="Arial" w:hAnsi="Arial" w:cs="Arial"/>
                <w:sz w:val="18"/>
                <w:szCs w:val="18"/>
                <w:lang w:val="ro-MD"/>
              </w:rPr>
              <w:lastRenderedPageBreak/>
              <w:t>cazurilor, evaluarea necesităților, elaborarea planului de caz, furnizarea și monitorizarea serviciilor, revizuirea și închiderea cazurilor, precum și monitorizarea după închiderea cazurilor.</w:t>
            </w:r>
          </w:p>
          <w:p w14:paraId="6544F6BF" w14:textId="77777777" w:rsidR="00F00E3C" w:rsidRPr="00586283" w:rsidRDefault="00F00E3C" w:rsidP="00F00E3C">
            <w:pPr>
              <w:spacing w:after="0" w:line="257" w:lineRule="auto"/>
              <w:jc w:val="both"/>
              <w:rPr>
                <w:rFonts w:ascii="Arial" w:hAnsi="Arial" w:cs="Arial"/>
                <w:sz w:val="18"/>
                <w:szCs w:val="18"/>
                <w:lang w:val="ro-MD"/>
              </w:rPr>
            </w:pPr>
          </w:p>
          <w:p w14:paraId="690EC65C" w14:textId="21BAE983" w:rsidR="00F00E3C" w:rsidRPr="00F00E3C" w:rsidRDefault="00F00E3C" w:rsidP="00F00E3C">
            <w:pPr>
              <w:spacing w:after="0" w:line="257" w:lineRule="auto"/>
              <w:jc w:val="both"/>
              <w:rPr>
                <w:rFonts w:ascii="Arial" w:eastAsiaTheme="minorEastAsia" w:hAnsi="Arial" w:cs="Arial"/>
                <w:sz w:val="18"/>
                <w:szCs w:val="18"/>
                <w:lang w:val="fr-FR"/>
              </w:rPr>
            </w:pPr>
            <w:r w:rsidRPr="00586283">
              <w:rPr>
                <w:rFonts w:ascii="Arial" w:eastAsiaTheme="minorEastAsia" w:hAnsi="Arial" w:cs="Arial"/>
                <w:sz w:val="18"/>
                <w:szCs w:val="18"/>
                <w:lang w:val="ro-MD"/>
              </w:rPr>
              <w:t>Sursa de verificare: Pagina de web a ministerului, raportul ministerului privind manualele de gestiune a cazurilor pentru 15 servicii sociale și de ocupare a forței de muncă</w:t>
            </w:r>
            <w:r w:rsidRPr="00586283">
              <w:rPr>
                <w:rFonts w:ascii="Arial" w:hAnsi="Arial" w:cs="Arial"/>
                <w:sz w:val="18"/>
                <w:szCs w:val="18"/>
                <w:lang w:val="ro-MD"/>
              </w:rPr>
              <w:t xml:space="preserve">. </w:t>
            </w:r>
          </w:p>
        </w:tc>
      </w:tr>
      <w:tr w:rsidR="00F00E3C" w:rsidRPr="00840B12" w14:paraId="499D3B7D" w14:textId="77777777" w:rsidTr="00591F33">
        <w:trPr>
          <w:trHeight w:val="300"/>
        </w:trPr>
        <w:tc>
          <w:tcPr>
            <w:tcW w:w="851" w:type="dxa"/>
            <w:vAlign w:val="center"/>
          </w:tcPr>
          <w:p w14:paraId="79E0AF5C"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lastRenderedPageBreak/>
              <w:t xml:space="preserve">Protecție socială  </w:t>
            </w:r>
          </w:p>
          <w:p w14:paraId="3AD642BC" w14:textId="39C29BD3" w:rsidR="00F00E3C" w:rsidRPr="00840B12" w:rsidRDefault="00F00E3C" w:rsidP="00F00E3C">
            <w:pPr>
              <w:spacing w:after="0"/>
              <w:jc w:val="both"/>
              <w:rPr>
                <w:rFonts w:ascii="Arial" w:eastAsiaTheme="minorEastAsia" w:hAnsi="Arial" w:cs="Arial"/>
                <w:sz w:val="18"/>
                <w:szCs w:val="18"/>
              </w:rPr>
            </w:pPr>
          </w:p>
        </w:tc>
        <w:tc>
          <w:tcPr>
            <w:tcW w:w="425" w:type="dxa"/>
            <w:vAlign w:val="center"/>
          </w:tcPr>
          <w:p w14:paraId="48CAF220" w14:textId="77777777" w:rsidR="00F00E3C" w:rsidRPr="00840B12" w:rsidRDefault="00F00E3C" w:rsidP="00F00E3C">
            <w:pPr>
              <w:jc w:val="both"/>
              <w:rPr>
                <w:rFonts w:ascii="Arial" w:eastAsiaTheme="minorEastAsia" w:hAnsi="Arial" w:cs="Arial"/>
                <w:sz w:val="18"/>
                <w:szCs w:val="18"/>
              </w:rPr>
            </w:pPr>
          </w:p>
        </w:tc>
        <w:tc>
          <w:tcPr>
            <w:tcW w:w="1276" w:type="dxa"/>
          </w:tcPr>
          <w:p w14:paraId="35D6BD36" w14:textId="77777777" w:rsidR="00F00E3C" w:rsidRPr="00840B12" w:rsidRDefault="00F00E3C" w:rsidP="00F00E3C">
            <w:pPr>
              <w:spacing w:after="0"/>
              <w:jc w:val="both"/>
              <w:rPr>
                <w:rFonts w:ascii="Arial" w:eastAsiaTheme="minorEastAsia" w:hAnsi="Arial" w:cs="Arial"/>
                <w:sz w:val="18"/>
                <w:szCs w:val="18"/>
              </w:rPr>
            </w:pPr>
          </w:p>
        </w:tc>
        <w:tc>
          <w:tcPr>
            <w:tcW w:w="1276" w:type="dxa"/>
            <w:vAlign w:val="center"/>
          </w:tcPr>
          <w:p w14:paraId="17FF25CE" w14:textId="3BB46817"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Îmbunătățirea calității și accesibilității serviciilor sociale care îndeplinesc standardele minime și necesitățile populației</w:t>
            </w:r>
          </w:p>
        </w:tc>
        <w:tc>
          <w:tcPr>
            <w:tcW w:w="283" w:type="dxa"/>
            <w:vAlign w:val="center"/>
          </w:tcPr>
          <w:p w14:paraId="3259FE5E" w14:textId="0248AFC6"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12</w:t>
            </w:r>
          </w:p>
        </w:tc>
        <w:tc>
          <w:tcPr>
            <w:tcW w:w="993" w:type="dxa"/>
          </w:tcPr>
          <w:p w14:paraId="49F904C8" w14:textId="77777777" w:rsidR="00F00E3C" w:rsidRPr="00586283" w:rsidRDefault="00F00E3C" w:rsidP="00F00E3C">
            <w:pPr>
              <w:jc w:val="both"/>
              <w:rPr>
                <w:rFonts w:ascii="Arial" w:eastAsiaTheme="minorEastAsia" w:hAnsi="Arial" w:cs="Arial"/>
                <w:sz w:val="18"/>
                <w:szCs w:val="18"/>
                <w:lang w:val="ro-MD"/>
              </w:rPr>
            </w:pPr>
          </w:p>
          <w:p w14:paraId="713948D1" w14:textId="77777777" w:rsidR="00F00E3C" w:rsidRPr="00586283" w:rsidRDefault="00F00E3C" w:rsidP="00F00E3C">
            <w:pPr>
              <w:jc w:val="both"/>
              <w:rPr>
                <w:rFonts w:ascii="Arial" w:eastAsiaTheme="minorEastAsia" w:hAnsi="Arial" w:cs="Arial"/>
                <w:sz w:val="18"/>
                <w:szCs w:val="18"/>
                <w:lang w:val="ro-MD"/>
              </w:rPr>
            </w:pPr>
          </w:p>
          <w:p w14:paraId="45C91EC8" w14:textId="7026C5D4" w:rsidR="00F00E3C" w:rsidRPr="00840B12" w:rsidRDefault="00F00E3C" w:rsidP="00F00E3C">
            <w:pPr>
              <w:jc w:val="both"/>
              <w:rPr>
                <w:rFonts w:ascii="Arial" w:eastAsiaTheme="minorEastAsia" w:hAnsi="Arial" w:cs="Arial"/>
                <w:sz w:val="18"/>
                <w:szCs w:val="18"/>
              </w:rPr>
            </w:pPr>
            <w:r>
              <w:rPr>
                <w:rFonts w:ascii="Arial" w:eastAsiaTheme="minorEastAsia" w:hAnsi="Arial" w:cs="Arial"/>
                <w:sz w:val="18"/>
                <w:szCs w:val="18"/>
                <w:lang w:val="ro-MD"/>
              </w:rPr>
              <w:t>d</w:t>
            </w:r>
            <w:r w:rsidRPr="00586283">
              <w:rPr>
                <w:rFonts w:ascii="Arial" w:eastAsiaTheme="minorEastAsia" w:hAnsi="Arial" w:cs="Arial"/>
                <w:sz w:val="18"/>
                <w:szCs w:val="18"/>
                <w:lang w:val="ro-MD"/>
              </w:rPr>
              <w:t>ecembrie 2025</w:t>
            </w:r>
          </w:p>
        </w:tc>
        <w:tc>
          <w:tcPr>
            <w:tcW w:w="1559" w:type="dxa"/>
            <w:vAlign w:val="center"/>
          </w:tcPr>
          <w:p w14:paraId="404C6A3D" w14:textId="77777777" w:rsidR="00F00E3C" w:rsidRPr="00586283" w:rsidRDefault="00F00E3C" w:rsidP="00F00E3C">
            <w:pPr>
              <w:rPr>
                <w:rFonts w:ascii="Arial" w:eastAsiaTheme="minorEastAsia" w:hAnsi="Arial" w:cs="Arial"/>
                <w:sz w:val="18"/>
                <w:szCs w:val="18"/>
                <w:lang w:val="ro-MD"/>
              </w:rPr>
            </w:pPr>
            <w:r w:rsidRPr="00586283">
              <w:rPr>
                <w:rFonts w:ascii="Arial" w:eastAsiaTheme="minorEastAsia" w:hAnsi="Arial" w:cs="Arial"/>
                <w:sz w:val="18"/>
                <w:szCs w:val="18"/>
                <w:lang w:val="ro-MD"/>
              </w:rPr>
              <w:t>Ministerul Muncii și Protecției Sociale</w:t>
            </w:r>
          </w:p>
          <w:p w14:paraId="4FAEACCE" w14:textId="73207C45" w:rsidR="00F00E3C" w:rsidRPr="00840B12" w:rsidRDefault="00F00E3C" w:rsidP="00F00E3C">
            <w:pPr>
              <w:spacing w:after="0"/>
              <w:jc w:val="both"/>
              <w:rPr>
                <w:rFonts w:ascii="Arial" w:eastAsiaTheme="minorEastAsia" w:hAnsi="Arial" w:cs="Arial"/>
                <w:sz w:val="18"/>
                <w:szCs w:val="18"/>
              </w:rPr>
            </w:pPr>
          </w:p>
        </w:tc>
        <w:tc>
          <w:tcPr>
            <w:tcW w:w="4252" w:type="dxa"/>
          </w:tcPr>
          <w:p w14:paraId="3027E6E2" w14:textId="77777777"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Sistemul de protecție a copilului este consolidat prin recrutarea și menținerea a încă 200 de specialiști în protecția copilului, finanțați din bugetul de stat.</w:t>
            </w:r>
          </w:p>
          <w:p w14:paraId="05D136CF" w14:textId="77777777"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 </w:t>
            </w:r>
          </w:p>
          <w:p w14:paraId="46305A59" w14:textId="77777777" w:rsidR="00F00E3C" w:rsidRPr="00586283" w:rsidRDefault="00F00E3C" w:rsidP="00F00E3C">
            <w:pPr>
              <w:spacing w:after="0" w:line="257" w:lineRule="auto"/>
              <w:jc w:val="both"/>
              <w:rPr>
                <w:rFonts w:ascii="Arial" w:eastAsiaTheme="minorEastAsia" w:hAnsi="Arial" w:cs="Arial"/>
                <w:sz w:val="18"/>
                <w:szCs w:val="18"/>
                <w:lang w:val="ro-MD"/>
              </w:rPr>
            </w:pPr>
            <w:r>
              <w:rPr>
                <w:rFonts w:ascii="Arial" w:eastAsiaTheme="minorEastAsia" w:hAnsi="Arial" w:cs="Arial"/>
                <w:sz w:val="18"/>
                <w:szCs w:val="18"/>
                <w:lang w:val="ro-MD"/>
              </w:rPr>
              <w:t>Linia de referință</w:t>
            </w:r>
            <w:r w:rsidRPr="00586283">
              <w:rPr>
                <w:rFonts w:ascii="Arial" w:eastAsiaTheme="minorEastAsia" w:hAnsi="Arial" w:cs="Arial"/>
                <w:sz w:val="18"/>
                <w:szCs w:val="18"/>
                <w:lang w:val="ro-MD"/>
              </w:rPr>
              <w:t xml:space="preserve"> 2024: 35 de specialiști în protecția copilului angajați din bugetul de stat.</w:t>
            </w:r>
          </w:p>
          <w:p w14:paraId="2793A9B1" w14:textId="4806D62F" w:rsidR="00F00E3C" w:rsidRPr="00F00E3C" w:rsidRDefault="00F00E3C" w:rsidP="00F00E3C">
            <w:pPr>
              <w:spacing w:after="0" w:line="257" w:lineRule="auto"/>
              <w:jc w:val="both"/>
              <w:rPr>
                <w:rFonts w:ascii="Arial" w:eastAsiaTheme="minorEastAsia" w:hAnsi="Arial" w:cs="Arial"/>
                <w:sz w:val="18"/>
                <w:szCs w:val="18"/>
                <w:lang w:val="fr-FR"/>
              </w:rPr>
            </w:pPr>
            <w:r w:rsidRPr="00586283">
              <w:rPr>
                <w:rFonts w:ascii="Arial" w:eastAsiaTheme="minorEastAsia" w:hAnsi="Arial" w:cs="Arial"/>
                <w:sz w:val="18"/>
                <w:szCs w:val="18"/>
                <w:lang w:val="ro-MD"/>
              </w:rPr>
              <w:t xml:space="preserve"> </w:t>
            </w:r>
          </w:p>
        </w:tc>
        <w:tc>
          <w:tcPr>
            <w:tcW w:w="4536" w:type="dxa"/>
          </w:tcPr>
          <w:p w14:paraId="27086EEB"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MD își consolidează sistemul de protecție a copilului prin asigurarea recrutării și menținerii a 200 de specialiști în protecția copilului, finanțați din bugetul de stat. </w:t>
            </w:r>
          </w:p>
          <w:p w14:paraId="0993E605" w14:textId="77777777" w:rsidR="00F00E3C" w:rsidRPr="00586283" w:rsidRDefault="00F00E3C" w:rsidP="00F00E3C">
            <w:pPr>
              <w:spacing w:after="0"/>
              <w:jc w:val="both"/>
              <w:rPr>
                <w:rFonts w:ascii="Arial" w:eastAsiaTheme="minorEastAsia" w:hAnsi="Arial" w:cs="Arial"/>
                <w:sz w:val="18"/>
                <w:szCs w:val="18"/>
                <w:lang w:val="ro-MD"/>
              </w:rPr>
            </w:pPr>
          </w:p>
          <w:p w14:paraId="08D5D88D" w14:textId="09EC0D96" w:rsidR="00F00E3C" w:rsidRPr="00840B12" w:rsidRDefault="00F00E3C" w:rsidP="00F00E3C">
            <w:pPr>
              <w:spacing w:after="0"/>
              <w:jc w:val="both"/>
              <w:rPr>
                <w:rFonts w:ascii="Arial" w:eastAsiaTheme="minorEastAsia" w:hAnsi="Arial" w:cs="Arial"/>
                <w:sz w:val="18"/>
                <w:szCs w:val="18"/>
              </w:rPr>
            </w:pPr>
            <w:r>
              <w:rPr>
                <w:rFonts w:ascii="Arial" w:eastAsiaTheme="minorEastAsia" w:hAnsi="Arial" w:cs="Arial"/>
                <w:sz w:val="18"/>
                <w:szCs w:val="18"/>
                <w:lang w:val="ro-MD"/>
              </w:rPr>
              <w:t>Sursa de verificare</w:t>
            </w:r>
            <w:r w:rsidRPr="00586283">
              <w:rPr>
                <w:rFonts w:ascii="Arial" w:eastAsiaTheme="minorEastAsia" w:hAnsi="Arial" w:cs="Arial"/>
                <w:sz w:val="18"/>
                <w:szCs w:val="18"/>
                <w:lang w:val="ro-MD"/>
              </w:rPr>
              <w:t>: Registrele de recrutare ale MMPS, raportul privind detașarea specialiștilor.</w:t>
            </w:r>
          </w:p>
        </w:tc>
      </w:tr>
      <w:tr w:rsidR="00F00E3C" w:rsidRPr="00840B12" w14:paraId="269E9F06" w14:textId="77777777" w:rsidTr="00591F33">
        <w:trPr>
          <w:trHeight w:val="300"/>
        </w:trPr>
        <w:tc>
          <w:tcPr>
            <w:tcW w:w="851" w:type="dxa"/>
            <w:vAlign w:val="center"/>
          </w:tcPr>
          <w:p w14:paraId="04E467DB"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Protecție socială  </w:t>
            </w:r>
          </w:p>
          <w:p w14:paraId="30000167" w14:textId="0FAD42B2" w:rsidR="00F00E3C" w:rsidRPr="00840B12" w:rsidRDefault="00F00E3C" w:rsidP="00F00E3C">
            <w:pPr>
              <w:spacing w:after="0"/>
              <w:jc w:val="both"/>
              <w:rPr>
                <w:rFonts w:ascii="Arial" w:eastAsiaTheme="minorEastAsia" w:hAnsi="Arial" w:cs="Arial"/>
                <w:sz w:val="18"/>
                <w:szCs w:val="18"/>
              </w:rPr>
            </w:pPr>
          </w:p>
        </w:tc>
        <w:tc>
          <w:tcPr>
            <w:tcW w:w="425" w:type="dxa"/>
            <w:vAlign w:val="center"/>
          </w:tcPr>
          <w:p w14:paraId="0B42A1D7" w14:textId="0CDD9922"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4</w:t>
            </w:r>
          </w:p>
        </w:tc>
        <w:tc>
          <w:tcPr>
            <w:tcW w:w="1276" w:type="dxa"/>
          </w:tcPr>
          <w:p w14:paraId="5FC00AE2" w14:textId="77777777" w:rsidR="00F00E3C" w:rsidRPr="00840B12" w:rsidRDefault="00F00E3C" w:rsidP="00F00E3C">
            <w:pPr>
              <w:spacing w:after="0"/>
              <w:jc w:val="both"/>
              <w:rPr>
                <w:rFonts w:ascii="Arial" w:eastAsiaTheme="minorEastAsia" w:hAnsi="Arial" w:cs="Arial"/>
                <w:sz w:val="18"/>
                <w:szCs w:val="18"/>
              </w:rPr>
            </w:pPr>
          </w:p>
        </w:tc>
        <w:tc>
          <w:tcPr>
            <w:tcW w:w="1276" w:type="dxa"/>
            <w:vAlign w:val="center"/>
          </w:tcPr>
          <w:p w14:paraId="16476B48" w14:textId="7280569D"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Îmbunătățirea calității și accesibilității serviciilor sociale care îndeplinesc standardele minime și necesitățile populației</w:t>
            </w:r>
          </w:p>
        </w:tc>
        <w:tc>
          <w:tcPr>
            <w:tcW w:w="283" w:type="dxa"/>
            <w:vAlign w:val="center"/>
          </w:tcPr>
          <w:p w14:paraId="4CEB6925" w14:textId="2FE6721A"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13</w:t>
            </w:r>
          </w:p>
        </w:tc>
        <w:tc>
          <w:tcPr>
            <w:tcW w:w="993" w:type="dxa"/>
          </w:tcPr>
          <w:p w14:paraId="38E883F5" w14:textId="77777777" w:rsidR="00F00E3C" w:rsidRPr="00586283" w:rsidRDefault="00F00E3C" w:rsidP="00F00E3C">
            <w:pPr>
              <w:spacing w:after="0"/>
              <w:jc w:val="both"/>
              <w:rPr>
                <w:rFonts w:ascii="Arial" w:eastAsiaTheme="minorEastAsia" w:hAnsi="Arial" w:cs="Arial"/>
                <w:sz w:val="18"/>
                <w:szCs w:val="18"/>
                <w:lang w:val="ro-MD"/>
              </w:rPr>
            </w:pPr>
          </w:p>
          <w:p w14:paraId="4B1B3375" w14:textId="77777777" w:rsidR="00F00E3C" w:rsidRPr="00586283" w:rsidRDefault="00F00E3C" w:rsidP="00F00E3C">
            <w:pPr>
              <w:spacing w:after="0"/>
              <w:jc w:val="both"/>
              <w:rPr>
                <w:rFonts w:ascii="Arial" w:eastAsiaTheme="minorEastAsia" w:hAnsi="Arial" w:cs="Arial"/>
                <w:sz w:val="18"/>
                <w:szCs w:val="18"/>
                <w:lang w:val="ro-MD"/>
              </w:rPr>
            </w:pPr>
          </w:p>
          <w:p w14:paraId="4F72ECA0" w14:textId="6D91E718" w:rsidR="00F00E3C" w:rsidRPr="00840B12" w:rsidRDefault="00F00E3C" w:rsidP="00F00E3C">
            <w:pPr>
              <w:spacing w:after="0"/>
              <w:jc w:val="both"/>
              <w:rPr>
                <w:rFonts w:ascii="Arial" w:eastAsiaTheme="minorEastAsia" w:hAnsi="Arial" w:cs="Arial"/>
                <w:sz w:val="18"/>
                <w:szCs w:val="18"/>
              </w:rPr>
            </w:pPr>
            <w:r>
              <w:rPr>
                <w:rFonts w:ascii="Arial" w:eastAsiaTheme="minorEastAsia" w:hAnsi="Arial" w:cs="Arial"/>
                <w:sz w:val="18"/>
                <w:szCs w:val="18"/>
                <w:lang w:val="ro-MD"/>
              </w:rPr>
              <w:t>i</w:t>
            </w:r>
            <w:r w:rsidRPr="00586283">
              <w:rPr>
                <w:rFonts w:ascii="Arial" w:eastAsiaTheme="minorEastAsia" w:hAnsi="Arial" w:cs="Arial"/>
                <w:sz w:val="18"/>
                <w:szCs w:val="18"/>
                <w:lang w:val="ro-MD"/>
              </w:rPr>
              <w:t xml:space="preserve">unie 2027  </w:t>
            </w:r>
          </w:p>
        </w:tc>
        <w:tc>
          <w:tcPr>
            <w:tcW w:w="1559" w:type="dxa"/>
            <w:vAlign w:val="center"/>
          </w:tcPr>
          <w:p w14:paraId="7B12523F" w14:textId="77777777" w:rsidR="00F00E3C" w:rsidRPr="00586283" w:rsidRDefault="00F00E3C" w:rsidP="00F00E3C">
            <w:pPr>
              <w:rPr>
                <w:rFonts w:ascii="Arial" w:eastAsiaTheme="minorEastAsia" w:hAnsi="Arial" w:cs="Arial"/>
                <w:sz w:val="18"/>
                <w:szCs w:val="18"/>
                <w:lang w:val="ro-MD"/>
              </w:rPr>
            </w:pPr>
            <w:r w:rsidRPr="00586283">
              <w:rPr>
                <w:rFonts w:ascii="Arial" w:eastAsiaTheme="minorEastAsia" w:hAnsi="Arial" w:cs="Arial"/>
                <w:sz w:val="18"/>
                <w:szCs w:val="18"/>
                <w:lang w:val="ro-MD"/>
              </w:rPr>
              <w:t>Ministerul Muncii și Protecției Sociale</w:t>
            </w:r>
          </w:p>
          <w:p w14:paraId="06EC9B95" w14:textId="115B6A86" w:rsidR="00F00E3C" w:rsidRPr="00840B12" w:rsidRDefault="00F00E3C" w:rsidP="00F00E3C">
            <w:pPr>
              <w:spacing w:after="0"/>
              <w:jc w:val="both"/>
              <w:rPr>
                <w:rFonts w:ascii="Arial" w:eastAsiaTheme="minorEastAsia" w:hAnsi="Arial" w:cs="Arial"/>
                <w:sz w:val="18"/>
                <w:szCs w:val="18"/>
              </w:rPr>
            </w:pPr>
          </w:p>
        </w:tc>
        <w:tc>
          <w:tcPr>
            <w:tcW w:w="4252" w:type="dxa"/>
          </w:tcPr>
          <w:p w14:paraId="197CFAA0" w14:textId="08CA2893"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Sistemul informatic automatizat unificat pentru servicii sociale (eSocial) este operațional, integrând cadrul actual de date al Ministerului Muncii și Protecției Sociale. Următoarele module sunt </w:t>
            </w:r>
            <w:r w:rsidR="005F00AE">
              <w:rPr>
                <w:rFonts w:ascii="Arial" w:eastAsiaTheme="minorEastAsia" w:hAnsi="Arial" w:cs="Arial"/>
                <w:sz w:val="18"/>
                <w:szCs w:val="18"/>
                <w:lang w:val="ro-MD"/>
              </w:rPr>
              <w:t>incluse</w:t>
            </w:r>
            <w:r w:rsidRPr="00586283">
              <w:rPr>
                <w:rFonts w:ascii="Arial" w:eastAsiaTheme="minorEastAsia" w:hAnsi="Arial" w:cs="Arial"/>
                <w:sz w:val="18"/>
                <w:szCs w:val="18"/>
                <w:lang w:val="ro-MD"/>
              </w:rPr>
              <w:t xml:space="preserve"> - modulele de asistență socială, ocupare a forței de muncă și dizabilități - și sunt complet implementate și accesibile asistenților sociali și agențiilor guvernamentale.</w:t>
            </w:r>
          </w:p>
          <w:p w14:paraId="6AA78405" w14:textId="77777777" w:rsidR="00F00E3C" w:rsidRPr="00586283" w:rsidRDefault="00F00E3C" w:rsidP="00F00E3C">
            <w:pPr>
              <w:spacing w:after="0" w:line="257" w:lineRule="auto"/>
              <w:jc w:val="both"/>
              <w:rPr>
                <w:rFonts w:ascii="Arial" w:eastAsiaTheme="minorEastAsia" w:hAnsi="Arial" w:cs="Arial"/>
                <w:sz w:val="18"/>
                <w:szCs w:val="18"/>
                <w:lang w:val="ro-MD"/>
              </w:rPr>
            </w:pPr>
          </w:p>
          <w:p w14:paraId="3780A0FD" w14:textId="77777777"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Situații de referință 2024:</w:t>
            </w:r>
          </w:p>
          <w:p w14:paraId="1B249E9F" w14:textId="7771C83F" w:rsidR="00F00E3C" w:rsidRPr="00840B12" w:rsidRDefault="00F00E3C" w:rsidP="005F00AE">
            <w:pPr>
              <w:spacing w:after="0" w:line="257" w:lineRule="auto"/>
              <w:jc w:val="both"/>
              <w:rPr>
                <w:rFonts w:ascii="Arial" w:eastAsiaTheme="minorEastAsia" w:hAnsi="Arial" w:cs="Arial"/>
                <w:sz w:val="18"/>
                <w:szCs w:val="18"/>
              </w:rPr>
            </w:pPr>
            <w:r w:rsidRPr="00586283">
              <w:rPr>
                <w:rFonts w:ascii="Arial" w:eastAsiaTheme="minorEastAsia" w:hAnsi="Arial" w:cs="Arial"/>
                <w:sz w:val="18"/>
                <w:szCs w:val="18"/>
                <w:lang w:val="ro-MD"/>
              </w:rPr>
              <w:t xml:space="preserve">Cadrul de date al Ministerului Muncii și Protecției Sociale și al instituțiilor subordonate constă în 14 sisteme și registre autonome care nu comunică între ele. Conceptul pentru sistemul informațional automatizat unificat pentru servicii sociale (eSocial) este aprobat. Platforma de vulnerabilitate energetică (EVRF) este integrată în eSocial. </w:t>
            </w:r>
          </w:p>
        </w:tc>
        <w:tc>
          <w:tcPr>
            <w:tcW w:w="4536" w:type="dxa"/>
          </w:tcPr>
          <w:p w14:paraId="4EBC1432" w14:textId="77777777" w:rsidR="00F00E3C" w:rsidRPr="00586283" w:rsidRDefault="00F00E3C" w:rsidP="00F00E3C">
            <w:pPr>
              <w:spacing w:after="0"/>
              <w:jc w:val="both"/>
              <w:rPr>
                <w:rFonts w:ascii="Arial" w:hAnsi="Arial" w:cs="Arial"/>
                <w:sz w:val="18"/>
                <w:szCs w:val="18"/>
                <w:lang w:val="ro-MD"/>
              </w:rPr>
            </w:pPr>
            <w:r w:rsidRPr="00586283">
              <w:rPr>
                <w:rFonts w:ascii="Arial" w:hAnsi="Arial" w:cs="Arial"/>
                <w:sz w:val="18"/>
                <w:szCs w:val="18"/>
                <w:lang w:val="ro-MD"/>
              </w:rPr>
              <w:t xml:space="preserve">eSocial este o platformă digitală centralizată pentru modernizarea serviciilor de protecție socială prin înlocuirea sistemelor învechite bazate pe suport de hârtie cu o soluție sigură și integrată. Aceasta servește ca un sistem de tip „ghișeu unic” pentru gestionarea prestațiilor și serviciilor sociale. </w:t>
            </w:r>
          </w:p>
          <w:p w14:paraId="205F9A35" w14:textId="62E34624" w:rsidR="00F00E3C" w:rsidRPr="00586283" w:rsidRDefault="00F00E3C" w:rsidP="00F00E3C">
            <w:pPr>
              <w:spacing w:after="0"/>
              <w:jc w:val="both"/>
              <w:rPr>
                <w:rFonts w:ascii="Arial" w:hAnsi="Arial" w:cs="Arial"/>
                <w:sz w:val="18"/>
                <w:szCs w:val="18"/>
                <w:lang w:val="ro-MD"/>
              </w:rPr>
            </w:pPr>
            <w:r w:rsidRPr="00586283">
              <w:rPr>
                <w:rFonts w:ascii="Arial" w:hAnsi="Arial" w:cs="Arial"/>
                <w:sz w:val="18"/>
                <w:szCs w:val="18"/>
                <w:lang w:val="ro-MD"/>
              </w:rPr>
              <w:t xml:space="preserve">Sunt </w:t>
            </w:r>
            <w:r w:rsidR="005F00AE">
              <w:rPr>
                <w:rFonts w:ascii="Arial" w:hAnsi="Arial" w:cs="Arial"/>
                <w:sz w:val="18"/>
                <w:szCs w:val="18"/>
                <w:lang w:val="ro-MD"/>
              </w:rPr>
              <w:t>aprobate</w:t>
            </w:r>
            <w:r w:rsidRPr="00586283">
              <w:rPr>
                <w:rFonts w:ascii="Arial" w:hAnsi="Arial" w:cs="Arial"/>
                <w:sz w:val="18"/>
                <w:szCs w:val="18"/>
                <w:lang w:val="ro-MD"/>
              </w:rPr>
              <w:t xml:space="preserve"> următoarele module: module de asistență socială, de ocupare a forței de muncă și de dizabilitate. Modulul de asistență socială include gestionarea cazurilor de asistență socială (Ajutor Social) și servicii sociale, registrul de consultații, integrarea cu sistemele de protecție a copilului și a refugiaților. Modulul privind ocuparea forței de muncă include gestionarea cazurilor de șomaj. Modulul pentru persoanele cu handicap include fluxul de documente, tabloul de bord, integrarea cu serviciile sociale, analiza riscurilor și raportarea. </w:t>
            </w:r>
          </w:p>
          <w:p w14:paraId="3C969A0A" w14:textId="0EABA724" w:rsidR="00F00E3C" w:rsidRPr="00840B12" w:rsidRDefault="00F00E3C" w:rsidP="00F00E3C">
            <w:pPr>
              <w:spacing w:after="0" w:line="257" w:lineRule="auto"/>
              <w:jc w:val="both"/>
              <w:rPr>
                <w:rFonts w:ascii="Arial" w:eastAsiaTheme="minorEastAsia" w:hAnsi="Arial" w:cs="Arial"/>
                <w:sz w:val="18"/>
                <w:szCs w:val="18"/>
                <w:lang w:val="en-US"/>
              </w:rPr>
            </w:pPr>
            <w:r w:rsidRPr="00586283">
              <w:rPr>
                <w:rFonts w:ascii="Arial" w:hAnsi="Arial" w:cs="Arial"/>
                <w:sz w:val="18"/>
                <w:szCs w:val="18"/>
                <w:lang w:val="ro-MD"/>
              </w:rPr>
              <w:t xml:space="preserve">eSocial este complet integrat în cadrul de date al Ministerului Muncii și Protecției Sociale și este capabil să partajeze informații cu alte sisteme guvernamentale, cum ar fi sănătatea, educația, ocuparea forței de muncă și justiția, prin intermediul </w:t>
            </w:r>
            <w:r w:rsidRPr="00586283">
              <w:rPr>
                <w:rFonts w:ascii="Arial" w:hAnsi="Arial" w:cs="Arial"/>
                <w:sz w:val="18"/>
                <w:szCs w:val="18"/>
                <w:lang w:val="ro-MD"/>
              </w:rPr>
              <w:lastRenderedPageBreak/>
              <w:t>MConnect. Sursa de verificare: Documente ale Ministerului Muncii care confirmă lansarea și funcționarea eSocial. Documente și rapoarte tehnice, inclusiv înregistrări bugetare</w:t>
            </w:r>
            <w:r w:rsidRPr="00586283">
              <w:rPr>
                <w:rFonts w:ascii="Arial" w:eastAsiaTheme="minorEastAsia" w:hAnsi="Arial" w:cs="Arial"/>
                <w:sz w:val="18"/>
                <w:szCs w:val="18"/>
                <w:lang w:val="ro-MD"/>
              </w:rPr>
              <w:t xml:space="preserve">.  </w:t>
            </w:r>
          </w:p>
        </w:tc>
      </w:tr>
      <w:tr w:rsidR="00591F33" w:rsidRPr="00840B12" w14:paraId="5988217B" w14:textId="77777777" w:rsidTr="00591F33">
        <w:trPr>
          <w:gridAfter w:val="7"/>
          <w:wAfter w:w="14175" w:type="dxa"/>
          <w:trHeight w:val="300"/>
        </w:trPr>
        <w:tc>
          <w:tcPr>
            <w:tcW w:w="1276" w:type="dxa"/>
            <w:gridSpan w:val="2"/>
          </w:tcPr>
          <w:p w14:paraId="54FEC9E9" w14:textId="77777777" w:rsidR="00591F33" w:rsidRPr="00840B12" w:rsidRDefault="00591F33" w:rsidP="002F7854">
            <w:pPr>
              <w:spacing w:after="0"/>
              <w:jc w:val="both"/>
              <w:rPr>
                <w:rFonts w:ascii="Arial" w:eastAsiaTheme="minorEastAsia" w:hAnsi="Arial" w:cs="Arial"/>
                <w:sz w:val="18"/>
                <w:szCs w:val="18"/>
              </w:rPr>
            </w:pPr>
          </w:p>
        </w:tc>
      </w:tr>
      <w:tr w:rsidR="00F00E3C" w:rsidRPr="00BD0643" w14:paraId="78AA6B0A" w14:textId="77777777" w:rsidTr="00591F33">
        <w:trPr>
          <w:trHeight w:val="300"/>
        </w:trPr>
        <w:tc>
          <w:tcPr>
            <w:tcW w:w="851" w:type="dxa"/>
            <w:vAlign w:val="center"/>
          </w:tcPr>
          <w:p w14:paraId="56795B2D" w14:textId="29DF05F2" w:rsidR="00F00E3C" w:rsidRPr="00F00E3C" w:rsidRDefault="00F00E3C" w:rsidP="00F00E3C">
            <w:pPr>
              <w:spacing w:after="0"/>
              <w:jc w:val="both"/>
              <w:rPr>
                <w:rFonts w:ascii="Arial" w:eastAsiaTheme="minorEastAsia" w:hAnsi="Arial" w:cs="Arial"/>
                <w:sz w:val="18"/>
                <w:szCs w:val="18"/>
                <w:lang w:val="fr-FR"/>
              </w:rPr>
            </w:pPr>
            <w:bookmarkStart w:id="9" w:name="_Hlk192888315"/>
            <w:r w:rsidRPr="00586283">
              <w:rPr>
                <w:rFonts w:ascii="Arial" w:eastAsiaTheme="minorEastAsia" w:hAnsi="Arial" w:cs="Arial"/>
                <w:sz w:val="18"/>
                <w:szCs w:val="18"/>
                <w:lang w:val="ro-MD"/>
              </w:rPr>
              <w:t xml:space="preserve">Ocuparea forței de muncă și piața muncii  </w:t>
            </w:r>
          </w:p>
        </w:tc>
        <w:tc>
          <w:tcPr>
            <w:tcW w:w="425" w:type="dxa"/>
            <w:vAlign w:val="center"/>
          </w:tcPr>
          <w:p w14:paraId="08ABB1FB" w14:textId="07B69851"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5</w:t>
            </w:r>
          </w:p>
        </w:tc>
        <w:tc>
          <w:tcPr>
            <w:tcW w:w="1276" w:type="dxa"/>
          </w:tcPr>
          <w:p w14:paraId="641E7C62" w14:textId="77777777" w:rsidR="00F00E3C" w:rsidRPr="00840B12" w:rsidRDefault="00F00E3C" w:rsidP="00F00E3C">
            <w:pPr>
              <w:spacing w:after="0"/>
              <w:jc w:val="both"/>
              <w:rPr>
                <w:rFonts w:ascii="Arial" w:eastAsiaTheme="minorEastAsia" w:hAnsi="Arial" w:cs="Arial"/>
                <w:sz w:val="18"/>
                <w:szCs w:val="18"/>
              </w:rPr>
            </w:pPr>
          </w:p>
        </w:tc>
        <w:tc>
          <w:tcPr>
            <w:tcW w:w="1276" w:type="dxa"/>
            <w:vAlign w:val="center"/>
          </w:tcPr>
          <w:p w14:paraId="3DD79B7D" w14:textId="661E9624"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Consolidarea politicilor active privind piața muncii și facilitarea participării pe piața muncii, precum și combaterea muncii nedeclarate și a exploatării prin muncă</w:t>
            </w:r>
          </w:p>
        </w:tc>
        <w:tc>
          <w:tcPr>
            <w:tcW w:w="283" w:type="dxa"/>
            <w:vAlign w:val="center"/>
          </w:tcPr>
          <w:p w14:paraId="1374D1D2" w14:textId="5704FB29"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14</w:t>
            </w:r>
          </w:p>
        </w:tc>
        <w:tc>
          <w:tcPr>
            <w:tcW w:w="993" w:type="dxa"/>
          </w:tcPr>
          <w:p w14:paraId="08D2ED46" w14:textId="77777777" w:rsidR="00F00E3C" w:rsidRPr="00586283" w:rsidRDefault="00F00E3C" w:rsidP="00F00E3C">
            <w:pPr>
              <w:spacing w:after="0"/>
              <w:jc w:val="both"/>
              <w:rPr>
                <w:rFonts w:ascii="Arial" w:eastAsiaTheme="minorEastAsia" w:hAnsi="Arial" w:cs="Arial"/>
                <w:sz w:val="18"/>
                <w:szCs w:val="18"/>
                <w:lang w:val="ro-MD"/>
              </w:rPr>
            </w:pPr>
          </w:p>
          <w:p w14:paraId="7D354204" w14:textId="1EE5475C" w:rsidR="00F00E3C" w:rsidRPr="00840B12" w:rsidRDefault="00F00E3C" w:rsidP="00F00E3C">
            <w:pPr>
              <w:spacing w:after="0"/>
              <w:jc w:val="both"/>
              <w:rPr>
                <w:rFonts w:ascii="Arial" w:eastAsiaTheme="minorEastAsia" w:hAnsi="Arial" w:cs="Arial"/>
                <w:sz w:val="18"/>
                <w:szCs w:val="18"/>
              </w:rPr>
            </w:pPr>
            <w:r>
              <w:rPr>
                <w:rFonts w:ascii="Arial" w:eastAsiaTheme="minorEastAsia" w:hAnsi="Arial" w:cs="Arial"/>
                <w:sz w:val="18"/>
                <w:szCs w:val="18"/>
                <w:lang w:val="ro-MD"/>
              </w:rPr>
              <w:t>d</w:t>
            </w:r>
            <w:r w:rsidRPr="00586283">
              <w:rPr>
                <w:rFonts w:ascii="Arial" w:eastAsiaTheme="minorEastAsia" w:hAnsi="Arial" w:cs="Arial"/>
                <w:sz w:val="18"/>
                <w:szCs w:val="18"/>
                <w:lang w:val="ro-MD"/>
              </w:rPr>
              <w:t xml:space="preserve">ecembrie 2025 </w:t>
            </w:r>
          </w:p>
        </w:tc>
        <w:tc>
          <w:tcPr>
            <w:tcW w:w="1559" w:type="dxa"/>
            <w:vAlign w:val="center"/>
          </w:tcPr>
          <w:p w14:paraId="6629CBBF" w14:textId="77777777" w:rsidR="00F00E3C" w:rsidRPr="00586283" w:rsidRDefault="00F00E3C" w:rsidP="00F00E3C">
            <w:pPr>
              <w:rPr>
                <w:rFonts w:ascii="Arial" w:eastAsiaTheme="minorEastAsia" w:hAnsi="Arial" w:cs="Arial"/>
                <w:sz w:val="18"/>
                <w:szCs w:val="18"/>
                <w:lang w:val="ro-MD"/>
              </w:rPr>
            </w:pPr>
            <w:r w:rsidRPr="00586283">
              <w:rPr>
                <w:rFonts w:ascii="Arial" w:eastAsiaTheme="minorEastAsia" w:hAnsi="Arial" w:cs="Arial"/>
                <w:sz w:val="18"/>
                <w:szCs w:val="18"/>
                <w:lang w:val="ro-MD"/>
              </w:rPr>
              <w:t>Ministerul Muncii și Protecției Sociale</w:t>
            </w:r>
          </w:p>
          <w:p w14:paraId="7F329EF7" w14:textId="5CEF5F59" w:rsidR="00F00E3C" w:rsidRPr="00840B12" w:rsidRDefault="00F00E3C" w:rsidP="00F00E3C">
            <w:pPr>
              <w:spacing w:after="0"/>
              <w:jc w:val="both"/>
              <w:rPr>
                <w:rFonts w:ascii="Arial" w:eastAsiaTheme="minorEastAsia" w:hAnsi="Arial" w:cs="Arial"/>
                <w:sz w:val="18"/>
                <w:szCs w:val="18"/>
              </w:rPr>
            </w:pPr>
          </w:p>
        </w:tc>
        <w:tc>
          <w:tcPr>
            <w:tcW w:w="4252" w:type="dxa"/>
          </w:tcPr>
          <w:p w14:paraId="29E5628F"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Funcția de inspecție de stat este reformată și are competența de a efectua vizite de inspecție inopinate, în timp ce limitările legate de Legea 131 din 2012 sunt eliminate. Este instituit un sistem de monitorizare a recomandărilor formulate în urma vizitelor de inspecție.</w:t>
            </w:r>
          </w:p>
          <w:p w14:paraId="6002DE0A" w14:textId="77777777" w:rsidR="00F00E3C" w:rsidRPr="00586283" w:rsidRDefault="00F00E3C" w:rsidP="00F00E3C">
            <w:pPr>
              <w:spacing w:after="0"/>
              <w:jc w:val="both"/>
              <w:rPr>
                <w:rFonts w:ascii="Arial" w:eastAsiaTheme="minorEastAsia" w:hAnsi="Arial" w:cs="Arial"/>
                <w:sz w:val="18"/>
                <w:szCs w:val="18"/>
                <w:lang w:val="ro-MD"/>
              </w:rPr>
            </w:pPr>
          </w:p>
          <w:p w14:paraId="37906027" w14:textId="690D1A85" w:rsidR="00F00E3C" w:rsidRPr="00F00E3C" w:rsidRDefault="00F00E3C" w:rsidP="00F00E3C">
            <w:pPr>
              <w:spacing w:after="0"/>
              <w:jc w:val="both"/>
              <w:rPr>
                <w:rFonts w:ascii="Arial" w:eastAsiaTheme="minorEastAsia" w:hAnsi="Arial" w:cs="Arial"/>
                <w:sz w:val="18"/>
                <w:szCs w:val="18"/>
                <w:lang w:val="ro-MD"/>
              </w:rPr>
            </w:pPr>
            <w:r>
              <w:rPr>
                <w:rFonts w:ascii="Arial" w:eastAsiaTheme="minorEastAsia" w:hAnsi="Arial" w:cs="Arial"/>
                <w:sz w:val="18"/>
                <w:szCs w:val="18"/>
                <w:lang w:val="ro-MD"/>
              </w:rPr>
              <w:t>Linia de referință</w:t>
            </w:r>
            <w:r w:rsidRPr="00586283">
              <w:rPr>
                <w:rFonts w:ascii="Arial" w:eastAsiaTheme="minorEastAsia" w:hAnsi="Arial" w:cs="Arial"/>
                <w:sz w:val="18"/>
                <w:szCs w:val="18"/>
                <w:lang w:val="ro-MD"/>
              </w:rPr>
              <w:t>: Legea 131 privind controlul de stat este în contradicție cu convențiile OIM privind inspecțiile muncii 81 și 129.</w:t>
            </w:r>
          </w:p>
        </w:tc>
        <w:tc>
          <w:tcPr>
            <w:tcW w:w="4536" w:type="dxa"/>
          </w:tcPr>
          <w:p w14:paraId="6337CA68"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Inspectoratul de Stat al Muncii are competențe și mandat în conformitate cu convențiile OIM. Legea 131 din 2012 este aliniată la convențiile OIM. </w:t>
            </w:r>
          </w:p>
          <w:p w14:paraId="6E5CDA29"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Această legislație privind mandatul inspectoratului de muncă este revizuită în conformitate cu standardele internaționale de muncă, făcând posibile vizite de inspecție neanunțate. A fost instituit un sistem de monitorizare care include legislația și sistemul de monitorizare pentru recomandările vizitelor de inspecție.</w:t>
            </w:r>
          </w:p>
          <w:p w14:paraId="7B2A43B0" w14:textId="77777777" w:rsidR="00F00E3C" w:rsidRPr="00586283" w:rsidRDefault="00F00E3C" w:rsidP="00F00E3C">
            <w:pPr>
              <w:spacing w:after="0"/>
              <w:jc w:val="both"/>
              <w:rPr>
                <w:rFonts w:ascii="Arial" w:eastAsiaTheme="minorEastAsia" w:hAnsi="Arial" w:cs="Arial"/>
                <w:sz w:val="18"/>
                <w:szCs w:val="18"/>
                <w:lang w:val="ro-MD"/>
              </w:rPr>
            </w:pPr>
          </w:p>
          <w:p w14:paraId="36D706B4" w14:textId="6FA0D392" w:rsidR="00F00E3C" w:rsidRPr="00F00E3C" w:rsidRDefault="00F00E3C" w:rsidP="00F00E3C">
            <w:pPr>
              <w:spacing w:after="0"/>
              <w:jc w:val="both"/>
              <w:rPr>
                <w:rFonts w:ascii="Arial" w:eastAsiaTheme="minorEastAsia" w:hAnsi="Arial" w:cs="Arial"/>
                <w:sz w:val="18"/>
                <w:szCs w:val="18"/>
                <w:lang w:val="fr-FR"/>
              </w:rPr>
            </w:pPr>
            <w:r>
              <w:rPr>
                <w:rFonts w:ascii="Arial" w:eastAsiaTheme="minorEastAsia" w:hAnsi="Arial" w:cs="Arial"/>
                <w:sz w:val="18"/>
                <w:szCs w:val="18"/>
                <w:lang w:val="ro-MD"/>
              </w:rPr>
              <w:t>Sursa de verificare</w:t>
            </w:r>
            <w:r w:rsidRPr="00586283">
              <w:rPr>
                <w:rFonts w:ascii="Arial" w:eastAsiaTheme="minorEastAsia" w:hAnsi="Arial" w:cs="Arial"/>
                <w:sz w:val="18"/>
                <w:szCs w:val="18"/>
                <w:lang w:val="ro-MD"/>
              </w:rPr>
              <w:t>:</w:t>
            </w:r>
            <w:r>
              <w:rPr>
                <w:rFonts w:ascii="Arial" w:eastAsiaTheme="minorEastAsia" w:hAnsi="Arial" w:cs="Arial"/>
                <w:sz w:val="18"/>
                <w:szCs w:val="18"/>
                <w:lang w:val="ro-MD"/>
              </w:rPr>
              <w:t xml:space="preserve"> </w:t>
            </w:r>
            <w:r w:rsidRPr="00586283">
              <w:rPr>
                <w:rFonts w:ascii="Arial" w:eastAsiaTheme="minorEastAsia" w:hAnsi="Arial" w:cs="Arial"/>
                <w:sz w:val="18"/>
                <w:szCs w:val="18"/>
                <w:lang w:val="ro-MD"/>
              </w:rPr>
              <w:t>Monitorul Oficial, rapoartele Inspectoratului de Stat al Muncii.</w:t>
            </w:r>
          </w:p>
        </w:tc>
      </w:tr>
      <w:bookmarkEnd w:id="9"/>
      <w:tr w:rsidR="00F00E3C" w:rsidRPr="00BD0643" w14:paraId="661CCE05" w14:textId="77777777" w:rsidTr="00591F33">
        <w:trPr>
          <w:trHeight w:val="300"/>
        </w:trPr>
        <w:tc>
          <w:tcPr>
            <w:tcW w:w="851" w:type="dxa"/>
            <w:vAlign w:val="center"/>
          </w:tcPr>
          <w:p w14:paraId="3CD95A57" w14:textId="77777777" w:rsidR="00F00E3C" w:rsidRPr="00F00E3C" w:rsidRDefault="00F00E3C" w:rsidP="00F00E3C">
            <w:pPr>
              <w:jc w:val="both"/>
              <w:rPr>
                <w:rFonts w:ascii="Arial" w:eastAsiaTheme="minorEastAsia" w:hAnsi="Arial" w:cs="Arial"/>
                <w:sz w:val="18"/>
                <w:szCs w:val="18"/>
                <w:lang w:val="fr-FR"/>
              </w:rPr>
            </w:pPr>
          </w:p>
        </w:tc>
        <w:tc>
          <w:tcPr>
            <w:tcW w:w="425" w:type="dxa"/>
            <w:vAlign w:val="center"/>
          </w:tcPr>
          <w:p w14:paraId="796B913F" w14:textId="77777777" w:rsidR="00F00E3C" w:rsidRPr="00F00E3C" w:rsidRDefault="00F00E3C" w:rsidP="00F00E3C">
            <w:pPr>
              <w:jc w:val="both"/>
              <w:rPr>
                <w:rFonts w:ascii="Arial" w:eastAsiaTheme="minorEastAsia" w:hAnsi="Arial" w:cs="Arial"/>
                <w:sz w:val="18"/>
                <w:szCs w:val="18"/>
                <w:lang w:val="fr-FR"/>
              </w:rPr>
            </w:pPr>
          </w:p>
        </w:tc>
        <w:tc>
          <w:tcPr>
            <w:tcW w:w="1276" w:type="dxa"/>
          </w:tcPr>
          <w:p w14:paraId="2FCCB53C" w14:textId="77777777" w:rsidR="00F00E3C" w:rsidRPr="00F00E3C" w:rsidRDefault="00F00E3C" w:rsidP="00F00E3C">
            <w:pPr>
              <w:jc w:val="both"/>
              <w:rPr>
                <w:rFonts w:ascii="Arial" w:eastAsiaTheme="minorEastAsia" w:hAnsi="Arial" w:cs="Arial"/>
                <w:sz w:val="18"/>
                <w:szCs w:val="18"/>
                <w:lang w:val="fr-FR"/>
              </w:rPr>
            </w:pPr>
          </w:p>
        </w:tc>
        <w:tc>
          <w:tcPr>
            <w:tcW w:w="1276" w:type="dxa"/>
            <w:vAlign w:val="center"/>
          </w:tcPr>
          <w:p w14:paraId="2EB00F54" w14:textId="0096AF38" w:rsidR="00F00E3C" w:rsidRPr="00F00E3C" w:rsidRDefault="00F00E3C" w:rsidP="00F00E3C">
            <w:pPr>
              <w:jc w:val="both"/>
              <w:rPr>
                <w:rFonts w:ascii="Arial" w:eastAsiaTheme="minorEastAsia" w:hAnsi="Arial" w:cs="Arial"/>
                <w:sz w:val="18"/>
                <w:szCs w:val="18"/>
                <w:lang w:val="fr-FR"/>
              </w:rPr>
            </w:pPr>
          </w:p>
        </w:tc>
        <w:tc>
          <w:tcPr>
            <w:tcW w:w="283" w:type="dxa"/>
            <w:vAlign w:val="center"/>
          </w:tcPr>
          <w:p w14:paraId="3348E3A8" w14:textId="4A9B1260"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15</w:t>
            </w:r>
          </w:p>
        </w:tc>
        <w:tc>
          <w:tcPr>
            <w:tcW w:w="993" w:type="dxa"/>
          </w:tcPr>
          <w:p w14:paraId="0E526B37" w14:textId="7AD5651C" w:rsidR="00F00E3C" w:rsidRPr="00840B12" w:rsidRDefault="00F00E3C" w:rsidP="00F00E3C">
            <w:pPr>
              <w:jc w:val="both"/>
              <w:rPr>
                <w:rFonts w:ascii="Arial" w:eastAsiaTheme="minorEastAsia" w:hAnsi="Arial" w:cs="Arial"/>
                <w:sz w:val="18"/>
                <w:szCs w:val="18"/>
                <w:lang w:val="en-US"/>
              </w:rPr>
            </w:pPr>
            <w:r>
              <w:rPr>
                <w:rFonts w:ascii="Arial" w:eastAsiaTheme="minorEastAsia" w:hAnsi="Arial" w:cs="Arial"/>
                <w:sz w:val="18"/>
                <w:szCs w:val="18"/>
                <w:lang w:val="ro-MD"/>
              </w:rPr>
              <w:t>d</w:t>
            </w:r>
            <w:r w:rsidRPr="00586283">
              <w:rPr>
                <w:rFonts w:ascii="Arial" w:eastAsiaTheme="minorEastAsia" w:hAnsi="Arial" w:cs="Arial"/>
                <w:sz w:val="18"/>
                <w:szCs w:val="18"/>
                <w:lang w:val="ro-MD"/>
              </w:rPr>
              <w:t>ecembrie 2026</w:t>
            </w:r>
          </w:p>
        </w:tc>
        <w:tc>
          <w:tcPr>
            <w:tcW w:w="1559" w:type="dxa"/>
            <w:vAlign w:val="center"/>
          </w:tcPr>
          <w:p w14:paraId="0AE7E5E4" w14:textId="77777777" w:rsidR="00F00E3C" w:rsidRPr="00840B12" w:rsidRDefault="00F00E3C" w:rsidP="00F00E3C">
            <w:pPr>
              <w:jc w:val="both"/>
              <w:rPr>
                <w:rFonts w:ascii="Arial" w:eastAsiaTheme="minorEastAsia" w:hAnsi="Arial" w:cs="Arial"/>
                <w:sz w:val="18"/>
                <w:szCs w:val="18"/>
              </w:rPr>
            </w:pPr>
          </w:p>
        </w:tc>
        <w:tc>
          <w:tcPr>
            <w:tcW w:w="4252" w:type="dxa"/>
          </w:tcPr>
          <w:p w14:paraId="54489E0A" w14:textId="2C2B682F"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Proiect-pilot privind voucherele digitale pentru combaterea muncii nedeclarate în agricultură. 6 000 de lucrători din agricultură înregistrați și plătitori de contribuții sociale, iar sistemul de informații este </w:t>
            </w:r>
            <w:r w:rsidR="005F00AE">
              <w:rPr>
                <w:rFonts w:ascii="Arial" w:eastAsiaTheme="minorEastAsia" w:hAnsi="Arial" w:cs="Arial"/>
                <w:sz w:val="18"/>
                <w:szCs w:val="18"/>
                <w:lang w:val="ro-MD"/>
              </w:rPr>
              <w:t>operațional</w:t>
            </w:r>
            <w:r w:rsidRPr="00586283">
              <w:rPr>
                <w:rFonts w:ascii="Arial" w:eastAsiaTheme="minorEastAsia" w:hAnsi="Arial" w:cs="Arial"/>
                <w:sz w:val="18"/>
                <w:szCs w:val="18"/>
                <w:lang w:val="ro-MD"/>
              </w:rPr>
              <w:t xml:space="preserve">. </w:t>
            </w:r>
          </w:p>
          <w:p w14:paraId="00E3CCE3" w14:textId="77777777" w:rsidR="00F00E3C" w:rsidRPr="00586283" w:rsidRDefault="00F00E3C" w:rsidP="00F00E3C">
            <w:pPr>
              <w:spacing w:after="0" w:line="257" w:lineRule="auto"/>
              <w:jc w:val="both"/>
              <w:rPr>
                <w:rFonts w:ascii="Arial" w:eastAsiaTheme="minorEastAsia" w:hAnsi="Arial" w:cs="Arial"/>
                <w:sz w:val="18"/>
                <w:szCs w:val="18"/>
                <w:lang w:val="ro-MD"/>
              </w:rPr>
            </w:pPr>
          </w:p>
          <w:p w14:paraId="23404FF4" w14:textId="3E37DF7B" w:rsidR="00F00E3C" w:rsidRPr="00F00E3C" w:rsidRDefault="00F00E3C" w:rsidP="00F00E3C">
            <w:pPr>
              <w:spacing w:after="0" w:line="257" w:lineRule="auto"/>
              <w:jc w:val="both"/>
              <w:rPr>
                <w:rFonts w:ascii="Arial" w:eastAsiaTheme="minorEastAsia" w:hAnsi="Arial" w:cs="Arial"/>
                <w:sz w:val="18"/>
                <w:szCs w:val="18"/>
                <w:lang w:val="fr-FR"/>
              </w:rPr>
            </w:pPr>
            <w:r>
              <w:rPr>
                <w:rFonts w:ascii="Arial" w:eastAsiaTheme="minorEastAsia" w:hAnsi="Arial" w:cs="Arial"/>
                <w:sz w:val="18"/>
                <w:szCs w:val="18"/>
                <w:lang w:val="ro-MD"/>
              </w:rPr>
              <w:t>Linia de referință</w:t>
            </w:r>
            <w:r w:rsidRPr="00586283">
              <w:rPr>
                <w:rFonts w:ascii="Arial" w:eastAsiaTheme="minorEastAsia" w:hAnsi="Arial" w:cs="Arial"/>
                <w:sz w:val="18"/>
                <w:szCs w:val="18"/>
                <w:lang w:val="ro-MD"/>
              </w:rPr>
              <w:t>: 0 lucrători care utilizează sistemul de bonuri digitale</w:t>
            </w:r>
          </w:p>
        </w:tc>
        <w:tc>
          <w:tcPr>
            <w:tcW w:w="4536" w:type="dxa"/>
          </w:tcPr>
          <w:p w14:paraId="134DA0BA" w14:textId="348F6A83" w:rsidR="00F00E3C" w:rsidRPr="005F00AE"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La nivel național programul de vouchere în agricultură. </w:t>
            </w:r>
            <w:r w:rsidR="005F00AE">
              <w:rPr>
                <w:rFonts w:ascii="Arial" w:eastAsiaTheme="minorEastAsia" w:hAnsi="Arial" w:cs="Arial"/>
                <w:sz w:val="18"/>
                <w:szCs w:val="18"/>
                <w:lang w:val="ro-MD"/>
              </w:rPr>
              <w:t>Sistemul</w:t>
            </w:r>
            <w:r w:rsidRPr="00586283">
              <w:rPr>
                <w:rFonts w:ascii="Arial" w:eastAsiaTheme="minorEastAsia" w:hAnsi="Arial" w:cs="Arial"/>
                <w:sz w:val="18"/>
                <w:szCs w:val="18"/>
                <w:lang w:val="ro-MD"/>
              </w:rPr>
              <w:t xml:space="preserve"> de informații </w:t>
            </w:r>
            <w:r w:rsidR="005F00AE" w:rsidRPr="005F00AE">
              <w:rPr>
                <w:rFonts w:ascii="Arial" w:hAnsi="Arial" w:cs="Arial"/>
                <w:sz w:val="18"/>
                <w:szCs w:val="18"/>
              </w:rPr>
              <w:t>este operational.</w:t>
            </w:r>
          </w:p>
          <w:p w14:paraId="241BB2C0" w14:textId="77777777" w:rsidR="00F00E3C" w:rsidRPr="00586283"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6 000 de lucrători din agricultură sunt înregistrați și plătesc contribuții sociale. Aceasta reprezintă 20 % din lucrătorii neoficiali din agricultură în conformitate cu Sondajul privind participarea la muncă în 2023.</w:t>
            </w:r>
          </w:p>
          <w:p w14:paraId="55A5310D" w14:textId="77777777" w:rsidR="00F00E3C" w:rsidRPr="00586283" w:rsidRDefault="00F00E3C" w:rsidP="00F00E3C">
            <w:pPr>
              <w:spacing w:after="0" w:line="257" w:lineRule="auto"/>
              <w:jc w:val="both"/>
              <w:rPr>
                <w:rFonts w:ascii="Arial" w:eastAsiaTheme="minorEastAsia" w:hAnsi="Arial" w:cs="Arial"/>
                <w:sz w:val="18"/>
                <w:szCs w:val="18"/>
                <w:lang w:val="ro-MD"/>
              </w:rPr>
            </w:pPr>
          </w:p>
          <w:p w14:paraId="23197020" w14:textId="3D5791E2" w:rsidR="00F00E3C" w:rsidRPr="00F00E3C" w:rsidRDefault="00F00E3C" w:rsidP="00F00E3C">
            <w:pPr>
              <w:spacing w:after="0" w:line="257" w:lineRule="auto"/>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Sursa de verificare: Rapoarte furnizate de Ministerul Muncii și Protecției Sociale și pagina web relevantă pentru sectorul agricol </w:t>
            </w:r>
            <w:hyperlink r:id="rId20">
              <w:r w:rsidRPr="00586283">
                <w:rPr>
                  <w:rStyle w:val="Hyperlink"/>
                  <w:rFonts w:ascii="Arial" w:eastAsiaTheme="minorEastAsia" w:hAnsi="Arial" w:cs="Arial"/>
                  <w:color w:val="auto"/>
                  <w:sz w:val="18"/>
                  <w:szCs w:val="18"/>
                  <w:lang w:val="ro-MD"/>
                </w:rPr>
                <w:t>www.zilieri.gov.md</w:t>
              </w:r>
            </w:hyperlink>
            <w:r w:rsidRPr="00586283">
              <w:rPr>
                <w:rFonts w:ascii="Arial" w:eastAsiaTheme="minorEastAsia" w:hAnsi="Arial" w:cs="Arial"/>
                <w:sz w:val="18"/>
                <w:szCs w:val="18"/>
                <w:lang w:val="ro-MD"/>
              </w:rPr>
              <w:t>.</w:t>
            </w:r>
          </w:p>
        </w:tc>
      </w:tr>
      <w:tr w:rsidR="00F00E3C" w:rsidRPr="00BD0643" w14:paraId="20E756A9" w14:textId="77777777" w:rsidTr="00591F33">
        <w:trPr>
          <w:trHeight w:val="300"/>
        </w:trPr>
        <w:tc>
          <w:tcPr>
            <w:tcW w:w="851" w:type="dxa"/>
            <w:vAlign w:val="center"/>
          </w:tcPr>
          <w:p w14:paraId="7A189471" w14:textId="42306FA6" w:rsidR="00F00E3C" w:rsidRPr="00F00E3C" w:rsidRDefault="00F00E3C" w:rsidP="00F00E3C">
            <w:pPr>
              <w:spacing w:after="0"/>
              <w:jc w:val="both"/>
              <w:rPr>
                <w:rFonts w:ascii="Arial" w:eastAsiaTheme="minorEastAsia" w:hAnsi="Arial" w:cs="Arial"/>
                <w:sz w:val="18"/>
                <w:szCs w:val="18"/>
                <w:lang w:val="fr-FR"/>
              </w:rPr>
            </w:pPr>
            <w:r w:rsidRPr="00586283">
              <w:rPr>
                <w:rFonts w:ascii="Arial" w:eastAsiaTheme="minorEastAsia" w:hAnsi="Arial" w:cs="Arial"/>
                <w:sz w:val="18"/>
                <w:szCs w:val="18"/>
                <w:lang w:val="ro-MD"/>
              </w:rPr>
              <w:t xml:space="preserve">Ocuparea forței de muncă și piața muncii  </w:t>
            </w:r>
          </w:p>
        </w:tc>
        <w:tc>
          <w:tcPr>
            <w:tcW w:w="425" w:type="dxa"/>
            <w:vAlign w:val="center"/>
          </w:tcPr>
          <w:p w14:paraId="1C03B235" w14:textId="1DDE44C9"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5</w:t>
            </w:r>
          </w:p>
        </w:tc>
        <w:tc>
          <w:tcPr>
            <w:tcW w:w="1276" w:type="dxa"/>
          </w:tcPr>
          <w:p w14:paraId="648D400F" w14:textId="77777777" w:rsidR="00F00E3C" w:rsidRPr="00840B12" w:rsidRDefault="00F00E3C" w:rsidP="00F00E3C">
            <w:pPr>
              <w:spacing w:after="0"/>
              <w:jc w:val="both"/>
              <w:rPr>
                <w:rFonts w:ascii="Arial" w:eastAsiaTheme="minorEastAsia" w:hAnsi="Arial" w:cs="Arial"/>
                <w:sz w:val="18"/>
                <w:szCs w:val="18"/>
              </w:rPr>
            </w:pPr>
          </w:p>
        </w:tc>
        <w:tc>
          <w:tcPr>
            <w:tcW w:w="1276" w:type="dxa"/>
            <w:vAlign w:val="center"/>
          </w:tcPr>
          <w:p w14:paraId="54D8582B" w14:textId="1FFB607F"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t xml:space="preserve">Consolidarea politicilor active privind piața muncii și facilitarea participării pe piața muncii, precum și combaterea muncii nedeclarate și a </w:t>
            </w:r>
            <w:r w:rsidRPr="00586283">
              <w:rPr>
                <w:rFonts w:ascii="Arial" w:eastAsiaTheme="minorEastAsia" w:hAnsi="Arial" w:cs="Arial"/>
                <w:sz w:val="18"/>
                <w:szCs w:val="18"/>
                <w:lang w:val="ro-MD"/>
              </w:rPr>
              <w:lastRenderedPageBreak/>
              <w:t>exploatării prin muncă</w:t>
            </w:r>
          </w:p>
        </w:tc>
        <w:tc>
          <w:tcPr>
            <w:tcW w:w="283" w:type="dxa"/>
            <w:vAlign w:val="center"/>
          </w:tcPr>
          <w:p w14:paraId="0ABB5D50" w14:textId="7F9A1176" w:rsidR="00F00E3C" w:rsidRPr="00840B12" w:rsidRDefault="00F00E3C" w:rsidP="00F00E3C">
            <w:pPr>
              <w:spacing w:after="0"/>
              <w:jc w:val="both"/>
              <w:rPr>
                <w:rFonts w:ascii="Arial" w:eastAsiaTheme="minorEastAsia" w:hAnsi="Arial" w:cs="Arial"/>
                <w:sz w:val="18"/>
                <w:szCs w:val="18"/>
              </w:rPr>
            </w:pPr>
            <w:r w:rsidRPr="00586283">
              <w:rPr>
                <w:rFonts w:ascii="Arial" w:eastAsiaTheme="minorEastAsia" w:hAnsi="Arial" w:cs="Arial"/>
                <w:sz w:val="18"/>
                <w:szCs w:val="18"/>
                <w:lang w:val="ro-MD"/>
              </w:rPr>
              <w:lastRenderedPageBreak/>
              <w:t>16</w:t>
            </w:r>
          </w:p>
        </w:tc>
        <w:tc>
          <w:tcPr>
            <w:tcW w:w="993" w:type="dxa"/>
          </w:tcPr>
          <w:p w14:paraId="50F78AEC" w14:textId="1DE4D09F" w:rsidR="00F00E3C" w:rsidRPr="00840B12" w:rsidRDefault="00F00E3C" w:rsidP="00F00E3C">
            <w:pPr>
              <w:spacing w:after="0"/>
              <w:jc w:val="both"/>
              <w:rPr>
                <w:rFonts w:ascii="Arial" w:eastAsiaTheme="minorEastAsia" w:hAnsi="Arial" w:cs="Arial"/>
                <w:sz w:val="18"/>
                <w:szCs w:val="18"/>
              </w:rPr>
            </w:pPr>
            <w:r>
              <w:rPr>
                <w:rFonts w:ascii="Arial" w:eastAsiaTheme="minorEastAsia" w:hAnsi="Arial" w:cs="Arial"/>
                <w:sz w:val="18"/>
                <w:szCs w:val="18"/>
                <w:lang w:val="ro-MD"/>
              </w:rPr>
              <w:t>d</w:t>
            </w:r>
            <w:r w:rsidRPr="00586283">
              <w:rPr>
                <w:rFonts w:ascii="Arial" w:eastAsiaTheme="minorEastAsia" w:hAnsi="Arial" w:cs="Arial"/>
                <w:sz w:val="18"/>
                <w:szCs w:val="18"/>
                <w:lang w:val="ro-MD"/>
              </w:rPr>
              <w:t xml:space="preserve">ecembrie 2026 </w:t>
            </w:r>
          </w:p>
        </w:tc>
        <w:tc>
          <w:tcPr>
            <w:tcW w:w="1559" w:type="dxa"/>
            <w:vAlign w:val="center"/>
          </w:tcPr>
          <w:p w14:paraId="79C1AF26" w14:textId="77777777" w:rsidR="00F00E3C" w:rsidRPr="00586283" w:rsidRDefault="00F00E3C" w:rsidP="00F00E3C">
            <w:pPr>
              <w:rPr>
                <w:rFonts w:ascii="Arial" w:eastAsiaTheme="minorEastAsia" w:hAnsi="Arial" w:cs="Arial"/>
                <w:sz w:val="18"/>
                <w:szCs w:val="18"/>
                <w:lang w:val="ro-MD"/>
              </w:rPr>
            </w:pPr>
            <w:r w:rsidRPr="00586283">
              <w:rPr>
                <w:rFonts w:ascii="Arial" w:eastAsiaTheme="minorEastAsia" w:hAnsi="Arial" w:cs="Arial"/>
                <w:sz w:val="18"/>
                <w:szCs w:val="18"/>
                <w:lang w:val="ro-MD"/>
              </w:rPr>
              <w:t>Ministerul Muncii și Protecției Sociale</w:t>
            </w:r>
          </w:p>
          <w:p w14:paraId="439956CD" w14:textId="6E241836" w:rsidR="00F00E3C" w:rsidRPr="00840B12" w:rsidRDefault="00F00E3C" w:rsidP="00F00E3C">
            <w:pPr>
              <w:spacing w:after="0"/>
              <w:jc w:val="both"/>
              <w:rPr>
                <w:rFonts w:ascii="Arial" w:eastAsiaTheme="minorEastAsia" w:hAnsi="Arial" w:cs="Arial"/>
                <w:sz w:val="18"/>
                <w:szCs w:val="18"/>
              </w:rPr>
            </w:pPr>
          </w:p>
        </w:tc>
        <w:tc>
          <w:tcPr>
            <w:tcW w:w="4252" w:type="dxa"/>
          </w:tcPr>
          <w:p w14:paraId="1669356D"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Numărul de beneficiari ai măsurilor active pe piața muncii implementate de Guvern crește cu 400% față de 2024. Cel puțin 60% dintre beneficiari reprezintă femei. </w:t>
            </w:r>
          </w:p>
          <w:p w14:paraId="5D334A5F"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 </w:t>
            </w:r>
          </w:p>
          <w:p w14:paraId="13B90C0F" w14:textId="77777777" w:rsidR="00F00E3C" w:rsidRPr="00586283" w:rsidRDefault="00F00E3C" w:rsidP="00F00E3C">
            <w:pPr>
              <w:spacing w:after="0"/>
              <w:jc w:val="both"/>
              <w:rPr>
                <w:rFonts w:ascii="Arial" w:eastAsiaTheme="minorEastAsia" w:hAnsi="Arial" w:cs="Arial"/>
                <w:sz w:val="18"/>
                <w:szCs w:val="18"/>
                <w:lang w:val="ro-MD"/>
              </w:rPr>
            </w:pPr>
            <w:r>
              <w:rPr>
                <w:rFonts w:ascii="Arial" w:eastAsiaTheme="minorEastAsia" w:hAnsi="Arial" w:cs="Arial"/>
                <w:sz w:val="18"/>
                <w:szCs w:val="18"/>
                <w:lang w:val="ro-MD"/>
              </w:rPr>
              <w:t>Linia de referință</w:t>
            </w:r>
            <w:r w:rsidRPr="00586283">
              <w:rPr>
                <w:rFonts w:ascii="Arial" w:eastAsiaTheme="minorEastAsia" w:hAnsi="Arial" w:cs="Arial"/>
                <w:sz w:val="18"/>
                <w:szCs w:val="18"/>
                <w:lang w:val="ro-MD"/>
              </w:rPr>
              <w:t>: în 2024, un total de 1326 de persoane au beneficiat de măsuri active pe piața muncii. 61,7% dintre beneficiari au fost femei.</w:t>
            </w:r>
          </w:p>
          <w:p w14:paraId="3D10645B" w14:textId="77777777" w:rsidR="00F00E3C" w:rsidRPr="00586283" w:rsidRDefault="00F00E3C" w:rsidP="00F00E3C">
            <w:pPr>
              <w:spacing w:after="0"/>
              <w:jc w:val="both"/>
              <w:rPr>
                <w:rFonts w:ascii="Arial" w:eastAsiaTheme="minorEastAsia" w:hAnsi="Arial" w:cs="Arial"/>
                <w:sz w:val="18"/>
                <w:szCs w:val="18"/>
                <w:lang w:val="ro-MD"/>
              </w:rPr>
            </w:pPr>
          </w:p>
          <w:p w14:paraId="41F371E3" w14:textId="77777777" w:rsidR="00F00E3C" w:rsidRPr="00840B12" w:rsidRDefault="00F00E3C" w:rsidP="00F00E3C">
            <w:pPr>
              <w:spacing w:after="0"/>
              <w:jc w:val="both"/>
              <w:rPr>
                <w:rFonts w:ascii="Arial" w:eastAsiaTheme="minorEastAsia" w:hAnsi="Arial" w:cs="Arial"/>
                <w:sz w:val="18"/>
                <w:szCs w:val="18"/>
                <w:lang w:val="en-US"/>
              </w:rPr>
            </w:pPr>
          </w:p>
        </w:tc>
        <w:tc>
          <w:tcPr>
            <w:tcW w:w="4536" w:type="dxa"/>
          </w:tcPr>
          <w:p w14:paraId="38E6C6C8" w14:textId="77777777" w:rsidR="00F00E3C" w:rsidRPr="00586283" w:rsidRDefault="00F00E3C" w:rsidP="00F00E3C">
            <w:pPr>
              <w:spacing w:after="0"/>
              <w:jc w:val="both"/>
              <w:rPr>
                <w:rFonts w:ascii="Arial" w:eastAsiaTheme="minorEastAsia" w:hAnsi="Arial" w:cs="Arial"/>
                <w:sz w:val="18"/>
                <w:szCs w:val="18"/>
                <w:lang w:val="ro-MD"/>
              </w:rPr>
            </w:pPr>
            <w:r w:rsidRPr="00586283">
              <w:rPr>
                <w:rFonts w:ascii="Arial" w:eastAsiaTheme="minorEastAsia" w:hAnsi="Arial" w:cs="Arial"/>
                <w:sz w:val="18"/>
                <w:szCs w:val="18"/>
                <w:lang w:val="ro-MD"/>
              </w:rPr>
              <w:t xml:space="preserve">Agenția pentru Ocuparea Forței de Muncă a MD dispune de 4 măsuri active pe piața muncii: instruire profesională; subvenționarea creării locurilor de muncă; sprijin pentru crearea sau adaptarea postului de muncă/locului de muncă; stimularea mobilității forței de muncă. </w:t>
            </w:r>
          </w:p>
          <w:p w14:paraId="0864CAB0" w14:textId="77777777" w:rsidR="00F00E3C" w:rsidRPr="00586283" w:rsidRDefault="00F00E3C" w:rsidP="00F00E3C">
            <w:pPr>
              <w:spacing w:after="0"/>
              <w:jc w:val="both"/>
              <w:rPr>
                <w:rFonts w:ascii="Arial" w:eastAsiaTheme="minorEastAsia" w:hAnsi="Arial" w:cs="Arial"/>
                <w:sz w:val="18"/>
                <w:szCs w:val="18"/>
                <w:lang w:val="ro-MD"/>
              </w:rPr>
            </w:pPr>
          </w:p>
          <w:p w14:paraId="406BB3E7" w14:textId="1DC08839" w:rsidR="00F00E3C" w:rsidRPr="00F00E3C" w:rsidRDefault="00F00E3C" w:rsidP="00F00E3C">
            <w:pPr>
              <w:spacing w:after="0"/>
              <w:jc w:val="both"/>
              <w:rPr>
                <w:rFonts w:ascii="Arial" w:eastAsiaTheme="minorEastAsia" w:hAnsi="Arial" w:cs="Arial"/>
                <w:sz w:val="18"/>
                <w:szCs w:val="18"/>
                <w:lang w:val="fr-FR"/>
              </w:rPr>
            </w:pPr>
            <w:r>
              <w:rPr>
                <w:rFonts w:ascii="Arial" w:eastAsiaTheme="minorEastAsia" w:hAnsi="Arial" w:cs="Arial"/>
                <w:sz w:val="18"/>
                <w:szCs w:val="18"/>
                <w:lang w:val="ro-MD"/>
              </w:rPr>
              <w:t>Sursa de verificare</w:t>
            </w:r>
            <w:r w:rsidRPr="00586283">
              <w:rPr>
                <w:rFonts w:ascii="Arial" w:eastAsiaTheme="minorEastAsia" w:hAnsi="Arial" w:cs="Arial"/>
                <w:sz w:val="18"/>
                <w:szCs w:val="18"/>
                <w:lang w:val="ro-MD"/>
              </w:rPr>
              <w:t>: Rapoarte furnizate de Agenția Națională pentru Ocuparea Forței de Muncă.</w:t>
            </w:r>
          </w:p>
        </w:tc>
      </w:tr>
      <w:tr w:rsidR="00F00E3C" w:rsidRPr="00BD0643" w14:paraId="469D79B0" w14:textId="77777777" w:rsidTr="00591F33">
        <w:trPr>
          <w:trHeight w:val="300"/>
        </w:trPr>
        <w:tc>
          <w:tcPr>
            <w:tcW w:w="851" w:type="dxa"/>
            <w:vAlign w:val="center"/>
          </w:tcPr>
          <w:p w14:paraId="65F442B2" w14:textId="3005DE1F"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lastRenderedPageBreak/>
              <w:t>Sănătate</w:t>
            </w:r>
          </w:p>
        </w:tc>
        <w:tc>
          <w:tcPr>
            <w:tcW w:w="425" w:type="dxa"/>
            <w:vAlign w:val="center"/>
          </w:tcPr>
          <w:p w14:paraId="66AF946F" w14:textId="33B8F446"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6</w:t>
            </w:r>
          </w:p>
        </w:tc>
        <w:tc>
          <w:tcPr>
            <w:tcW w:w="1276" w:type="dxa"/>
          </w:tcPr>
          <w:p w14:paraId="2AF240B7" w14:textId="77777777" w:rsidR="00F00E3C" w:rsidRPr="00840B12" w:rsidRDefault="00F00E3C" w:rsidP="00F00E3C">
            <w:pPr>
              <w:jc w:val="both"/>
              <w:rPr>
                <w:rFonts w:ascii="Arial" w:hAnsi="Arial" w:cs="Arial"/>
                <w:sz w:val="18"/>
                <w:szCs w:val="18"/>
              </w:rPr>
            </w:pPr>
          </w:p>
        </w:tc>
        <w:tc>
          <w:tcPr>
            <w:tcW w:w="1276" w:type="dxa"/>
            <w:vAlign w:val="center"/>
          </w:tcPr>
          <w:p w14:paraId="78DE4422" w14:textId="1E55D20D" w:rsidR="00F00E3C" w:rsidRPr="00840B12" w:rsidRDefault="00F00E3C" w:rsidP="00F00E3C">
            <w:pPr>
              <w:jc w:val="both"/>
              <w:rPr>
                <w:rFonts w:ascii="Arial" w:hAnsi="Arial" w:cs="Arial"/>
                <w:sz w:val="18"/>
                <w:szCs w:val="18"/>
              </w:rPr>
            </w:pPr>
            <w:r w:rsidRPr="00586283">
              <w:rPr>
                <w:rFonts w:ascii="Arial" w:hAnsi="Arial" w:cs="Arial"/>
                <w:sz w:val="18"/>
                <w:szCs w:val="18"/>
                <w:lang w:val="ro-MD"/>
              </w:rPr>
              <w:t>Îmbunătățirea calității furnizării serviciilor medicale la nivel național</w:t>
            </w:r>
          </w:p>
        </w:tc>
        <w:tc>
          <w:tcPr>
            <w:tcW w:w="283" w:type="dxa"/>
            <w:vAlign w:val="center"/>
          </w:tcPr>
          <w:p w14:paraId="01E8B614" w14:textId="78F7D4DE"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17</w:t>
            </w:r>
          </w:p>
        </w:tc>
        <w:tc>
          <w:tcPr>
            <w:tcW w:w="993" w:type="dxa"/>
          </w:tcPr>
          <w:p w14:paraId="56AE3944" w14:textId="77777777" w:rsidR="00F00E3C" w:rsidRPr="00586283" w:rsidRDefault="00F00E3C" w:rsidP="00F00E3C">
            <w:pPr>
              <w:spacing w:after="0"/>
              <w:jc w:val="both"/>
              <w:rPr>
                <w:rFonts w:ascii="Arial" w:eastAsiaTheme="minorEastAsia" w:hAnsi="Arial" w:cs="Arial"/>
                <w:sz w:val="18"/>
                <w:szCs w:val="18"/>
                <w:lang w:val="ro-MD"/>
              </w:rPr>
            </w:pPr>
            <w:r>
              <w:rPr>
                <w:rFonts w:ascii="Arial" w:eastAsiaTheme="minorEastAsia" w:hAnsi="Arial" w:cs="Arial"/>
                <w:sz w:val="18"/>
                <w:szCs w:val="18"/>
                <w:lang w:val="ro-MD"/>
              </w:rPr>
              <w:t>i</w:t>
            </w:r>
            <w:r w:rsidRPr="00586283">
              <w:rPr>
                <w:rFonts w:ascii="Arial" w:eastAsiaTheme="minorEastAsia" w:hAnsi="Arial" w:cs="Arial"/>
                <w:sz w:val="18"/>
                <w:szCs w:val="18"/>
                <w:lang w:val="ro-MD"/>
              </w:rPr>
              <w:t>ulie 2027</w:t>
            </w:r>
          </w:p>
          <w:p w14:paraId="5E12C70A" w14:textId="77777777" w:rsidR="00F00E3C" w:rsidRPr="00840B12" w:rsidRDefault="00F00E3C" w:rsidP="00F00E3C">
            <w:pPr>
              <w:jc w:val="both"/>
              <w:rPr>
                <w:rFonts w:ascii="Arial" w:eastAsiaTheme="minorEastAsia" w:hAnsi="Arial" w:cs="Arial"/>
                <w:sz w:val="18"/>
                <w:szCs w:val="18"/>
              </w:rPr>
            </w:pPr>
          </w:p>
        </w:tc>
        <w:tc>
          <w:tcPr>
            <w:tcW w:w="1559" w:type="dxa"/>
            <w:vAlign w:val="center"/>
          </w:tcPr>
          <w:p w14:paraId="116AAE71" w14:textId="13E788A7"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Ministerul Sănătății</w:t>
            </w:r>
          </w:p>
        </w:tc>
        <w:tc>
          <w:tcPr>
            <w:tcW w:w="4252" w:type="dxa"/>
          </w:tcPr>
          <w:p w14:paraId="1CD091DF" w14:textId="77777777" w:rsidR="00F00E3C" w:rsidRPr="00586283" w:rsidRDefault="00F00E3C" w:rsidP="00F00E3C">
            <w:pPr>
              <w:spacing w:after="0" w:line="240" w:lineRule="auto"/>
              <w:jc w:val="both"/>
              <w:rPr>
                <w:rFonts w:ascii="Arial" w:hAnsi="Arial" w:cs="Arial"/>
                <w:sz w:val="18"/>
                <w:szCs w:val="18"/>
                <w:lang w:val="ro-MD"/>
              </w:rPr>
            </w:pPr>
            <w:r w:rsidRPr="00586283">
              <w:rPr>
                <w:rFonts w:ascii="Arial" w:hAnsi="Arial" w:cs="Arial"/>
                <w:sz w:val="18"/>
                <w:szCs w:val="18"/>
                <w:lang w:val="ro-MD"/>
              </w:rPr>
              <w:t>În cadrul reformei sistemului spitalicesc care vizează descentralizarea asistenței medicale specializate, integrarea spitalelor regionale specializate existente și ulterioare în cadrul rețelei spitalicești este avansată prin dezvoltarea unei rețele regionale integrate de trimiteri.</w:t>
            </w:r>
          </w:p>
          <w:p w14:paraId="0878CD70" w14:textId="77777777" w:rsidR="00F00E3C" w:rsidRPr="00586283" w:rsidRDefault="00F00E3C" w:rsidP="00F00E3C">
            <w:pPr>
              <w:spacing w:after="0" w:line="240" w:lineRule="auto"/>
              <w:jc w:val="both"/>
              <w:rPr>
                <w:rFonts w:ascii="Arial" w:hAnsi="Arial" w:cs="Arial"/>
                <w:sz w:val="18"/>
                <w:szCs w:val="18"/>
                <w:lang w:val="ro-MD"/>
              </w:rPr>
            </w:pPr>
          </w:p>
          <w:p w14:paraId="7021A4EE" w14:textId="1D6E08B9" w:rsidR="00F00E3C" w:rsidRPr="00F00E3C" w:rsidRDefault="00F00E3C" w:rsidP="00F00E3C">
            <w:pPr>
              <w:spacing w:after="0" w:line="240" w:lineRule="auto"/>
              <w:jc w:val="both"/>
              <w:rPr>
                <w:rFonts w:ascii="Arial" w:eastAsiaTheme="minorEastAsia" w:hAnsi="Arial" w:cs="Arial"/>
                <w:sz w:val="18"/>
                <w:szCs w:val="18"/>
                <w:lang w:val="ro-MD"/>
              </w:rPr>
            </w:pPr>
            <w:r>
              <w:rPr>
                <w:rFonts w:ascii="Arial" w:hAnsi="Arial" w:cs="Arial"/>
                <w:sz w:val="18"/>
                <w:szCs w:val="18"/>
                <w:lang w:val="ro-MD"/>
              </w:rPr>
              <w:t>Linia de referință</w:t>
            </w:r>
            <w:r w:rsidRPr="00586283">
              <w:rPr>
                <w:rFonts w:ascii="Arial" w:hAnsi="Arial" w:cs="Arial"/>
                <w:sz w:val="18"/>
                <w:szCs w:val="18"/>
                <w:lang w:val="ro-MD"/>
              </w:rPr>
              <w:t xml:space="preserve"> 2024: Există o rețea regională de spitale de referință pentru un singur domeniu de boală. Nu există rețele de spitale regionale de referință pentru alte servicii de asistență medicală înalt specializate. Spitalele regionale care urmează să fie construite în Bălți și Cahul nu sunt integrate nici în rețelele regionale de trimiteri, nici în planificarea strategică și a forței de muncă, nici în ameliorarea furnizării de servicii, nici în trimiterile optimizate ale sistemului național de spitale.</w:t>
            </w:r>
          </w:p>
        </w:tc>
        <w:tc>
          <w:tcPr>
            <w:tcW w:w="4536" w:type="dxa"/>
          </w:tcPr>
          <w:p w14:paraId="494A0250" w14:textId="77777777" w:rsidR="00F00E3C" w:rsidRPr="00586283" w:rsidRDefault="00F00E3C" w:rsidP="00F00E3C">
            <w:pPr>
              <w:spacing w:after="0"/>
              <w:jc w:val="both"/>
              <w:rPr>
                <w:rFonts w:ascii="Arial" w:hAnsi="Arial" w:cs="Arial"/>
                <w:sz w:val="18"/>
                <w:szCs w:val="18"/>
                <w:lang w:val="ro-MD"/>
              </w:rPr>
            </w:pPr>
            <w:r w:rsidRPr="00586283">
              <w:rPr>
                <w:rFonts w:ascii="Arial" w:hAnsi="Arial" w:cs="Arial"/>
                <w:sz w:val="18"/>
                <w:szCs w:val="18"/>
                <w:lang w:val="ro-MD"/>
              </w:rPr>
              <w:t xml:space="preserve">MD concepe și pune în aplicare rețele regionale integrate de trimitere pentru servicii specializate de asistență medicală, inclusiv un mecanism de finanțare, structuri administrative și definirea nivelurilor de îngrijire pe baza profilului de paturi și a capacității de servicii a fiecărui spital în orice regiune. Ca urmare, cel puțin 10 spitale regionale de referință sunt incluse în rețea. </w:t>
            </w:r>
          </w:p>
          <w:p w14:paraId="37479A58" w14:textId="77777777" w:rsidR="00F00E3C" w:rsidRPr="00586283" w:rsidRDefault="00F00E3C" w:rsidP="00F00E3C">
            <w:pPr>
              <w:spacing w:after="0"/>
              <w:jc w:val="both"/>
              <w:rPr>
                <w:rFonts w:ascii="Arial" w:hAnsi="Arial" w:cs="Arial"/>
                <w:sz w:val="18"/>
                <w:szCs w:val="18"/>
                <w:lang w:val="ro-MD"/>
              </w:rPr>
            </w:pPr>
          </w:p>
          <w:p w14:paraId="55843C9B" w14:textId="50F8EF4B" w:rsidR="00F00E3C" w:rsidRPr="00F00E3C" w:rsidRDefault="00F00E3C" w:rsidP="00F00E3C">
            <w:pPr>
              <w:spacing w:after="0" w:line="257" w:lineRule="auto"/>
              <w:jc w:val="both"/>
              <w:rPr>
                <w:rFonts w:ascii="Arial" w:hAnsi="Arial" w:cs="Arial"/>
                <w:sz w:val="18"/>
                <w:szCs w:val="18"/>
                <w:lang w:val="ro-MD"/>
              </w:rPr>
            </w:pPr>
            <w:r>
              <w:rPr>
                <w:rFonts w:ascii="Arial" w:hAnsi="Arial" w:cs="Arial"/>
                <w:sz w:val="18"/>
                <w:szCs w:val="18"/>
                <w:lang w:val="ro-MD"/>
              </w:rPr>
              <w:t>Sursa de verificare</w:t>
            </w:r>
            <w:r w:rsidRPr="00586283">
              <w:rPr>
                <w:rFonts w:ascii="Arial" w:hAnsi="Arial" w:cs="Arial"/>
                <w:sz w:val="18"/>
                <w:szCs w:val="18"/>
                <w:lang w:val="ro-MD"/>
              </w:rPr>
              <w:t xml:space="preserve">: Documente ale guvernului care confirmă punerea în aplicare a rețelelor regionale integrate de trimitere pentru servicii de asistență medicală înalt specializate, cel puțin 10 spitale de trimitere fiind incluse în rețea.  </w:t>
            </w:r>
          </w:p>
        </w:tc>
      </w:tr>
      <w:tr w:rsidR="00F00E3C" w:rsidRPr="00840B12" w14:paraId="2025FF03" w14:textId="77777777" w:rsidTr="00591F33">
        <w:trPr>
          <w:trHeight w:val="300"/>
        </w:trPr>
        <w:tc>
          <w:tcPr>
            <w:tcW w:w="851" w:type="dxa"/>
            <w:vAlign w:val="center"/>
          </w:tcPr>
          <w:p w14:paraId="225231C7" w14:textId="55912A46"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Sănătate</w:t>
            </w:r>
          </w:p>
        </w:tc>
        <w:tc>
          <w:tcPr>
            <w:tcW w:w="425" w:type="dxa"/>
            <w:vAlign w:val="center"/>
          </w:tcPr>
          <w:p w14:paraId="464C54CB" w14:textId="77777777" w:rsidR="00F00E3C" w:rsidRPr="00840B12" w:rsidRDefault="00F00E3C" w:rsidP="00F00E3C">
            <w:pPr>
              <w:jc w:val="both"/>
              <w:rPr>
                <w:rFonts w:ascii="Arial" w:eastAsiaTheme="minorEastAsia" w:hAnsi="Arial" w:cs="Arial"/>
                <w:sz w:val="18"/>
                <w:szCs w:val="18"/>
              </w:rPr>
            </w:pPr>
          </w:p>
        </w:tc>
        <w:tc>
          <w:tcPr>
            <w:tcW w:w="1276" w:type="dxa"/>
          </w:tcPr>
          <w:p w14:paraId="44C3A743" w14:textId="77777777" w:rsidR="00F00E3C" w:rsidRPr="00840B12" w:rsidRDefault="00F00E3C" w:rsidP="00F00E3C">
            <w:pPr>
              <w:jc w:val="both"/>
              <w:rPr>
                <w:rFonts w:ascii="Arial" w:hAnsi="Arial" w:cs="Arial"/>
                <w:sz w:val="18"/>
                <w:szCs w:val="18"/>
              </w:rPr>
            </w:pPr>
          </w:p>
        </w:tc>
        <w:tc>
          <w:tcPr>
            <w:tcW w:w="1276" w:type="dxa"/>
            <w:vAlign w:val="center"/>
          </w:tcPr>
          <w:p w14:paraId="795DBDBE" w14:textId="1EC1CC57" w:rsidR="00F00E3C" w:rsidRPr="00840B12" w:rsidRDefault="00F00E3C" w:rsidP="00F00E3C">
            <w:pPr>
              <w:jc w:val="both"/>
              <w:rPr>
                <w:rFonts w:ascii="Arial" w:hAnsi="Arial" w:cs="Arial"/>
                <w:sz w:val="18"/>
                <w:szCs w:val="18"/>
              </w:rPr>
            </w:pPr>
            <w:r w:rsidRPr="00586283">
              <w:rPr>
                <w:rFonts w:ascii="Arial" w:hAnsi="Arial" w:cs="Arial"/>
                <w:sz w:val="18"/>
                <w:szCs w:val="18"/>
                <w:lang w:val="ro-MD"/>
              </w:rPr>
              <w:t>Îmbunătățirea calității furnizării serviciilor medicale la nivel național</w:t>
            </w:r>
          </w:p>
        </w:tc>
        <w:tc>
          <w:tcPr>
            <w:tcW w:w="283" w:type="dxa"/>
            <w:vAlign w:val="center"/>
          </w:tcPr>
          <w:p w14:paraId="1C45259A" w14:textId="32F7CF68"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18</w:t>
            </w:r>
          </w:p>
        </w:tc>
        <w:tc>
          <w:tcPr>
            <w:tcW w:w="993" w:type="dxa"/>
          </w:tcPr>
          <w:p w14:paraId="23C036ED" w14:textId="13D95C26" w:rsidR="00F00E3C" w:rsidRPr="00840B12" w:rsidRDefault="00F00E3C" w:rsidP="00F00E3C">
            <w:pPr>
              <w:jc w:val="both"/>
              <w:rPr>
                <w:rFonts w:ascii="Arial" w:eastAsiaTheme="minorEastAsia" w:hAnsi="Arial" w:cs="Arial"/>
                <w:sz w:val="18"/>
                <w:szCs w:val="18"/>
              </w:rPr>
            </w:pPr>
            <w:r>
              <w:rPr>
                <w:rFonts w:ascii="Arial" w:eastAsiaTheme="minorEastAsia" w:hAnsi="Arial" w:cs="Arial"/>
                <w:sz w:val="18"/>
                <w:szCs w:val="18"/>
                <w:lang w:val="ro-MD"/>
              </w:rPr>
              <w:t>d</w:t>
            </w:r>
            <w:r w:rsidRPr="00586283">
              <w:rPr>
                <w:rFonts w:ascii="Arial" w:eastAsiaTheme="minorEastAsia" w:hAnsi="Arial" w:cs="Arial"/>
                <w:sz w:val="18"/>
                <w:szCs w:val="18"/>
                <w:lang w:val="ro-MD"/>
              </w:rPr>
              <w:t>ecembrie 2027</w:t>
            </w:r>
          </w:p>
        </w:tc>
        <w:tc>
          <w:tcPr>
            <w:tcW w:w="1559" w:type="dxa"/>
            <w:vAlign w:val="center"/>
          </w:tcPr>
          <w:p w14:paraId="2007DB7F" w14:textId="5D6813B1"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Ministerul Sănătății</w:t>
            </w:r>
          </w:p>
        </w:tc>
        <w:tc>
          <w:tcPr>
            <w:tcW w:w="4252" w:type="dxa"/>
          </w:tcPr>
          <w:p w14:paraId="2A6F40FA" w14:textId="77777777" w:rsidR="00F00E3C" w:rsidRPr="00586283" w:rsidRDefault="00F00E3C" w:rsidP="00F00E3C">
            <w:pPr>
              <w:spacing w:after="0"/>
              <w:jc w:val="both"/>
              <w:rPr>
                <w:rFonts w:ascii="Arial" w:hAnsi="Arial" w:cs="Arial"/>
                <w:sz w:val="18"/>
                <w:szCs w:val="18"/>
                <w:lang w:val="ro-MD"/>
              </w:rPr>
            </w:pPr>
            <w:r w:rsidRPr="00586283">
              <w:rPr>
                <w:rFonts w:ascii="Arial" w:hAnsi="Arial" w:cs="Arial"/>
                <w:sz w:val="18"/>
                <w:szCs w:val="18"/>
                <w:lang w:val="ro-MD"/>
              </w:rPr>
              <w:t>Se introduce sistemul național de licențiere pentru profesioniștii din domeniul medical pentru a se asigura că toți lucrătorii din sectorul sănătății sunt calificați pentru a furniza servicii medicale sigure și de calitate și că cel puțin 200 de profesioniști din domeniul medical primesc instruire specializată în modele moderne de îngrijire.</w:t>
            </w:r>
          </w:p>
          <w:p w14:paraId="091C777D" w14:textId="77777777" w:rsidR="00F00E3C" w:rsidRPr="00586283" w:rsidRDefault="00F00E3C" w:rsidP="00F00E3C">
            <w:pPr>
              <w:spacing w:after="0"/>
              <w:jc w:val="both"/>
              <w:rPr>
                <w:rFonts w:ascii="Arial" w:hAnsi="Arial" w:cs="Arial"/>
                <w:sz w:val="18"/>
                <w:szCs w:val="18"/>
                <w:lang w:val="ro-MD"/>
              </w:rPr>
            </w:pPr>
            <w:r w:rsidRPr="00586283">
              <w:rPr>
                <w:rFonts w:ascii="Arial" w:hAnsi="Arial" w:cs="Arial"/>
                <w:sz w:val="18"/>
                <w:szCs w:val="18"/>
                <w:lang w:val="ro-MD"/>
              </w:rPr>
              <w:t xml:space="preserve"> </w:t>
            </w:r>
          </w:p>
          <w:p w14:paraId="05E4FF7E" w14:textId="2420A086" w:rsidR="00F00E3C" w:rsidRPr="00840B12" w:rsidRDefault="00F00E3C" w:rsidP="00F00E3C">
            <w:pPr>
              <w:jc w:val="both"/>
              <w:rPr>
                <w:rFonts w:ascii="Arial" w:hAnsi="Arial" w:cs="Arial"/>
                <w:sz w:val="18"/>
                <w:szCs w:val="18"/>
                <w:lang w:val="en-US"/>
              </w:rPr>
            </w:pPr>
            <w:r>
              <w:rPr>
                <w:rFonts w:ascii="Arial" w:hAnsi="Arial" w:cs="Arial"/>
                <w:sz w:val="18"/>
                <w:szCs w:val="18"/>
                <w:lang w:val="ro-MD"/>
              </w:rPr>
              <w:t>Linia de referință</w:t>
            </w:r>
            <w:r w:rsidRPr="00586283">
              <w:rPr>
                <w:rFonts w:ascii="Arial" w:hAnsi="Arial" w:cs="Arial"/>
                <w:sz w:val="18"/>
                <w:szCs w:val="18"/>
                <w:lang w:val="ro-MD"/>
              </w:rPr>
              <w:t xml:space="preserve"> 2024: Nu există nicio autoritate care să supravegheze respectarea cerințelor de autorizare și înregistrare/certificare.</w:t>
            </w:r>
          </w:p>
        </w:tc>
        <w:tc>
          <w:tcPr>
            <w:tcW w:w="4536" w:type="dxa"/>
          </w:tcPr>
          <w:p w14:paraId="27E1D2C6" w14:textId="77777777" w:rsidR="00F00E3C" w:rsidRPr="00586283" w:rsidRDefault="00F00E3C" w:rsidP="00F00E3C">
            <w:pPr>
              <w:spacing w:after="0"/>
              <w:jc w:val="both"/>
              <w:rPr>
                <w:rFonts w:ascii="Arial" w:hAnsi="Arial" w:cs="Arial"/>
                <w:sz w:val="18"/>
                <w:szCs w:val="18"/>
                <w:lang w:val="ro-MD"/>
              </w:rPr>
            </w:pPr>
            <w:r w:rsidRPr="00586283">
              <w:rPr>
                <w:rFonts w:ascii="Arial" w:hAnsi="Arial" w:cs="Arial"/>
                <w:sz w:val="18"/>
                <w:szCs w:val="18"/>
                <w:lang w:val="ro-MD"/>
              </w:rPr>
              <w:t>Se pune în aplicare un sistem național de autorizare pentru profesioniștii din domeniul sănătății, pentru a acoperi următoarele profesii: medici, dentiști, asistenți medicali și moașe. Se înființează un serviciu specializat pentru a reglementa accesul la profesie și a asigura conformitatea cu cerințele de certificare. În vederea alinierii sectorului asistenței medicale din Moldova la standardele UE, se actualizează cadrul juridic care reglementează accesul și exercitarea profesiilor din domeniul asistenței medicale și cel puțin 200 de cadre medicale beneficiază de instruire specializată în modele moderne de îngrijire.</w:t>
            </w:r>
          </w:p>
          <w:p w14:paraId="1D5FBBB1" w14:textId="77777777" w:rsidR="00F00E3C" w:rsidRPr="00586283" w:rsidRDefault="00F00E3C" w:rsidP="00F00E3C">
            <w:pPr>
              <w:spacing w:after="0"/>
              <w:jc w:val="both"/>
              <w:rPr>
                <w:rFonts w:ascii="Arial" w:hAnsi="Arial" w:cs="Arial"/>
                <w:sz w:val="18"/>
                <w:szCs w:val="18"/>
                <w:lang w:val="ro-MD"/>
              </w:rPr>
            </w:pPr>
            <w:r w:rsidRPr="00586283">
              <w:rPr>
                <w:rFonts w:ascii="Arial" w:hAnsi="Arial" w:cs="Arial"/>
                <w:sz w:val="18"/>
                <w:szCs w:val="18"/>
                <w:lang w:val="ro-MD"/>
              </w:rPr>
              <w:t xml:space="preserve"> </w:t>
            </w:r>
          </w:p>
          <w:p w14:paraId="3EE49FCE" w14:textId="7CB02CE5" w:rsidR="00F00E3C" w:rsidRPr="00840B12" w:rsidRDefault="00F00E3C" w:rsidP="00F00E3C">
            <w:pPr>
              <w:jc w:val="both"/>
              <w:rPr>
                <w:rFonts w:ascii="Arial" w:hAnsi="Arial" w:cs="Arial"/>
                <w:sz w:val="18"/>
                <w:szCs w:val="18"/>
                <w:lang w:val="en-US"/>
              </w:rPr>
            </w:pPr>
            <w:r w:rsidRPr="00586283">
              <w:rPr>
                <w:rFonts w:ascii="Arial" w:hAnsi="Arial" w:cs="Arial"/>
                <w:sz w:val="18"/>
                <w:szCs w:val="18"/>
                <w:lang w:val="ro-MD"/>
              </w:rPr>
              <w:t xml:space="preserve">Sursa de verificare: Publicarea oficială a deciziei de înființare a unei autorități naționale care să supravegheze respectarea cerințelor de acordare a licențelor și de înregistrare/certificare. Registre administrative care documentează structura, personalul și operațiunile autorității. Rapoarte ale noii autorități de acordare a licențelor care detaliază activitățile acesteia, licențele eliberate și monitorizarea conformității. Publicație oficială care confirmă actualizarea cadrului juridic privind accesul și </w:t>
            </w:r>
            <w:r w:rsidRPr="00586283">
              <w:rPr>
                <w:rFonts w:ascii="Arial" w:hAnsi="Arial" w:cs="Arial"/>
                <w:sz w:val="18"/>
                <w:szCs w:val="18"/>
                <w:lang w:val="ro-MD"/>
              </w:rPr>
              <w:lastRenderedPageBreak/>
              <w:t>exercitarea profesiilor medicale. Documente care confirmă consolidarea capacităților a 200 de profesioniști din domeniul medical.</w:t>
            </w:r>
          </w:p>
        </w:tc>
      </w:tr>
      <w:tr w:rsidR="00F00E3C" w:rsidRPr="00BD0643" w14:paraId="465AFDFC" w14:textId="77777777" w:rsidTr="00591F33">
        <w:trPr>
          <w:trHeight w:val="300"/>
        </w:trPr>
        <w:tc>
          <w:tcPr>
            <w:tcW w:w="851" w:type="dxa"/>
            <w:vAlign w:val="center"/>
          </w:tcPr>
          <w:p w14:paraId="6CB4E49D" w14:textId="77777777" w:rsidR="00F00E3C" w:rsidRPr="00840B12" w:rsidRDefault="00F00E3C" w:rsidP="00F00E3C">
            <w:pPr>
              <w:jc w:val="both"/>
              <w:rPr>
                <w:rFonts w:ascii="Arial" w:eastAsiaTheme="minorEastAsia" w:hAnsi="Arial" w:cs="Arial"/>
                <w:sz w:val="18"/>
                <w:szCs w:val="18"/>
              </w:rPr>
            </w:pPr>
          </w:p>
        </w:tc>
        <w:tc>
          <w:tcPr>
            <w:tcW w:w="425" w:type="dxa"/>
            <w:vAlign w:val="center"/>
          </w:tcPr>
          <w:p w14:paraId="72B342A9" w14:textId="77777777" w:rsidR="00F00E3C" w:rsidRPr="00840B12" w:rsidRDefault="00F00E3C" w:rsidP="00F00E3C">
            <w:pPr>
              <w:jc w:val="both"/>
              <w:rPr>
                <w:rFonts w:ascii="Arial" w:eastAsiaTheme="minorEastAsia" w:hAnsi="Arial" w:cs="Arial"/>
                <w:sz w:val="18"/>
                <w:szCs w:val="18"/>
              </w:rPr>
            </w:pPr>
          </w:p>
        </w:tc>
        <w:tc>
          <w:tcPr>
            <w:tcW w:w="1276" w:type="dxa"/>
          </w:tcPr>
          <w:p w14:paraId="62143EA6" w14:textId="77777777" w:rsidR="00F00E3C" w:rsidRPr="00840B12" w:rsidRDefault="00F00E3C" w:rsidP="00F00E3C">
            <w:pPr>
              <w:jc w:val="both"/>
              <w:rPr>
                <w:rFonts w:ascii="Arial" w:hAnsi="Arial" w:cs="Arial"/>
                <w:sz w:val="18"/>
                <w:szCs w:val="18"/>
              </w:rPr>
            </w:pPr>
          </w:p>
        </w:tc>
        <w:tc>
          <w:tcPr>
            <w:tcW w:w="1276" w:type="dxa"/>
            <w:vAlign w:val="center"/>
          </w:tcPr>
          <w:p w14:paraId="62112F53" w14:textId="71721236" w:rsidR="00F00E3C" w:rsidRPr="00F00E3C" w:rsidRDefault="00F00E3C" w:rsidP="00F00E3C">
            <w:pPr>
              <w:jc w:val="both"/>
              <w:rPr>
                <w:rFonts w:ascii="Arial" w:hAnsi="Arial" w:cs="Arial"/>
                <w:sz w:val="18"/>
                <w:szCs w:val="18"/>
                <w:lang w:val="fr-FR"/>
              </w:rPr>
            </w:pPr>
            <w:r w:rsidRPr="00586283">
              <w:rPr>
                <w:rFonts w:ascii="Arial" w:hAnsi="Arial" w:cs="Arial"/>
                <w:sz w:val="18"/>
                <w:szCs w:val="18"/>
                <w:lang w:val="ro-MD"/>
              </w:rPr>
              <w:t>Există instrumente integrate de transformare digitală pentru a asigura un acces mai bun și o mai mare calitate a asistenței medicale</w:t>
            </w:r>
          </w:p>
        </w:tc>
        <w:tc>
          <w:tcPr>
            <w:tcW w:w="283" w:type="dxa"/>
            <w:vAlign w:val="center"/>
          </w:tcPr>
          <w:p w14:paraId="48516C94" w14:textId="49567B6A"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19</w:t>
            </w:r>
          </w:p>
        </w:tc>
        <w:tc>
          <w:tcPr>
            <w:tcW w:w="993" w:type="dxa"/>
          </w:tcPr>
          <w:p w14:paraId="15C973AB" w14:textId="77777777" w:rsidR="00F00E3C" w:rsidRPr="00586283" w:rsidRDefault="00F00E3C" w:rsidP="00F00E3C">
            <w:pPr>
              <w:spacing w:after="0"/>
              <w:jc w:val="both"/>
              <w:rPr>
                <w:rFonts w:ascii="Arial" w:eastAsiaTheme="minorEastAsia" w:hAnsi="Arial" w:cs="Arial"/>
                <w:sz w:val="18"/>
                <w:szCs w:val="18"/>
                <w:lang w:val="ro-MD"/>
              </w:rPr>
            </w:pPr>
            <w:r>
              <w:rPr>
                <w:rFonts w:ascii="Arial" w:eastAsiaTheme="minorEastAsia" w:hAnsi="Arial" w:cs="Arial"/>
                <w:sz w:val="18"/>
                <w:szCs w:val="18"/>
                <w:lang w:val="ro-MD"/>
              </w:rPr>
              <w:t>d</w:t>
            </w:r>
            <w:r w:rsidRPr="00586283">
              <w:rPr>
                <w:rFonts w:ascii="Arial" w:eastAsiaTheme="minorEastAsia" w:hAnsi="Arial" w:cs="Arial"/>
                <w:sz w:val="18"/>
                <w:szCs w:val="18"/>
                <w:lang w:val="ro-MD"/>
              </w:rPr>
              <w:t>ecembrie 2027</w:t>
            </w:r>
          </w:p>
          <w:p w14:paraId="20161F90" w14:textId="77777777" w:rsidR="00F00E3C" w:rsidRPr="00840B12" w:rsidRDefault="00F00E3C" w:rsidP="00F00E3C">
            <w:pPr>
              <w:jc w:val="both"/>
              <w:rPr>
                <w:rFonts w:ascii="Arial" w:eastAsiaTheme="minorEastAsia" w:hAnsi="Arial" w:cs="Arial"/>
                <w:sz w:val="18"/>
                <w:szCs w:val="18"/>
              </w:rPr>
            </w:pPr>
          </w:p>
        </w:tc>
        <w:tc>
          <w:tcPr>
            <w:tcW w:w="1559" w:type="dxa"/>
            <w:vAlign w:val="center"/>
          </w:tcPr>
          <w:p w14:paraId="0BC5A6D1" w14:textId="4A29749E"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Ministerul Sănătății</w:t>
            </w:r>
          </w:p>
        </w:tc>
        <w:tc>
          <w:tcPr>
            <w:tcW w:w="4252" w:type="dxa"/>
          </w:tcPr>
          <w:p w14:paraId="43532351" w14:textId="77777777" w:rsidR="00F00E3C" w:rsidRPr="00586283" w:rsidRDefault="00F00E3C" w:rsidP="00F00E3C">
            <w:pPr>
              <w:spacing w:after="0" w:line="240" w:lineRule="auto"/>
              <w:jc w:val="both"/>
              <w:rPr>
                <w:rFonts w:ascii="Arial" w:hAnsi="Arial" w:cs="Arial"/>
                <w:sz w:val="18"/>
                <w:szCs w:val="18"/>
                <w:lang w:val="ro-MD"/>
              </w:rPr>
            </w:pPr>
            <w:r w:rsidRPr="00586283">
              <w:rPr>
                <w:rFonts w:ascii="Arial" w:hAnsi="Arial" w:cs="Arial"/>
                <w:sz w:val="18"/>
                <w:szCs w:val="18"/>
                <w:lang w:val="ro-MD"/>
              </w:rPr>
              <w:t>Digitalizarea sectorului medical este consolidată prin punerea în aplicare a dosarelor electronice de sănătate (DES) pentru 40% din populația asigurată.</w:t>
            </w:r>
          </w:p>
          <w:p w14:paraId="677EB503" w14:textId="77777777" w:rsidR="00F00E3C" w:rsidRPr="00586283" w:rsidRDefault="00F00E3C" w:rsidP="00F00E3C">
            <w:pPr>
              <w:spacing w:after="0" w:line="240" w:lineRule="auto"/>
              <w:jc w:val="both"/>
              <w:rPr>
                <w:rFonts w:ascii="Arial" w:hAnsi="Arial" w:cs="Arial"/>
                <w:sz w:val="18"/>
                <w:szCs w:val="18"/>
                <w:lang w:val="ro-MD"/>
              </w:rPr>
            </w:pPr>
          </w:p>
          <w:p w14:paraId="1371ED62" w14:textId="02F32516" w:rsidR="00F00E3C" w:rsidRPr="00840B12" w:rsidRDefault="00F00E3C" w:rsidP="00F00E3C">
            <w:pPr>
              <w:spacing w:after="0" w:line="240" w:lineRule="auto"/>
              <w:jc w:val="both"/>
              <w:rPr>
                <w:rFonts w:ascii="Arial" w:hAnsi="Arial" w:cs="Arial"/>
                <w:sz w:val="18"/>
                <w:szCs w:val="18"/>
                <w:lang w:val="en-US"/>
              </w:rPr>
            </w:pPr>
            <w:r>
              <w:rPr>
                <w:rFonts w:ascii="Arial" w:hAnsi="Arial" w:cs="Arial"/>
                <w:sz w:val="18"/>
                <w:szCs w:val="18"/>
                <w:lang w:val="ro-MD"/>
              </w:rPr>
              <w:t>Linia de referință</w:t>
            </w:r>
            <w:r w:rsidRPr="00586283">
              <w:rPr>
                <w:rFonts w:ascii="Arial" w:hAnsi="Arial" w:cs="Arial"/>
                <w:sz w:val="18"/>
                <w:szCs w:val="18"/>
                <w:lang w:val="ro-MD"/>
              </w:rPr>
              <w:t>: În decembrie 2024, dosarele medicale electronice nu sunt implementate.</w:t>
            </w:r>
          </w:p>
        </w:tc>
        <w:tc>
          <w:tcPr>
            <w:tcW w:w="4536" w:type="dxa"/>
          </w:tcPr>
          <w:p w14:paraId="3D8302F5" w14:textId="77777777" w:rsidR="00F00E3C" w:rsidRPr="00586283" w:rsidRDefault="00F00E3C" w:rsidP="00F00E3C">
            <w:pPr>
              <w:spacing w:after="0" w:line="240" w:lineRule="auto"/>
              <w:jc w:val="both"/>
              <w:rPr>
                <w:rFonts w:ascii="Arial" w:hAnsi="Arial" w:cs="Arial"/>
                <w:sz w:val="18"/>
                <w:szCs w:val="18"/>
                <w:lang w:val="ro-MD"/>
              </w:rPr>
            </w:pPr>
            <w:r w:rsidRPr="00586283">
              <w:rPr>
                <w:rFonts w:ascii="Arial" w:hAnsi="Arial" w:cs="Arial"/>
                <w:sz w:val="18"/>
                <w:szCs w:val="18"/>
                <w:lang w:val="ro-MD"/>
              </w:rPr>
              <w:t xml:space="preserve">Serviciile de asistență medicală sunt îmbunătățite prin punerea în aplicare a dosarelor electronice de sănătate (DES), care înlocuiesc dosarele medicale pe suport de hârtie cu un sistem digital securizat ce le permite medicilor, spitalelor și furnizorilor de asistență medicală să acceseze și să actualizeze informațiile despre pacienți (un istoric medical complet, inclusiv diagnosticele, tratamentele, rezultatele testelor și rețetele) în timp real. Ca urmare a aprobării Strategiei naționale de e-sănătate, DES sunt implementate și populate pentru cel puțin 40 % din populația asigurată. Pentru a asigura o utilizare eficientă, personalul tehnic din cadrul instituțiilor de reglementare și profesioniștii din domeniul sănătății beneficiază de instruire privind DES. </w:t>
            </w:r>
          </w:p>
          <w:p w14:paraId="36246FBD" w14:textId="661556E8" w:rsidR="00F00E3C" w:rsidRPr="00F00E3C" w:rsidRDefault="00F00E3C" w:rsidP="00F00E3C">
            <w:pPr>
              <w:spacing w:after="0" w:line="257" w:lineRule="auto"/>
              <w:jc w:val="both"/>
              <w:rPr>
                <w:rFonts w:ascii="Arial" w:hAnsi="Arial" w:cs="Arial"/>
                <w:sz w:val="18"/>
                <w:szCs w:val="18"/>
                <w:lang w:val="fr-FR"/>
              </w:rPr>
            </w:pPr>
            <w:r>
              <w:rPr>
                <w:rFonts w:ascii="Arial" w:hAnsi="Arial" w:cs="Arial"/>
                <w:sz w:val="18"/>
                <w:szCs w:val="18"/>
                <w:lang w:val="ro-MD"/>
              </w:rPr>
              <w:t>Sursa de verificare</w:t>
            </w:r>
            <w:r w:rsidRPr="00586283">
              <w:rPr>
                <w:rFonts w:ascii="Arial" w:hAnsi="Arial" w:cs="Arial"/>
                <w:sz w:val="18"/>
                <w:szCs w:val="18"/>
                <w:lang w:val="ro-MD"/>
              </w:rPr>
              <w:t>: Monitorul Oficial, specificațiile de sistem pentru DES, înregistrările de implementare, datele statistice din DES, înregistrările de instruire de la Ministerul Sănătății.</w:t>
            </w:r>
          </w:p>
        </w:tc>
      </w:tr>
      <w:tr w:rsidR="00F00E3C" w:rsidRPr="00BD0643" w14:paraId="541D6C32" w14:textId="77777777" w:rsidTr="00591F33">
        <w:trPr>
          <w:trHeight w:val="300"/>
        </w:trPr>
        <w:tc>
          <w:tcPr>
            <w:tcW w:w="851" w:type="dxa"/>
            <w:vAlign w:val="center"/>
          </w:tcPr>
          <w:p w14:paraId="2BCE8D35" w14:textId="77777777" w:rsidR="00F00E3C" w:rsidRPr="00F00E3C" w:rsidRDefault="00F00E3C" w:rsidP="00F00E3C">
            <w:pPr>
              <w:jc w:val="both"/>
              <w:rPr>
                <w:rFonts w:ascii="Arial" w:eastAsiaTheme="minorEastAsia" w:hAnsi="Arial" w:cs="Arial"/>
                <w:sz w:val="18"/>
                <w:szCs w:val="18"/>
                <w:lang w:val="fr-FR"/>
              </w:rPr>
            </w:pPr>
          </w:p>
        </w:tc>
        <w:tc>
          <w:tcPr>
            <w:tcW w:w="425" w:type="dxa"/>
            <w:vAlign w:val="center"/>
          </w:tcPr>
          <w:p w14:paraId="2E0BE9DF" w14:textId="77777777" w:rsidR="00F00E3C" w:rsidRPr="00F00E3C" w:rsidRDefault="00F00E3C" w:rsidP="00F00E3C">
            <w:pPr>
              <w:jc w:val="both"/>
              <w:rPr>
                <w:rFonts w:ascii="Arial" w:eastAsiaTheme="minorEastAsia" w:hAnsi="Arial" w:cs="Arial"/>
                <w:sz w:val="18"/>
                <w:szCs w:val="18"/>
                <w:lang w:val="fr-FR"/>
              </w:rPr>
            </w:pPr>
          </w:p>
        </w:tc>
        <w:tc>
          <w:tcPr>
            <w:tcW w:w="1276" w:type="dxa"/>
          </w:tcPr>
          <w:p w14:paraId="4777F854" w14:textId="77777777" w:rsidR="00F00E3C" w:rsidRPr="00F00E3C" w:rsidRDefault="00F00E3C" w:rsidP="00F00E3C">
            <w:pPr>
              <w:jc w:val="both"/>
              <w:rPr>
                <w:rFonts w:ascii="Arial" w:hAnsi="Arial" w:cs="Arial"/>
                <w:sz w:val="18"/>
                <w:szCs w:val="18"/>
                <w:lang w:val="fr-FR"/>
              </w:rPr>
            </w:pPr>
          </w:p>
        </w:tc>
        <w:tc>
          <w:tcPr>
            <w:tcW w:w="1276" w:type="dxa"/>
            <w:vAlign w:val="center"/>
          </w:tcPr>
          <w:p w14:paraId="1A17CBA8" w14:textId="2849B84F" w:rsidR="00F00E3C" w:rsidRPr="00F00E3C" w:rsidRDefault="00F00E3C" w:rsidP="00F00E3C">
            <w:pPr>
              <w:jc w:val="both"/>
              <w:rPr>
                <w:rFonts w:ascii="Arial" w:hAnsi="Arial" w:cs="Arial"/>
                <w:sz w:val="18"/>
                <w:szCs w:val="18"/>
                <w:lang w:val="fr-FR"/>
              </w:rPr>
            </w:pPr>
            <w:r w:rsidRPr="00586283">
              <w:rPr>
                <w:rFonts w:ascii="Arial" w:hAnsi="Arial" w:cs="Arial"/>
                <w:sz w:val="18"/>
                <w:szCs w:val="18"/>
                <w:lang w:val="ro-MD"/>
              </w:rPr>
              <w:t>Există instrumente integrate de transformare digitală pentru a asigura un acces mai bun și o mai mare calitate a asistenței medicale</w:t>
            </w:r>
          </w:p>
        </w:tc>
        <w:tc>
          <w:tcPr>
            <w:tcW w:w="283" w:type="dxa"/>
            <w:vAlign w:val="center"/>
          </w:tcPr>
          <w:p w14:paraId="1DECB5FD" w14:textId="72CDB4FE"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20</w:t>
            </w:r>
          </w:p>
        </w:tc>
        <w:tc>
          <w:tcPr>
            <w:tcW w:w="993" w:type="dxa"/>
          </w:tcPr>
          <w:p w14:paraId="58A57260" w14:textId="77777777" w:rsidR="00F00E3C" w:rsidRPr="00586283" w:rsidRDefault="00F00E3C" w:rsidP="00F00E3C">
            <w:pPr>
              <w:spacing w:after="0"/>
              <w:jc w:val="both"/>
              <w:rPr>
                <w:rFonts w:ascii="Arial" w:eastAsiaTheme="minorEastAsia" w:hAnsi="Arial" w:cs="Arial"/>
                <w:sz w:val="18"/>
                <w:szCs w:val="18"/>
                <w:lang w:val="ro-MD"/>
              </w:rPr>
            </w:pPr>
            <w:r>
              <w:rPr>
                <w:rFonts w:ascii="Arial" w:eastAsiaTheme="minorEastAsia" w:hAnsi="Arial" w:cs="Arial"/>
                <w:sz w:val="18"/>
                <w:szCs w:val="18"/>
                <w:lang w:val="ro-MD"/>
              </w:rPr>
              <w:t>d</w:t>
            </w:r>
            <w:r w:rsidRPr="00586283">
              <w:rPr>
                <w:rFonts w:ascii="Arial" w:eastAsiaTheme="minorEastAsia" w:hAnsi="Arial" w:cs="Arial"/>
                <w:sz w:val="18"/>
                <w:szCs w:val="18"/>
                <w:lang w:val="ro-MD"/>
              </w:rPr>
              <w:t>ecembrie 2026</w:t>
            </w:r>
          </w:p>
          <w:p w14:paraId="4CE2DB25" w14:textId="77777777" w:rsidR="00F00E3C" w:rsidRPr="00840B12" w:rsidRDefault="00F00E3C" w:rsidP="00F00E3C">
            <w:pPr>
              <w:jc w:val="both"/>
              <w:rPr>
                <w:rFonts w:ascii="Arial" w:eastAsiaTheme="minorEastAsia" w:hAnsi="Arial" w:cs="Arial"/>
                <w:sz w:val="18"/>
                <w:szCs w:val="18"/>
              </w:rPr>
            </w:pPr>
          </w:p>
        </w:tc>
        <w:tc>
          <w:tcPr>
            <w:tcW w:w="1559" w:type="dxa"/>
            <w:vAlign w:val="center"/>
          </w:tcPr>
          <w:p w14:paraId="35FDE5F8" w14:textId="50105D98" w:rsidR="00F00E3C" w:rsidRPr="00840B12" w:rsidRDefault="00F00E3C" w:rsidP="00F00E3C">
            <w:pPr>
              <w:jc w:val="both"/>
              <w:rPr>
                <w:rFonts w:ascii="Arial" w:eastAsiaTheme="minorEastAsia" w:hAnsi="Arial" w:cs="Arial"/>
                <w:sz w:val="18"/>
                <w:szCs w:val="18"/>
              </w:rPr>
            </w:pPr>
            <w:r w:rsidRPr="00586283">
              <w:rPr>
                <w:rFonts w:ascii="Arial" w:eastAsiaTheme="minorEastAsia" w:hAnsi="Arial" w:cs="Arial"/>
                <w:sz w:val="18"/>
                <w:szCs w:val="18"/>
                <w:lang w:val="ro-MD"/>
              </w:rPr>
              <w:t>Ministerul Sănătății</w:t>
            </w:r>
          </w:p>
        </w:tc>
        <w:tc>
          <w:tcPr>
            <w:tcW w:w="4252" w:type="dxa"/>
          </w:tcPr>
          <w:p w14:paraId="173A3E2C" w14:textId="77777777" w:rsidR="00F00E3C" w:rsidRPr="00586283" w:rsidRDefault="00F00E3C" w:rsidP="00F00E3C">
            <w:pPr>
              <w:spacing w:after="0" w:line="240" w:lineRule="auto"/>
              <w:jc w:val="both"/>
              <w:rPr>
                <w:rFonts w:ascii="Arial" w:hAnsi="Arial" w:cs="Arial"/>
                <w:sz w:val="18"/>
                <w:szCs w:val="18"/>
                <w:lang w:val="ro-MD"/>
              </w:rPr>
            </w:pPr>
            <w:r w:rsidRPr="00586283">
              <w:rPr>
                <w:rFonts w:ascii="Arial" w:hAnsi="Arial" w:cs="Arial"/>
                <w:sz w:val="18"/>
                <w:szCs w:val="18"/>
                <w:lang w:val="ro-MD"/>
              </w:rPr>
              <w:t>Serviciile din sectorul medical sunt digitalizate prin punerea în aplicare a unui sistem integrat de urmărire și asigurare a trasabilității.</w:t>
            </w:r>
          </w:p>
          <w:p w14:paraId="306FE7F1" w14:textId="77777777" w:rsidR="00F00E3C" w:rsidRPr="00586283" w:rsidRDefault="00F00E3C" w:rsidP="00F00E3C">
            <w:pPr>
              <w:spacing w:after="0" w:line="240" w:lineRule="auto"/>
              <w:jc w:val="both"/>
              <w:rPr>
                <w:rFonts w:ascii="Arial" w:hAnsi="Arial" w:cs="Arial"/>
                <w:sz w:val="18"/>
                <w:szCs w:val="18"/>
                <w:lang w:val="ro-MD"/>
              </w:rPr>
            </w:pPr>
          </w:p>
          <w:p w14:paraId="0C636A48" w14:textId="5021C6BE" w:rsidR="00F00E3C" w:rsidRPr="00840B12" w:rsidRDefault="00F00E3C" w:rsidP="00F00E3C">
            <w:pPr>
              <w:spacing w:after="0" w:line="240" w:lineRule="auto"/>
              <w:jc w:val="both"/>
              <w:rPr>
                <w:rFonts w:ascii="Arial" w:hAnsi="Arial" w:cs="Arial"/>
                <w:sz w:val="18"/>
                <w:szCs w:val="18"/>
                <w:lang w:val="en-US"/>
              </w:rPr>
            </w:pPr>
            <w:r>
              <w:rPr>
                <w:rFonts w:ascii="Arial" w:hAnsi="Arial" w:cs="Arial"/>
                <w:sz w:val="18"/>
                <w:szCs w:val="18"/>
                <w:lang w:val="ro-MD"/>
              </w:rPr>
              <w:t>Linia de referință</w:t>
            </w:r>
            <w:r w:rsidRPr="00586283">
              <w:rPr>
                <w:rFonts w:ascii="Arial" w:hAnsi="Arial" w:cs="Arial"/>
                <w:sz w:val="18"/>
                <w:szCs w:val="18"/>
                <w:lang w:val="ro-MD"/>
              </w:rPr>
              <w:t>: În decembrie 2024, Sistemul integrat de urmărire și asigurare a trasabilității nu este implementat. Sunt elaborate nota conceptuală și arhitectura.</w:t>
            </w:r>
          </w:p>
        </w:tc>
        <w:tc>
          <w:tcPr>
            <w:tcW w:w="4536" w:type="dxa"/>
          </w:tcPr>
          <w:p w14:paraId="2DB07FBC" w14:textId="77777777" w:rsidR="00F00E3C" w:rsidRPr="00586283" w:rsidRDefault="00F00E3C" w:rsidP="00F00E3C">
            <w:pPr>
              <w:spacing w:after="0" w:line="240" w:lineRule="auto"/>
              <w:jc w:val="both"/>
              <w:rPr>
                <w:rFonts w:ascii="Arial" w:hAnsi="Arial" w:cs="Arial"/>
                <w:sz w:val="18"/>
                <w:szCs w:val="18"/>
                <w:lang w:val="ro-MD"/>
              </w:rPr>
            </w:pPr>
            <w:r w:rsidRPr="00586283">
              <w:rPr>
                <w:rFonts w:ascii="Arial" w:hAnsi="Arial" w:cs="Arial"/>
                <w:sz w:val="18"/>
                <w:szCs w:val="18"/>
                <w:lang w:val="ro-MD"/>
              </w:rPr>
              <w:t xml:space="preserve">Sistemul integrat de urmărire și asigurare a trasabilității este operațional, permițând furnizorilor și prestatorilor de servicii medicale să raporteze periodic stocurile de medicamente, în timp ce Agenția Națională a Medicamentului monitorizează disponibilitatea și adoptă măsuri proactive pentru prevenirea penuriei. </w:t>
            </w:r>
          </w:p>
          <w:p w14:paraId="67212CBB" w14:textId="77777777" w:rsidR="00F00E3C" w:rsidRPr="00586283" w:rsidRDefault="00F00E3C" w:rsidP="00F00E3C">
            <w:pPr>
              <w:spacing w:after="0" w:line="240" w:lineRule="auto"/>
              <w:jc w:val="both"/>
              <w:rPr>
                <w:rFonts w:ascii="Arial" w:hAnsi="Arial" w:cs="Arial"/>
                <w:sz w:val="18"/>
                <w:szCs w:val="18"/>
                <w:lang w:val="ro-MD"/>
              </w:rPr>
            </w:pPr>
          </w:p>
          <w:p w14:paraId="3D0705C7" w14:textId="7EBDEF2D" w:rsidR="00F00E3C" w:rsidRPr="00F00E3C" w:rsidRDefault="00F00E3C" w:rsidP="00F00E3C">
            <w:pPr>
              <w:spacing w:after="0" w:line="240" w:lineRule="auto"/>
              <w:jc w:val="both"/>
              <w:rPr>
                <w:rFonts w:ascii="Arial" w:hAnsi="Arial" w:cs="Arial"/>
                <w:sz w:val="18"/>
                <w:szCs w:val="18"/>
                <w:lang w:val="fr-FR"/>
              </w:rPr>
            </w:pPr>
            <w:r>
              <w:rPr>
                <w:rFonts w:ascii="Arial" w:hAnsi="Arial" w:cs="Arial"/>
                <w:sz w:val="18"/>
                <w:szCs w:val="18"/>
                <w:lang w:val="ro-MD"/>
              </w:rPr>
              <w:t>Sursa de verificare</w:t>
            </w:r>
            <w:r w:rsidRPr="00586283">
              <w:rPr>
                <w:rFonts w:ascii="Arial" w:hAnsi="Arial" w:cs="Arial"/>
                <w:sz w:val="18"/>
                <w:szCs w:val="18"/>
                <w:lang w:val="ro-MD"/>
              </w:rPr>
              <w:t>: specificațiile sistemului de urmărire și asigurare a trasabilității, înregistrările de implementare, rapoartele de utilizare a sistemului.</w:t>
            </w:r>
          </w:p>
        </w:tc>
      </w:tr>
      <w:tr w:rsidR="00F00E3C" w:rsidRPr="00BD0643" w14:paraId="0A675DC2" w14:textId="77777777" w:rsidTr="00591F33">
        <w:trPr>
          <w:trHeight w:val="300"/>
        </w:trPr>
        <w:tc>
          <w:tcPr>
            <w:tcW w:w="851" w:type="dxa"/>
            <w:vAlign w:val="center"/>
          </w:tcPr>
          <w:p w14:paraId="07CC8E2A" w14:textId="77777777" w:rsidR="00F00E3C" w:rsidRPr="00F00E3C" w:rsidRDefault="00F00E3C" w:rsidP="00F00E3C">
            <w:pPr>
              <w:jc w:val="both"/>
              <w:rPr>
                <w:rFonts w:ascii="Arial" w:eastAsiaTheme="minorEastAsia" w:hAnsi="Arial" w:cs="Arial"/>
                <w:sz w:val="18"/>
                <w:szCs w:val="18"/>
                <w:lang w:val="fr-FR"/>
              </w:rPr>
            </w:pPr>
          </w:p>
        </w:tc>
        <w:tc>
          <w:tcPr>
            <w:tcW w:w="425" w:type="dxa"/>
            <w:vAlign w:val="center"/>
          </w:tcPr>
          <w:p w14:paraId="4D76861F" w14:textId="77777777" w:rsidR="00F00E3C" w:rsidRPr="00F00E3C" w:rsidRDefault="00F00E3C" w:rsidP="00F00E3C">
            <w:pPr>
              <w:jc w:val="both"/>
              <w:rPr>
                <w:rFonts w:ascii="Arial" w:eastAsiaTheme="minorEastAsia" w:hAnsi="Arial" w:cs="Arial"/>
                <w:sz w:val="18"/>
                <w:szCs w:val="18"/>
                <w:lang w:val="fr-FR"/>
              </w:rPr>
            </w:pPr>
          </w:p>
        </w:tc>
        <w:tc>
          <w:tcPr>
            <w:tcW w:w="1276" w:type="dxa"/>
          </w:tcPr>
          <w:p w14:paraId="7155FBD3" w14:textId="77777777" w:rsidR="00F00E3C" w:rsidRPr="00F00E3C" w:rsidRDefault="00F00E3C" w:rsidP="00F00E3C">
            <w:pPr>
              <w:jc w:val="both"/>
              <w:rPr>
                <w:rStyle w:val="normaltextrun"/>
                <w:rFonts w:ascii="Arial" w:hAnsi="Arial" w:cs="Arial"/>
                <w:sz w:val="18"/>
                <w:szCs w:val="18"/>
                <w:lang w:val="fr-FR"/>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7043B30" w14:textId="6C1E6B17" w:rsidR="00F00E3C" w:rsidRPr="00F00E3C" w:rsidRDefault="00F00E3C" w:rsidP="00F00E3C">
            <w:pPr>
              <w:jc w:val="both"/>
              <w:rPr>
                <w:rFonts w:ascii="Arial" w:hAnsi="Arial" w:cs="Arial"/>
                <w:sz w:val="18"/>
                <w:szCs w:val="18"/>
                <w:lang w:val="fr-FR"/>
              </w:rPr>
            </w:pPr>
            <w:r w:rsidRPr="00586283">
              <w:rPr>
                <w:rStyle w:val="normaltextrun"/>
                <w:rFonts w:ascii="Arial" w:hAnsi="Arial" w:cs="Arial"/>
                <w:sz w:val="18"/>
                <w:szCs w:val="18"/>
                <w:lang w:val="ro-MD"/>
              </w:rPr>
              <w:t>Acces sporit la tratamente noi pentru pacienții cu un număr mare de boli</w:t>
            </w:r>
          </w:p>
        </w:tc>
        <w:tc>
          <w:tcPr>
            <w:tcW w:w="2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5F77CD" w14:textId="0B81B3CF" w:rsidR="00F00E3C" w:rsidRPr="00840B12" w:rsidRDefault="00F00E3C" w:rsidP="00F00E3C">
            <w:pPr>
              <w:jc w:val="both"/>
              <w:rPr>
                <w:rFonts w:ascii="Arial" w:eastAsiaTheme="minorEastAsia" w:hAnsi="Arial" w:cs="Arial"/>
                <w:sz w:val="18"/>
                <w:szCs w:val="18"/>
              </w:rPr>
            </w:pPr>
            <w:r w:rsidRPr="00586283">
              <w:rPr>
                <w:rStyle w:val="normaltextrun"/>
                <w:rFonts w:ascii="Arial" w:hAnsi="Arial" w:cs="Arial"/>
                <w:sz w:val="18"/>
                <w:szCs w:val="18"/>
                <w:lang w:val="ro-MD"/>
              </w:rPr>
              <w:t>21</w:t>
            </w:r>
            <w:r w:rsidRPr="00586283">
              <w:rPr>
                <w:rStyle w:val="eop"/>
                <w:rFonts w:ascii="Arial" w:hAnsi="Arial" w:cs="Arial"/>
                <w:sz w:val="18"/>
                <w:szCs w:val="18"/>
                <w:lang w:val="ro-MD"/>
              </w:rPr>
              <w:t> </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183EBBB" w14:textId="516B9DF4" w:rsidR="00F00E3C" w:rsidRPr="00840B12" w:rsidRDefault="00F00E3C" w:rsidP="00F00E3C">
            <w:pPr>
              <w:spacing w:after="0"/>
              <w:jc w:val="both"/>
              <w:rPr>
                <w:rFonts w:ascii="Arial" w:eastAsiaTheme="minorEastAsia" w:hAnsi="Arial" w:cs="Arial"/>
                <w:sz w:val="18"/>
                <w:szCs w:val="18"/>
              </w:rPr>
            </w:pPr>
            <w:r>
              <w:rPr>
                <w:rStyle w:val="normaltextrun"/>
                <w:rFonts w:ascii="Arial" w:hAnsi="Arial" w:cs="Arial"/>
                <w:sz w:val="18"/>
                <w:szCs w:val="18"/>
                <w:lang w:val="ro-MD"/>
              </w:rPr>
              <w:t>d</w:t>
            </w:r>
            <w:r w:rsidRPr="00586283">
              <w:rPr>
                <w:rStyle w:val="normaltextrun"/>
                <w:rFonts w:ascii="Arial" w:hAnsi="Arial" w:cs="Arial"/>
                <w:sz w:val="18"/>
                <w:szCs w:val="18"/>
                <w:lang w:val="ro-MD"/>
              </w:rPr>
              <w:t>ecembrie 2026</w:t>
            </w:r>
            <w:r w:rsidRPr="00586283">
              <w:rPr>
                <w:rStyle w:val="eop"/>
                <w:rFonts w:ascii="Arial" w:hAnsi="Arial" w:cs="Arial"/>
                <w:sz w:val="18"/>
                <w:szCs w:val="18"/>
                <w:lang w:val="ro-MD"/>
              </w:rPr>
              <w:t> </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7C849BD" w14:textId="77777777" w:rsidR="00F00E3C" w:rsidRPr="00586283" w:rsidRDefault="00F00E3C" w:rsidP="00F00E3C">
            <w:pPr>
              <w:jc w:val="both"/>
              <w:rPr>
                <w:rStyle w:val="eop"/>
                <w:rFonts w:ascii="Arial" w:hAnsi="Arial" w:cs="Arial"/>
                <w:sz w:val="18"/>
                <w:szCs w:val="18"/>
                <w:lang w:val="ro-MD"/>
              </w:rPr>
            </w:pPr>
            <w:r w:rsidRPr="00586283">
              <w:rPr>
                <w:rFonts w:ascii="Arial" w:eastAsiaTheme="minorEastAsia" w:hAnsi="Arial" w:cs="Arial"/>
                <w:sz w:val="18"/>
                <w:szCs w:val="18"/>
                <w:lang w:val="ro-MD"/>
              </w:rPr>
              <w:t>Ministerul Sănătății</w:t>
            </w:r>
          </w:p>
          <w:p w14:paraId="1CF7533B" w14:textId="39C1C069" w:rsidR="00F00E3C" w:rsidRPr="00840B12" w:rsidRDefault="00F00E3C" w:rsidP="00F00E3C">
            <w:pPr>
              <w:jc w:val="both"/>
              <w:rPr>
                <w:rFonts w:ascii="Arial" w:eastAsiaTheme="minorEastAsia" w:hAnsi="Arial" w:cs="Arial"/>
                <w:sz w:val="18"/>
                <w:szCs w:val="18"/>
              </w:rPr>
            </w:pPr>
            <w:r w:rsidRPr="00586283">
              <w:rPr>
                <w:rStyle w:val="eop"/>
                <w:rFonts w:ascii="Arial" w:hAnsi="Arial" w:cs="Arial"/>
                <w:sz w:val="18"/>
                <w:szCs w:val="18"/>
                <w:lang w:val="ro-MD"/>
              </w:rPr>
              <w:t>Ministerul Finanțelor</w:t>
            </w:r>
          </w:p>
        </w:tc>
        <w:tc>
          <w:tcPr>
            <w:tcW w:w="4252" w:type="dxa"/>
            <w:tcBorders>
              <w:top w:val="single" w:sz="12" w:space="0" w:color="000000"/>
              <w:left w:val="single" w:sz="12" w:space="0" w:color="000000"/>
              <w:bottom w:val="single" w:sz="12" w:space="0" w:color="000000"/>
              <w:right w:val="single" w:sz="12" w:space="0" w:color="000000"/>
            </w:tcBorders>
            <w:shd w:val="clear" w:color="auto" w:fill="auto"/>
          </w:tcPr>
          <w:p w14:paraId="58FF536F" w14:textId="77777777" w:rsidR="00F00E3C" w:rsidRPr="00586283" w:rsidRDefault="00F00E3C" w:rsidP="00F00E3C">
            <w:pPr>
              <w:pStyle w:val="paragraph"/>
              <w:spacing w:before="0" w:beforeAutospacing="0" w:after="0" w:afterAutospacing="0"/>
              <w:jc w:val="both"/>
              <w:textAlignment w:val="baseline"/>
              <w:rPr>
                <w:rFonts w:ascii="Arial" w:hAnsi="Arial" w:cs="Arial"/>
                <w:sz w:val="18"/>
                <w:szCs w:val="18"/>
                <w:lang w:val="ro-MD"/>
              </w:rPr>
            </w:pPr>
            <w:r w:rsidRPr="00586283">
              <w:rPr>
                <w:rStyle w:val="normaltextrun"/>
                <w:rFonts w:ascii="Arial" w:hAnsi="Arial" w:cs="Arial"/>
                <w:sz w:val="18"/>
                <w:szCs w:val="18"/>
                <w:lang w:val="ro-MD"/>
              </w:rPr>
              <w:t>MD revizuiește Legea privind medicamentele și include cel puțin două medicamente inovatoare în lista de rambursare pozitivă. Regulamentele sunt revizuite în scopul de a permite acordurile de partajare a riscurilor.</w:t>
            </w:r>
          </w:p>
          <w:p w14:paraId="6A1DF07C" w14:textId="732A8D5F" w:rsidR="00F00E3C" w:rsidRPr="00840B12" w:rsidRDefault="00F00E3C" w:rsidP="00F00E3C">
            <w:pPr>
              <w:spacing w:after="0" w:line="240" w:lineRule="auto"/>
              <w:jc w:val="both"/>
              <w:rPr>
                <w:rFonts w:ascii="Arial" w:hAnsi="Arial" w:cs="Arial"/>
                <w:sz w:val="18"/>
                <w:szCs w:val="18"/>
                <w:lang w:val="en-US"/>
              </w:rPr>
            </w:pPr>
          </w:p>
        </w:tc>
        <w:tc>
          <w:tcPr>
            <w:tcW w:w="4536" w:type="dxa"/>
            <w:tcBorders>
              <w:top w:val="single" w:sz="12" w:space="0" w:color="000000"/>
              <w:left w:val="single" w:sz="12" w:space="0" w:color="000000"/>
              <w:bottom w:val="single" w:sz="12" w:space="0" w:color="000000"/>
              <w:right w:val="single" w:sz="12" w:space="0" w:color="000000"/>
            </w:tcBorders>
            <w:shd w:val="clear" w:color="auto" w:fill="auto"/>
          </w:tcPr>
          <w:p w14:paraId="26740B74" w14:textId="77777777" w:rsidR="00F00E3C" w:rsidRPr="00586283" w:rsidRDefault="00F00E3C" w:rsidP="00F00E3C">
            <w:pPr>
              <w:pStyle w:val="paragraph"/>
              <w:spacing w:after="0"/>
              <w:jc w:val="both"/>
              <w:textAlignment w:val="baseline"/>
              <w:rPr>
                <w:rStyle w:val="normaltextrun"/>
                <w:rFonts w:ascii="Arial" w:hAnsi="Arial" w:cs="Arial"/>
                <w:sz w:val="18"/>
                <w:szCs w:val="18"/>
                <w:lang w:val="ro-MD"/>
              </w:rPr>
            </w:pPr>
            <w:r w:rsidRPr="00586283">
              <w:rPr>
                <w:rStyle w:val="normaltextrun"/>
                <w:rFonts w:ascii="Arial" w:hAnsi="Arial" w:cs="Arial"/>
                <w:sz w:val="18"/>
                <w:szCs w:val="18"/>
                <w:lang w:val="ro-MD"/>
              </w:rPr>
              <w:t xml:space="preserve">MD revizuiește Legea privind medicamentele și utilizează procesul de evaluare a tehnologiilor medicale pentru a ghida deciziile privind includerea medicamentelor inovatoare în lista de rambursare pozitivă. Cel puțin două medicamente inovatoare sunt incluse în lista de rambursare pozitivă. Reglementările sunt revizuite pentru a permite încheierea de acorduri </w:t>
            </w:r>
            <w:r w:rsidRPr="00586283">
              <w:rPr>
                <w:rStyle w:val="normaltextrun"/>
                <w:rFonts w:ascii="Arial" w:hAnsi="Arial" w:cs="Arial"/>
                <w:sz w:val="18"/>
                <w:szCs w:val="18"/>
                <w:lang w:val="ro-MD"/>
              </w:rPr>
              <w:lastRenderedPageBreak/>
              <w:t xml:space="preserve">de partajare a riscurilor în vederea asigurării unei alocări eficiente a resurselor pentru achiziționarea de medicamente inovatoare. </w:t>
            </w:r>
          </w:p>
          <w:p w14:paraId="4CE822A1" w14:textId="77777777" w:rsidR="00F00E3C" w:rsidRPr="00586283" w:rsidRDefault="00F00E3C" w:rsidP="00F00E3C">
            <w:pPr>
              <w:pStyle w:val="paragraph"/>
              <w:spacing w:after="0"/>
              <w:jc w:val="both"/>
              <w:textAlignment w:val="baseline"/>
              <w:rPr>
                <w:rStyle w:val="normaltextrun"/>
                <w:rFonts w:ascii="Arial" w:hAnsi="Arial" w:cs="Arial"/>
                <w:sz w:val="18"/>
                <w:szCs w:val="18"/>
                <w:lang w:val="ro-MD"/>
              </w:rPr>
            </w:pPr>
            <w:r w:rsidRPr="00586283">
              <w:rPr>
                <w:rStyle w:val="normaltextrun"/>
                <w:rFonts w:ascii="Arial" w:hAnsi="Arial" w:cs="Arial"/>
                <w:sz w:val="18"/>
                <w:szCs w:val="18"/>
                <w:lang w:val="ro-MD"/>
              </w:rPr>
              <w:t xml:space="preserve"> </w:t>
            </w:r>
          </w:p>
          <w:p w14:paraId="65FBD3C4" w14:textId="00854AE4" w:rsidR="00F00E3C" w:rsidRPr="00F00E3C" w:rsidRDefault="00F00E3C" w:rsidP="00F00E3C">
            <w:pPr>
              <w:spacing w:after="0" w:line="240" w:lineRule="auto"/>
              <w:jc w:val="both"/>
              <w:rPr>
                <w:rFonts w:ascii="Arial" w:hAnsi="Arial" w:cs="Arial"/>
                <w:sz w:val="18"/>
                <w:szCs w:val="18"/>
                <w:lang w:val="ro-MD"/>
              </w:rPr>
            </w:pPr>
            <w:r>
              <w:rPr>
                <w:rStyle w:val="normaltextrun"/>
                <w:rFonts w:ascii="Arial" w:hAnsi="Arial" w:cs="Arial"/>
                <w:sz w:val="18"/>
                <w:szCs w:val="18"/>
                <w:lang w:val="ro-MD"/>
              </w:rPr>
              <w:t>Sursa de verificare</w:t>
            </w:r>
            <w:r w:rsidRPr="00586283">
              <w:rPr>
                <w:rStyle w:val="normaltextrun"/>
                <w:rFonts w:ascii="Arial" w:hAnsi="Arial" w:cs="Arial"/>
                <w:sz w:val="18"/>
                <w:szCs w:val="18"/>
                <w:lang w:val="ro-MD"/>
              </w:rPr>
              <w:t>: Monitorul Oficial, pagina web a guvernului pentru hotărârile de guvern; paginile web și rapoartele Ministerului Sănătății și ale Companiei Naționale de Asigurări în Medicină.</w:t>
            </w:r>
          </w:p>
        </w:tc>
      </w:tr>
    </w:tbl>
    <w:p w14:paraId="0DEBAE1C" w14:textId="77777777" w:rsidR="009462C6" w:rsidRPr="00F00E3C" w:rsidRDefault="009462C6" w:rsidP="002F7854">
      <w:pPr>
        <w:jc w:val="both"/>
        <w:rPr>
          <w:rFonts w:ascii="Arial" w:hAnsi="Arial" w:cs="Arial"/>
          <w:sz w:val="18"/>
          <w:szCs w:val="18"/>
          <w:lang w:val="ro-MD"/>
        </w:rPr>
      </w:pPr>
    </w:p>
    <w:p w14:paraId="335AEEDF" w14:textId="77777777" w:rsidR="00C74EE9" w:rsidRPr="00F00E3C" w:rsidRDefault="00C74EE9" w:rsidP="002F7854">
      <w:pPr>
        <w:jc w:val="both"/>
        <w:rPr>
          <w:rFonts w:ascii="Arial" w:hAnsi="Arial" w:cs="Arial"/>
          <w:sz w:val="18"/>
          <w:szCs w:val="18"/>
          <w:lang w:val="ro-MD"/>
        </w:rPr>
      </w:pPr>
    </w:p>
    <w:p w14:paraId="7CDFC020" w14:textId="77777777" w:rsidR="00047041" w:rsidRPr="00F00E3C" w:rsidRDefault="00047041" w:rsidP="00D8425A">
      <w:pPr>
        <w:jc w:val="center"/>
        <w:rPr>
          <w:rFonts w:ascii="Arial" w:hAnsi="Arial" w:cs="Arial"/>
          <w:sz w:val="18"/>
          <w:szCs w:val="18"/>
          <w:lang w:val="ro-MD"/>
        </w:rPr>
      </w:pPr>
    </w:p>
    <w:p w14:paraId="13411E2C" w14:textId="77777777" w:rsidR="00047041" w:rsidRPr="00F00E3C" w:rsidRDefault="00047041" w:rsidP="00D8425A">
      <w:pPr>
        <w:jc w:val="center"/>
        <w:rPr>
          <w:rFonts w:ascii="Arial" w:hAnsi="Arial" w:cs="Arial"/>
          <w:sz w:val="18"/>
          <w:szCs w:val="18"/>
          <w:lang w:val="ro-MD"/>
        </w:rPr>
      </w:pPr>
    </w:p>
    <w:p w14:paraId="6585BFA0" w14:textId="77777777" w:rsidR="00047041" w:rsidRPr="00F00E3C" w:rsidRDefault="00047041" w:rsidP="00D8425A">
      <w:pPr>
        <w:jc w:val="center"/>
        <w:rPr>
          <w:rFonts w:ascii="Arial" w:hAnsi="Arial" w:cs="Arial"/>
          <w:sz w:val="18"/>
          <w:szCs w:val="18"/>
          <w:lang w:val="ro-MD"/>
        </w:rPr>
      </w:pPr>
    </w:p>
    <w:p w14:paraId="68D29AE2" w14:textId="77777777" w:rsidR="00047041" w:rsidRPr="00F00E3C" w:rsidRDefault="00047041" w:rsidP="00D8425A">
      <w:pPr>
        <w:jc w:val="center"/>
        <w:rPr>
          <w:rFonts w:ascii="Arial" w:hAnsi="Arial" w:cs="Arial"/>
          <w:sz w:val="18"/>
          <w:szCs w:val="18"/>
          <w:lang w:val="ro-MD"/>
        </w:rPr>
      </w:pPr>
    </w:p>
    <w:p w14:paraId="13FCA71B" w14:textId="77777777" w:rsidR="00760CE4" w:rsidRPr="00F00E3C" w:rsidRDefault="00760CE4" w:rsidP="00D8425A">
      <w:pPr>
        <w:jc w:val="center"/>
        <w:rPr>
          <w:rFonts w:ascii="Arial" w:hAnsi="Arial" w:cs="Arial"/>
          <w:sz w:val="18"/>
          <w:szCs w:val="18"/>
          <w:lang w:val="ro-MD"/>
        </w:rPr>
      </w:pPr>
    </w:p>
    <w:p w14:paraId="3E84A071" w14:textId="77777777" w:rsidR="00760CE4" w:rsidRPr="00F00E3C" w:rsidRDefault="00760CE4" w:rsidP="00D8425A">
      <w:pPr>
        <w:jc w:val="center"/>
        <w:rPr>
          <w:rFonts w:ascii="Arial" w:hAnsi="Arial" w:cs="Arial"/>
          <w:sz w:val="18"/>
          <w:szCs w:val="18"/>
          <w:lang w:val="ro-MD"/>
        </w:rPr>
      </w:pPr>
    </w:p>
    <w:p w14:paraId="5C4FCD63" w14:textId="54561331" w:rsidR="00C74EE9" w:rsidRPr="00840B12" w:rsidRDefault="00F00E3C" w:rsidP="00D8425A">
      <w:pPr>
        <w:jc w:val="center"/>
        <w:rPr>
          <w:rFonts w:ascii="Arial" w:hAnsi="Arial" w:cs="Arial"/>
          <w:sz w:val="18"/>
          <w:szCs w:val="18"/>
        </w:rPr>
      </w:pPr>
      <w:r w:rsidRPr="00586283">
        <w:rPr>
          <w:rFonts w:ascii="Arial" w:hAnsi="Arial" w:cs="Arial"/>
          <w:sz w:val="18"/>
          <w:szCs w:val="18"/>
          <w:lang w:val="it-IT"/>
        </w:rPr>
        <w:t>Pilonul 5 Tranziție ecologică/capital natural</w:t>
      </w:r>
    </w:p>
    <w:p w14:paraId="7C873517" w14:textId="77777777" w:rsidR="00C74EE9" w:rsidRPr="00840B12" w:rsidRDefault="00C74EE9" w:rsidP="002F7854">
      <w:pPr>
        <w:jc w:val="both"/>
        <w:rPr>
          <w:rFonts w:ascii="Arial" w:hAnsi="Arial" w:cs="Arial"/>
          <w:sz w:val="18"/>
          <w:szCs w:val="18"/>
        </w:rPr>
      </w:pPr>
    </w:p>
    <w:p w14:paraId="6A0CA34C" w14:textId="77777777" w:rsidR="00C74EE9" w:rsidRPr="00840B12" w:rsidRDefault="00C74EE9" w:rsidP="002F7854">
      <w:pPr>
        <w:jc w:val="both"/>
        <w:rPr>
          <w:rFonts w:ascii="Arial" w:hAnsi="Arial" w:cs="Arial"/>
          <w:sz w:val="18"/>
          <w:szCs w:val="18"/>
        </w:rPr>
      </w:pPr>
    </w:p>
    <w:p w14:paraId="01E182D7" w14:textId="77777777" w:rsidR="00C74EE9" w:rsidRPr="00840B12" w:rsidRDefault="00C74EE9" w:rsidP="002F7854">
      <w:pPr>
        <w:jc w:val="both"/>
        <w:rPr>
          <w:rFonts w:ascii="Arial" w:hAnsi="Arial" w:cs="Arial"/>
          <w:sz w:val="18"/>
          <w:szCs w:val="18"/>
          <w:lang w:val="en-US"/>
        </w:rPr>
        <w:sectPr w:rsidR="00C74EE9" w:rsidRPr="00840B12" w:rsidSect="00C74EE9">
          <w:headerReference w:type="default" r:id="rId21"/>
          <w:footerReference w:type="default" r:id="rId22"/>
          <w:pgSz w:w="16838" w:h="11906" w:orient="landscape"/>
          <w:pgMar w:top="720" w:right="153" w:bottom="720" w:left="153" w:header="709" w:footer="709" w:gutter="0"/>
          <w:pgNumType w:start="1"/>
          <w:cols w:space="720"/>
        </w:sectPr>
      </w:pPr>
    </w:p>
    <w:p w14:paraId="4365189E" w14:textId="77777777" w:rsidR="00C74EE9" w:rsidRPr="00840B12" w:rsidRDefault="00C74EE9" w:rsidP="002F7854">
      <w:pPr>
        <w:jc w:val="both"/>
        <w:rPr>
          <w:rFonts w:ascii="Arial" w:hAnsi="Arial" w:cs="Arial"/>
          <w:sz w:val="18"/>
          <w:szCs w:val="18"/>
        </w:rPr>
        <w:sectPr w:rsidR="00C74EE9" w:rsidRPr="00840B12" w:rsidSect="00C74EE9">
          <w:pgSz w:w="16838" w:h="11906" w:orient="landscape"/>
          <w:pgMar w:top="1701" w:right="1134" w:bottom="851" w:left="1134" w:header="709" w:footer="709" w:gutter="0"/>
          <w:cols w:space="720"/>
        </w:sectPr>
      </w:pPr>
    </w:p>
    <w:tbl>
      <w:tblPr>
        <w:tblW w:w="14459"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51"/>
        <w:gridCol w:w="425"/>
        <w:gridCol w:w="1158"/>
        <w:gridCol w:w="528"/>
        <w:gridCol w:w="887"/>
        <w:gridCol w:w="1112"/>
        <w:gridCol w:w="3686"/>
        <w:gridCol w:w="5812"/>
      </w:tblGrid>
      <w:tr w:rsidR="009E67BB" w:rsidRPr="00840B12" w14:paraId="6F2BB0B1" w14:textId="77777777" w:rsidTr="00F44442">
        <w:trPr>
          <w:trHeight w:val="300"/>
        </w:trPr>
        <w:tc>
          <w:tcPr>
            <w:tcW w:w="851" w:type="dxa"/>
            <w:vAlign w:val="center"/>
          </w:tcPr>
          <w:p w14:paraId="10E661F1" w14:textId="04EA6309" w:rsidR="009E67BB" w:rsidRPr="00840B12" w:rsidRDefault="009E67BB" w:rsidP="009E67BB">
            <w:pPr>
              <w:jc w:val="both"/>
              <w:rPr>
                <w:rFonts w:ascii="Arial" w:hAnsi="Arial" w:cs="Arial"/>
                <w:sz w:val="18"/>
                <w:szCs w:val="18"/>
              </w:rPr>
            </w:pPr>
            <w:bookmarkStart w:id="10" w:name="bookmark=id.3znysh7"/>
            <w:bookmarkEnd w:id="10"/>
            <w:r w:rsidRPr="009F37F2">
              <w:rPr>
                <w:rFonts w:ascii="Arial" w:hAnsi="Arial" w:cs="Arial"/>
                <w:sz w:val="18"/>
                <w:szCs w:val="18"/>
                <w:lang w:val="ro-MD"/>
              </w:rPr>
              <w:lastRenderedPageBreak/>
              <w:t>Subdomeniu</w:t>
            </w:r>
          </w:p>
        </w:tc>
        <w:tc>
          <w:tcPr>
            <w:tcW w:w="425" w:type="dxa"/>
            <w:vAlign w:val="center"/>
          </w:tcPr>
          <w:p w14:paraId="71482374" w14:textId="46DA62B3"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 xml:space="preserve">Reformă </w:t>
            </w:r>
            <w:r w:rsidRPr="009F37F2">
              <w:rPr>
                <w:rFonts w:ascii="Arial" w:hAnsi="Arial" w:cs="Arial"/>
                <w:sz w:val="18"/>
                <w:szCs w:val="18"/>
                <w:lang w:val="ro-MD"/>
              </w:rPr>
              <w:br/>
              <w:t>#</w:t>
            </w:r>
          </w:p>
        </w:tc>
        <w:tc>
          <w:tcPr>
            <w:tcW w:w="1158" w:type="dxa"/>
            <w:vAlign w:val="center"/>
          </w:tcPr>
          <w:p w14:paraId="77850F39" w14:textId="569CFC8F"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Titlul reformei</w:t>
            </w:r>
          </w:p>
        </w:tc>
        <w:tc>
          <w:tcPr>
            <w:tcW w:w="528" w:type="dxa"/>
            <w:vAlign w:val="center"/>
          </w:tcPr>
          <w:p w14:paraId="46A60819" w14:textId="7B95DA19"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Etapa #</w:t>
            </w:r>
          </w:p>
        </w:tc>
        <w:tc>
          <w:tcPr>
            <w:tcW w:w="887" w:type="dxa"/>
            <w:vAlign w:val="center"/>
          </w:tcPr>
          <w:p w14:paraId="6A9193CD" w14:textId="3DD946FD"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t>Termen de punere în aplicare</w:t>
            </w:r>
          </w:p>
        </w:tc>
        <w:tc>
          <w:tcPr>
            <w:tcW w:w="1112" w:type="dxa"/>
            <w:vAlign w:val="center"/>
          </w:tcPr>
          <w:p w14:paraId="6DE00ED0" w14:textId="398470E5"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Instituții</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4643A" w14:textId="79E882F7"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t>Condiția de plată și termenul de punere în aplicare</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870CE" w14:textId="45057AC7"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Descrierea și definirea clară a ceea ce presupune fiecare etapă</w:t>
            </w:r>
          </w:p>
        </w:tc>
      </w:tr>
      <w:tr w:rsidR="009E67BB" w:rsidRPr="00BD0643" w14:paraId="741CD9BB" w14:textId="77777777" w:rsidTr="00F44442">
        <w:trPr>
          <w:trHeight w:val="300"/>
        </w:trPr>
        <w:tc>
          <w:tcPr>
            <w:tcW w:w="851" w:type="dxa"/>
          </w:tcPr>
          <w:p w14:paraId="7A2668A3" w14:textId="70EBF351"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Protecția mediului și acțiuni climatice</w:t>
            </w:r>
          </w:p>
        </w:tc>
        <w:tc>
          <w:tcPr>
            <w:tcW w:w="425" w:type="dxa"/>
          </w:tcPr>
          <w:p w14:paraId="2E893C9D" w14:textId="5430561E"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1</w:t>
            </w:r>
          </w:p>
        </w:tc>
        <w:tc>
          <w:tcPr>
            <w:tcW w:w="1158" w:type="dxa"/>
          </w:tcPr>
          <w:p w14:paraId="61E70F33" w14:textId="78C66D82"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Stabilirea unor condiții de concurență echitabile în domeniul mediului prin modernizarea guvernării de mediu și promovarea dezvoltării cu emisii reduse de carbon</w:t>
            </w:r>
          </w:p>
        </w:tc>
        <w:tc>
          <w:tcPr>
            <w:tcW w:w="528" w:type="dxa"/>
          </w:tcPr>
          <w:p w14:paraId="783F1242" w14:textId="6BAD4616"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1</w:t>
            </w:r>
          </w:p>
        </w:tc>
        <w:tc>
          <w:tcPr>
            <w:tcW w:w="887" w:type="dxa"/>
          </w:tcPr>
          <w:p w14:paraId="71669C38" w14:textId="6A5A4643" w:rsidR="009E67BB" w:rsidRPr="009F37F2" w:rsidRDefault="009E67BB" w:rsidP="009E67BB">
            <w:pPr>
              <w:jc w:val="both"/>
              <w:rPr>
                <w:rFonts w:ascii="Arial" w:hAnsi="Arial" w:cs="Arial"/>
                <w:sz w:val="18"/>
                <w:szCs w:val="18"/>
                <w:lang w:val="ro-MD"/>
              </w:rPr>
            </w:pPr>
            <w:r>
              <w:rPr>
                <w:rFonts w:ascii="Arial" w:hAnsi="Arial" w:cs="Arial"/>
                <w:sz w:val="18"/>
                <w:szCs w:val="18"/>
                <w:lang w:val="ro-MD"/>
              </w:rPr>
              <w:t>i</w:t>
            </w:r>
            <w:r w:rsidRPr="009F37F2">
              <w:rPr>
                <w:rFonts w:ascii="Arial" w:hAnsi="Arial" w:cs="Arial"/>
                <w:sz w:val="18"/>
                <w:szCs w:val="18"/>
                <w:lang w:val="ro-MD"/>
              </w:rPr>
              <w:t>unie 2026</w:t>
            </w:r>
          </w:p>
          <w:p w14:paraId="088415A5" w14:textId="77777777" w:rsidR="009E67BB" w:rsidRPr="009F37F2" w:rsidRDefault="009E67BB" w:rsidP="009E67BB">
            <w:pPr>
              <w:jc w:val="both"/>
              <w:rPr>
                <w:rFonts w:ascii="Arial" w:hAnsi="Arial" w:cs="Arial"/>
                <w:sz w:val="18"/>
                <w:szCs w:val="18"/>
                <w:lang w:val="ro-MD"/>
              </w:rPr>
            </w:pPr>
          </w:p>
          <w:p w14:paraId="4E3F13D0" w14:textId="77777777" w:rsidR="009E67BB" w:rsidRPr="009F37F2" w:rsidRDefault="009E67BB" w:rsidP="009E67BB">
            <w:pPr>
              <w:jc w:val="both"/>
              <w:rPr>
                <w:rFonts w:ascii="Arial" w:hAnsi="Arial" w:cs="Arial"/>
                <w:sz w:val="18"/>
                <w:szCs w:val="18"/>
                <w:lang w:val="ro-MD"/>
              </w:rPr>
            </w:pPr>
          </w:p>
          <w:p w14:paraId="15ABEB53" w14:textId="77777777" w:rsidR="009E67BB" w:rsidRPr="00840B12" w:rsidRDefault="009E67BB" w:rsidP="009E67BB">
            <w:pPr>
              <w:jc w:val="both"/>
              <w:rPr>
                <w:rFonts w:ascii="Arial" w:hAnsi="Arial" w:cs="Arial"/>
                <w:sz w:val="18"/>
                <w:szCs w:val="18"/>
              </w:rPr>
            </w:pPr>
          </w:p>
        </w:tc>
        <w:tc>
          <w:tcPr>
            <w:tcW w:w="1112" w:type="dxa"/>
          </w:tcPr>
          <w:p w14:paraId="7F6F7D28" w14:textId="2F9EA604"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Ministerul Mediului</w:t>
            </w:r>
          </w:p>
        </w:tc>
        <w:tc>
          <w:tcPr>
            <w:tcW w:w="3686" w:type="dxa"/>
          </w:tcPr>
          <w:p w14:paraId="48B8B39F"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 xml:space="preserve">Domeniul reglementării și aplicării normelor de mediu este consolidat substanțial prin punerea în aplicare a funcțiilor-cheie ale inspectoratului de mediu și ale agenției de mediu și prin aplicarea funcției de control/reglementare a mediului, în conformitate cu practicile UE. </w:t>
            </w:r>
          </w:p>
          <w:p w14:paraId="70CFB366" w14:textId="77777777" w:rsidR="009E67BB" w:rsidRPr="009F37F2" w:rsidRDefault="009E67BB" w:rsidP="009E67BB">
            <w:pPr>
              <w:jc w:val="both"/>
              <w:rPr>
                <w:rFonts w:ascii="Arial" w:hAnsi="Arial" w:cs="Arial"/>
                <w:sz w:val="18"/>
                <w:szCs w:val="18"/>
                <w:lang w:val="ro-MD"/>
              </w:rPr>
            </w:pPr>
          </w:p>
          <w:p w14:paraId="375B91E4" w14:textId="6B224BAF"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t>Linia de referință: Lipsa unui cadru instituțional clar, cu roluri definite (de exemplu, lipsa competențelor în materie de gestionare a substanțelor chimice, competențe insuficiente pentru a pune în aplicare pe deplin EIM, acțiuni climatice)</w:t>
            </w:r>
          </w:p>
        </w:tc>
        <w:tc>
          <w:tcPr>
            <w:tcW w:w="5812" w:type="dxa"/>
          </w:tcPr>
          <w:p w14:paraId="2D82CF2E"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 xml:space="preserve">Inspectoratul de mediu: </w:t>
            </w:r>
          </w:p>
          <w:p w14:paraId="0E52F42D"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(i) Este instituită o capacitate permanentă de răspuns rapid la incidentele de mediu de către inspectorat - integrarea platformei de alertă ecologică în sistemul de control al Inspectoratului pentru protecția mediului; (ii) Este instituită o capacitate eficientă de răspuns 24/7 pe tot parcursul anului la incidentele de mediu, împreună cu o metodă de urmărire a tratării sesizărilor de mediu - personalul de răspuns este disponibil, adică contractat 24/7 pe tot parcursul anului pentru a înregistra alertele. (iv) Rezultatele inspecțiilor sunt transparente și accesibile publicului (publicarea de rapoarte și acte de inspecție depersonalizate); (v) Este adoptat și pus la dispoziția publicului un document de orientare privind politica de punere în aplicare - sunt elaborate chestionare de control și liste de verificare; (vi) Este adoptată planificarea inspecțiilor, inclusiv elaborarea de categorii clare de risc, metodologia de planificare și desfășurare a inspecțiilor în conformitate cu standardele UE. Este adoptat ordinul ministrului de aprobare a criteriilor minime pentru Inspecțiile de mediu.</w:t>
            </w:r>
          </w:p>
          <w:p w14:paraId="1F6E1B5F"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Agenția de Mediu:</w:t>
            </w:r>
          </w:p>
          <w:p w14:paraId="5E1CC7C1"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 xml:space="preserve">(i) Competențe clarificate pentru a asigura punerea în aplicare și monitorizarea eficientă a mediului, sistemul de autorizare; (ii) Este instituit un mecanism de verificare a rapoartelor de automonitorizare; (iii) Sunt elaborate metodologii pentru cerințele de raportare ale sectorului privat. Se instituie un mecanism instituțional de consultare a sectorului privat; (iv) Se instituie și se actualizează periodic o bază de date unificată, ușor accesibilă, a autorizațiilor de mediu. (v) Responsabilitatea pentru autorizațiile și monitorizarea substanțelor chimice, a emisiilor de gaze cu efect de seră a fost atribuită Agenției pentru mediu; (vi) Hotărârea de Guvern care reglementează Agenția de Mediu aprobă organigrama revizuită, suplimentează numărul minim al Agenției pentru mediu cu 40 de membri ai personalului. </w:t>
            </w:r>
          </w:p>
          <w:p w14:paraId="635A3F7F" w14:textId="11281274"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lastRenderedPageBreak/>
              <w:t>Sursa de verificare: Monitorul Oficial, pagina web a Agenției de Mediu, pagina web a Inspectoratului pentru protecția mediului.</w:t>
            </w:r>
          </w:p>
        </w:tc>
      </w:tr>
      <w:tr w:rsidR="009E67BB" w:rsidRPr="00840B12" w14:paraId="5BE324EE" w14:textId="77777777" w:rsidTr="00F44442">
        <w:trPr>
          <w:trHeight w:val="300"/>
        </w:trPr>
        <w:tc>
          <w:tcPr>
            <w:tcW w:w="851" w:type="dxa"/>
          </w:tcPr>
          <w:p w14:paraId="11D9CC3A" w14:textId="77777777" w:rsidR="009E67BB" w:rsidRPr="009E67BB" w:rsidRDefault="009E67BB" w:rsidP="009E67BB">
            <w:pPr>
              <w:jc w:val="both"/>
              <w:rPr>
                <w:rFonts w:ascii="Arial" w:hAnsi="Arial" w:cs="Arial"/>
                <w:sz w:val="18"/>
                <w:szCs w:val="18"/>
                <w:lang w:val="fr-FR"/>
              </w:rPr>
            </w:pPr>
            <w:bookmarkStart w:id="11" w:name="_Hlk192891078"/>
          </w:p>
        </w:tc>
        <w:tc>
          <w:tcPr>
            <w:tcW w:w="425" w:type="dxa"/>
          </w:tcPr>
          <w:p w14:paraId="6B7C991F" w14:textId="77777777" w:rsidR="009E67BB" w:rsidRPr="009E67BB" w:rsidRDefault="009E67BB" w:rsidP="009E67BB">
            <w:pPr>
              <w:jc w:val="both"/>
              <w:rPr>
                <w:rFonts w:ascii="Arial" w:hAnsi="Arial" w:cs="Arial"/>
                <w:i/>
                <w:iCs/>
                <w:sz w:val="18"/>
                <w:szCs w:val="18"/>
                <w:lang w:val="fr-FR"/>
              </w:rPr>
            </w:pPr>
          </w:p>
        </w:tc>
        <w:tc>
          <w:tcPr>
            <w:tcW w:w="1158" w:type="dxa"/>
          </w:tcPr>
          <w:p w14:paraId="260B221D" w14:textId="77777777" w:rsidR="009E67BB" w:rsidRPr="009E67BB" w:rsidRDefault="009E67BB" w:rsidP="009E67BB">
            <w:pPr>
              <w:jc w:val="both"/>
              <w:rPr>
                <w:rFonts w:ascii="Arial" w:hAnsi="Arial" w:cs="Arial"/>
                <w:sz w:val="18"/>
                <w:szCs w:val="18"/>
                <w:lang w:val="fr-FR"/>
              </w:rPr>
            </w:pPr>
          </w:p>
        </w:tc>
        <w:tc>
          <w:tcPr>
            <w:tcW w:w="528" w:type="dxa"/>
          </w:tcPr>
          <w:p w14:paraId="14288316" w14:textId="697051D5"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2</w:t>
            </w:r>
          </w:p>
        </w:tc>
        <w:tc>
          <w:tcPr>
            <w:tcW w:w="887" w:type="dxa"/>
          </w:tcPr>
          <w:p w14:paraId="7139A095" w14:textId="45006F97" w:rsidR="009E67BB" w:rsidRPr="00840B12" w:rsidRDefault="009E67BB" w:rsidP="009E67BB">
            <w:pPr>
              <w:jc w:val="both"/>
              <w:rPr>
                <w:rFonts w:ascii="Arial" w:hAnsi="Arial" w:cs="Arial"/>
                <w:sz w:val="18"/>
                <w:szCs w:val="18"/>
              </w:rPr>
            </w:pPr>
            <w:r>
              <w:rPr>
                <w:rFonts w:ascii="Arial" w:hAnsi="Arial" w:cs="Arial"/>
                <w:sz w:val="18"/>
                <w:szCs w:val="18"/>
                <w:lang w:val="ro-MD"/>
              </w:rPr>
              <w:t>d</w:t>
            </w:r>
            <w:r w:rsidRPr="009F37F2">
              <w:rPr>
                <w:rFonts w:ascii="Arial" w:hAnsi="Arial" w:cs="Arial"/>
                <w:sz w:val="18"/>
                <w:szCs w:val="18"/>
                <w:lang w:val="ro-MD"/>
              </w:rPr>
              <w:t>ecembrie 2025</w:t>
            </w:r>
          </w:p>
        </w:tc>
        <w:tc>
          <w:tcPr>
            <w:tcW w:w="1112" w:type="dxa"/>
          </w:tcPr>
          <w:p w14:paraId="4AD259CE" w14:textId="77777777" w:rsidR="009E67BB" w:rsidRPr="00840B12" w:rsidRDefault="009E67BB" w:rsidP="009E67BB">
            <w:pPr>
              <w:jc w:val="both"/>
              <w:rPr>
                <w:rFonts w:ascii="Arial" w:hAnsi="Arial" w:cs="Arial"/>
                <w:sz w:val="18"/>
                <w:szCs w:val="18"/>
              </w:rPr>
            </w:pPr>
          </w:p>
        </w:tc>
        <w:tc>
          <w:tcPr>
            <w:tcW w:w="3686" w:type="dxa"/>
          </w:tcPr>
          <w:p w14:paraId="0D6DC073"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Reforma Fondului Național pentru Mediu este finalizată, în special prin asigurarea unei finanțări adecvate, publicarea cererilor de propuneri/oportunităților de finanțare, adoptarea unor norme și criterii de selecție clare și transparente pentru proiecte, instituirea unui comitet de evaluare și publicarea proiectelor care urmează să fie finanțate și a proiectelor deja finanțate, precum și raportarea privind implementarea proiectelor</w:t>
            </w:r>
          </w:p>
          <w:p w14:paraId="6C041730" w14:textId="467CAE47"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t>Linia de referință: Cadru instituțional și tehnic limitat și capacitate limitată de punere în aplicare a unor norme clare și transparente pentru alocarea de fonduri în cadrul Fondului Național pentru Mediu</w:t>
            </w:r>
          </w:p>
        </w:tc>
        <w:tc>
          <w:tcPr>
            <w:tcW w:w="5812" w:type="dxa"/>
          </w:tcPr>
          <w:p w14:paraId="2808C355"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 xml:space="preserve">Cererile de propuneri sunt publicate în buletinele oficiale și pe platformele media, existând dovezi ale difuzării către părțile interesate relevante (inclusiv ONG-uri, întreprinderi, instituții de cercetare). Ministerul Mediului aprobă orientări transparente privind finanțarea prin ordin al ministrului (care să includă rapoarte de consultare a părților interesate care să demonstreze implicarea societății civile și a experților în elaborarea normelor); criteriile de finanțare sunt disponibile pe pagina web oficială. Ministerul Mediului aprobă înființarea unui comitet de evaluare independent și publicarea periodică a proiectelor selectate, inclusiv alocarea bugetară și rezultatele preconizate, rapoarte periodice privind debursarea fondurilor și progresul implementării proiectelor (la fiecare 6 luni). </w:t>
            </w:r>
          </w:p>
          <w:p w14:paraId="733A5D3B" w14:textId="77777777" w:rsidR="009E67BB" w:rsidRPr="009F37F2" w:rsidRDefault="009E67BB" w:rsidP="009E67BB">
            <w:pPr>
              <w:jc w:val="both"/>
              <w:rPr>
                <w:rFonts w:ascii="Arial" w:hAnsi="Arial" w:cs="Arial"/>
                <w:sz w:val="18"/>
                <w:szCs w:val="18"/>
                <w:lang w:val="ro-MD"/>
              </w:rPr>
            </w:pPr>
          </w:p>
          <w:p w14:paraId="4310DE8F" w14:textId="211799F8"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Sursa de verificare: Pagina web a ONIPM, pagina web a Ministerului Mediului, ordinul ministrului privind comitetul de evaluare</w:t>
            </w:r>
          </w:p>
        </w:tc>
      </w:tr>
      <w:bookmarkEnd w:id="11"/>
      <w:tr w:rsidR="009E67BB" w:rsidRPr="00BD0643" w14:paraId="48073379" w14:textId="77777777" w:rsidTr="00F44442">
        <w:trPr>
          <w:trHeight w:val="300"/>
        </w:trPr>
        <w:tc>
          <w:tcPr>
            <w:tcW w:w="851" w:type="dxa"/>
          </w:tcPr>
          <w:p w14:paraId="340CB333" w14:textId="294B2530"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Protecția mediului și acțiuni climatice</w:t>
            </w:r>
          </w:p>
        </w:tc>
        <w:tc>
          <w:tcPr>
            <w:tcW w:w="425" w:type="dxa"/>
          </w:tcPr>
          <w:p w14:paraId="66438537" w14:textId="677B9934"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1</w:t>
            </w:r>
          </w:p>
        </w:tc>
        <w:tc>
          <w:tcPr>
            <w:tcW w:w="1158" w:type="dxa"/>
          </w:tcPr>
          <w:p w14:paraId="475A7914" w14:textId="2AA71999"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t>Condiții de concurență ecologice prin modernizarea guvernării de mediu și promovarea dezvoltării cu emisii reduse de carbon</w:t>
            </w:r>
          </w:p>
        </w:tc>
        <w:tc>
          <w:tcPr>
            <w:tcW w:w="528" w:type="dxa"/>
          </w:tcPr>
          <w:p w14:paraId="74E3D5E5" w14:textId="43B0820F"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3</w:t>
            </w:r>
          </w:p>
        </w:tc>
        <w:tc>
          <w:tcPr>
            <w:tcW w:w="887" w:type="dxa"/>
          </w:tcPr>
          <w:p w14:paraId="657A589B" w14:textId="77777777" w:rsidR="009E67BB" w:rsidRPr="009F37F2" w:rsidRDefault="009E67BB" w:rsidP="009E67BB">
            <w:pPr>
              <w:jc w:val="both"/>
              <w:rPr>
                <w:rFonts w:ascii="Arial" w:hAnsi="Arial" w:cs="Arial"/>
                <w:sz w:val="18"/>
                <w:szCs w:val="18"/>
                <w:lang w:val="ro-MD"/>
              </w:rPr>
            </w:pPr>
            <w:r>
              <w:rPr>
                <w:rFonts w:ascii="Arial" w:hAnsi="Arial" w:cs="Arial"/>
                <w:sz w:val="18"/>
                <w:szCs w:val="18"/>
                <w:lang w:val="ro-MD"/>
              </w:rPr>
              <w:t>iu</w:t>
            </w:r>
            <w:r w:rsidRPr="009F37F2">
              <w:rPr>
                <w:rFonts w:ascii="Arial" w:hAnsi="Arial" w:cs="Arial"/>
                <w:sz w:val="18"/>
                <w:szCs w:val="18"/>
                <w:lang w:val="ro-MD"/>
              </w:rPr>
              <w:t>nie 2026</w:t>
            </w:r>
          </w:p>
          <w:p w14:paraId="21A62660" w14:textId="77777777" w:rsidR="009E67BB" w:rsidRPr="009F37F2" w:rsidRDefault="009E67BB" w:rsidP="009E67BB">
            <w:pPr>
              <w:jc w:val="both"/>
              <w:rPr>
                <w:rFonts w:ascii="Arial" w:hAnsi="Arial" w:cs="Arial"/>
                <w:sz w:val="18"/>
                <w:szCs w:val="18"/>
                <w:lang w:val="ro-MD"/>
              </w:rPr>
            </w:pPr>
          </w:p>
          <w:p w14:paraId="7E1AF236" w14:textId="77777777" w:rsidR="009E67BB" w:rsidRPr="009F37F2" w:rsidRDefault="009E67BB" w:rsidP="009E67BB">
            <w:pPr>
              <w:jc w:val="both"/>
              <w:rPr>
                <w:rFonts w:ascii="Arial" w:hAnsi="Arial" w:cs="Arial"/>
                <w:sz w:val="18"/>
                <w:szCs w:val="18"/>
                <w:lang w:val="ro-MD"/>
              </w:rPr>
            </w:pPr>
          </w:p>
          <w:p w14:paraId="6ACAEA71" w14:textId="77777777" w:rsidR="009E67BB" w:rsidRPr="009F37F2" w:rsidRDefault="009E67BB" w:rsidP="009E67BB">
            <w:pPr>
              <w:jc w:val="both"/>
              <w:rPr>
                <w:rFonts w:ascii="Arial" w:hAnsi="Arial" w:cs="Arial"/>
                <w:sz w:val="18"/>
                <w:szCs w:val="18"/>
                <w:lang w:val="ro-MD"/>
              </w:rPr>
            </w:pPr>
          </w:p>
          <w:p w14:paraId="0590CF64" w14:textId="77777777" w:rsidR="009E67BB" w:rsidRPr="009F37F2" w:rsidRDefault="009E67BB" w:rsidP="009E67BB">
            <w:pPr>
              <w:jc w:val="both"/>
              <w:rPr>
                <w:rFonts w:ascii="Arial" w:hAnsi="Arial" w:cs="Arial"/>
                <w:sz w:val="18"/>
                <w:szCs w:val="18"/>
                <w:lang w:val="ro-MD"/>
              </w:rPr>
            </w:pPr>
          </w:p>
          <w:p w14:paraId="1F70D6D1" w14:textId="77777777" w:rsidR="009E67BB" w:rsidRPr="009F37F2" w:rsidRDefault="009E67BB" w:rsidP="009E67BB">
            <w:pPr>
              <w:jc w:val="both"/>
              <w:rPr>
                <w:rFonts w:ascii="Arial" w:hAnsi="Arial" w:cs="Arial"/>
                <w:sz w:val="18"/>
                <w:szCs w:val="18"/>
                <w:lang w:val="ro-MD"/>
              </w:rPr>
            </w:pPr>
          </w:p>
          <w:p w14:paraId="46EDDF33" w14:textId="77777777" w:rsidR="009E67BB" w:rsidRPr="009F37F2" w:rsidRDefault="009E67BB" w:rsidP="009E67BB">
            <w:pPr>
              <w:jc w:val="both"/>
              <w:rPr>
                <w:rFonts w:ascii="Arial" w:hAnsi="Arial" w:cs="Arial"/>
                <w:sz w:val="18"/>
                <w:szCs w:val="18"/>
                <w:lang w:val="ro-MD"/>
              </w:rPr>
            </w:pPr>
          </w:p>
          <w:p w14:paraId="2E98881C" w14:textId="77777777" w:rsidR="009E67BB" w:rsidRPr="009F37F2" w:rsidRDefault="009E67BB" w:rsidP="009E67BB">
            <w:pPr>
              <w:jc w:val="both"/>
              <w:rPr>
                <w:rFonts w:ascii="Arial" w:hAnsi="Arial" w:cs="Arial"/>
                <w:sz w:val="18"/>
                <w:szCs w:val="18"/>
                <w:lang w:val="ro-MD"/>
              </w:rPr>
            </w:pPr>
          </w:p>
          <w:p w14:paraId="2CAA792F" w14:textId="77777777" w:rsidR="009E67BB" w:rsidRPr="009F37F2" w:rsidRDefault="009E67BB" w:rsidP="009E67BB">
            <w:pPr>
              <w:jc w:val="both"/>
              <w:rPr>
                <w:rFonts w:ascii="Arial" w:hAnsi="Arial" w:cs="Arial"/>
                <w:sz w:val="18"/>
                <w:szCs w:val="18"/>
                <w:lang w:val="ro-MD"/>
              </w:rPr>
            </w:pPr>
          </w:p>
          <w:p w14:paraId="22F7BFD7" w14:textId="77777777" w:rsidR="009E67BB" w:rsidRPr="009F37F2" w:rsidRDefault="009E67BB" w:rsidP="009E67BB">
            <w:pPr>
              <w:jc w:val="both"/>
              <w:rPr>
                <w:rFonts w:ascii="Arial" w:hAnsi="Arial" w:cs="Arial"/>
                <w:sz w:val="18"/>
                <w:szCs w:val="18"/>
                <w:lang w:val="ro-MD"/>
              </w:rPr>
            </w:pPr>
          </w:p>
          <w:p w14:paraId="158764B0" w14:textId="77777777" w:rsidR="009E67BB" w:rsidRPr="009F37F2" w:rsidRDefault="009E67BB" w:rsidP="009E67BB">
            <w:pPr>
              <w:jc w:val="both"/>
              <w:rPr>
                <w:rFonts w:ascii="Arial" w:hAnsi="Arial" w:cs="Arial"/>
                <w:sz w:val="18"/>
                <w:szCs w:val="18"/>
                <w:lang w:val="ro-MD"/>
              </w:rPr>
            </w:pPr>
          </w:p>
          <w:p w14:paraId="062E75A7" w14:textId="77777777" w:rsidR="009E67BB" w:rsidRPr="009F37F2" w:rsidRDefault="009E67BB" w:rsidP="009E67BB">
            <w:pPr>
              <w:jc w:val="both"/>
              <w:rPr>
                <w:rFonts w:ascii="Arial" w:hAnsi="Arial" w:cs="Arial"/>
                <w:sz w:val="18"/>
                <w:szCs w:val="18"/>
                <w:lang w:val="ro-MD"/>
              </w:rPr>
            </w:pPr>
          </w:p>
          <w:p w14:paraId="3F64469C" w14:textId="77777777" w:rsidR="009E67BB" w:rsidRPr="009F37F2" w:rsidRDefault="009E67BB" w:rsidP="009E67BB">
            <w:pPr>
              <w:jc w:val="both"/>
              <w:rPr>
                <w:rFonts w:ascii="Arial" w:hAnsi="Arial" w:cs="Arial"/>
                <w:sz w:val="18"/>
                <w:szCs w:val="18"/>
                <w:lang w:val="ro-MD"/>
              </w:rPr>
            </w:pPr>
          </w:p>
          <w:p w14:paraId="5BB6EF06" w14:textId="77777777" w:rsidR="009E67BB" w:rsidRPr="00840B12" w:rsidRDefault="009E67BB" w:rsidP="009E67BB">
            <w:pPr>
              <w:jc w:val="both"/>
              <w:rPr>
                <w:rFonts w:ascii="Arial" w:hAnsi="Arial" w:cs="Arial"/>
                <w:sz w:val="18"/>
                <w:szCs w:val="18"/>
              </w:rPr>
            </w:pPr>
          </w:p>
        </w:tc>
        <w:tc>
          <w:tcPr>
            <w:tcW w:w="1112" w:type="dxa"/>
          </w:tcPr>
          <w:p w14:paraId="13FCA1A2" w14:textId="5CE19732" w:rsidR="009E67BB" w:rsidRPr="00840B12" w:rsidRDefault="009E67BB" w:rsidP="009E67BB">
            <w:pPr>
              <w:jc w:val="both"/>
              <w:rPr>
                <w:rFonts w:ascii="Arial" w:hAnsi="Arial" w:cs="Arial"/>
                <w:sz w:val="18"/>
                <w:szCs w:val="18"/>
              </w:rPr>
            </w:pPr>
            <w:r w:rsidRPr="009F37F2">
              <w:rPr>
                <w:rFonts w:ascii="Arial" w:hAnsi="Arial" w:cs="Arial"/>
                <w:sz w:val="18"/>
                <w:szCs w:val="18"/>
                <w:lang w:val="ro-MD"/>
              </w:rPr>
              <w:lastRenderedPageBreak/>
              <w:t>Ministerul Mediului</w:t>
            </w:r>
          </w:p>
        </w:tc>
        <w:tc>
          <w:tcPr>
            <w:tcW w:w="3686" w:type="dxa"/>
          </w:tcPr>
          <w:p w14:paraId="1A35325D"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Aplicabilitatea noii Legi privind răspunderea pentru mediul înconjurător este asigurată în conformitate cu Directiva 2004/35/CE.</w:t>
            </w:r>
          </w:p>
          <w:p w14:paraId="490C557B" w14:textId="05D9DEF3"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Linia de referință: Legea privind răspunderea pentru mediul înconjurător și practica în materie de răspundere pentru mediul înconjurător nu există în prezent.,</w:t>
            </w:r>
          </w:p>
        </w:tc>
        <w:tc>
          <w:tcPr>
            <w:tcW w:w="5812" w:type="dxa"/>
          </w:tcPr>
          <w:p w14:paraId="5747CBAD"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(i) Este stabilit cadrul juridic necesar pentru respectarea cerințelor privind răspunderea pentru mediul înconjurător, inclusiv normele privind penalitățile/amenzile aplicabile în cazul încălcării cadrului juridic, precum și sunt aplicate măsurile necesare pentru punerea în aplicare. (ii) Se stabilește o metodologie clară pentru evaluarea daunelor și garanția financiară de mediu și se aprobă criteriile de remediere a daunelor, precum și orientările tehnice și protocoalele de evaluare pentru autoritățile de mediu. (iii) Se adoptă Legea privind răspunderea pentru mediul înconjurător și se publică în Monitorul Oficial. (iv) Sunt organizate cursuri de instruire pentru inspectori și personalul relevant privind evaluarea daunelor.</w:t>
            </w:r>
          </w:p>
          <w:p w14:paraId="785365BB" w14:textId="785D85C2" w:rsidR="009E67BB" w:rsidRPr="009E67BB" w:rsidRDefault="009E67BB" w:rsidP="009E67BB">
            <w:pPr>
              <w:jc w:val="both"/>
              <w:rPr>
                <w:rFonts w:ascii="Arial" w:hAnsi="Arial" w:cs="Arial"/>
                <w:sz w:val="18"/>
                <w:szCs w:val="18"/>
                <w:lang w:val="ro-MD"/>
              </w:rPr>
            </w:pPr>
            <w:r w:rsidRPr="009F37F2">
              <w:rPr>
                <w:rFonts w:ascii="Arial" w:hAnsi="Arial" w:cs="Arial"/>
                <w:sz w:val="18"/>
                <w:szCs w:val="18"/>
                <w:lang w:val="ro-MD"/>
              </w:rPr>
              <w:t>Sursa de verificare: Monitorul Oficial, hotărâre de guvern privind metodologia de evaluare a daunelor ecologice și garanția ecologică, ordin al ministrului privind orientările tehnice și protocoalele de evaluare, rapoarte de instruire și de seminar).</w:t>
            </w:r>
          </w:p>
        </w:tc>
      </w:tr>
      <w:tr w:rsidR="009E67BB" w:rsidRPr="00BD0643" w14:paraId="1C8927DA" w14:textId="77777777" w:rsidTr="00F44442">
        <w:trPr>
          <w:trHeight w:val="300"/>
        </w:trPr>
        <w:tc>
          <w:tcPr>
            <w:tcW w:w="851" w:type="dxa"/>
          </w:tcPr>
          <w:p w14:paraId="7AB49580" w14:textId="7A8B214A" w:rsidR="009E67BB" w:rsidRPr="00840B12" w:rsidRDefault="009E67BB" w:rsidP="009E67BB">
            <w:pPr>
              <w:jc w:val="both"/>
              <w:rPr>
                <w:rFonts w:ascii="Arial" w:hAnsi="Arial" w:cs="Arial"/>
                <w:sz w:val="18"/>
                <w:szCs w:val="18"/>
              </w:rPr>
            </w:pPr>
            <w:r w:rsidRPr="009F37F2">
              <w:rPr>
                <w:rFonts w:ascii="Arial" w:hAnsi="Arial" w:cs="Arial"/>
                <w:sz w:val="18"/>
                <w:szCs w:val="18"/>
                <w:lang w:val="ro-MD"/>
              </w:rPr>
              <w:lastRenderedPageBreak/>
              <w:t>Protecția mediului și acțiuni climatice</w:t>
            </w:r>
          </w:p>
        </w:tc>
        <w:tc>
          <w:tcPr>
            <w:tcW w:w="425" w:type="dxa"/>
          </w:tcPr>
          <w:p w14:paraId="7CD8540B" w14:textId="1130F723"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1</w:t>
            </w:r>
          </w:p>
        </w:tc>
        <w:tc>
          <w:tcPr>
            <w:tcW w:w="1158" w:type="dxa"/>
          </w:tcPr>
          <w:p w14:paraId="121D36A4" w14:textId="0A5796B5"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t>Condiții de concurență ecologice prin modernizarea guvernării de mediu și promovarea dezvoltării cu emisii reduse de carbon</w:t>
            </w:r>
          </w:p>
        </w:tc>
        <w:tc>
          <w:tcPr>
            <w:tcW w:w="528" w:type="dxa"/>
          </w:tcPr>
          <w:p w14:paraId="05C5E2CF" w14:textId="159B6803"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4</w:t>
            </w:r>
          </w:p>
        </w:tc>
        <w:tc>
          <w:tcPr>
            <w:tcW w:w="887" w:type="dxa"/>
          </w:tcPr>
          <w:p w14:paraId="139ADFA4" w14:textId="2EF50FDB" w:rsidR="009E67BB" w:rsidRPr="00840B12" w:rsidRDefault="009E67BB" w:rsidP="009E67BB">
            <w:pPr>
              <w:jc w:val="both"/>
              <w:rPr>
                <w:rFonts w:ascii="Arial" w:hAnsi="Arial" w:cs="Arial"/>
                <w:sz w:val="18"/>
                <w:szCs w:val="18"/>
              </w:rPr>
            </w:pPr>
            <w:r>
              <w:rPr>
                <w:rFonts w:ascii="Arial" w:hAnsi="Arial" w:cs="Arial"/>
                <w:sz w:val="18"/>
                <w:szCs w:val="18"/>
                <w:lang w:val="ro-MD"/>
              </w:rPr>
              <w:t>iu</w:t>
            </w:r>
            <w:r w:rsidRPr="009F37F2">
              <w:rPr>
                <w:rFonts w:ascii="Arial" w:hAnsi="Arial" w:cs="Arial"/>
                <w:sz w:val="18"/>
                <w:szCs w:val="18"/>
                <w:lang w:val="ro-MD"/>
              </w:rPr>
              <w:t>nie 2027</w:t>
            </w:r>
          </w:p>
        </w:tc>
        <w:tc>
          <w:tcPr>
            <w:tcW w:w="1112" w:type="dxa"/>
          </w:tcPr>
          <w:p w14:paraId="1D963ECB" w14:textId="0A6E1017"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 xml:space="preserve">Ministerul Mediului </w:t>
            </w:r>
          </w:p>
        </w:tc>
        <w:tc>
          <w:tcPr>
            <w:tcW w:w="3686" w:type="dxa"/>
          </w:tcPr>
          <w:p w14:paraId="384CB7D8"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Este instituit un sistem actualizat de plăți pentru poluarea mediului și de taxe pentru utilizarea resurselor naturale.</w:t>
            </w:r>
          </w:p>
          <w:p w14:paraId="4B4F73C6" w14:textId="7235ACDC" w:rsidR="009E67BB" w:rsidRPr="009E67BB" w:rsidRDefault="009E67BB" w:rsidP="009E67BB">
            <w:pPr>
              <w:jc w:val="both"/>
              <w:rPr>
                <w:rFonts w:ascii="Arial" w:hAnsi="Arial" w:cs="Arial"/>
                <w:sz w:val="18"/>
                <w:szCs w:val="18"/>
                <w:lang w:val="ro-MD"/>
              </w:rPr>
            </w:pPr>
            <w:r w:rsidRPr="009F37F2">
              <w:rPr>
                <w:rFonts w:ascii="Arial" w:hAnsi="Arial" w:cs="Arial"/>
                <w:sz w:val="18"/>
                <w:szCs w:val="18"/>
                <w:lang w:val="ro-MD"/>
              </w:rPr>
              <w:t>Linia de referință: Sistemul actual de plăți este învechit și nu reflectă principiile de bază ale impozitării mediului - principiul „poluatorul plătește”, eficiența economică, echitatea socială abordarea domeniilor-cheie de impozitare - impozitarea energiei, impozitarea transporturilor, impozitarea poluării, impozitarea utilizării resurselor</w:t>
            </w:r>
          </w:p>
        </w:tc>
        <w:tc>
          <w:tcPr>
            <w:tcW w:w="5812" w:type="dxa"/>
          </w:tcPr>
          <w:p w14:paraId="6EA9164D"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Se stabilește un sistem actualizat de plăți pentru poluarea mediului și de taxe pentru utilizarea resurselor naturale, în conformitate cu cerințele UE. Este instituit un sistem de asigurare a conformității și de punere în aplicare pentru noile plăți și taxe, inclusiv penalități pentru nerespectare. Stabilirea cadrului juridic și a mecanismelor eficiente de punere în aplicare. Adoptarea noii legi privind plățile și taxele pentru poluare, inclusiv prin intermediul unui proces decizional participativ; aprobarea rapoartelor privind colectarea veniturilor și a orientărilor privind modul de calculare și colectare a plăților. Se introduc taxe sectoriale pentru utilizarea apei, emisii și eliminarea deșeurilor (de exemplu, taxe pentru captarea apei, taxe CO</w:t>
            </w:r>
            <w:r w:rsidRPr="009F37F2">
              <w:rPr>
                <w:rFonts w:ascii="Cambria Math" w:hAnsi="Cambria Math" w:cs="Cambria Math"/>
                <w:sz w:val="18"/>
                <w:szCs w:val="18"/>
                <w:lang w:val="ro-MD"/>
              </w:rPr>
              <w:t>₂</w:t>
            </w:r>
            <w:r w:rsidRPr="009F37F2">
              <w:rPr>
                <w:rFonts w:ascii="Arial" w:hAnsi="Arial" w:cs="Arial"/>
                <w:sz w:val="18"/>
                <w:szCs w:val="18"/>
                <w:lang w:val="ro-MD"/>
              </w:rPr>
              <w:t>, taxe pentru depozitarea deșeurilor).</w:t>
            </w:r>
          </w:p>
          <w:p w14:paraId="67C982B4" w14:textId="77777777" w:rsidR="009E67BB" w:rsidRPr="009F37F2" w:rsidRDefault="009E67BB" w:rsidP="009E67BB">
            <w:pPr>
              <w:jc w:val="both"/>
              <w:rPr>
                <w:rFonts w:ascii="Arial" w:hAnsi="Arial" w:cs="Arial"/>
                <w:sz w:val="18"/>
                <w:szCs w:val="18"/>
                <w:lang w:val="ro-MD"/>
              </w:rPr>
            </w:pPr>
          </w:p>
          <w:p w14:paraId="01BEB44C" w14:textId="38A8219C"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t>Sursa de verificare: Monitorul oficial privind noile plăți/taxe de poluare, rapoarte de consultare publică, un ordin al ministrului pentru orientările aprobate Rapoarte anuale privind colectarea veniturilor și alocarea acestora în scopuri de mediu.</w:t>
            </w:r>
          </w:p>
        </w:tc>
      </w:tr>
      <w:tr w:rsidR="009E67BB" w:rsidRPr="00BD0643" w14:paraId="05DB69BD" w14:textId="77777777" w:rsidTr="00F44442">
        <w:trPr>
          <w:trHeight w:val="300"/>
        </w:trPr>
        <w:tc>
          <w:tcPr>
            <w:tcW w:w="851" w:type="dxa"/>
          </w:tcPr>
          <w:p w14:paraId="54CA9D9A" w14:textId="5D081B94" w:rsidR="009E67BB" w:rsidRPr="00840B12" w:rsidRDefault="009E67BB" w:rsidP="009E67BB">
            <w:pPr>
              <w:jc w:val="both"/>
              <w:rPr>
                <w:rFonts w:ascii="Arial" w:hAnsi="Arial" w:cs="Arial"/>
                <w:sz w:val="18"/>
                <w:szCs w:val="18"/>
              </w:rPr>
            </w:pPr>
            <w:bookmarkStart w:id="12" w:name="_Hlk192920011"/>
            <w:r w:rsidRPr="009F37F2">
              <w:rPr>
                <w:rFonts w:ascii="Arial" w:hAnsi="Arial" w:cs="Arial"/>
                <w:sz w:val="18"/>
                <w:szCs w:val="18"/>
                <w:lang w:val="ro-MD"/>
              </w:rPr>
              <w:t>Protecția mediului și acțiuni climatice</w:t>
            </w:r>
          </w:p>
        </w:tc>
        <w:tc>
          <w:tcPr>
            <w:tcW w:w="425" w:type="dxa"/>
          </w:tcPr>
          <w:p w14:paraId="7C0CFAC1" w14:textId="57C35801"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1</w:t>
            </w:r>
          </w:p>
        </w:tc>
        <w:tc>
          <w:tcPr>
            <w:tcW w:w="1158" w:type="dxa"/>
          </w:tcPr>
          <w:p w14:paraId="18FCA7D7" w14:textId="257910D0"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t>Sistem de monitorizare și colectare de date pentru a contribui la formularea politicilor de mediu</w:t>
            </w:r>
          </w:p>
        </w:tc>
        <w:tc>
          <w:tcPr>
            <w:tcW w:w="528" w:type="dxa"/>
          </w:tcPr>
          <w:p w14:paraId="2FBFA1F9" w14:textId="3EFDAA5E"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5</w:t>
            </w:r>
          </w:p>
        </w:tc>
        <w:tc>
          <w:tcPr>
            <w:tcW w:w="887" w:type="dxa"/>
          </w:tcPr>
          <w:p w14:paraId="65B59024" w14:textId="0458D1A4" w:rsidR="009E67BB" w:rsidRPr="00840B12" w:rsidRDefault="009E67BB" w:rsidP="009E67BB">
            <w:pPr>
              <w:jc w:val="both"/>
              <w:rPr>
                <w:rFonts w:ascii="Arial" w:hAnsi="Arial" w:cs="Arial"/>
                <w:sz w:val="18"/>
                <w:szCs w:val="18"/>
              </w:rPr>
            </w:pPr>
            <w:r>
              <w:rPr>
                <w:rFonts w:ascii="Arial" w:hAnsi="Arial" w:cs="Arial"/>
                <w:sz w:val="18"/>
                <w:szCs w:val="18"/>
                <w:lang w:val="ro-MD"/>
              </w:rPr>
              <w:t>d</w:t>
            </w:r>
            <w:r w:rsidRPr="009F37F2">
              <w:rPr>
                <w:rFonts w:ascii="Arial" w:hAnsi="Arial" w:cs="Arial"/>
                <w:sz w:val="18"/>
                <w:szCs w:val="18"/>
                <w:lang w:val="ro-MD"/>
              </w:rPr>
              <w:t>ecembrie 2027</w:t>
            </w:r>
          </w:p>
        </w:tc>
        <w:tc>
          <w:tcPr>
            <w:tcW w:w="1112" w:type="dxa"/>
          </w:tcPr>
          <w:p w14:paraId="0167A83F" w14:textId="68586F59"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Ministerul Mediului</w:t>
            </w:r>
          </w:p>
        </w:tc>
        <w:tc>
          <w:tcPr>
            <w:tcW w:w="3686" w:type="dxa"/>
          </w:tcPr>
          <w:p w14:paraId="5F6F3CC6"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În vederea asigurării accesului publicului la informațiile de mediu, se pregătește o platformă unică de informare privind mediul, se finalizează specificațiile IT pentru dezvoltarea sistemului informatic integrat și se lansează procesul de achiziții publice.</w:t>
            </w:r>
          </w:p>
          <w:p w14:paraId="6F4D8E39" w14:textId="497B6F24"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Linia de referință: În decembrie 2024, nu există niciun sistem integrat de date de mediu.</w:t>
            </w:r>
          </w:p>
        </w:tc>
        <w:tc>
          <w:tcPr>
            <w:tcW w:w="5812" w:type="dxa"/>
          </w:tcPr>
          <w:p w14:paraId="49D356B0"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Sistemele de monitorizare a mediului sunt aliniate la cerințele UE, în special la obligațiile de raportare ale SEE. Elaborarea și aprobarea conceptului tehnic al unei platforme informatice unice în domeniul mediului, pe care sunt integrate toate datele și informațiile privind mediul. Evaluarea externă a conformității sistemului integrat cu standardele UE este finalizată cu un feedback pozitiv. A demarat procesul de achiziție a sistemelor informatice aliniate în proporție de 100% la standardele naționale și UE în materie de achiziții publice.</w:t>
            </w:r>
          </w:p>
          <w:p w14:paraId="2B85B0C8" w14:textId="4BB18BEF"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t>Sursa de verificare: Monitorul Oficial, hotărârea de guvern privind aprobarea conceptului tehnic al sistemului integrat de informații de mediu; raportul de evaluare externă a conformității; specificațiile tehnice publicate pe pagina web.</w:t>
            </w:r>
          </w:p>
        </w:tc>
      </w:tr>
      <w:bookmarkEnd w:id="12"/>
      <w:tr w:rsidR="009E67BB" w:rsidRPr="00BD0643" w14:paraId="07F3B9BA" w14:textId="77777777" w:rsidTr="00F44442">
        <w:trPr>
          <w:trHeight w:val="300"/>
        </w:trPr>
        <w:tc>
          <w:tcPr>
            <w:tcW w:w="851" w:type="dxa"/>
          </w:tcPr>
          <w:p w14:paraId="4D742478" w14:textId="583EF261" w:rsidR="009E67BB" w:rsidRPr="00840B12" w:rsidRDefault="009E67BB" w:rsidP="009E67BB">
            <w:pPr>
              <w:jc w:val="both"/>
              <w:rPr>
                <w:rFonts w:ascii="Arial" w:hAnsi="Arial" w:cs="Arial"/>
                <w:sz w:val="18"/>
                <w:szCs w:val="18"/>
              </w:rPr>
            </w:pPr>
            <w:r w:rsidRPr="009F37F2">
              <w:rPr>
                <w:rFonts w:ascii="Arial" w:hAnsi="Arial" w:cs="Arial"/>
                <w:sz w:val="18"/>
                <w:szCs w:val="18"/>
                <w:lang w:val="ro-MD"/>
              </w:rPr>
              <w:lastRenderedPageBreak/>
              <w:t>Protecția mediului și acțiuni climatice</w:t>
            </w:r>
          </w:p>
        </w:tc>
        <w:tc>
          <w:tcPr>
            <w:tcW w:w="425" w:type="dxa"/>
          </w:tcPr>
          <w:p w14:paraId="7BA7E664" w14:textId="5443B004"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2</w:t>
            </w:r>
          </w:p>
        </w:tc>
        <w:tc>
          <w:tcPr>
            <w:tcW w:w="1158" w:type="dxa"/>
          </w:tcPr>
          <w:p w14:paraId="733E8043" w14:textId="6058BA76"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 xml:space="preserve">Stoparea pierderii biodiversității și protejarea acesteia și a ecosistemelor naturale     </w:t>
            </w:r>
          </w:p>
        </w:tc>
        <w:tc>
          <w:tcPr>
            <w:tcW w:w="528" w:type="dxa"/>
          </w:tcPr>
          <w:p w14:paraId="3FCB86F2" w14:textId="6E81B459"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6</w:t>
            </w:r>
          </w:p>
        </w:tc>
        <w:tc>
          <w:tcPr>
            <w:tcW w:w="887" w:type="dxa"/>
          </w:tcPr>
          <w:p w14:paraId="7E04CE72" w14:textId="2D8A3305" w:rsidR="009E67BB" w:rsidRPr="00840B12" w:rsidRDefault="009E67BB" w:rsidP="009E67BB">
            <w:pPr>
              <w:jc w:val="both"/>
              <w:rPr>
                <w:rFonts w:ascii="Arial" w:hAnsi="Arial" w:cs="Arial"/>
                <w:sz w:val="18"/>
                <w:szCs w:val="18"/>
              </w:rPr>
            </w:pPr>
            <w:r>
              <w:rPr>
                <w:rFonts w:ascii="Arial" w:hAnsi="Arial" w:cs="Arial"/>
                <w:sz w:val="18"/>
                <w:szCs w:val="18"/>
                <w:lang w:val="ro-MD"/>
              </w:rPr>
              <w:t>d</w:t>
            </w:r>
            <w:r w:rsidRPr="009F37F2">
              <w:rPr>
                <w:rFonts w:ascii="Arial" w:hAnsi="Arial" w:cs="Arial"/>
                <w:sz w:val="18"/>
                <w:szCs w:val="18"/>
                <w:lang w:val="ro-MD"/>
              </w:rPr>
              <w:t>ecembrie 2027</w:t>
            </w:r>
          </w:p>
        </w:tc>
        <w:tc>
          <w:tcPr>
            <w:tcW w:w="1112" w:type="dxa"/>
          </w:tcPr>
          <w:p w14:paraId="1970F822" w14:textId="468331E8"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Ministerul Mediului</w:t>
            </w:r>
          </w:p>
        </w:tc>
        <w:tc>
          <w:tcPr>
            <w:tcW w:w="3686" w:type="dxa"/>
          </w:tcPr>
          <w:p w14:paraId="56016ECF"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Inventarierea fondului forestier național este instituționalizată și finalizată (100%) în conformitate cu baza legală și metodologia modificate și este instituit inventarul forestier continuu.</w:t>
            </w:r>
          </w:p>
          <w:p w14:paraId="1004F0C4" w14:textId="77777777" w:rsidR="009E67BB" w:rsidRPr="009F37F2" w:rsidRDefault="009E67BB" w:rsidP="009E67BB">
            <w:pPr>
              <w:jc w:val="both"/>
              <w:rPr>
                <w:rFonts w:ascii="Arial" w:hAnsi="Arial" w:cs="Arial"/>
                <w:sz w:val="18"/>
                <w:szCs w:val="18"/>
                <w:lang w:val="ro-MD"/>
              </w:rPr>
            </w:pPr>
          </w:p>
          <w:p w14:paraId="2C046B55" w14:textId="28954275"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Linia de bază: În 2024, 0% din inventarul forestier este finalizat.</w:t>
            </w:r>
          </w:p>
        </w:tc>
        <w:tc>
          <w:tcPr>
            <w:tcW w:w="5812" w:type="dxa"/>
          </w:tcPr>
          <w:p w14:paraId="403F1FD2"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Pădurea este gestionată ca un inventar forestier continuu (CFI) care utilizează eșantionarea sistematică. Această abordare combină măsurători repetate în parcele de eșantionare permanente cu măsurători în parcele de eșantionare temporare. Inventarul forestier se desfășoară în două etape, incluzând evaluări ale pădurilor și măsurători pe ortofotocarte, urmate de măsurători pe teren. Inventarul forestier cuprinde întregul teritoriu al țării.</w:t>
            </w:r>
          </w:p>
          <w:p w14:paraId="50B48864"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 xml:space="preserve">Date colectate și verificate pentru întreaga suprafață forestieră. Procesul de verificare internă a fost finalizat cu verificarea încrucișată a măsurătorilor pe teren și a datelor de la distanță (pentru a include verificarea și validarea de către terți independenți). Institutul de Cercetări și Amenajări Silvice (ICAS) a fost desemnat ca instituție publică distinctă aflată în subordinea directă a Ministerului Mediului și i s-a atribuit responsabilitatea pentru inventarierea fondului forestier. Cel puțin 75 % din personalul ICAS responsabil cu inventarierea pădurilor a fost instruit pentru a efectua și a întreține un inventar forestier continuu </w:t>
            </w:r>
          </w:p>
          <w:p w14:paraId="01FCB42D" w14:textId="38E1461C"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t>Sursa de verificare: Ordin al ministrului, hotărâre de guvern, rapoarte intermediare de progres, inclusiv rapoarte de verificare prin detectare la distanță (hărți ortofotografice) care demonstrează acoperirea și precizia)</w:t>
            </w:r>
          </w:p>
        </w:tc>
      </w:tr>
      <w:tr w:rsidR="009E67BB" w:rsidRPr="00BD0643" w14:paraId="653436E8" w14:textId="77777777" w:rsidTr="00F44442">
        <w:trPr>
          <w:trHeight w:val="300"/>
        </w:trPr>
        <w:tc>
          <w:tcPr>
            <w:tcW w:w="851" w:type="dxa"/>
          </w:tcPr>
          <w:p w14:paraId="2C28CA12" w14:textId="4632F693"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 xml:space="preserve"> Protecția mediului și acțiuni climatice</w:t>
            </w:r>
          </w:p>
        </w:tc>
        <w:tc>
          <w:tcPr>
            <w:tcW w:w="425" w:type="dxa"/>
          </w:tcPr>
          <w:p w14:paraId="33DCE28A" w14:textId="69DA9570"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2</w:t>
            </w:r>
          </w:p>
        </w:tc>
        <w:tc>
          <w:tcPr>
            <w:tcW w:w="1158" w:type="dxa"/>
          </w:tcPr>
          <w:p w14:paraId="3BEBA558" w14:textId="053D04F0"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 xml:space="preserve">Stoparea pierderii biodiversității și protejarea acesteia și a ecosistemelor naturale     </w:t>
            </w:r>
          </w:p>
        </w:tc>
        <w:tc>
          <w:tcPr>
            <w:tcW w:w="528" w:type="dxa"/>
          </w:tcPr>
          <w:p w14:paraId="5A32F94F" w14:textId="5C5920FE"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7</w:t>
            </w:r>
          </w:p>
        </w:tc>
        <w:tc>
          <w:tcPr>
            <w:tcW w:w="887" w:type="dxa"/>
          </w:tcPr>
          <w:p w14:paraId="58F70696" w14:textId="39B79654" w:rsidR="009E67BB" w:rsidRPr="00840B12" w:rsidRDefault="009E67BB" w:rsidP="009E67BB">
            <w:pPr>
              <w:jc w:val="both"/>
              <w:rPr>
                <w:rFonts w:ascii="Arial" w:hAnsi="Arial" w:cs="Arial"/>
                <w:sz w:val="18"/>
                <w:szCs w:val="18"/>
              </w:rPr>
            </w:pPr>
            <w:r>
              <w:rPr>
                <w:rFonts w:ascii="Arial" w:hAnsi="Arial" w:cs="Arial"/>
                <w:sz w:val="18"/>
                <w:szCs w:val="18"/>
                <w:lang w:val="ro-MD"/>
              </w:rPr>
              <w:t>d</w:t>
            </w:r>
            <w:r w:rsidRPr="009F37F2">
              <w:rPr>
                <w:rFonts w:ascii="Arial" w:hAnsi="Arial" w:cs="Arial"/>
                <w:sz w:val="18"/>
                <w:szCs w:val="18"/>
                <w:lang w:val="ro-MD"/>
              </w:rPr>
              <w:t>ecembrie 2026</w:t>
            </w:r>
          </w:p>
        </w:tc>
        <w:tc>
          <w:tcPr>
            <w:tcW w:w="1112" w:type="dxa"/>
          </w:tcPr>
          <w:p w14:paraId="17C495AA" w14:textId="7D961957"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Ministerul Mediului</w:t>
            </w:r>
          </w:p>
        </w:tc>
        <w:tc>
          <w:tcPr>
            <w:tcW w:w="3686" w:type="dxa"/>
          </w:tcPr>
          <w:p w14:paraId="64009477"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Este înființată o instituție separată responsabilă de gestionarea tuturor zonelor protejate și de asigurarea resurselor suficiente pentru gestionarea acestora inclusiv temeiul juridic, sediul alocat, orientările și procedurile operaționale pentru autoritate sunt aprobate și 50% din personal este recrutat.</w:t>
            </w:r>
          </w:p>
          <w:p w14:paraId="1CB95A68" w14:textId="054C734D"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 xml:space="preserve">Linia de referință: Nu există o instituție separată pentru gestionarea zonelor protejate, competențele referitoare la zonele protejate sunt atribuite Moldsilva (formând un set conflictual de competențe) și altor instituții. Nu există o abordare </w:t>
            </w:r>
            <w:r w:rsidRPr="009F37F2">
              <w:rPr>
                <w:rFonts w:ascii="Arial" w:hAnsi="Arial" w:cs="Arial"/>
                <w:sz w:val="18"/>
                <w:szCs w:val="18"/>
                <w:lang w:val="ro-MD"/>
              </w:rPr>
              <w:lastRenderedPageBreak/>
              <w:t>sistematică și o punere în aplicare a politicii privind zonele protejate.</w:t>
            </w:r>
          </w:p>
        </w:tc>
        <w:tc>
          <w:tcPr>
            <w:tcW w:w="5812" w:type="dxa"/>
          </w:tcPr>
          <w:p w14:paraId="7282E5F9"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lastRenderedPageBreak/>
              <w:t>Se instituie o nouă autoritate responsabilă cu punerea în aplicare a politicii de stat în materie de protecție și gestionare a tuturor zonelor protejate. Această autoritate exercită funcții de gestionare de stat, inclusiv monitorizarea și protejarea valorilor naturale legate de peisaj și de diversitatea biologică, pregătirea documentelor de planificare strategică pentru zonele protejate și supravegherea activităților din aceste zone. De asemenea, este responsabilă de pregătirea pentru NATURA2000. Personalul minim necesar este de 20 de persoane.</w:t>
            </w:r>
          </w:p>
          <w:p w14:paraId="336ED62A" w14:textId="22BD77FF" w:rsidR="009E67BB" w:rsidRPr="009E67BB" w:rsidRDefault="009E67BB" w:rsidP="009E67BB">
            <w:pPr>
              <w:jc w:val="both"/>
              <w:rPr>
                <w:rFonts w:ascii="Arial" w:hAnsi="Arial" w:cs="Arial"/>
                <w:sz w:val="18"/>
                <w:szCs w:val="18"/>
                <w:lang w:val="ro-MD"/>
              </w:rPr>
            </w:pPr>
            <w:r w:rsidRPr="009F37F2">
              <w:rPr>
                <w:rFonts w:ascii="Arial" w:hAnsi="Arial" w:cs="Arial"/>
                <w:sz w:val="18"/>
                <w:szCs w:val="18"/>
                <w:lang w:val="ro-MD"/>
              </w:rPr>
              <w:t>Sursa de verificare: Monitorul Oficial privind decizia de înființare a agenției, hotărâri de guvern, bugetul 2027 cu privire la bugetul alocat pentru funcționare, organigrama oficială.</w:t>
            </w:r>
          </w:p>
        </w:tc>
      </w:tr>
      <w:tr w:rsidR="009E67BB" w:rsidRPr="00BD0643" w14:paraId="623EBB2D" w14:textId="77777777" w:rsidTr="00F44442">
        <w:trPr>
          <w:trHeight w:val="2325"/>
        </w:trPr>
        <w:tc>
          <w:tcPr>
            <w:tcW w:w="851" w:type="dxa"/>
          </w:tcPr>
          <w:p w14:paraId="163ACF36" w14:textId="36DF65FE" w:rsidR="009E67BB" w:rsidRPr="00840B12" w:rsidRDefault="009E67BB" w:rsidP="009E67BB">
            <w:pPr>
              <w:jc w:val="both"/>
              <w:rPr>
                <w:rFonts w:ascii="Arial" w:hAnsi="Arial" w:cs="Arial"/>
                <w:sz w:val="18"/>
                <w:szCs w:val="18"/>
              </w:rPr>
            </w:pPr>
            <w:r w:rsidRPr="009F37F2">
              <w:rPr>
                <w:rFonts w:ascii="Arial" w:hAnsi="Arial" w:cs="Arial"/>
                <w:sz w:val="18"/>
                <w:szCs w:val="18"/>
                <w:lang w:val="ro-MD"/>
              </w:rPr>
              <w:lastRenderedPageBreak/>
              <w:t>Protecția mediului și acțiuni climatice</w:t>
            </w:r>
          </w:p>
        </w:tc>
        <w:tc>
          <w:tcPr>
            <w:tcW w:w="425" w:type="dxa"/>
          </w:tcPr>
          <w:p w14:paraId="692C0249" w14:textId="6926BA80"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2</w:t>
            </w:r>
          </w:p>
        </w:tc>
        <w:tc>
          <w:tcPr>
            <w:tcW w:w="1158" w:type="dxa"/>
          </w:tcPr>
          <w:p w14:paraId="5860A926" w14:textId="2402C924"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 xml:space="preserve">Stoparea pierderii biodiversității și protejarea acesteia și a ecosistemelor naturale     </w:t>
            </w:r>
          </w:p>
        </w:tc>
        <w:tc>
          <w:tcPr>
            <w:tcW w:w="528" w:type="dxa"/>
          </w:tcPr>
          <w:p w14:paraId="0F45EF99" w14:textId="6F043DC9"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8</w:t>
            </w:r>
          </w:p>
        </w:tc>
        <w:tc>
          <w:tcPr>
            <w:tcW w:w="887" w:type="dxa"/>
          </w:tcPr>
          <w:p w14:paraId="09057D6D" w14:textId="2CF618A1" w:rsidR="009E67BB" w:rsidRPr="00840B12" w:rsidRDefault="009E67BB" w:rsidP="009E67BB">
            <w:pPr>
              <w:jc w:val="both"/>
              <w:rPr>
                <w:rFonts w:ascii="Arial" w:hAnsi="Arial" w:cs="Arial"/>
                <w:sz w:val="18"/>
                <w:szCs w:val="18"/>
              </w:rPr>
            </w:pPr>
            <w:r>
              <w:rPr>
                <w:rFonts w:ascii="Arial" w:hAnsi="Arial" w:cs="Arial"/>
                <w:sz w:val="18"/>
                <w:szCs w:val="18"/>
                <w:lang w:val="ro-MD"/>
              </w:rPr>
              <w:t>d</w:t>
            </w:r>
            <w:r w:rsidRPr="009F37F2">
              <w:rPr>
                <w:rFonts w:ascii="Arial" w:hAnsi="Arial" w:cs="Arial"/>
                <w:sz w:val="18"/>
                <w:szCs w:val="18"/>
                <w:lang w:val="ro-MD"/>
              </w:rPr>
              <w:t>ecembrie 2027</w:t>
            </w:r>
          </w:p>
        </w:tc>
        <w:tc>
          <w:tcPr>
            <w:tcW w:w="1112" w:type="dxa"/>
          </w:tcPr>
          <w:p w14:paraId="2C5E73FC" w14:textId="781BAF8D"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Ministerul Mediului</w:t>
            </w:r>
          </w:p>
        </w:tc>
        <w:tc>
          <w:tcPr>
            <w:tcW w:w="3686" w:type="dxa"/>
          </w:tcPr>
          <w:p w14:paraId="56BA46F2"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 xml:space="preserve">Propunerea MD pentru siturile Natura 2000 (Directiva privind păsările și habitatele) este pregătită în conformitate cu criteriile științifice (pentru a fi prezentată Comisiei Europene). </w:t>
            </w:r>
          </w:p>
          <w:p w14:paraId="43C41632" w14:textId="43409F9C"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Linia de referință: Nu există nicio propunere.</w:t>
            </w:r>
          </w:p>
        </w:tc>
        <w:tc>
          <w:tcPr>
            <w:tcW w:w="5812" w:type="dxa"/>
          </w:tcPr>
          <w:p w14:paraId="7B92616E"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Cartografierea detaliată a habitatului și datele privind populația speciilor sunt finalizate pentru siturile potențiale. Propunerea, inclusiv obiectivele de conservare și planurile de gestionare specifice sitului, este finalizată și pregătită pentru a fi prezentată Comisiei Europene.</w:t>
            </w:r>
          </w:p>
          <w:p w14:paraId="39B0C41A" w14:textId="77777777" w:rsidR="009E67BB" w:rsidRPr="009F37F2" w:rsidRDefault="009E67BB" w:rsidP="009E67BB">
            <w:pPr>
              <w:jc w:val="both"/>
              <w:rPr>
                <w:rFonts w:ascii="Arial" w:hAnsi="Arial" w:cs="Arial"/>
                <w:sz w:val="18"/>
                <w:szCs w:val="18"/>
                <w:lang w:val="ro-MD"/>
              </w:rPr>
            </w:pPr>
          </w:p>
          <w:p w14:paraId="43F89E96" w14:textId="4D5FFF1F" w:rsidR="009E67BB" w:rsidRPr="009E67BB" w:rsidRDefault="009E67BB" w:rsidP="009E67BB">
            <w:pPr>
              <w:jc w:val="both"/>
              <w:rPr>
                <w:rFonts w:ascii="Arial" w:hAnsi="Arial" w:cs="Arial"/>
                <w:sz w:val="18"/>
                <w:szCs w:val="18"/>
                <w:lang w:val="fr-FR"/>
              </w:rPr>
            </w:pPr>
            <w:r w:rsidRPr="009F37F2">
              <w:rPr>
                <w:rFonts w:ascii="Arial" w:hAnsi="Arial" w:cs="Arial"/>
                <w:sz w:val="18"/>
                <w:szCs w:val="18"/>
                <w:lang w:val="ro-MD"/>
              </w:rPr>
              <w:t>Sursa de verificare: Raportul Ministerului Mediului</w:t>
            </w:r>
          </w:p>
        </w:tc>
      </w:tr>
      <w:tr w:rsidR="009E67BB" w:rsidRPr="00840B12" w14:paraId="65D2572B" w14:textId="77777777" w:rsidTr="00F44442">
        <w:trPr>
          <w:trHeight w:val="300"/>
        </w:trPr>
        <w:tc>
          <w:tcPr>
            <w:tcW w:w="851" w:type="dxa"/>
          </w:tcPr>
          <w:p w14:paraId="5425ED30" w14:textId="67C79849"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Protecția mediului și acțiuni climatice</w:t>
            </w:r>
          </w:p>
        </w:tc>
        <w:tc>
          <w:tcPr>
            <w:tcW w:w="425" w:type="dxa"/>
          </w:tcPr>
          <w:p w14:paraId="4E091FA1" w14:textId="3CABB26F"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3</w:t>
            </w:r>
          </w:p>
        </w:tc>
        <w:tc>
          <w:tcPr>
            <w:tcW w:w="1158" w:type="dxa"/>
          </w:tcPr>
          <w:p w14:paraId="19B5CE67" w14:textId="21E92DF5"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Consolidarea productivității resurselor și a circularității, inclusiv gestionarea deșeurilor</w:t>
            </w:r>
          </w:p>
        </w:tc>
        <w:tc>
          <w:tcPr>
            <w:tcW w:w="528" w:type="dxa"/>
          </w:tcPr>
          <w:p w14:paraId="6EBBFC6A" w14:textId="2F018A7B"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9</w:t>
            </w:r>
          </w:p>
        </w:tc>
        <w:tc>
          <w:tcPr>
            <w:tcW w:w="887" w:type="dxa"/>
          </w:tcPr>
          <w:p w14:paraId="692A5F82" w14:textId="77777777" w:rsidR="009E67BB" w:rsidRPr="009F37F2" w:rsidRDefault="009E67BB" w:rsidP="009E67BB">
            <w:pPr>
              <w:jc w:val="both"/>
              <w:rPr>
                <w:rFonts w:ascii="Arial" w:hAnsi="Arial" w:cs="Arial"/>
                <w:sz w:val="18"/>
                <w:szCs w:val="18"/>
                <w:lang w:val="ro-MD"/>
              </w:rPr>
            </w:pPr>
            <w:r>
              <w:rPr>
                <w:rFonts w:ascii="Arial" w:hAnsi="Arial" w:cs="Arial"/>
                <w:sz w:val="18"/>
                <w:szCs w:val="18"/>
                <w:lang w:val="ro-MD"/>
              </w:rPr>
              <w:t>d</w:t>
            </w:r>
            <w:r w:rsidRPr="009F37F2">
              <w:rPr>
                <w:rFonts w:ascii="Arial" w:hAnsi="Arial" w:cs="Arial"/>
                <w:sz w:val="18"/>
                <w:szCs w:val="18"/>
                <w:lang w:val="ro-MD"/>
              </w:rPr>
              <w:t>ecembrie 2026</w:t>
            </w:r>
          </w:p>
          <w:p w14:paraId="78F47A9C" w14:textId="77777777" w:rsidR="009E67BB" w:rsidRPr="00840B12" w:rsidRDefault="009E67BB" w:rsidP="009E67BB">
            <w:pPr>
              <w:jc w:val="both"/>
              <w:rPr>
                <w:rFonts w:ascii="Arial" w:hAnsi="Arial" w:cs="Arial"/>
                <w:sz w:val="18"/>
                <w:szCs w:val="18"/>
              </w:rPr>
            </w:pPr>
          </w:p>
        </w:tc>
        <w:tc>
          <w:tcPr>
            <w:tcW w:w="1112" w:type="dxa"/>
          </w:tcPr>
          <w:p w14:paraId="55DC98E3" w14:textId="199EDB5D"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Ministerul Mediului</w:t>
            </w:r>
          </w:p>
        </w:tc>
        <w:tc>
          <w:tcPr>
            <w:tcW w:w="3686" w:type="dxa"/>
          </w:tcPr>
          <w:p w14:paraId="36D9F269"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Laboratorul de referință pentru mediu din cadrul Agenției de Mediu este operațional pentru toate componentele de mediu pentru care este responsabil: apă, aer, sol, deșeuri, radioactivitatea mediului. LRM pune în aplicare o bază de date publică sau un sistem de raportare în care datele de monitorizare a mediului și rezultatele de laborator sunt comunicate publicului și părților interesate relevante într-un mod transparent.</w:t>
            </w:r>
          </w:p>
          <w:p w14:paraId="63037518" w14:textId="623584ED" w:rsidR="009E67BB" w:rsidRPr="009E67BB" w:rsidRDefault="009E67BB" w:rsidP="009E67BB">
            <w:pPr>
              <w:jc w:val="both"/>
              <w:rPr>
                <w:rFonts w:ascii="Arial" w:hAnsi="Arial" w:cs="Arial"/>
                <w:sz w:val="18"/>
                <w:szCs w:val="18"/>
                <w:lang w:val="ro-MD"/>
              </w:rPr>
            </w:pPr>
            <w:r w:rsidRPr="009F37F2">
              <w:rPr>
                <w:rFonts w:ascii="Arial" w:hAnsi="Arial" w:cs="Arial"/>
                <w:sz w:val="18"/>
                <w:szCs w:val="18"/>
                <w:lang w:val="ro-MD"/>
              </w:rPr>
              <w:t>Linia de referință: Echipamentele și metodele nu permit efectuarea de investigații în conformitate cu standardele UE. Baza de date există, însă nu este ușor de utilizat.</w:t>
            </w:r>
          </w:p>
        </w:tc>
        <w:tc>
          <w:tcPr>
            <w:tcW w:w="5812" w:type="dxa"/>
          </w:tcPr>
          <w:p w14:paraId="487E6284"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Laboratorul Agenției de Mediu este acreditat în conformitate cu standardele ISO relevante și este operațional, inclusiv în ceea ce privește componenta de deșeuri. Numărul parametrilor acreditați a crescut cu cel puțin 10%. Laboratorul este capabil să efectueze sarcini de rutină de monitorizare a mediului (de exemplu, teste de calitate a apei, aerului și solului, investigații privind deșeurile periculoase) în conformitate cu standardele UE. LRM pune în aplicare o bază de date publică sau un sistem de raportare în care datele de monitorizare a mediului și rezultatele de laborator sunt comunicate publicului și părților interesate relevante într-un mod transparent.</w:t>
            </w:r>
          </w:p>
          <w:p w14:paraId="339648E8" w14:textId="77777777" w:rsidR="009E67BB" w:rsidRPr="009F37F2" w:rsidRDefault="009E67BB" w:rsidP="009E67BB">
            <w:pPr>
              <w:jc w:val="both"/>
              <w:rPr>
                <w:rFonts w:ascii="Arial" w:hAnsi="Arial" w:cs="Arial"/>
                <w:sz w:val="18"/>
                <w:szCs w:val="18"/>
                <w:lang w:val="ro-MD"/>
              </w:rPr>
            </w:pPr>
          </w:p>
          <w:p w14:paraId="2777B5CA"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Sursa de verificare: Pagina web a MOLDAC (unde este publicat certificatul de acreditare);</w:t>
            </w:r>
          </w:p>
          <w:p w14:paraId="3685C121"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Accesul la baza de date de monitorizare pe pagina web a Agenției de Mediu;</w:t>
            </w:r>
          </w:p>
          <w:p w14:paraId="6F486BA0" w14:textId="444ED20D"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Raportul privind consolidarea capacităților tehnice ale LRM</w:t>
            </w:r>
          </w:p>
        </w:tc>
      </w:tr>
      <w:tr w:rsidR="009E67BB" w:rsidRPr="00BD0643" w14:paraId="49E5171F" w14:textId="77777777" w:rsidTr="00F44442">
        <w:trPr>
          <w:trHeight w:val="300"/>
        </w:trPr>
        <w:tc>
          <w:tcPr>
            <w:tcW w:w="851" w:type="dxa"/>
          </w:tcPr>
          <w:p w14:paraId="5166F3F2" w14:textId="4A2C5722"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 xml:space="preserve">Protecția mediului și acțiuni </w:t>
            </w:r>
            <w:r w:rsidRPr="009F37F2">
              <w:rPr>
                <w:rFonts w:ascii="Arial" w:hAnsi="Arial" w:cs="Arial"/>
                <w:sz w:val="18"/>
                <w:szCs w:val="18"/>
                <w:lang w:val="ro-MD"/>
              </w:rPr>
              <w:lastRenderedPageBreak/>
              <w:t>climatice</w:t>
            </w:r>
          </w:p>
        </w:tc>
        <w:tc>
          <w:tcPr>
            <w:tcW w:w="425" w:type="dxa"/>
          </w:tcPr>
          <w:p w14:paraId="75A97742" w14:textId="7B73CF46" w:rsidR="009E67BB" w:rsidRPr="00840B12" w:rsidRDefault="009E67BB" w:rsidP="009E67BB">
            <w:pPr>
              <w:jc w:val="both"/>
              <w:rPr>
                <w:rFonts w:ascii="Arial" w:hAnsi="Arial" w:cs="Arial"/>
                <w:sz w:val="18"/>
                <w:szCs w:val="18"/>
              </w:rPr>
            </w:pPr>
            <w:r w:rsidRPr="009F37F2">
              <w:rPr>
                <w:rFonts w:ascii="Arial" w:hAnsi="Arial" w:cs="Arial"/>
                <w:sz w:val="18"/>
                <w:szCs w:val="18"/>
                <w:lang w:val="ro-MD"/>
              </w:rPr>
              <w:lastRenderedPageBreak/>
              <w:t>3</w:t>
            </w:r>
          </w:p>
        </w:tc>
        <w:tc>
          <w:tcPr>
            <w:tcW w:w="1158" w:type="dxa"/>
          </w:tcPr>
          <w:p w14:paraId="015111D9" w14:textId="4BD141A2"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Consolidarea productivității resurselor și a circularității</w:t>
            </w:r>
            <w:r w:rsidRPr="009F37F2">
              <w:rPr>
                <w:rFonts w:ascii="Arial" w:hAnsi="Arial" w:cs="Arial"/>
                <w:sz w:val="18"/>
                <w:szCs w:val="18"/>
                <w:lang w:val="ro-MD"/>
              </w:rPr>
              <w:lastRenderedPageBreak/>
              <w:t>, inclusiv gestionarea deșeurilor</w:t>
            </w:r>
          </w:p>
        </w:tc>
        <w:tc>
          <w:tcPr>
            <w:tcW w:w="528" w:type="dxa"/>
          </w:tcPr>
          <w:p w14:paraId="1E26507B" w14:textId="7E289B68" w:rsidR="009E67BB" w:rsidRPr="00840B12" w:rsidRDefault="009E67BB" w:rsidP="009E67BB">
            <w:pPr>
              <w:jc w:val="both"/>
              <w:rPr>
                <w:rFonts w:ascii="Arial" w:hAnsi="Arial" w:cs="Arial"/>
                <w:sz w:val="18"/>
                <w:szCs w:val="18"/>
              </w:rPr>
            </w:pPr>
            <w:r w:rsidRPr="009F37F2">
              <w:rPr>
                <w:rFonts w:ascii="Arial" w:hAnsi="Arial" w:cs="Arial"/>
                <w:sz w:val="18"/>
                <w:szCs w:val="18"/>
                <w:lang w:val="ro-MD"/>
              </w:rPr>
              <w:lastRenderedPageBreak/>
              <w:t>10</w:t>
            </w:r>
          </w:p>
        </w:tc>
        <w:tc>
          <w:tcPr>
            <w:tcW w:w="887" w:type="dxa"/>
          </w:tcPr>
          <w:p w14:paraId="76DEF324" w14:textId="77777777" w:rsidR="009E67BB" w:rsidRPr="009F37F2" w:rsidRDefault="009E67BB" w:rsidP="009E67BB">
            <w:pPr>
              <w:jc w:val="both"/>
              <w:rPr>
                <w:rFonts w:ascii="Arial" w:hAnsi="Arial" w:cs="Arial"/>
                <w:sz w:val="18"/>
                <w:szCs w:val="18"/>
                <w:lang w:val="ro-MD"/>
              </w:rPr>
            </w:pPr>
            <w:r>
              <w:rPr>
                <w:rFonts w:ascii="Arial" w:hAnsi="Arial" w:cs="Arial"/>
                <w:sz w:val="18"/>
                <w:szCs w:val="18"/>
                <w:lang w:val="ro-MD"/>
              </w:rPr>
              <w:t>d</w:t>
            </w:r>
            <w:r w:rsidRPr="009F37F2">
              <w:rPr>
                <w:rFonts w:ascii="Arial" w:hAnsi="Arial" w:cs="Arial"/>
                <w:sz w:val="18"/>
                <w:szCs w:val="18"/>
                <w:lang w:val="ro-MD"/>
              </w:rPr>
              <w:t>ecembrie 2027</w:t>
            </w:r>
          </w:p>
          <w:p w14:paraId="6222B0C6" w14:textId="77777777" w:rsidR="009E67BB" w:rsidRPr="009F37F2" w:rsidRDefault="009E67BB" w:rsidP="009E67BB">
            <w:pPr>
              <w:jc w:val="both"/>
              <w:rPr>
                <w:rFonts w:ascii="Arial" w:hAnsi="Arial" w:cs="Arial"/>
                <w:sz w:val="18"/>
                <w:szCs w:val="18"/>
                <w:lang w:val="ro-MD"/>
              </w:rPr>
            </w:pPr>
          </w:p>
          <w:p w14:paraId="67E49024" w14:textId="77777777" w:rsidR="009E67BB" w:rsidRPr="009F37F2" w:rsidRDefault="009E67BB" w:rsidP="009E67BB">
            <w:pPr>
              <w:jc w:val="both"/>
              <w:rPr>
                <w:rFonts w:ascii="Arial" w:hAnsi="Arial" w:cs="Arial"/>
                <w:sz w:val="18"/>
                <w:szCs w:val="18"/>
                <w:lang w:val="ro-MD"/>
              </w:rPr>
            </w:pPr>
          </w:p>
          <w:p w14:paraId="467AAAB7" w14:textId="77777777" w:rsidR="009E67BB" w:rsidRPr="009F37F2" w:rsidRDefault="009E67BB" w:rsidP="009E67BB">
            <w:pPr>
              <w:jc w:val="both"/>
              <w:rPr>
                <w:rFonts w:ascii="Arial" w:hAnsi="Arial" w:cs="Arial"/>
                <w:sz w:val="18"/>
                <w:szCs w:val="18"/>
                <w:lang w:val="ro-MD"/>
              </w:rPr>
            </w:pPr>
          </w:p>
          <w:p w14:paraId="6AF40F10" w14:textId="77777777" w:rsidR="009E67BB" w:rsidRPr="009F37F2" w:rsidRDefault="009E67BB" w:rsidP="009E67BB">
            <w:pPr>
              <w:jc w:val="both"/>
              <w:rPr>
                <w:rFonts w:ascii="Arial" w:hAnsi="Arial" w:cs="Arial"/>
                <w:sz w:val="18"/>
                <w:szCs w:val="18"/>
                <w:lang w:val="ro-MD"/>
              </w:rPr>
            </w:pPr>
          </w:p>
          <w:p w14:paraId="2FF2B7D3" w14:textId="77777777" w:rsidR="009E67BB" w:rsidRPr="009F37F2" w:rsidRDefault="009E67BB" w:rsidP="009E67BB">
            <w:pPr>
              <w:jc w:val="both"/>
              <w:rPr>
                <w:rFonts w:ascii="Arial" w:hAnsi="Arial" w:cs="Arial"/>
                <w:sz w:val="18"/>
                <w:szCs w:val="18"/>
                <w:lang w:val="ro-MD"/>
              </w:rPr>
            </w:pPr>
          </w:p>
          <w:p w14:paraId="0D82D96B" w14:textId="77777777" w:rsidR="009E67BB" w:rsidRPr="009F37F2" w:rsidRDefault="009E67BB" w:rsidP="009E67BB">
            <w:pPr>
              <w:jc w:val="both"/>
              <w:rPr>
                <w:rFonts w:ascii="Arial" w:hAnsi="Arial" w:cs="Arial"/>
                <w:sz w:val="18"/>
                <w:szCs w:val="18"/>
                <w:lang w:val="ro-MD"/>
              </w:rPr>
            </w:pPr>
          </w:p>
          <w:p w14:paraId="6FDBA773" w14:textId="77777777" w:rsidR="009E67BB" w:rsidRPr="009F37F2" w:rsidRDefault="009E67BB" w:rsidP="009E67BB">
            <w:pPr>
              <w:jc w:val="both"/>
              <w:rPr>
                <w:rFonts w:ascii="Arial" w:hAnsi="Arial" w:cs="Arial"/>
                <w:sz w:val="18"/>
                <w:szCs w:val="18"/>
                <w:lang w:val="ro-MD"/>
              </w:rPr>
            </w:pPr>
          </w:p>
          <w:p w14:paraId="79DB95F7" w14:textId="77777777" w:rsidR="009E67BB" w:rsidRPr="00840B12" w:rsidRDefault="009E67BB" w:rsidP="009E67BB">
            <w:pPr>
              <w:jc w:val="both"/>
              <w:rPr>
                <w:rFonts w:ascii="Arial" w:hAnsi="Arial" w:cs="Arial"/>
                <w:sz w:val="18"/>
                <w:szCs w:val="18"/>
              </w:rPr>
            </w:pPr>
          </w:p>
        </w:tc>
        <w:tc>
          <w:tcPr>
            <w:tcW w:w="1112" w:type="dxa"/>
          </w:tcPr>
          <w:p w14:paraId="78151C76" w14:textId="7F004A00" w:rsidR="009E67BB" w:rsidRPr="00840B12" w:rsidRDefault="009E67BB" w:rsidP="009E67BB">
            <w:pPr>
              <w:jc w:val="both"/>
              <w:rPr>
                <w:rFonts w:ascii="Arial" w:hAnsi="Arial" w:cs="Arial"/>
                <w:sz w:val="18"/>
                <w:szCs w:val="18"/>
              </w:rPr>
            </w:pPr>
            <w:r w:rsidRPr="009F37F2">
              <w:rPr>
                <w:rFonts w:ascii="Arial" w:hAnsi="Arial" w:cs="Arial"/>
                <w:sz w:val="18"/>
                <w:szCs w:val="18"/>
                <w:lang w:val="ro-MD"/>
              </w:rPr>
              <w:lastRenderedPageBreak/>
              <w:t>Ministerul Mediului</w:t>
            </w:r>
          </w:p>
        </w:tc>
        <w:tc>
          <w:tcPr>
            <w:tcW w:w="3686" w:type="dxa"/>
          </w:tcPr>
          <w:p w14:paraId="4923CEDF"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 xml:space="preserve">Se înființează prin hotărâre de guvern un Centru de gestionare a deșeurilor periculoase, se ia o decizie cu privire la sediu și se aprobă alocarea bugetară pentru 2028. </w:t>
            </w:r>
          </w:p>
          <w:p w14:paraId="7B555F4F" w14:textId="2FF841AB" w:rsidR="009E67BB" w:rsidRPr="009E67BB" w:rsidRDefault="009E67BB" w:rsidP="009E67BB">
            <w:pPr>
              <w:jc w:val="both"/>
              <w:rPr>
                <w:rFonts w:ascii="Arial" w:hAnsi="Arial" w:cs="Arial"/>
                <w:sz w:val="18"/>
                <w:szCs w:val="18"/>
                <w:lang w:val="ro-MD"/>
              </w:rPr>
            </w:pPr>
            <w:r w:rsidRPr="009F37F2">
              <w:rPr>
                <w:rFonts w:ascii="Arial" w:hAnsi="Arial" w:cs="Arial"/>
                <w:sz w:val="18"/>
                <w:szCs w:val="18"/>
                <w:lang w:val="ro-MD"/>
              </w:rPr>
              <w:lastRenderedPageBreak/>
              <w:t>Linia de referință: Nu există un centru centralizat de gestionare a deșeurilor periculoase, iar acestea sunt gestionate prin măsuri ad hoc</w:t>
            </w:r>
          </w:p>
        </w:tc>
        <w:tc>
          <w:tcPr>
            <w:tcW w:w="5812" w:type="dxa"/>
          </w:tcPr>
          <w:p w14:paraId="709BF8A6"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lastRenderedPageBreak/>
              <w:t xml:space="preserve">Centrul de gestionare a deșeurilor periculoase (CGDP) este instituționalizat, existând un cadru juridic pentru înființarea Centrului de gestionare a deșeurilor pentru managementul ecologic al deșeurilor periculoase. Acest centru gestionează materialele periculoase în conformitate cu reglementările de mediu și standardele de siguranță, protejând sănătatea publică și mediul. Selectarea și desemnarea unui teren specific pentru înființarea unui centru dedicat gestionării </w:t>
            </w:r>
            <w:r w:rsidRPr="009F37F2">
              <w:rPr>
                <w:rFonts w:ascii="Arial" w:hAnsi="Arial" w:cs="Arial"/>
                <w:sz w:val="18"/>
                <w:szCs w:val="18"/>
                <w:lang w:val="ro-MD"/>
              </w:rPr>
              <w:lastRenderedPageBreak/>
              <w:t>deșeurilor periculoase. Acest proces include planificarea, aprobarea terenului și obținerea autorizațiilor necesare. Identificarea și alocarea de resurse financiare în legea bugetului sau în acordul cu instituțiile financiare. Finanțarea din bugetul anual 2028 este alocată pentru înființarea CGDP.</w:t>
            </w:r>
          </w:p>
          <w:p w14:paraId="0E773955" w14:textId="2A9EFA62" w:rsidR="009E67BB" w:rsidRPr="009E67BB" w:rsidRDefault="009E67BB" w:rsidP="009E67BB">
            <w:pPr>
              <w:jc w:val="both"/>
              <w:rPr>
                <w:rFonts w:ascii="Arial" w:hAnsi="Arial" w:cs="Arial"/>
                <w:sz w:val="18"/>
                <w:szCs w:val="18"/>
                <w:lang w:val="ro-MD"/>
              </w:rPr>
            </w:pPr>
            <w:r w:rsidRPr="009F37F2">
              <w:rPr>
                <w:rFonts w:ascii="Arial" w:hAnsi="Arial" w:cs="Arial"/>
                <w:sz w:val="18"/>
                <w:szCs w:val="18"/>
                <w:lang w:val="ro-MD"/>
              </w:rPr>
              <w:t>Sursa de verificare: Hotărârea de Guvern pentru înființarea CGDP publicată în Monitorul Oficial; Actele permisive pentru dezvoltarea Centrului și decizia autorităților publice locale pentru alocarea terenurilor emise.</w:t>
            </w:r>
          </w:p>
        </w:tc>
      </w:tr>
      <w:tr w:rsidR="009E67BB" w:rsidRPr="00BD0643" w14:paraId="63A0BB21" w14:textId="77777777" w:rsidTr="00F44442">
        <w:trPr>
          <w:trHeight w:val="300"/>
        </w:trPr>
        <w:tc>
          <w:tcPr>
            <w:tcW w:w="851" w:type="dxa"/>
          </w:tcPr>
          <w:p w14:paraId="4837669E" w14:textId="08F48A32" w:rsidR="009E67BB" w:rsidRPr="00840B12" w:rsidRDefault="009E67BB" w:rsidP="009E67BB">
            <w:pPr>
              <w:jc w:val="both"/>
              <w:rPr>
                <w:rFonts w:ascii="Arial" w:hAnsi="Arial" w:cs="Arial"/>
                <w:sz w:val="18"/>
                <w:szCs w:val="18"/>
              </w:rPr>
            </w:pPr>
            <w:r w:rsidRPr="009F37F2">
              <w:rPr>
                <w:rFonts w:ascii="Arial" w:hAnsi="Arial" w:cs="Arial"/>
                <w:sz w:val="18"/>
                <w:szCs w:val="18"/>
                <w:lang w:val="ro-MD"/>
              </w:rPr>
              <w:lastRenderedPageBreak/>
              <w:t>Protecția mediului și acțiuni climatice</w:t>
            </w:r>
          </w:p>
        </w:tc>
        <w:tc>
          <w:tcPr>
            <w:tcW w:w="425" w:type="dxa"/>
          </w:tcPr>
          <w:p w14:paraId="1068A9C5" w14:textId="7BB16912"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4</w:t>
            </w:r>
          </w:p>
        </w:tc>
        <w:tc>
          <w:tcPr>
            <w:tcW w:w="1158" w:type="dxa"/>
          </w:tcPr>
          <w:p w14:paraId="1A45B366" w14:textId="32C63508"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Planificarea strategică în domeniul protecției mediului și al acțiunilor climatice</w:t>
            </w:r>
          </w:p>
        </w:tc>
        <w:tc>
          <w:tcPr>
            <w:tcW w:w="528" w:type="dxa"/>
          </w:tcPr>
          <w:p w14:paraId="7F0018CE" w14:textId="41E95447" w:rsidR="009E67BB" w:rsidRPr="00840B12" w:rsidRDefault="009E67BB" w:rsidP="009E67BB">
            <w:pPr>
              <w:jc w:val="both"/>
              <w:rPr>
                <w:rFonts w:ascii="Arial" w:hAnsi="Arial" w:cs="Arial"/>
                <w:sz w:val="18"/>
                <w:szCs w:val="18"/>
              </w:rPr>
            </w:pPr>
            <w:r w:rsidRPr="009F37F2">
              <w:rPr>
                <w:rFonts w:ascii="Arial" w:hAnsi="Arial" w:cs="Arial"/>
                <w:sz w:val="18"/>
                <w:szCs w:val="18"/>
                <w:lang w:val="ro-MD"/>
              </w:rPr>
              <w:t>11</w:t>
            </w:r>
          </w:p>
        </w:tc>
        <w:tc>
          <w:tcPr>
            <w:tcW w:w="887" w:type="dxa"/>
          </w:tcPr>
          <w:p w14:paraId="41C4A55A" w14:textId="1B70182F" w:rsidR="009E67BB" w:rsidRPr="00840B12" w:rsidRDefault="009E67BB" w:rsidP="009E67BB">
            <w:pPr>
              <w:jc w:val="both"/>
              <w:rPr>
                <w:rFonts w:ascii="Arial" w:hAnsi="Arial" w:cs="Arial"/>
                <w:sz w:val="18"/>
                <w:szCs w:val="18"/>
              </w:rPr>
            </w:pPr>
            <w:r>
              <w:rPr>
                <w:rFonts w:ascii="Arial" w:hAnsi="Arial" w:cs="Arial"/>
                <w:sz w:val="18"/>
                <w:szCs w:val="18"/>
                <w:lang w:val="ro-MD"/>
              </w:rPr>
              <w:t>i</w:t>
            </w:r>
            <w:r w:rsidRPr="009F37F2">
              <w:rPr>
                <w:rFonts w:ascii="Arial" w:hAnsi="Arial" w:cs="Arial"/>
                <w:sz w:val="18"/>
                <w:szCs w:val="18"/>
                <w:lang w:val="ro-MD"/>
              </w:rPr>
              <w:t>unie 2027</w:t>
            </w:r>
          </w:p>
        </w:tc>
        <w:tc>
          <w:tcPr>
            <w:tcW w:w="1112" w:type="dxa"/>
          </w:tcPr>
          <w:p w14:paraId="365C945F"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 xml:space="preserve">Ministerul Mediului </w:t>
            </w:r>
          </w:p>
          <w:p w14:paraId="18B4DD6D" w14:textId="77777777" w:rsidR="009E67BB" w:rsidRPr="009F37F2" w:rsidRDefault="009E67BB" w:rsidP="009E67BB">
            <w:pPr>
              <w:jc w:val="both"/>
              <w:rPr>
                <w:rFonts w:ascii="Arial" w:hAnsi="Arial" w:cs="Arial"/>
                <w:sz w:val="18"/>
                <w:szCs w:val="18"/>
                <w:lang w:val="ro-MD"/>
              </w:rPr>
            </w:pPr>
          </w:p>
          <w:p w14:paraId="6D9F5B10"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 xml:space="preserve">Ministerul Dezvoltării Economice și Digitalizării </w:t>
            </w:r>
          </w:p>
          <w:p w14:paraId="1575650F" w14:textId="77777777" w:rsidR="009E67BB" w:rsidRPr="009F37F2" w:rsidRDefault="009E67BB" w:rsidP="009E67BB">
            <w:pPr>
              <w:jc w:val="both"/>
              <w:rPr>
                <w:rFonts w:ascii="Arial" w:hAnsi="Arial" w:cs="Arial"/>
                <w:sz w:val="18"/>
                <w:szCs w:val="18"/>
                <w:lang w:val="ro-MD"/>
              </w:rPr>
            </w:pPr>
          </w:p>
          <w:p w14:paraId="53B2A7D2" w14:textId="77777777" w:rsidR="009E67BB" w:rsidRPr="009F37F2" w:rsidRDefault="009E67BB" w:rsidP="009E67BB">
            <w:pPr>
              <w:jc w:val="both"/>
              <w:rPr>
                <w:rFonts w:ascii="Arial" w:hAnsi="Arial" w:cs="Arial"/>
                <w:sz w:val="18"/>
                <w:szCs w:val="18"/>
                <w:lang w:val="ro-MD"/>
              </w:rPr>
            </w:pPr>
            <w:r w:rsidRPr="009F37F2">
              <w:rPr>
                <w:rFonts w:ascii="Arial" w:hAnsi="Arial" w:cs="Arial"/>
                <w:sz w:val="18"/>
                <w:szCs w:val="18"/>
                <w:lang w:val="ro-MD"/>
              </w:rPr>
              <w:t>Ministerul Educației și Cercetării</w:t>
            </w:r>
          </w:p>
          <w:p w14:paraId="300833C1" w14:textId="252C7766" w:rsidR="009E67BB" w:rsidRPr="00840B12" w:rsidRDefault="009E67BB" w:rsidP="009E67BB">
            <w:pPr>
              <w:jc w:val="both"/>
              <w:rPr>
                <w:rFonts w:ascii="Arial" w:hAnsi="Arial" w:cs="Arial"/>
                <w:sz w:val="18"/>
                <w:szCs w:val="18"/>
              </w:rPr>
            </w:pPr>
          </w:p>
        </w:tc>
        <w:tc>
          <w:tcPr>
            <w:tcW w:w="3686" w:type="dxa"/>
          </w:tcPr>
          <w:p w14:paraId="07DD060C" w14:textId="77777777" w:rsidR="009E67BB" w:rsidRPr="009F37F2" w:rsidRDefault="009E67BB" w:rsidP="009E67BB">
            <w:pPr>
              <w:pStyle w:val="NormalWeb"/>
              <w:spacing w:after="0"/>
              <w:jc w:val="both"/>
              <w:rPr>
                <w:rFonts w:ascii="Arial" w:hAnsi="Arial" w:cs="Arial"/>
                <w:color w:val="000000"/>
                <w:sz w:val="18"/>
                <w:szCs w:val="18"/>
                <w:lang w:val="ro-MD"/>
              </w:rPr>
            </w:pPr>
            <w:r w:rsidRPr="009F37F2">
              <w:rPr>
                <w:rFonts w:ascii="Arial" w:hAnsi="Arial" w:cs="Arial"/>
                <w:color w:val="000000"/>
                <w:sz w:val="18"/>
                <w:szCs w:val="18"/>
                <w:lang w:val="ro-MD"/>
              </w:rPr>
              <w:t>În conformitate cu Strategia de mediu a MD, programele restante cu planuri de acțiune cu costuri sunt elaborate și aprobate prin hotărâri de guvern sau ordine ale ministrului.</w:t>
            </w:r>
          </w:p>
          <w:p w14:paraId="45B64695" w14:textId="453DBD45" w:rsidR="009E67BB" w:rsidRPr="009E67BB" w:rsidRDefault="009E67BB" w:rsidP="009E67BB">
            <w:pPr>
              <w:jc w:val="both"/>
              <w:rPr>
                <w:rFonts w:ascii="Arial" w:hAnsi="Arial" w:cs="Arial"/>
                <w:sz w:val="18"/>
                <w:szCs w:val="18"/>
                <w:lang w:val="ro-MD"/>
              </w:rPr>
            </w:pPr>
            <w:r w:rsidRPr="009F37F2">
              <w:rPr>
                <w:rFonts w:ascii="Arial" w:hAnsi="Arial" w:cs="Arial"/>
                <w:color w:val="000000"/>
                <w:sz w:val="18"/>
                <w:szCs w:val="18"/>
                <w:lang w:val="ro-MD"/>
              </w:rPr>
              <w:t>Linia de referință: Strategia de mediu a MD pentru 2024-2030 a fost aprobată în 2024. Strategia stabilește implementarea progresivă a măsurilor și activităților sectoriale de mediu cu obiective clar definite până în 2030. Implementarea strategiei urmează a fi efectuată în etape, în funcție de resursele disponibile, prioritizând măsurile cu impact imediat asupra sănătății publice și protecției ecosistemelor, cu scopul de a atinge durabilitatea și conformitatea cu standardele europene...</w:t>
            </w:r>
          </w:p>
        </w:tc>
        <w:tc>
          <w:tcPr>
            <w:tcW w:w="5812" w:type="dxa"/>
          </w:tcPr>
          <w:p w14:paraId="59EC3D5F" w14:textId="77777777" w:rsidR="009E67BB" w:rsidRPr="009F37F2" w:rsidRDefault="009E67BB" w:rsidP="009E67BB">
            <w:pPr>
              <w:pStyle w:val="NormalWeb"/>
              <w:spacing w:before="0" w:beforeAutospacing="0" w:after="0" w:afterAutospacing="0"/>
              <w:jc w:val="both"/>
              <w:rPr>
                <w:rFonts w:ascii="Arial" w:hAnsi="Arial" w:cs="Arial"/>
                <w:sz w:val="18"/>
                <w:szCs w:val="18"/>
                <w:lang w:val="ro-MD"/>
              </w:rPr>
            </w:pPr>
            <w:r w:rsidRPr="009F37F2">
              <w:rPr>
                <w:rFonts w:ascii="Arial" w:hAnsi="Arial" w:cs="Arial"/>
                <w:color w:val="000000"/>
                <w:sz w:val="18"/>
                <w:szCs w:val="18"/>
                <w:lang w:val="ro-MD"/>
              </w:rPr>
              <w:t>În conformitate cu Strategia de mediu a MD, programele restante cu planuri de acțiune cu costuri sunt elaborate și aprobate prin hotărâri de guvern sau ordine ale ministrului. Acestea includ:</w:t>
            </w:r>
          </w:p>
          <w:p w14:paraId="56FB5AA0" w14:textId="77777777" w:rsidR="009E67BB" w:rsidRPr="009F37F2" w:rsidRDefault="009E67BB" w:rsidP="009E67BB">
            <w:pPr>
              <w:pStyle w:val="NormalWeb"/>
              <w:spacing w:before="240" w:after="240"/>
              <w:jc w:val="both"/>
              <w:rPr>
                <w:rFonts w:ascii="Arial" w:hAnsi="Arial" w:cs="Arial"/>
                <w:color w:val="000000"/>
                <w:sz w:val="18"/>
                <w:szCs w:val="18"/>
                <w:lang w:val="ro-MD"/>
              </w:rPr>
            </w:pPr>
            <w:r w:rsidRPr="009F37F2">
              <w:rPr>
                <w:rFonts w:ascii="Arial" w:hAnsi="Arial" w:cs="Arial"/>
                <w:color w:val="000000"/>
                <w:sz w:val="18"/>
                <w:szCs w:val="18"/>
                <w:lang w:val="ro-MD"/>
              </w:rPr>
              <w:t>- Programul de dezvoltare a sistemului integrat de monitorizare a mediului</w:t>
            </w:r>
          </w:p>
          <w:p w14:paraId="03D0824C" w14:textId="77777777" w:rsidR="009E67BB" w:rsidRPr="009F37F2" w:rsidRDefault="009E67BB" w:rsidP="009E67BB">
            <w:pPr>
              <w:pStyle w:val="NormalWeb"/>
              <w:spacing w:before="240" w:after="240"/>
              <w:jc w:val="both"/>
              <w:rPr>
                <w:rFonts w:ascii="Arial" w:hAnsi="Arial" w:cs="Arial"/>
                <w:color w:val="000000"/>
                <w:sz w:val="18"/>
                <w:szCs w:val="18"/>
                <w:lang w:val="ro-MD"/>
              </w:rPr>
            </w:pPr>
            <w:r w:rsidRPr="009F37F2">
              <w:rPr>
                <w:rFonts w:ascii="Arial" w:hAnsi="Arial" w:cs="Arial"/>
                <w:color w:val="000000"/>
                <w:sz w:val="18"/>
                <w:szCs w:val="18"/>
                <w:lang w:val="ro-MD"/>
              </w:rPr>
              <w:t>- Planurile privind calitatea aerului și planuri pentru menținerea calității aerului în zone și aglomerări</w:t>
            </w:r>
          </w:p>
          <w:p w14:paraId="71234CBD" w14:textId="77777777" w:rsidR="009E67BB" w:rsidRPr="009F37F2" w:rsidRDefault="009E67BB" w:rsidP="009E67BB">
            <w:pPr>
              <w:pStyle w:val="NormalWeb"/>
              <w:spacing w:before="240" w:after="240"/>
              <w:jc w:val="both"/>
              <w:rPr>
                <w:rFonts w:ascii="Arial" w:hAnsi="Arial" w:cs="Arial"/>
                <w:color w:val="000000"/>
                <w:sz w:val="18"/>
                <w:szCs w:val="18"/>
                <w:lang w:val="ro-MD"/>
              </w:rPr>
            </w:pPr>
            <w:r w:rsidRPr="009F37F2">
              <w:rPr>
                <w:rFonts w:ascii="Arial" w:hAnsi="Arial" w:cs="Arial"/>
                <w:color w:val="000000"/>
                <w:sz w:val="18"/>
                <w:szCs w:val="18"/>
                <w:lang w:val="ro-MD"/>
              </w:rPr>
              <w:t>- Programul de control al poluării aerului cu măsuri de prevenire a poluării și de protecție a aerului atmosferic</w:t>
            </w:r>
          </w:p>
          <w:p w14:paraId="7243D22A" w14:textId="77777777" w:rsidR="009E67BB" w:rsidRPr="009F37F2" w:rsidRDefault="009E67BB" w:rsidP="009E67BB">
            <w:pPr>
              <w:pStyle w:val="NormalWeb"/>
              <w:spacing w:before="240" w:after="240"/>
              <w:jc w:val="both"/>
              <w:rPr>
                <w:rFonts w:ascii="Arial" w:hAnsi="Arial" w:cs="Arial"/>
                <w:color w:val="000000"/>
                <w:sz w:val="18"/>
                <w:szCs w:val="18"/>
                <w:lang w:val="ro-MD"/>
              </w:rPr>
            </w:pPr>
            <w:r w:rsidRPr="009F37F2">
              <w:rPr>
                <w:rFonts w:ascii="Arial" w:hAnsi="Arial" w:cs="Arial"/>
                <w:color w:val="000000"/>
                <w:sz w:val="18"/>
                <w:szCs w:val="18"/>
                <w:lang w:val="ro-MD"/>
              </w:rPr>
              <w:t>- Programul pentru utilizarea durabilă a resurselor minerale</w:t>
            </w:r>
          </w:p>
          <w:p w14:paraId="2EE2777D" w14:textId="77777777" w:rsidR="009E67BB" w:rsidRPr="009F37F2" w:rsidRDefault="009E67BB" w:rsidP="009E67BB">
            <w:pPr>
              <w:pStyle w:val="NormalWeb"/>
              <w:spacing w:before="240" w:after="240"/>
              <w:jc w:val="both"/>
              <w:rPr>
                <w:rFonts w:ascii="Arial" w:hAnsi="Arial" w:cs="Arial"/>
                <w:color w:val="000000"/>
                <w:sz w:val="18"/>
                <w:szCs w:val="18"/>
                <w:lang w:val="ro-MD"/>
              </w:rPr>
            </w:pPr>
            <w:r w:rsidRPr="009F37F2">
              <w:rPr>
                <w:rFonts w:ascii="Arial" w:hAnsi="Arial" w:cs="Arial"/>
                <w:color w:val="000000"/>
                <w:sz w:val="18"/>
                <w:szCs w:val="18"/>
                <w:lang w:val="ro-MD"/>
              </w:rPr>
              <w:t>- Programul privind combaterea deșertificării, refacerea terenurilor și solurilor degradate</w:t>
            </w:r>
          </w:p>
          <w:p w14:paraId="410ED558" w14:textId="77777777" w:rsidR="009E67BB" w:rsidRPr="009F37F2" w:rsidRDefault="009E67BB" w:rsidP="009E67BB">
            <w:pPr>
              <w:pStyle w:val="NormalWeb"/>
              <w:spacing w:before="240" w:after="240"/>
              <w:jc w:val="both"/>
              <w:rPr>
                <w:rFonts w:ascii="Arial" w:hAnsi="Arial" w:cs="Arial"/>
                <w:color w:val="000000"/>
                <w:sz w:val="18"/>
                <w:szCs w:val="18"/>
                <w:lang w:val="ro-MD"/>
              </w:rPr>
            </w:pPr>
            <w:r w:rsidRPr="009F37F2">
              <w:rPr>
                <w:rFonts w:ascii="Arial" w:hAnsi="Arial" w:cs="Arial"/>
                <w:color w:val="000000"/>
                <w:sz w:val="18"/>
                <w:szCs w:val="18"/>
                <w:lang w:val="ro-MD"/>
              </w:rPr>
              <w:t>- Programul privind biodiversitatea pentru anii 2024-2030</w:t>
            </w:r>
          </w:p>
          <w:p w14:paraId="711B7020" w14:textId="77777777" w:rsidR="009E67BB" w:rsidRPr="009F37F2" w:rsidRDefault="009E67BB" w:rsidP="009E67BB">
            <w:pPr>
              <w:pStyle w:val="NormalWeb"/>
              <w:spacing w:before="240" w:after="240"/>
              <w:jc w:val="both"/>
              <w:rPr>
                <w:rFonts w:ascii="Arial" w:hAnsi="Arial" w:cs="Arial"/>
                <w:color w:val="000000"/>
                <w:sz w:val="18"/>
                <w:szCs w:val="18"/>
                <w:lang w:val="ro-MD"/>
              </w:rPr>
            </w:pPr>
            <w:r w:rsidRPr="009F37F2">
              <w:rPr>
                <w:rFonts w:ascii="Arial" w:hAnsi="Arial" w:cs="Arial"/>
                <w:color w:val="000000"/>
                <w:sz w:val="18"/>
                <w:szCs w:val="18"/>
                <w:lang w:val="ro-MD"/>
              </w:rPr>
              <w:t>- Programul național privind ecologizarea întreprinderilor mici și mijlocii</w:t>
            </w:r>
          </w:p>
          <w:p w14:paraId="44A96FB0" w14:textId="77777777" w:rsidR="009E67BB" w:rsidRPr="009F37F2" w:rsidRDefault="009E67BB" w:rsidP="009E67BB">
            <w:pPr>
              <w:pStyle w:val="NormalWeb"/>
              <w:spacing w:before="240" w:after="240"/>
              <w:jc w:val="both"/>
              <w:rPr>
                <w:rFonts w:ascii="Arial" w:hAnsi="Arial" w:cs="Arial"/>
                <w:color w:val="000000"/>
                <w:sz w:val="18"/>
                <w:szCs w:val="18"/>
                <w:lang w:val="ro-MD"/>
              </w:rPr>
            </w:pPr>
            <w:r w:rsidRPr="009F37F2">
              <w:rPr>
                <w:rFonts w:ascii="Arial" w:hAnsi="Arial" w:cs="Arial"/>
                <w:color w:val="000000"/>
                <w:sz w:val="18"/>
                <w:szCs w:val="18"/>
                <w:lang w:val="ro-MD"/>
              </w:rPr>
              <w:t>- Noul program de gestionare a deșeurilor 2028-2032</w:t>
            </w:r>
          </w:p>
          <w:p w14:paraId="332E9AB7" w14:textId="77777777" w:rsidR="009E67BB" w:rsidRPr="009F37F2" w:rsidRDefault="009E67BB" w:rsidP="009E67BB">
            <w:pPr>
              <w:pStyle w:val="NormalWeb"/>
              <w:spacing w:before="240" w:after="240"/>
              <w:jc w:val="both"/>
              <w:rPr>
                <w:rFonts w:ascii="Arial" w:hAnsi="Arial" w:cs="Arial"/>
                <w:color w:val="000000"/>
                <w:sz w:val="18"/>
                <w:szCs w:val="18"/>
                <w:lang w:val="ro-MD"/>
              </w:rPr>
            </w:pPr>
            <w:r w:rsidRPr="009F37F2">
              <w:rPr>
                <w:rFonts w:ascii="Arial" w:hAnsi="Arial" w:cs="Arial"/>
                <w:color w:val="000000"/>
                <w:sz w:val="18"/>
                <w:szCs w:val="18"/>
                <w:lang w:val="ro-MD"/>
              </w:rPr>
              <w:t>- 6 Programele de educație și instruire în domeniul mediului împreună cu Ministerul Educației</w:t>
            </w:r>
          </w:p>
          <w:p w14:paraId="1DF227EA" w14:textId="77777777" w:rsidR="009E67BB" w:rsidRPr="009F37F2" w:rsidRDefault="009E67BB" w:rsidP="009E67BB">
            <w:pPr>
              <w:pStyle w:val="NormalWeb"/>
              <w:spacing w:before="240" w:after="240"/>
              <w:jc w:val="both"/>
              <w:rPr>
                <w:rFonts w:ascii="Arial" w:hAnsi="Arial" w:cs="Arial"/>
                <w:color w:val="000000"/>
                <w:sz w:val="18"/>
                <w:szCs w:val="18"/>
                <w:lang w:val="ro-MD"/>
              </w:rPr>
            </w:pPr>
            <w:r w:rsidRPr="009F37F2">
              <w:rPr>
                <w:rFonts w:ascii="Arial" w:hAnsi="Arial" w:cs="Arial"/>
                <w:color w:val="000000"/>
                <w:sz w:val="18"/>
                <w:szCs w:val="18"/>
                <w:lang w:val="ro-MD"/>
              </w:rPr>
              <w:lastRenderedPageBreak/>
              <w:t>- 5 Programele de cercetare fundamentală și aplicată în domeniul protecției mediului și al schimbărilor climatice împreună cu Ministerul Educației</w:t>
            </w:r>
          </w:p>
          <w:p w14:paraId="7CBEA94D" w14:textId="6DF1EFC8" w:rsidR="009E67BB" w:rsidRPr="009E67BB" w:rsidRDefault="009E67BB" w:rsidP="009E67BB">
            <w:pPr>
              <w:pStyle w:val="NormalWeb"/>
              <w:spacing w:before="0" w:beforeAutospacing="0" w:after="0" w:afterAutospacing="0"/>
              <w:jc w:val="both"/>
              <w:rPr>
                <w:rFonts w:ascii="Arial" w:hAnsi="Arial" w:cs="Arial"/>
                <w:sz w:val="18"/>
                <w:szCs w:val="18"/>
                <w:lang w:val="fr-FR"/>
              </w:rPr>
            </w:pPr>
            <w:r w:rsidRPr="009F37F2">
              <w:rPr>
                <w:rFonts w:ascii="Arial" w:hAnsi="Arial" w:cs="Arial"/>
                <w:color w:val="000000"/>
                <w:sz w:val="18"/>
                <w:szCs w:val="18"/>
                <w:lang w:val="ro-MD"/>
              </w:rPr>
              <w:t>Sursa de verificare: Monitorul Oficial, hotărâri de guvern pentru aprobarea programelor sau ordine ale ministrului pentru aprobarea programelor.</w:t>
            </w:r>
          </w:p>
        </w:tc>
      </w:tr>
    </w:tbl>
    <w:p w14:paraId="74B4CB30" w14:textId="77777777" w:rsidR="00C74EE9" w:rsidRPr="009E67BB" w:rsidRDefault="00C74EE9" w:rsidP="002F7854">
      <w:pPr>
        <w:jc w:val="both"/>
        <w:rPr>
          <w:rFonts w:ascii="Arial" w:hAnsi="Arial" w:cs="Arial"/>
          <w:sz w:val="18"/>
          <w:szCs w:val="18"/>
          <w:lang w:val="fr-FR"/>
        </w:rPr>
      </w:pPr>
    </w:p>
    <w:p w14:paraId="56E3E2DA" w14:textId="77777777" w:rsidR="00C74EE9" w:rsidRPr="009E67BB" w:rsidRDefault="00C74EE9" w:rsidP="002F7854">
      <w:pPr>
        <w:jc w:val="both"/>
        <w:rPr>
          <w:rFonts w:ascii="Arial" w:hAnsi="Arial" w:cs="Arial"/>
          <w:sz w:val="18"/>
          <w:szCs w:val="18"/>
          <w:lang w:val="fr-FR"/>
        </w:rPr>
      </w:pPr>
    </w:p>
    <w:p w14:paraId="302C937E" w14:textId="3F6AC9A6" w:rsidR="00A42EC3" w:rsidRPr="00840B12" w:rsidRDefault="009E67BB" w:rsidP="00047041">
      <w:pPr>
        <w:jc w:val="center"/>
        <w:rPr>
          <w:rFonts w:ascii="Arial" w:hAnsi="Arial" w:cs="Arial"/>
          <w:noProof/>
          <w:sz w:val="18"/>
          <w:szCs w:val="18"/>
        </w:rPr>
      </w:pPr>
      <w:r w:rsidRPr="00BC0F28">
        <w:rPr>
          <w:rFonts w:ascii="Arial" w:hAnsi="Arial" w:cs="Arial"/>
          <w:noProof/>
          <w:sz w:val="18"/>
          <w:szCs w:val="18"/>
        </w:rPr>
        <w:t>Pilonul 6 Securitate și eficiență energetică</w:t>
      </w:r>
    </w:p>
    <w:p w14:paraId="392307B7" w14:textId="77777777" w:rsidR="00A42EC3" w:rsidRPr="00840B12" w:rsidRDefault="00A42EC3" w:rsidP="00A42EC3">
      <w:pPr>
        <w:jc w:val="both"/>
        <w:rPr>
          <w:rFonts w:ascii="Arial" w:hAnsi="Arial" w:cs="Arial"/>
          <w:noProof/>
          <w:sz w:val="18"/>
          <w:szCs w:val="18"/>
        </w:rPr>
      </w:pPr>
    </w:p>
    <w:p w14:paraId="0FEBC123" w14:textId="77777777" w:rsidR="00A42EC3" w:rsidRPr="00840B12" w:rsidRDefault="00A42EC3" w:rsidP="00A42EC3">
      <w:pPr>
        <w:jc w:val="both"/>
        <w:rPr>
          <w:rFonts w:ascii="Arial" w:hAnsi="Arial" w:cs="Arial"/>
          <w:noProof/>
          <w:sz w:val="18"/>
          <w:szCs w:val="18"/>
        </w:rPr>
      </w:pPr>
    </w:p>
    <w:tbl>
      <w:tblPr>
        <w:tblW w:w="14316" w:type="dxa"/>
        <w:tblInd w:w="988" w:type="dxa"/>
        <w:tblLayout w:type="fixed"/>
        <w:tblCellMar>
          <w:left w:w="115" w:type="dxa"/>
          <w:right w:w="115" w:type="dxa"/>
        </w:tblCellMar>
        <w:tblLook w:val="0400" w:firstRow="0" w:lastRow="0" w:firstColumn="0" w:lastColumn="0" w:noHBand="0" w:noVBand="1"/>
      </w:tblPr>
      <w:tblGrid>
        <w:gridCol w:w="425"/>
        <w:gridCol w:w="425"/>
        <w:gridCol w:w="1077"/>
        <w:gridCol w:w="821"/>
        <w:gridCol w:w="1130"/>
        <w:gridCol w:w="1792"/>
        <w:gridCol w:w="3543"/>
        <w:gridCol w:w="5103"/>
      </w:tblGrid>
      <w:tr w:rsidR="00DC671F" w:rsidRPr="00840B12" w14:paraId="09E30872" w14:textId="77777777" w:rsidTr="00DC671F">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82B667" w14:textId="2FA19450" w:rsidR="00DC671F" w:rsidRPr="00840B12" w:rsidRDefault="00DC671F" w:rsidP="00DC671F">
            <w:pPr>
              <w:jc w:val="both"/>
              <w:rPr>
                <w:rFonts w:ascii="Arial" w:hAnsi="Arial" w:cs="Arial"/>
                <w:noProof/>
                <w:sz w:val="18"/>
                <w:szCs w:val="18"/>
              </w:rPr>
            </w:pPr>
            <w:r w:rsidRPr="00D4727E">
              <w:rPr>
                <w:rFonts w:ascii="Arial" w:hAnsi="Arial" w:cs="Arial"/>
                <w:sz w:val="18"/>
                <w:szCs w:val="18"/>
                <w:lang w:val="ro-MD"/>
              </w:rPr>
              <w:t>Subdomeniu</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C9C78F0" w14:textId="3E4B6AE7" w:rsidR="00DC671F" w:rsidRPr="00840B12" w:rsidRDefault="00DC671F" w:rsidP="00DC671F">
            <w:pPr>
              <w:jc w:val="both"/>
              <w:rPr>
                <w:rFonts w:ascii="Arial" w:hAnsi="Arial" w:cs="Arial"/>
                <w:noProof/>
                <w:sz w:val="18"/>
                <w:szCs w:val="18"/>
              </w:rPr>
            </w:pPr>
            <w:r w:rsidRPr="00D4727E">
              <w:rPr>
                <w:rFonts w:ascii="Arial" w:hAnsi="Arial" w:cs="Arial"/>
                <w:sz w:val="18"/>
                <w:szCs w:val="18"/>
                <w:lang w:val="ro-MD"/>
              </w:rPr>
              <w:t xml:space="preserve">Reformă </w:t>
            </w:r>
            <w:r w:rsidRPr="00D4727E">
              <w:rPr>
                <w:rFonts w:ascii="Arial" w:hAnsi="Arial" w:cs="Arial"/>
                <w:sz w:val="18"/>
                <w:szCs w:val="18"/>
                <w:lang w:val="ro-MD"/>
              </w:rPr>
              <w:b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9D88234" w14:textId="31F22B84" w:rsidR="00DC671F" w:rsidRPr="00840B12" w:rsidRDefault="00DC671F" w:rsidP="00DC671F">
            <w:pPr>
              <w:jc w:val="both"/>
              <w:rPr>
                <w:rFonts w:ascii="Arial" w:hAnsi="Arial" w:cs="Arial"/>
                <w:noProof/>
                <w:sz w:val="18"/>
                <w:szCs w:val="18"/>
              </w:rPr>
            </w:pPr>
            <w:r w:rsidRPr="00D4727E">
              <w:rPr>
                <w:rFonts w:ascii="Arial" w:hAnsi="Arial" w:cs="Arial"/>
                <w:sz w:val="18"/>
                <w:szCs w:val="18"/>
                <w:lang w:val="ro-MD"/>
              </w:rPr>
              <w:t>Titlul reformei</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207D7D7" w14:textId="5F732F98" w:rsidR="00DC671F" w:rsidRPr="00840B12" w:rsidRDefault="00DC671F" w:rsidP="00DC671F">
            <w:pPr>
              <w:jc w:val="both"/>
              <w:rPr>
                <w:rFonts w:ascii="Arial" w:hAnsi="Arial" w:cs="Arial"/>
                <w:noProof/>
                <w:sz w:val="18"/>
                <w:szCs w:val="18"/>
              </w:rPr>
            </w:pPr>
            <w:r w:rsidRPr="00D4727E">
              <w:rPr>
                <w:rFonts w:ascii="Arial" w:hAnsi="Arial" w:cs="Arial"/>
                <w:sz w:val="18"/>
                <w:szCs w:val="18"/>
                <w:lang w:val="ro-MD"/>
              </w:rPr>
              <w:t>Etapa #</w:t>
            </w:r>
          </w:p>
        </w:tc>
        <w:tc>
          <w:tcPr>
            <w:tcW w:w="1130"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51F00981" w14:textId="50E088E4" w:rsidR="00DC671F" w:rsidRPr="00DC671F" w:rsidRDefault="00DC671F" w:rsidP="00DC671F">
            <w:pPr>
              <w:jc w:val="both"/>
              <w:rPr>
                <w:rFonts w:ascii="Arial" w:hAnsi="Arial" w:cs="Arial"/>
                <w:noProof/>
                <w:sz w:val="18"/>
                <w:szCs w:val="18"/>
                <w:lang w:val="fr-FR"/>
              </w:rPr>
            </w:pPr>
            <w:r w:rsidRPr="00D4727E">
              <w:rPr>
                <w:rFonts w:ascii="Arial" w:hAnsi="Arial" w:cs="Arial"/>
                <w:sz w:val="18"/>
                <w:szCs w:val="18"/>
                <w:lang w:val="ro-MD"/>
              </w:rPr>
              <w:t>Termen de punere în aplicare</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0A96EC3" w14:textId="33F59D3E" w:rsidR="00DC671F" w:rsidRPr="00840B12" w:rsidRDefault="00DC671F" w:rsidP="00DC671F">
            <w:pPr>
              <w:jc w:val="both"/>
              <w:rPr>
                <w:rFonts w:ascii="Arial" w:hAnsi="Arial" w:cs="Arial"/>
                <w:noProof/>
                <w:sz w:val="18"/>
                <w:szCs w:val="18"/>
              </w:rPr>
            </w:pPr>
            <w:r w:rsidRPr="00D4727E">
              <w:rPr>
                <w:rFonts w:ascii="Arial" w:hAnsi="Arial" w:cs="Arial"/>
                <w:sz w:val="18"/>
                <w:szCs w:val="18"/>
                <w:lang w:val="ro-MD"/>
              </w:rPr>
              <w:t>Instituții</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ADE0CE4" w14:textId="77777777" w:rsidR="00DC671F" w:rsidRPr="00D4727E" w:rsidRDefault="00DC671F" w:rsidP="00DC671F">
            <w:pPr>
              <w:jc w:val="both"/>
              <w:rPr>
                <w:rFonts w:ascii="Arial" w:hAnsi="Arial" w:cs="Arial"/>
                <w:sz w:val="18"/>
                <w:szCs w:val="18"/>
                <w:lang w:val="ro-MD"/>
              </w:rPr>
            </w:pPr>
          </w:p>
          <w:p w14:paraId="33A18289" w14:textId="77777777" w:rsidR="00DC671F" w:rsidRPr="00D4727E" w:rsidRDefault="00DC671F" w:rsidP="00DC671F">
            <w:pPr>
              <w:jc w:val="both"/>
              <w:rPr>
                <w:rFonts w:ascii="Arial" w:hAnsi="Arial" w:cs="Arial"/>
                <w:sz w:val="18"/>
                <w:szCs w:val="18"/>
                <w:lang w:val="ro-MD"/>
              </w:rPr>
            </w:pPr>
          </w:p>
          <w:p w14:paraId="5E70FC6B" w14:textId="56199769" w:rsidR="00DC671F" w:rsidRPr="00DC671F" w:rsidRDefault="00DC671F" w:rsidP="00DC671F">
            <w:pPr>
              <w:jc w:val="both"/>
              <w:rPr>
                <w:rFonts w:ascii="Arial" w:hAnsi="Arial" w:cs="Arial"/>
                <w:noProof/>
                <w:sz w:val="18"/>
                <w:szCs w:val="18"/>
                <w:lang w:val="fr-FR"/>
              </w:rPr>
            </w:pPr>
            <w:r w:rsidRPr="00D4727E">
              <w:rPr>
                <w:rFonts w:ascii="Arial" w:hAnsi="Arial" w:cs="Arial"/>
                <w:sz w:val="18"/>
                <w:szCs w:val="18"/>
                <w:lang w:val="ro-MD"/>
              </w:rPr>
              <w:t>Condiția de plată și termenul de punere în aplicare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DCEBC7B" w14:textId="77777777" w:rsidR="00DC671F" w:rsidRPr="00D4727E" w:rsidRDefault="00DC671F" w:rsidP="00DC671F">
            <w:pPr>
              <w:jc w:val="both"/>
              <w:rPr>
                <w:rFonts w:ascii="Arial" w:hAnsi="Arial" w:cs="Arial"/>
                <w:sz w:val="18"/>
                <w:szCs w:val="18"/>
                <w:lang w:val="ro-MD"/>
              </w:rPr>
            </w:pPr>
          </w:p>
          <w:p w14:paraId="5F219A4A" w14:textId="77777777" w:rsidR="00DC671F" w:rsidRPr="00D4727E" w:rsidRDefault="00DC671F" w:rsidP="00DC671F">
            <w:pPr>
              <w:jc w:val="both"/>
              <w:rPr>
                <w:rFonts w:ascii="Arial" w:hAnsi="Arial" w:cs="Arial"/>
                <w:sz w:val="18"/>
                <w:szCs w:val="18"/>
                <w:lang w:val="ro-MD"/>
              </w:rPr>
            </w:pPr>
          </w:p>
          <w:p w14:paraId="54FF3640" w14:textId="27290065" w:rsidR="00DC671F" w:rsidRPr="00840B12" w:rsidRDefault="00DC671F" w:rsidP="00DC671F">
            <w:pPr>
              <w:jc w:val="both"/>
              <w:rPr>
                <w:rFonts w:ascii="Arial" w:hAnsi="Arial" w:cs="Arial"/>
                <w:noProof/>
                <w:sz w:val="18"/>
                <w:szCs w:val="18"/>
              </w:rPr>
            </w:pPr>
            <w:r w:rsidRPr="00D4727E">
              <w:rPr>
                <w:rFonts w:ascii="Arial" w:hAnsi="Arial" w:cs="Arial"/>
                <w:sz w:val="18"/>
                <w:szCs w:val="18"/>
                <w:lang w:val="ro-MD"/>
              </w:rPr>
              <w:t>Descrierea și definirea clară a ceea ce presupune fiecare etapă</w:t>
            </w:r>
          </w:p>
        </w:tc>
      </w:tr>
      <w:tr w:rsidR="00DC671F" w:rsidRPr="00BD0643" w14:paraId="43FF12C6" w14:textId="77777777" w:rsidTr="00C11442">
        <w:trPr>
          <w:trHeight w:val="84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6202A6"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Energie</w:t>
            </w:r>
          </w:p>
          <w:p w14:paraId="100C4E9C" w14:textId="77777777" w:rsidR="00DC671F" w:rsidRPr="00D4727E" w:rsidRDefault="00DC671F" w:rsidP="00DC671F">
            <w:pPr>
              <w:jc w:val="both"/>
              <w:rPr>
                <w:rFonts w:ascii="Arial" w:hAnsi="Arial" w:cs="Arial"/>
                <w:noProof/>
                <w:sz w:val="18"/>
                <w:szCs w:val="18"/>
                <w:lang w:val="ro-MD"/>
              </w:rPr>
            </w:pPr>
          </w:p>
          <w:p w14:paraId="31185C57" w14:textId="77777777" w:rsidR="00DC671F" w:rsidRPr="00840B12" w:rsidRDefault="00DC671F" w:rsidP="00DC671F">
            <w:pPr>
              <w:jc w:val="both"/>
              <w:rPr>
                <w:rFonts w:ascii="Arial" w:hAnsi="Arial" w:cs="Arial"/>
                <w:noProof/>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28D3B4" w14:textId="77777777" w:rsidR="00DC671F" w:rsidRPr="00D4727E" w:rsidRDefault="00DC671F" w:rsidP="00DC671F">
            <w:pPr>
              <w:jc w:val="both"/>
              <w:rPr>
                <w:rFonts w:ascii="Arial" w:hAnsi="Arial" w:cs="Arial"/>
                <w:noProof/>
                <w:sz w:val="18"/>
                <w:szCs w:val="18"/>
                <w:lang w:val="ro-MD"/>
              </w:rPr>
            </w:pPr>
          </w:p>
          <w:p w14:paraId="77F5D211" w14:textId="634E72BC"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88BC9B" w14:textId="0433B723"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Piața de energie electrică deschisă și concurențială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9FB4F8" w14:textId="77777777" w:rsidR="00DC671F" w:rsidRPr="00D4727E" w:rsidRDefault="00DC671F" w:rsidP="00DC671F">
            <w:pPr>
              <w:jc w:val="both"/>
              <w:rPr>
                <w:rFonts w:ascii="Arial" w:hAnsi="Arial" w:cs="Arial"/>
                <w:noProof/>
                <w:sz w:val="18"/>
                <w:szCs w:val="18"/>
                <w:lang w:val="ro-MD"/>
              </w:rPr>
            </w:pPr>
          </w:p>
          <w:p w14:paraId="7C4E1183" w14:textId="35EE4EFC"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02D7A2" w14:textId="7578DCEF"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2025</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F02C04"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ANRE </w:t>
            </w:r>
          </w:p>
          <w:p w14:paraId="29A1783B" w14:textId="05D5894C"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Moldelectrica</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F9D5D1"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Termenii și condițiile naționale pentru piața de echilibrare sunt stabilite în conformitate cu dispozițiile EBGL și ale altor acquis-uri ale Comunității Energetice.</w:t>
            </w:r>
          </w:p>
          <w:p w14:paraId="698CB66C"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Linia de referință: nu există termeni și condiții pentru piața de echilibrare.</w:t>
            </w:r>
          </w:p>
          <w:p w14:paraId="40902944" w14:textId="563F450B"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75B610"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Elaborarea termenilor și condițiilor naționale pentru echilibrare în conformitate cu acquis-ul CE, în special cu Pachetul privind integrarea energiei electrice, care include Regulamentul (UE) 2019/943 privind piața internă a energiei electrice și Regulamentul (UE) 2017/2195 al Comisiei de stabilire a unor linii directoare privind echilibrarea sistemului de energie electrică (EBLG). </w:t>
            </w:r>
          </w:p>
          <w:p w14:paraId="1BD6281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Legea ar trebui să fie adoptată de Parlament, apoi, pe baza legii, EBGL ar trebui să fie adoptată de ANRE și, pe acest temei juridic, Moldelectrica ar trebui să adopte termeni și condiții pentru echilibrare, deoarece acestea sunt o cerință în temeiul Articolului 18 din EBGL.</w:t>
            </w:r>
          </w:p>
          <w:p w14:paraId="01CC5DD0"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 xml:space="preserve">Acest lucru va garanta condiții echitabile, nediscriminatorii și transparente pentru furnizorii de servicii de echilibrare și părțile responsabile de echilibrare, asigurând astfel condiții de concurență echitabile pentru toți participanții la echilibrare. </w:t>
            </w:r>
          </w:p>
          <w:p w14:paraId="1837ABAD"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Aceasta va contribui la dezvoltarea de noi investiții în serviciile de echilibrare și la dezvoltarea concurenței pe piața de echilibrare, care lipsește la ora actuală.</w:t>
            </w:r>
          </w:p>
          <w:p w14:paraId="2AC1C309"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Aceasta va permite, de asemenea, armonizarea cu normele UE ca una dintre condițiile prealabile pentru aderarea la platformele de echilibrare ale UE </w:t>
            </w:r>
          </w:p>
          <w:p w14:paraId="2E15BC57" w14:textId="6664056C"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Sursa de verificare: EBGL aprobate de ANRE; termeni și condiții pentru echilibrare aprobate de ANRE</w:t>
            </w:r>
          </w:p>
        </w:tc>
      </w:tr>
      <w:tr w:rsidR="00DC671F" w:rsidRPr="00BD0643" w14:paraId="771C9CBB"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DCDE6D"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Energie</w:t>
            </w:r>
          </w:p>
          <w:p w14:paraId="6B76A3E6" w14:textId="77777777" w:rsidR="00DC671F" w:rsidRPr="00840B12" w:rsidRDefault="00DC671F" w:rsidP="00DC671F">
            <w:pPr>
              <w:jc w:val="both"/>
              <w:rPr>
                <w:rFonts w:ascii="Arial" w:hAnsi="Arial" w:cs="Arial"/>
                <w:noProof/>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A65685" w14:textId="77777777" w:rsidR="00DC671F" w:rsidRPr="00D4727E" w:rsidRDefault="00DC671F" w:rsidP="00DC671F">
            <w:pPr>
              <w:jc w:val="both"/>
              <w:rPr>
                <w:rFonts w:ascii="Arial" w:hAnsi="Arial" w:cs="Arial"/>
                <w:noProof/>
                <w:sz w:val="18"/>
                <w:szCs w:val="18"/>
                <w:lang w:val="ro-MD"/>
              </w:rPr>
            </w:pPr>
          </w:p>
          <w:p w14:paraId="18F9CC89" w14:textId="1E51F4C6"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84DC95" w14:textId="49281C35"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Piața de energie electrică deschisă și concurențială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65EB56" w14:textId="77777777" w:rsidR="00DC671F" w:rsidRPr="00D4727E" w:rsidRDefault="00DC671F" w:rsidP="00DC671F">
            <w:pPr>
              <w:jc w:val="both"/>
              <w:rPr>
                <w:rFonts w:ascii="Arial" w:hAnsi="Arial" w:cs="Arial"/>
                <w:noProof/>
                <w:sz w:val="18"/>
                <w:szCs w:val="18"/>
                <w:lang w:val="ro-MD"/>
              </w:rPr>
            </w:pPr>
          </w:p>
          <w:p w14:paraId="4B110B89" w14:textId="79023FBE"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5465D1" w14:textId="77777777" w:rsidR="00DC671F" w:rsidRPr="00D4727E" w:rsidRDefault="00DC671F" w:rsidP="00DC671F">
            <w:pPr>
              <w:jc w:val="both"/>
              <w:rPr>
                <w:rFonts w:ascii="Arial" w:hAnsi="Arial" w:cs="Arial"/>
                <w:noProof/>
                <w:sz w:val="18"/>
                <w:szCs w:val="18"/>
                <w:lang w:val="ro-MD"/>
              </w:rPr>
            </w:pPr>
            <w:r>
              <w:rPr>
                <w:rFonts w:ascii="Arial" w:hAnsi="Arial" w:cs="Arial"/>
                <w:noProof/>
                <w:sz w:val="18"/>
                <w:szCs w:val="18"/>
                <w:lang w:val="ro-MD"/>
              </w:rPr>
              <w:t>d</w:t>
            </w:r>
            <w:r w:rsidRPr="00D4727E">
              <w:rPr>
                <w:rFonts w:ascii="Arial" w:hAnsi="Arial" w:cs="Arial"/>
                <w:noProof/>
                <w:sz w:val="18"/>
                <w:szCs w:val="18"/>
                <w:lang w:val="ro-MD"/>
              </w:rPr>
              <w:t>ecembrie 2025</w:t>
            </w:r>
          </w:p>
          <w:p w14:paraId="2675A379" w14:textId="77777777" w:rsidR="00DC671F" w:rsidRPr="00840B12" w:rsidRDefault="00DC671F" w:rsidP="00DC671F">
            <w:pPr>
              <w:jc w:val="both"/>
              <w:rPr>
                <w:rFonts w:ascii="Arial" w:hAnsi="Arial" w:cs="Arial"/>
                <w:noProof/>
                <w:sz w:val="18"/>
                <w:szCs w:val="18"/>
              </w:rPr>
            </w:pP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D2DE43"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Moldelectrica</w:t>
            </w:r>
          </w:p>
          <w:p w14:paraId="0AA59A4B"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ANRE </w:t>
            </w:r>
          </w:p>
          <w:p w14:paraId="4D76B17E" w14:textId="77777777" w:rsidR="00DC671F" w:rsidRPr="00840B12" w:rsidRDefault="00DC671F" w:rsidP="00DC671F">
            <w:pPr>
              <w:jc w:val="both"/>
              <w:rPr>
                <w:rFonts w:ascii="Arial" w:hAnsi="Arial" w:cs="Arial"/>
                <w:noProof/>
                <w:sz w:val="18"/>
                <w:szCs w:val="1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1CDC9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Moldelectrica lansează licitații de achiziții publice pentru serviciile de echilibrare a noilor capacități.</w:t>
            </w:r>
          </w:p>
          <w:p w14:paraId="4CD6EC5C" w14:textId="0446EF7D"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Linia de referință: nicio licitație lansată.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E78097"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Dosarul de licitație include procedurile și instrucțiunile de licitație, cerințele tehnice și acordul contractual. </w:t>
            </w:r>
          </w:p>
          <w:p w14:paraId="313CDA7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Licitațiile de achiziții publice sunt necesare pentru deblocarea investițiilor în capacitățile de echilibrare. </w:t>
            </w:r>
          </w:p>
          <w:p w14:paraId="069647F3"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Licitațiile ar trebui să fie lansate până în septembrie 2025, urmând să fie verificate în decembrie 2025. </w:t>
            </w:r>
          </w:p>
          <w:p w14:paraId="6EF1C554" w14:textId="4E52EFA5"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Sursa de verificare: Cadrul de licitație publicat pe pagina web Moldelectrica.</w:t>
            </w:r>
          </w:p>
        </w:tc>
      </w:tr>
      <w:tr w:rsidR="00DC671F" w:rsidRPr="00BD0643" w14:paraId="1114F4C6"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3A4871"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Energie</w:t>
            </w:r>
          </w:p>
          <w:p w14:paraId="28FA0AE4" w14:textId="77777777" w:rsidR="00DC671F" w:rsidRPr="00D4727E" w:rsidRDefault="00DC671F" w:rsidP="00DC671F">
            <w:pPr>
              <w:jc w:val="both"/>
              <w:rPr>
                <w:rFonts w:ascii="Arial" w:hAnsi="Arial" w:cs="Arial"/>
                <w:noProof/>
                <w:sz w:val="18"/>
                <w:szCs w:val="18"/>
                <w:lang w:val="ro-MD"/>
              </w:rPr>
            </w:pPr>
          </w:p>
          <w:p w14:paraId="1B809FC7" w14:textId="77777777" w:rsidR="00DC671F" w:rsidRPr="00D4727E" w:rsidRDefault="00DC671F" w:rsidP="00DC671F">
            <w:pPr>
              <w:jc w:val="both"/>
              <w:rPr>
                <w:rFonts w:ascii="Arial" w:hAnsi="Arial" w:cs="Arial"/>
                <w:noProof/>
                <w:sz w:val="18"/>
                <w:szCs w:val="18"/>
                <w:lang w:val="ro-MD"/>
              </w:rPr>
            </w:pPr>
          </w:p>
          <w:p w14:paraId="307E4BB1" w14:textId="77777777" w:rsidR="00DC671F" w:rsidRPr="00D4727E" w:rsidRDefault="00DC671F" w:rsidP="00DC671F">
            <w:pPr>
              <w:jc w:val="both"/>
              <w:rPr>
                <w:rFonts w:ascii="Arial" w:hAnsi="Arial" w:cs="Arial"/>
                <w:noProof/>
                <w:sz w:val="18"/>
                <w:szCs w:val="18"/>
                <w:lang w:val="ro-MD"/>
              </w:rPr>
            </w:pPr>
          </w:p>
          <w:p w14:paraId="782A9A31" w14:textId="77777777" w:rsidR="00DC671F" w:rsidRPr="00D4727E" w:rsidRDefault="00DC671F" w:rsidP="00DC671F">
            <w:pPr>
              <w:jc w:val="both"/>
              <w:rPr>
                <w:rFonts w:ascii="Arial" w:hAnsi="Arial" w:cs="Arial"/>
                <w:noProof/>
                <w:sz w:val="18"/>
                <w:szCs w:val="18"/>
                <w:lang w:val="ro-MD"/>
              </w:rPr>
            </w:pPr>
          </w:p>
          <w:p w14:paraId="156A424A" w14:textId="77777777" w:rsidR="00DC671F" w:rsidRPr="00D4727E" w:rsidRDefault="00DC671F" w:rsidP="00DC671F">
            <w:pPr>
              <w:jc w:val="both"/>
              <w:rPr>
                <w:rFonts w:ascii="Arial" w:hAnsi="Arial" w:cs="Arial"/>
                <w:noProof/>
                <w:sz w:val="18"/>
                <w:szCs w:val="18"/>
                <w:lang w:val="ro-MD"/>
              </w:rPr>
            </w:pPr>
          </w:p>
          <w:p w14:paraId="287DC75C" w14:textId="77777777" w:rsidR="00DC671F" w:rsidRPr="00D4727E" w:rsidRDefault="00DC671F" w:rsidP="00DC671F">
            <w:pPr>
              <w:jc w:val="both"/>
              <w:rPr>
                <w:rFonts w:ascii="Arial" w:hAnsi="Arial" w:cs="Arial"/>
                <w:noProof/>
                <w:sz w:val="18"/>
                <w:szCs w:val="18"/>
                <w:lang w:val="ro-MD"/>
              </w:rPr>
            </w:pPr>
          </w:p>
          <w:p w14:paraId="7C55C9EB" w14:textId="77777777" w:rsidR="00DC671F" w:rsidRPr="00D4727E" w:rsidRDefault="00DC671F" w:rsidP="00DC671F">
            <w:pPr>
              <w:jc w:val="both"/>
              <w:rPr>
                <w:rFonts w:ascii="Arial" w:hAnsi="Arial" w:cs="Arial"/>
                <w:noProof/>
                <w:sz w:val="18"/>
                <w:szCs w:val="18"/>
                <w:lang w:val="ro-MD"/>
              </w:rPr>
            </w:pPr>
          </w:p>
          <w:p w14:paraId="023030BD" w14:textId="77777777" w:rsidR="00DC671F" w:rsidRPr="00D4727E" w:rsidRDefault="00DC671F" w:rsidP="00DC671F">
            <w:pPr>
              <w:jc w:val="both"/>
              <w:rPr>
                <w:rFonts w:ascii="Arial" w:hAnsi="Arial" w:cs="Arial"/>
                <w:noProof/>
                <w:sz w:val="18"/>
                <w:szCs w:val="18"/>
                <w:lang w:val="ro-MD"/>
              </w:rPr>
            </w:pPr>
          </w:p>
          <w:p w14:paraId="0DCA7996" w14:textId="77777777" w:rsidR="00DC671F" w:rsidRPr="00D4727E" w:rsidRDefault="00DC671F" w:rsidP="00DC671F">
            <w:pPr>
              <w:jc w:val="both"/>
              <w:rPr>
                <w:rFonts w:ascii="Arial" w:hAnsi="Arial" w:cs="Arial"/>
                <w:noProof/>
                <w:sz w:val="18"/>
                <w:szCs w:val="18"/>
                <w:lang w:val="ro-MD"/>
              </w:rPr>
            </w:pPr>
          </w:p>
          <w:p w14:paraId="2BA72871" w14:textId="77777777" w:rsidR="00DC671F" w:rsidRPr="00D4727E" w:rsidRDefault="00DC671F" w:rsidP="00DC671F">
            <w:pPr>
              <w:jc w:val="both"/>
              <w:rPr>
                <w:rFonts w:ascii="Arial" w:hAnsi="Arial" w:cs="Arial"/>
                <w:noProof/>
                <w:sz w:val="18"/>
                <w:szCs w:val="18"/>
                <w:lang w:val="ro-MD"/>
              </w:rPr>
            </w:pPr>
          </w:p>
          <w:p w14:paraId="019BBCB2" w14:textId="77777777" w:rsidR="00DC671F" w:rsidRPr="00840B12" w:rsidRDefault="00DC671F" w:rsidP="00DC671F">
            <w:pPr>
              <w:jc w:val="both"/>
              <w:rPr>
                <w:rFonts w:ascii="Arial" w:hAnsi="Arial" w:cs="Arial"/>
                <w:noProof/>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6EC3E8" w14:textId="77777777" w:rsidR="00DC671F" w:rsidRPr="00D4727E" w:rsidRDefault="00DC671F" w:rsidP="00DC671F">
            <w:pPr>
              <w:jc w:val="both"/>
              <w:rPr>
                <w:rFonts w:ascii="Arial" w:hAnsi="Arial" w:cs="Arial"/>
                <w:noProof/>
                <w:sz w:val="18"/>
                <w:szCs w:val="18"/>
                <w:lang w:val="ro-MD"/>
              </w:rPr>
            </w:pPr>
          </w:p>
          <w:p w14:paraId="507C40B8" w14:textId="655E85AD"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08AE9F" w14:textId="763B3B59"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Piața de energie electrică deschisă și concurențială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F3FA2A" w14:textId="77777777" w:rsidR="00DC671F" w:rsidRPr="00D4727E" w:rsidRDefault="00DC671F" w:rsidP="00DC671F">
            <w:pPr>
              <w:jc w:val="both"/>
              <w:rPr>
                <w:rFonts w:ascii="Arial" w:hAnsi="Arial" w:cs="Arial"/>
                <w:noProof/>
                <w:sz w:val="18"/>
                <w:szCs w:val="18"/>
                <w:lang w:val="ro-MD"/>
              </w:rPr>
            </w:pPr>
          </w:p>
          <w:p w14:paraId="324F7776" w14:textId="37D1124C"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3</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B7BCF5" w14:textId="77777777" w:rsidR="00DC671F" w:rsidRPr="00D4727E" w:rsidRDefault="00DC671F" w:rsidP="00DC671F">
            <w:pPr>
              <w:jc w:val="both"/>
              <w:rPr>
                <w:rFonts w:ascii="Arial" w:hAnsi="Arial" w:cs="Arial"/>
                <w:noProof/>
                <w:sz w:val="18"/>
                <w:szCs w:val="18"/>
                <w:lang w:val="ro-MD"/>
              </w:rPr>
            </w:pPr>
            <w:r>
              <w:rPr>
                <w:rFonts w:ascii="Arial" w:hAnsi="Arial" w:cs="Arial"/>
                <w:noProof/>
                <w:sz w:val="18"/>
                <w:szCs w:val="18"/>
                <w:lang w:val="ro-MD"/>
              </w:rPr>
              <w:t>d</w:t>
            </w:r>
            <w:r w:rsidRPr="00D4727E">
              <w:rPr>
                <w:rFonts w:ascii="Arial" w:hAnsi="Arial" w:cs="Arial"/>
                <w:noProof/>
                <w:sz w:val="18"/>
                <w:szCs w:val="18"/>
                <w:lang w:val="ro-MD"/>
              </w:rPr>
              <w:t>ecembrie 2025</w:t>
            </w:r>
          </w:p>
          <w:p w14:paraId="70E87159" w14:textId="77777777" w:rsidR="00DC671F" w:rsidRPr="00840B12" w:rsidRDefault="00DC671F" w:rsidP="00DC671F">
            <w:pPr>
              <w:jc w:val="both"/>
              <w:rPr>
                <w:rFonts w:ascii="Arial" w:hAnsi="Arial" w:cs="Arial"/>
                <w:noProof/>
                <w:sz w:val="18"/>
                <w:szCs w:val="18"/>
              </w:rPr>
            </w:pP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D8EA8F"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MEn </w:t>
            </w:r>
          </w:p>
          <w:p w14:paraId="0DAB247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ANRE </w:t>
            </w:r>
          </w:p>
          <w:p w14:paraId="79A31C7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Moldelectrica</w:t>
            </w:r>
          </w:p>
          <w:p w14:paraId="0EEE0708" w14:textId="77777777" w:rsidR="00DC671F" w:rsidRPr="00840B12" w:rsidRDefault="00DC671F" w:rsidP="00DC671F">
            <w:pPr>
              <w:jc w:val="both"/>
              <w:rPr>
                <w:rFonts w:ascii="Arial" w:hAnsi="Arial" w:cs="Arial"/>
                <w:noProof/>
                <w:sz w:val="18"/>
                <w:szCs w:val="1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3577A4"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Piața de echilibrare este în vigoare.</w:t>
            </w:r>
          </w:p>
          <w:p w14:paraId="5D3BBCB9"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Linia de referință: nu există o piață a serviciilor de echilibrare.</w:t>
            </w:r>
          </w:p>
          <w:p w14:paraId="2B360B19" w14:textId="57C3EAF5"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br/>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FA4DE8"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Pentru ca piața de echilibrare să fie funcțională, trebuie: </w:t>
            </w:r>
          </w:p>
          <w:p w14:paraId="068BC714" w14:textId="77777777" w:rsidR="00DC671F" w:rsidRPr="00D4727E" w:rsidRDefault="00DC671F" w:rsidP="00DC671F">
            <w:pPr>
              <w:numPr>
                <w:ilvl w:val="0"/>
                <w:numId w:val="1"/>
              </w:numPr>
              <w:jc w:val="both"/>
              <w:rPr>
                <w:rFonts w:ascii="Arial" w:hAnsi="Arial" w:cs="Arial"/>
                <w:noProof/>
                <w:sz w:val="18"/>
                <w:szCs w:val="18"/>
                <w:lang w:val="ro-MD"/>
              </w:rPr>
            </w:pPr>
            <w:r w:rsidRPr="00D4727E">
              <w:rPr>
                <w:rFonts w:ascii="Arial" w:hAnsi="Arial" w:cs="Arial"/>
                <w:noProof/>
                <w:sz w:val="18"/>
                <w:szCs w:val="18"/>
                <w:lang w:val="ro-MD"/>
              </w:rPr>
              <w:t xml:space="preserve">Stabilirea unui cadru de reglementare și contractual pentru achiziționarea pe bază de piață a serviciilor de echilibrare, incluzând atât capacitatea, cât și energia.  </w:t>
            </w:r>
          </w:p>
          <w:p w14:paraId="3B60FF3E" w14:textId="77777777" w:rsidR="00DC671F" w:rsidRPr="00D4727E" w:rsidRDefault="00DC671F" w:rsidP="00DC671F">
            <w:pPr>
              <w:numPr>
                <w:ilvl w:val="0"/>
                <w:numId w:val="1"/>
              </w:numPr>
              <w:jc w:val="both"/>
              <w:rPr>
                <w:rFonts w:ascii="Arial" w:hAnsi="Arial" w:cs="Arial"/>
                <w:noProof/>
                <w:sz w:val="18"/>
                <w:szCs w:val="18"/>
                <w:lang w:val="ro-MD"/>
              </w:rPr>
            </w:pPr>
            <w:r w:rsidRPr="00D4727E">
              <w:rPr>
                <w:rFonts w:ascii="Arial" w:hAnsi="Arial" w:cs="Arial"/>
                <w:noProof/>
                <w:sz w:val="18"/>
                <w:szCs w:val="18"/>
                <w:lang w:val="ro-MD"/>
              </w:rPr>
              <w:t>ANRE aprobă lansarea pieței de echilibrare prin hotărâre în conformitate cu legislația în vigoare. Dacă nu este cazul, ANRE ar trebui să aprobe normele prezentate de Moldelectrica.</w:t>
            </w:r>
          </w:p>
          <w:p w14:paraId="132CB11D" w14:textId="77777777" w:rsidR="00DC671F" w:rsidRPr="00D4727E" w:rsidRDefault="00DC671F" w:rsidP="00DC671F">
            <w:pPr>
              <w:numPr>
                <w:ilvl w:val="0"/>
                <w:numId w:val="1"/>
              </w:numPr>
              <w:jc w:val="both"/>
              <w:rPr>
                <w:rFonts w:ascii="Arial" w:hAnsi="Arial" w:cs="Arial"/>
                <w:noProof/>
                <w:sz w:val="18"/>
                <w:szCs w:val="18"/>
                <w:lang w:val="ro-MD"/>
              </w:rPr>
            </w:pPr>
            <w:r w:rsidRPr="00D4727E">
              <w:rPr>
                <w:rFonts w:ascii="Arial" w:hAnsi="Arial" w:cs="Arial"/>
                <w:noProof/>
                <w:sz w:val="18"/>
                <w:szCs w:val="18"/>
                <w:lang w:val="ro-MD"/>
              </w:rPr>
              <w:t xml:space="preserve">Moldelectrica este responsabilă de înființarea și operarea pieței de echilibrare, inclusiv de achiziționarea și operaționalizarea platformei IT (în </w:t>
            </w:r>
            <w:r w:rsidRPr="00D4727E">
              <w:rPr>
                <w:rFonts w:ascii="Arial" w:hAnsi="Arial" w:cs="Arial"/>
                <w:noProof/>
                <w:sz w:val="18"/>
                <w:szCs w:val="18"/>
                <w:lang w:val="ro-MD"/>
              </w:rPr>
              <w:lastRenderedPageBreak/>
              <w:t>legătură cu planul de investiții: achiziționarea sistemului MMS).</w:t>
            </w:r>
          </w:p>
          <w:p w14:paraId="349352DE"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Piața de echilibrare este operațională atunci când cadrul de reglementare și contractual este adoptat și publicat, iar platforma de susținere a pieței de echilibrare este în funcțiune, astfel încât participanții la piață interesați să poată încheia contracte cu furnizorii de servicii de echilibrare și să își prezinte ofertele către Moldelectrica pentru capacitate/energie de echilibrare.</w:t>
            </w:r>
          </w:p>
          <w:p w14:paraId="12DEE45F"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Deschiderea pieței de echilibrare (capacitate și energie de echilibrare) va permite Moldelectrica să îmbunătățească echilibrarea sistemului prin achiziționarea și utilizarea serviciilor de echilibrare de la instalațiile existente care au trecut procedura de preselecție (inclusiv furnizorii transfrontalieri (de exemplu, RO, UA). </w:t>
            </w:r>
          </w:p>
          <w:p w14:paraId="0BEBBC33"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Sursa de verificare: </w:t>
            </w:r>
          </w:p>
          <w:p w14:paraId="6D9FA008"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Hotărârea ANRE este publicată în Registrul hotărârilor Consiliului de administrație al ANRE.  </w:t>
            </w:r>
          </w:p>
          <w:p w14:paraId="1FCB32E4"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Piața de echilibrare este operațională cu procedura de precalificare, regulile pieței de echilibrare și contractul BSP aprobate de ANRE și publicate pe pagina web Moldelectrica.</w:t>
            </w:r>
          </w:p>
          <w:p w14:paraId="1125A42C" w14:textId="516C2287"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Tariful rețelei de transport include costurile de achiziționare a serviciilor de echilibrare ex-ante aprobate de ANRE.</w:t>
            </w:r>
          </w:p>
        </w:tc>
      </w:tr>
      <w:tr w:rsidR="00DC671F" w:rsidRPr="00BD0643" w14:paraId="2A02292B"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DCADB4"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Energie</w:t>
            </w:r>
          </w:p>
          <w:p w14:paraId="347CCF91" w14:textId="1200ABDC"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2844BE" w14:textId="77777777" w:rsidR="00DC671F" w:rsidRPr="00D4727E" w:rsidRDefault="00DC671F" w:rsidP="00DC671F">
            <w:pPr>
              <w:jc w:val="both"/>
              <w:rPr>
                <w:rFonts w:ascii="Arial" w:hAnsi="Arial" w:cs="Arial"/>
                <w:noProof/>
                <w:sz w:val="18"/>
                <w:szCs w:val="18"/>
                <w:lang w:val="ro-MD"/>
              </w:rPr>
            </w:pPr>
          </w:p>
          <w:p w14:paraId="60581437" w14:textId="5EE21FBD"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0C6FC0" w14:textId="27944CF7"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Piața de energie electrică deschisă și concurențială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A272D6" w14:textId="77777777" w:rsidR="00DC671F" w:rsidRPr="00D4727E" w:rsidRDefault="00DC671F" w:rsidP="00DC671F">
            <w:pPr>
              <w:jc w:val="both"/>
              <w:rPr>
                <w:rFonts w:ascii="Arial" w:hAnsi="Arial" w:cs="Arial"/>
                <w:noProof/>
                <w:sz w:val="18"/>
                <w:szCs w:val="18"/>
                <w:lang w:val="ro-MD"/>
              </w:rPr>
            </w:pPr>
          </w:p>
          <w:p w14:paraId="4E2AB5AC" w14:textId="641C37E8"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4</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886CA3" w14:textId="0981F32A"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i</w:t>
            </w:r>
            <w:r w:rsidRPr="00D4727E">
              <w:rPr>
                <w:rFonts w:ascii="Arial" w:hAnsi="Arial" w:cs="Arial"/>
                <w:noProof/>
                <w:sz w:val="18"/>
                <w:szCs w:val="18"/>
                <w:lang w:val="ro-MD"/>
              </w:rPr>
              <w:t>unie 2025</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5A3F37"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ANRE </w:t>
            </w:r>
          </w:p>
          <w:p w14:paraId="7637FA38"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OPEM </w:t>
            </w:r>
          </w:p>
          <w:p w14:paraId="254C48D7" w14:textId="77777777" w:rsidR="00DC671F" w:rsidRPr="00840B12" w:rsidRDefault="00DC671F" w:rsidP="00DC671F">
            <w:pPr>
              <w:jc w:val="both"/>
              <w:rPr>
                <w:rFonts w:ascii="Arial" w:hAnsi="Arial" w:cs="Arial"/>
                <w:noProof/>
                <w:sz w:val="18"/>
                <w:szCs w:val="1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7036C8"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Operator nominalizat al pieței de energie electrică desemnat. </w:t>
            </w:r>
          </w:p>
          <w:p w14:paraId="59F26FD2" w14:textId="77777777" w:rsidR="00DC671F" w:rsidRPr="00D4727E" w:rsidRDefault="00DC671F" w:rsidP="00DC671F">
            <w:pPr>
              <w:jc w:val="both"/>
              <w:rPr>
                <w:rFonts w:ascii="Arial" w:hAnsi="Arial" w:cs="Arial"/>
                <w:noProof/>
                <w:sz w:val="18"/>
                <w:szCs w:val="18"/>
                <w:lang w:val="ro-MD"/>
              </w:rPr>
            </w:pPr>
          </w:p>
          <w:p w14:paraId="549450C0" w14:textId="44B8AAF9"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Linia de referință: în prezent nu este desemnat niciun NEMO.</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CAD442"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NEMO este desemnat să îndeplinească sarcini legate de cuplarea unică pentru ziua următoare și de cuplarea unică intrazilnică în conformitate cu Regulamentul (UE) 2015/1222 al Comisiei de stabilire a unei linii directoare privind alocarea capacităților și gestionarea congestiilor (CACM).</w:t>
            </w:r>
          </w:p>
          <w:p w14:paraId="3CDDD6DC" w14:textId="163DAD23"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 xml:space="preserve">Sursa de verificare: Hotărârea privind desemnarea NEMO adoptată de Consiliul de administrație al ANRE este publicată în Registrul hotărârilor Consiliului de administrație al ANRE. </w:t>
            </w:r>
          </w:p>
        </w:tc>
      </w:tr>
      <w:tr w:rsidR="00DC671F" w:rsidRPr="00BD0643" w14:paraId="4DD93204"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F213FD" w14:textId="77777777" w:rsidR="00DC671F" w:rsidRPr="00DC671F" w:rsidRDefault="00DC671F" w:rsidP="00DC671F">
            <w:pPr>
              <w:jc w:val="both"/>
              <w:rPr>
                <w:rFonts w:ascii="Arial" w:hAnsi="Arial" w:cs="Arial"/>
                <w:noProof/>
                <w:sz w:val="18"/>
                <w:szCs w:val="18"/>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0BCB8D" w14:textId="77777777" w:rsidR="00DC671F" w:rsidRPr="00D4727E" w:rsidRDefault="00DC671F" w:rsidP="00DC671F">
            <w:pPr>
              <w:jc w:val="both"/>
              <w:rPr>
                <w:rFonts w:ascii="Arial" w:hAnsi="Arial" w:cs="Arial"/>
                <w:noProof/>
                <w:sz w:val="18"/>
                <w:szCs w:val="18"/>
                <w:lang w:val="ro-MD"/>
              </w:rPr>
            </w:pPr>
          </w:p>
          <w:p w14:paraId="0E488913" w14:textId="318CD6E9"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lastRenderedPageBreak/>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BF50EF" w14:textId="1C85B358"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lastRenderedPageBreak/>
              <w:t xml:space="preserve">Piața de energie </w:t>
            </w:r>
            <w:r w:rsidRPr="00D4727E">
              <w:rPr>
                <w:rFonts w:ascii="Arial" w:hAnsi="Arial" w:cs="Arial"/>
                <w:noProof/>
                <w:sz w:val="18"/>
                <w:szCs w:val="18"/>
                <w:lang w:val="ro-MD"/>
              </w:rPr>
              <w:lastRenderedPageBreak/>
              <w:t>electrică deschisă și concurențială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F8A1D3" w14:textId="77777777" w:rsidR="00DC671F" w:rsidRPr="00D4727E" w:rsidRDefault="00DC671F" w:rsidP="00DC671F">
            <w:pPr>
              <w:jc w:val="both"/>
              <w:rPr>
                <w:rFonts w:ascii="Arial" w:hAnsi="Arial" w:cs="Arial"/>
                <w:noProof/>
                <w:sz w:val="18"/>
                <w:szCs w:val="18"/>
                <w:lang w:val="ro-MD"/>
              </w:rPr>
            </w:pPr>
          </w:p>
          <w:p w14:paraId="78D893B0" w14:textId="01650D19"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lastRenderedPageBreak/>
              <w:t>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B42BDC" w14:textId="583F2B71" w:rsidR="00DC671F" w:rsidRPr="00D4727E" w:rsidRDefault="00DC671F" w:rsidP="00DC671F">
            <w:pPr>
              <w:jc w:val="both"/>
              <w:rPr>
                <w:rFonts w:ascii="Arial" w:hAnsi="Arial" w:cs="Arial"/>
                <w:noProof/>
                <w:sz w:val="18"/>
                <w:szCs w:val="18"/>
                <w:lang w:val="ro-MD"/>
              </w:rPr>
            </w:pPr>
            <w:r>
              <w:rPr>
                <w:rFonts w:ascii="Arial" w:hAnsi="Arial" w:cs="Arial"/>
                <w:noProof/>
                <w:sz w:val="18"/>
                <w:szCs w:val="18"/>
                <w:lang w:val="ro-MD"/>
              </w:rPr>
              <w:lastRenderedPageBreak/>
              <w:t>d</w:t>
            </w:r>
            <w:r w:rsidRPr="00D4727E">
              <w:rPr>
                <w:rFonts w:ascii="Arial" w:hAnsi="Arial" w:cs="Arial"/>
                <w:noProof/>
                <w:sz w:val="18"/>
                <w:szCs w:val="18"/>
                <w:lang w:val="ro-MD"/>
              </w:rPr>
              <w:t>ecembrie 2025</w:t>
            </w:r>
          </w:p>
          <w:p w14:paraId="421EB9D3" w14:textId="77777777" w:rsidR="00DC671F" w:rsidRPr="00840B12" w:rsidRDefault="00DC671F" w:rsidP="00DC671F">
            <w:pPr>
              <w:jc w:val="both"/>
              <w:rPr>
                <w:rFonts w:ascii="Arial" w:hAnsi="Arial" w:cs="Arial"/>
                <w:noProof/>
                <w:sz w:val="18"/>
                <w:szCs w:val="18"/>
              </w:rPr>
            </w:pP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3E0637"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 xml:space="preserve">MEn, </w:t>
            </w:r>
          </w:p>
          <w:p w14:paraId="51814A64"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MF,</w:t>
            </w:r>
          </w:p>
          <w:p w14:paraId="680FB312"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ANRE, </w:t>
            </w:r>
          </w:p>
          <w:p w14:paraId="3D55A416"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OPEM</w:t>
            </w:r>
          </w:p>
          <w:p w14:paraId="516B6400" w14:textId="1984C513"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Moldelectrica</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69C1B6"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 xml:space="preserve">Sunt introduse piețele pentru ziua următoare și piața intrazilnică. </w:t>
            </w:r>
          </w:p>
          <w:p w14:paraId="1C39432E" w14:textId="77777777" w:rsidR="00DC671F" w:rsidRPr="00D4727E" w:rsidRDefault="00DC671F" w:rsidP="00DC671F">
            <w:pPr>
              <w:jc w:val="both"/>
              <w:rPr>
                <w:rFonts w:ascii="Arial" w:hAnsi="Arial" w:cs="Arial"/>
                <w:noProof/>
                <w:sz w:val="18"/>
                <w:szCs w:val="18"/>
                <w:lang w:val="ro-MD"/>
              </w:rPr>
            </w:pPr>
          </w:p>
          <w:p w14:paraId="4539F8E6" w14:textId="5BD2E9F1" w:rsidR="00DC671F" w:rsidRPr="00FE50D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Linia de referință: nu există nicio piață pentru ziua următoare și nicio piață intrazilnică funcționale.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659F2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 xml:space="preserve">Pentru a finaliza introducerea pieței pentru ziua următoare și a pieței intrazilnice, este necesar să se stabilească: </w:t>
            </w:r>
          </w:p>
          <w:p w14:paraId="6697D536"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lastRenderedPageBreak/>
              <w:t>norme de decontare,</w:t>
            </w:r>
          </w:p>
          <w:p w14:paraId="69DB7957"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 xml:space="preserve">garanții financiare </w:t>
            </w:r>
          </w:p>
          <w:p w14:paraId="23CB010F"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 xml:space="preserve">contract-cadru. </w:t>
            </w:r>
          </w:p>
          <w:p w14:paraId="3DF458FE"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Lansarea pieței în termeni practici presupune că bursa de energie va anunța în avans prima dată de lansare și va începe înregistrarea participanților la piață. Începând cu ziua pentru care au fost anunțate primele licitații, platforma va fi inițiată și toți participanții la piață înregistrați vor avea posibilitatea de a-și plasa ofertele pentru ziua următoare. După închiderea licitațiilor, bursa de energie va publica rezultatele tranzacțiilor. </w:t>
            </w:r>
          </w:p>
          <w:p w14:paraId="6206D91F"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Legislația în vigoare condiționează lansarea pieței pentru ziua următoare și a pieței intrazilnice de decizia ANRE.</w:t>
            </w:r>
          </w:p>
          <w:p w14:paraId="3BC453B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DAM și IDM vor oferi un semnal de preț transparent, vor permite participanților la piață să tranzacționeze și să își echilibreze pozițiile aproape în timp real și vor reduce riscul de tranzacționare, ceea ce ar trebui să ducă la o scădere a prețurilor la energia electrică. DAM și IDM operaționale sunt, de asemenea, condiții prealabile pentru cuplarea pieței. </w:t>
            </w:r>
          </w:p>
          <w:p w14:paraId="739258DA" w14:textId="75CCDBC3" w:rsidR="00DC671F" w:rsidRPr="00DC671F"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Sursa de verificare: Hotărârea ANRE / datele operaționale și de piață ale DAM și IDM publicate pe pagina web a OPEM.</w:t>
            </w:r>
          </w:p>
        </w:tc>
      </w:tr>
      <w:tr w:rsidR="00DC671F" w:rsidRPr="00FE50DE" w14:paraId="31E0FE1B"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60A5FC" w14:textId="77777777" w:rsidR="00DC671F" w:rsidRPr="00DC671F" w:rsidRDefault="00DC671F" w:rsidP="00DC671F">
            <w:pPr>
              <w:jc w:val="both"/>
              <w:rPr>
                <w:rFonts w:ascii="Arial" w:hAnsi="Arial" w:cs="Arial"/>
                <w:noProof/>
                <w:sz w:val="18"/>
                <w:szCs w:val="18"/>
                <w:lang w:val="ro-MD"/>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871D53" w14:textId="77777777" w:rsidR="00DC671F" w:rsidRPr="00D4727E" w:rsidRDefault="00DC671F" w:rsidP="00DC671F">
            <w:pPr>
              <w:jc w:val="both"/>
              <w:rPr>
                <w:rFonts w:ascii="Arial" w:hAnsi="Arial" w:cs="Arial"/>
                <w:noProof/>
                <w:sz w:val="18"/>
                <w:szCs w:val="18"/>
                <w:lang w:val="ro-MD"/>
              </w:rPr>
            </w:pPr>
          </w:p>
          <w:p w14:paraId="5FAD6713" w14:textId="787CC07B"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583D97" w14:textId="132D9163"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Piața de energie electrică deschisă și concurențială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F75FD0" w14:textId="77777777" w:rsidR="00DC671F" w:rsidRPr="00D4727E" w:rsidRDefault="00DC671F" w:rsidP="00DC671F">
            <w:pPr>
              <w:jc w:val="both"/>
              <w:rPr>
                <w:rFonts w:ascii="Arial" w:hAnsi="Arial" w:cs="Arial"/>
                <w:noProof/>
                <w:sz w:val="18"/>
                <w:szCs w:val="18"/>
                <w:lang w:val="ro-MD"/>
              </w:rPr>
            </w:pPr>
          </w:p>
          <w:p w14:paraId="0CA0F897" w14:textId="23239478"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6</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6D667D" w14:textId="4A904924"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i</w:t>
            </w:r>
            <w:r w:rsidRPr="00D4727E">
              <w:rPr>
                <w:rFonts w:ascii="Arial" w:hAnsi="Arial" w:cs="Arial"/>
                <w:noProof/>
                <w:sz w:val="18"/>
                <w:szCs w:val="18"/>
                <w:lang w:val="ro-MD"/>
              </w:rPr>
              <w:t>unie 2027</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BF8E33"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 </w:t>
            </w:r>
          </w:p>
          <w:p w14:paraId="62BEF44C"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ANRE, </w:t>
            </w:r>
          </w:p>
          <w:p w14:paraId="52AEE32C"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OPEM, </w:t>
            </w:r>
          </w:p>
          <w:p w14:paraId="1A4DE77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Moldelectrica</w:t>
            </w:r>
          </w:p>
          <w:p w14:paraId="39B5FAA7" w14:textId="77777777" w:rsidR="00DC671F" w:rsidRPr="00D4727E" w:rsidRDefault="00DC671F" w:rsidP="00DC671F">
            <w:pPr>
              <w:jc w:val="both"/>
              <w:rPr>
                <w:rFonts w:ascii="Arial" w:hAnsi="Arial" w:cs="Arial"/>
                <w:noProof/>
                <w:sz w:val="18"/>
                <w:szCs w:val="18"/>
                <w:lang w:val="ro-MD"/>
              </w:rPr>
            </w:pPr>
          </w:p>
          <w:p w14:paraId="4BAA70B3" w14:textId="155DAF83"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ACER</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22FC12"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Îndeplinirea cerințelor pentru cuplarea piețelor și depunerea cererii de acceptare la Comitetul de coordonare a cuplării pieței (MCSC) </w:t>
            </w:r>
          </w:p>
          <w:p w14:paraId="472D2351" w14:textId="77777777" w:rsidR="00DC671F" w:rsidRPr="00D4727E" w:rsidRDefault="00DC671F" w:rsidP="00DC671F">
            <w:pPr>
              <w:jc w:val="both"/>
              <w:rPr>
                <w:rFonts w:ascii="Arial" w:hAnsi="Arial" w:cs="Arial"/>
                <w:noProof/>
                <w:sz w:val="18"/>
                <w:szCs w:val="18"/>
                <w:lang w:val="ro-MD"/>
              </w:rPr>
            </w:pPr>
          </w:p>
          <w:p w14:paraId="29B0C008"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Linia de referință: fără cuplare a piețelor.</w:t>
            </w:r>
          </w:p>
          <w:p w14:paraId="7CC3B211" w14:textId="77777777" w:rsidR="00DC671F" w:rsidRPr="00D4727E" w:rsidRDefault="00DC671F" w:rsidP="00DC671F">
            <w:pPr>
              <w:jc w:val="both"/>
              <w:rPr>
                <w:rFonts w:ascii="Arial" w:hAnsi="Arial" w:cs="Arial"/>
                <w:noProof/>
                <w:sz w:val="18"/>
                <w:szCs w:val="18"/>
                <w:lang w:val="ro-MD"/>
              </w:rPr>
            </w:pPr>
          </w:p>
          <w:p w14:paraId="038519B1" w14:textId="77777777" w:rsidR="00DC671F" w:rsidRPr="00840B12" w:rsidRDefault="00DC671F" w:rsidP="00DC671F">
            <w:pPr>
              <w:jc w:val="both"/>
              <w:rPr>
                <w:rFonts w:ascii="Arial" w:hAnsi="Arial" w:cs="Arial"/>
                <w:noProof/>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4F10E9"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Pentru a depune cererea, următoarele cerințe, trebuie să fie îndeplinite:</w:t>
            </w:r>
          </w:p>
          <w:p w14:paraId="5D48AAF6"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1. Transpunerea și implementarea completă a cerințelor de cuplare incluse în Directiva (UE) 2019/944, Regulamentul (UE) 2019/943, </w:t>
            </w:r>
          </w:p>
          <w:p w14:paraId="47D383FF"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Regulamentul (UE) 2019/941, Regulamentul (UE) 2015/1222 al Comisiei și Regulamentul (UE) 1227/2011, astfel cum au fost adaptate și adoptate în Comunitatea Energetică. </w:t>
            </w:r>
          </w:p>
          <w:p w14:paraId="187BA54E"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 </w:t>
            </w:r>
          </w:p>
          <w:p w14:paraId="5A8168BE"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Conformitatea cu regulamentul de mai sus este verificată de Secretariatul Comunității Energetice. </w:t>
            </w:r>
          </w:p>
          <w:p w14:paraId="319C1ED6"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2. Aderarea contractuală deplină la Sistemul de cuplare unică pentru ziua următoare (SDAC) și la Regiunea de calcul al capacității din Europa de Est este operațională, cu metodologia de calcul al capacității aprobată.</w:t>
            </w:r>
          </w:p>
          <w:p w14:paraId="4D57BB1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Cererea către MCSC este depusă de Operatorul sistemului de transport și de Operatorul desemnat al pieței de energie electrică. </w:t>
            </w:r>
          </w:p>
          <w:p w14:paraId="39B1B999"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Cuplarea piețelor va contribui la dezvoltarea concurenței și a lichidității și va asigura semnale de preț stabile și fiabile, necesare pentru noi investiții în Moldova, atât în resursele de bază, cât și în cele de flexibilitate. Integrarea pieței va permite Moldovei să acceseze serviciile de echilibrare disponibile pe piața UE, ceea ce este foarte important având în vedere raritatea acestor servicii pe piața Moldovei și, eventual, va reduce și nevoia de servicii de echilibrare în Moldova. O piață competitivă și integrată ar trebui să aducă prețuri mai mici pentru consumatorii finali.     </w:t>
            </w:r>
          </w:p>
          <w:p w14:paraId="722A04A9"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Sursa de verificare: Decizia MCSC privind îndeplinirea tuturor condițiilor pentru punerea în funcțiune. </w:t>
            </w:r>
          </w:p>
          <w:p w14:paraId="54FB47D4" w14:textId="5101BEAE" w:rsidR="00DC671F" w:rsidRPr="00DC671F"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Punerea în funcțiune face obiectul unei decizii comune a NEMO și a OTS în cadrul organismului decizional stabilit în acordul operațional pentru ziua următoare (MCSC), cu condiția îndeplinirii tuturor condițiilor definite de MCO IP. </w:t>
            </w:r>
          </w:p>
        </w:tc>
      </w:tr>
      <w:tr w:rsidR="00DC671F" w:rsidRPr="00BD0643" w14:paraId="678D4D06"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812AC0" w14:textId="77777777" w:rsidR="00DC671F" w:rsidRPr="00DC671F" w:rsidRDefault="00DC671F" w:rsidP="00DC671F">
            <w:pPr>
              <w:jc w:val="both"/>
              <w:rPr>
                <w:rFonts w:ascii="Arial" w:hAnsi="Arial" w:cs="Arial"/>
                <w:noProof/>
                <w:sz w:val="18"/>
                <w:szCs w:val="18"/>
                <w:lang w:val="ro-MD"/>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02F8AD" w14:textId="77777777" w:rsidR="00DC671F" w:rsidRPr="00D4727E" w:rsidRDefault="00DC671F" w:rsidP="00DC671F">
            <w:pPr>
              <w:jc w:val="both"/>
              <w:rPr>
                <w:rFonts w:ascii="Arial" w:hAnsi="Arial" w:cs="Arial"/>
                <w:noProof/>
                <w:sz w:val="18"/>
                <w:szCs w:val="18"/>
                <w:lang w:val="ro-MD"/>
              </w:rPr>
            </w:pPr>
          </w:p>
          <w:p w14:paraId="660ABDA4"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1</w:t>
            </w:r>
          </w:p>
          <w:p w14:paraId="451A30A4" w14:textId="77777777" w:rsidR="00DC671F" w:rsidRPr="00D4727E" w:rsidRDefault="00DC671F" w:rsidP="00DC671F">
            <w:pPr>
              <w:jc w:val="both"/>
              <w:rPr>
                <w:rFonts w:ascii="Arial" w:hAnsi="Arial" w:cs="Arial"/>
                <w:noProof/>
                <w:sz w:val="18"/>
                <w:szCs w:val="18"/>
                <w:lang w:val="ro-MD"/>
              </w:rPr>
            </w:pPr>
          </w:p>
          <w:p w14:paraId="18C8EB48" w14:textId="77777777" w:rsidR="00DC671F" w:rsidRPr="00D4727E" w:rsidRDefault="00DC671F" w:rsidP="00DC671F">
            <w:pPr>
              <w:jc w:val="both"/>
              <w:rPr>
                <w:rFonts w:ascii="Arial" w:hAnsi="Arial" w:cs="Arial"/>
                <w:noProof/>
                <w:sz w:val="18"/>
                <w:szCs w:val="18"/>
                <w:lang w:val="ro-MD"/>
              </w:rPr>
            </w:pPr>
          </w:p>
          <w:p w14:paraId="500822E2" w14:textId="77777777" w:rsidR="00DC671F" w:rsidRPr="00840B12" w:rsidRDefault="00DC671F" w:rsidP="00DC671F">
            <w:pPr>
              <w:jc w:val="both"/>
              <w:rPr>
                <w:rFonts w:ascii="Arial" w:hAnsi="Arial" w:cs="Arial"/>
                <w:noProof/>
                <w:sz w:val="18"/>
                <w:szCs w:val="18"/>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B9EAA9"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Piața de energie electrică deschisă și concurențială </w:t>
            </w:r>
          </w:p>
          <w:p w14:paraId="246C1C5B" w14:textId="77777777" w:rsidR="00DC671F" w:rsidRPr="00D4727E" w:rsidRDefault="00DC671F" w:rsidP="00DC671F">
            <w:pPr>
              <w:jc w:val="both"/>
              <w:rPr>
                <w:rFonts w:ascii="Arial" w:hAnsi="Arial" w:cs="Arial"/>
                <w:noProof/>
                <w:sz w:val="18"/>
                <w:szCs w:val="18"/>
                <w:lang w:val="ro-MD"/>
              </w:rPr>
            </w:pPr>
          </w:p>
          <w:p w14:paraId="60C2D273" w14:textId="6288830F"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 xml:space="preserve">Piață a gazelor deschisă și </w:t>
            </w:r>
            <w:r w:rsidRPr="00D4727E">
              <w:rPr>
                <w:rFonts w:ascii="Arial" w:hAnsi="Arial" w:cs="Arial"/>
                <w:noProof/>
                <w:sz w:val="18"/>
                <w:szCs w:val="18"/>
                <w:lang w:val="ro-MD"/>
              </w:rPr>
              <w:lastRenderedPageBreak/>
              <w:t>concurențială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8614AE" w14:textId="77777777" w:rsidR="00DC671F" w:rsidRPr="00D4727E" w:rsidRDefault="00DC671F" w:rsidP="00DC671F">
            <w:pPr>
              <w:jc w:val="both"/>
              <w:rPr>
                <w:rFonts w:ascii="Arial" w:hAnsi="Arial" w:cs="Arial"/>
                <w:noProof/>
                <w:sz w:val="18"/>
                <w:szCs w:val="18"/>
                <w:lang w:val="ro-MD"/>
              </w:rPr>
            </w:pPr>
          </w:p>
          <w:p w14:paraId="6B9ADAC1" w14:textId="02D401B3"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7</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833E2F" w14:textId="77777777" w:rsidR="00DC671F" w:rsidRPr="00D4727E" w:rsidRDefault="00DC671F" w:rsidP="00DC671F">
            <w:pPr>
              <w:jc w:val="both"/>
              <w:rPr>
                <w:rFonts w:ascii="Arial" w:hAnsi="Arial" w:cs="Arial"/>
                <w:noProof/>
                <w:sz w:val="18"/>
                <w:szCs w:val="18"/>
                <w:lang w:val="ro-MD"/>
              </w:rPr>
            </w:pPr>
          </w:p>
          <w:p w14:paraId="240BC767" w14:textId="0FF56FB6"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2025</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A4B99A" w14:textId="77777777" w:rsidR="00DC671F" w:rsidRPr="00D4727E" w:rsidRDefault="00DC671F" w:rsidP="00DC671F">
            <w:pPr>
              <w:jc w:val="both"/>
              <w:rPr>
                <w:rFonts w:ascii="Arial" w:hAnsi="Arial" w:cs="Arial"/>
                <w:noProof/>
                <w:sz w:val="18"/>
                <w:szCs w:val="18"/>
                <w:lang w:val="ro-MD"/>
              </w:rPr>
            </w:pPr>
          </w:p>
          <w:p w14:paraId="1ED65FBB" w14:textId="4B712F26"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Ministerul Finanțelor</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B081A7" w14:textId="77777777" w:rsidR="00DC671F" w:rsidRPr="00D4727E" w:rsidRDefault="00DC671F" w:rsidP="00DC671F">
            <w:pPr>
              <w:jc w:val="both"/>
              <w:rPr>
                <w:rFonts w:ascii="Arial" w:hAnsi="Arial" w:cs="Arial"/>
                <w:noProof/>
                <w:sz w:val="18"/>
                <w:szCs w:val="18"/>
                <w:lang w:val="ro-MD"/>
              </w:rPr>
            </w:pPr>
          </w:p>
          <w:p w14:paraId="6A6AA2FB"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Legea TVA din Moldova, armonizată cu legislația UE, pentru integrarea pieței angro este adoptată de Parlament. </w:t>
            </w:r>
          </w:p>
          <w:p w14:paraId="17FB63AF" w14:textId="77777777" w:rsidR="00DC671F" w:rsidRPr="00D4727E" w:rsidRDefault="00DC671F" w:rsidP="00DC671F">
            <w:pPr>
              <w:jc w:val="both"/>
              <w:rPr>
                <w:rFonts w:ascii="Arial" w:hAnsi="Arial" w:cs="Arial"/>
                <w:noProof/>
                <w:sz w:val="18"/>
                <w:szCs w:val="18"/>
                <w:lang w:val="ro-MD"/>
              </w:rPr>
            </w:pPr>
          </w:p>
          <w:p w14:paraId="7B90B5B4" w14:textId="222BE4A7"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 xml:space="preserve">Linia de referință: Proiectul de lege existent nearmonizat cu legislația UE privind TVA.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8E8334" w14:textId="77777777" w:rsidR="00DC671F" w:rsidRPr="00D4727E" w:rsidRDefault="00DC671F" w:rsidP="00DC671F">
            <w:pPr>
              <w:jc w:val="both"/>
              <w:rPr>
                <w:rFonts w:ascii="Arial" w:hAnsi="Arial" w:cs="Arial"/>
                <w:noProof/>
                <w:sz w:val="18"/>
                <w:szCs w:val="18"/>
                <w:lang w:val="ro-MD"/>
              </w:rPr>
            </w:pPr>
          </w:p>
          <w:p w14:paraId="784C5979"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Apropierea legislațiilor Republicii Moldova privind TVA de cele ale UE este necesară pentru a elimina, în cea mai mare măsură posibilă, factorii care pot denatura condițiile de concurență pe piață și care pot conduce la incertitudine juridică. În special, integrarea în platformele de echilibrare SDAC, SIDC și UE necesită un nivel ridicat de armonizare a regimurilor de TVA aplicabile pentru a preveni neimpozitarea, dubla impunere, evaziunea fiscală și frauda fiscală. Acest regim armonizat de taxare inversă a TVA este, de asemenea, prevăzut de Acordul de asociere UE-Moldova ca una dintre condițiile prealabile pentru crearea unor condiții de </w:t>
            </w:r>
            <w:r w:rsidRPr="00D4727E">
              <w:rPr>
                <w:rFonts w:ascii="Arial" w:hAnsi="Arial" w:cs="Arial"/>
                <w:noProof/>
                <w:sz w:val="18"/>
                <w:szCs w:val="18"/>
                <w:lang w:val="ro-MD"/>
              </w:rPr>
              <w:lastRenderedPageBreak/>
              <w:t>concurență echitabile între toți participanții la piața de energie electrică și gaze naturale din Moldova.</w:t>
            </w:r>
          </w:p>
          <w:p w14:paraId="35882189" w14:textId="24117344"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 xml:space="preserve">Sursa de verificare: proiect de lege aprobat de Parlament. </w:t>
            </w:r>
          </w:p>
        </w:tc>
      </w:tr>
      <w:tr w:rsidR="00DC671F" w:rsidRPr="00BD0643" w14:paraId="373E527D"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D0CB4D" w14:textId="77777777" w:rsidR="00DC671F" w:rsidRPr="00DC671F" w:rsidRDefault="00DC671F" w:rsidP="00DC671F">
            <w:pPr>
              <w:jc w:val="both"/>
              <w:rPr>
                <w:rFonts w:ascii="Arial" w:hAnsi="Arial" w:cs="Arial"/>
                <w:noProof/>
                <w:sz w:val="18"/>
                <w:szCs w:val="18"/>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CBCAFB" w14:textId="77777777" w:rsidR="00DC671F" w:rsidRPr="00D4727E" w:rsidRDefault="00DC671F" w:rsidP="00DC671F">
            <w:pPr>
              <w:jc w:val="both"/>
              <w:rPr>
                <w:rFonts w:ascii="Arial" w:hAnsi="Arial" w:cs="Arial"/>
                <w:noProof/>
                <w:sz w:val="18"/>
                <w:szCs w:val="18"/>
                <w:lang w:val="ro-MD"/>
              </w:rPr>
            </w:pPr>
          </w:p>
          <w:p w14:paraId="13267020" w14:textId="4036E5B0"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99A4D2" w14:textId="15165700"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Piață a gazelor deschisă și concurențială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1F1AFC" w14:textId="77777777" w:rsidR="00DC671F" w:rsidRPr="00D4727E" w:rsidRDefault="00DC671F" w:rsidP="00DC671F">
            <w:pPr>
              <w:jc w:val="both"/>
              <w:rPr>
                <w:rFonts w:ascii="Arial" w:hAnsi="Arial" w:cs="Arial"/>
                <w:noProof/>
                <w:sz w:val="18"/>
                <w:szCs w:val="18"/>
                <w:lang w:val="ro-MD"/>
              </w:rPr>
            </w:pPr>
          </w:p>
          <w:p w14:paraId="23E94F6C" w14:textId="325B13F5"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8</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98B70E" w14:textId="4A53F3EF" w:rsidR="00DC671F" w:rsidRPr="00840B12" w:rsidDel="00F17BCB"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2025</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15C4C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MEn</w:t>
            </w:r>
          </w:p>
          <w:p w14:paraId="6D59881D" w14:textId="102AACBC" w:rsidR="00DC671F" w:rsidRPr="00840B12" w:rsidDel="000A7DDA" w:rsidRDefault="00DC671F" w:rsidP="00DC671F">
            <w:pPr>
              <w:jc w:val="both"/>
              <w:rPr>
                <w:rFonts w:ascii="Arial" w:hAnsi="Arial" w:cs="Arial"/>
                <w:noProof/>
                <w:sz w:val="18"/>
                <w:szCs w:val="18"/>
              </w:rPr>
            </w:pPr>
            <w:r w:rsidRPr="00D4727E">
              <w:rPr>
                <w:rFonts w:ascii="Arial" w:hAnsi="Arial" w:cs="Arial"/>
                <w:noProof/>
                <w:sz w:val="18"/>
                <w:szCs w:val="18"/>
                <w:lang w:val="ro-MD"/>
              </w:rPr>
              <w:t>ANRE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A5E094" w14:textId="77777777" w:rsidR="00DC671F" w:rsidRPr="00D4727E" w:rsidRDefault="00DC671F" w:rsidP="00DC671F">
            <w:pPr>
              <w:jc w:val="both"/>
              <w:rPr>
                <w:rFonts w:ascii="Arial" w:hAnsi="Arial" w:cs="Arial"/>
                <w:noProof/>
                <w:sz w:val="18"/>
                <w:szCs w:val="18"/>
                <w:lang w:val="ro-MD"/>
              </w:rPr>
            </w:pPr>
          </w:p>
          <w:p w14:paraId="23A5412B"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Marii consumatori industriali de gaze achiziționează gaze de pe piața liberă a gazelor.</w:t>
            </w:r>
          </w:p>
          <w:p w14:paraId="720963BB" w14:textId="15C1D954"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Linia de referință: cadrul juridic existent: Legea cu privire la gazele naturale 2016/108.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2DA19C"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Guvernul Moldovei elimină treptat PSO existente pentru marii consumatori industriali. </w:t>
            </w:r>
          </w:p>
          <w:p w14:paraId="479DACF2"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Începând cu 1 octombrie 2025, piața gazelor din Moldova va fi deschisă pentru toți marii consumatori industriali de gaze.</w:t>
            </w:r>
          </w:p>
          <w:p w14:paraId="4AB7A73C" w14:textId="0700A080"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 xml:space="preserve">Sursa de verificare: modificările la legislație sunt adoptate de Parlament. </w:t>
            </w:r>
          </w:p>
        </w:tc>
      </w:tr>
      <w:tr w:rsidR="00DC671F" w:rsidRPr="00BD0643" w14:paraId="062DC794"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EF5159" w14:textId="77777777" w:rsidR="00DC671F" w:rsidRPr="00DC671F" w:rsidRDefault="00DC671F" w:rsidP="00DC671F">
            <w:pPr>
              <w:jc w:val="both"/>
              <w:rPr>
                <w:rFonts w:ascii="Arial" w:hAnsi="Arial" w:cs="Arial"/>
                <w:noProof/>
                <w:sz w:val="18"/>
                <w:szCs w:val="18"/>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90FC93" w14:textId="77777777" w:rsidR="00DC671F" w:rsidRPr="00D4727E" w:rsidRDefault="00DC671F" w:rsidP="00DC671F">
            <w:pPr>
              <w:jc w:val="both"/>
              <w:rPr>
                <w:rFonts w:ascii="Arial" w:hAnsi="Arial" w:cs="Arial"/>
                <w:noProof/>
                <w:sz w:val="18"/>
                <w:szCs w:val="18"/>
                <w:lang w:val="ro-MD"/>
              </w:rPr>
            </w:pPr>
          </w:p>
          <w:p w14:paraId="7FD16B9E" w14:textId="6036369E"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6E6ED4" w14:textId="1ADA337A"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Piață a gazelor deschisă și concurențială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5F69FE" w14:textId="77777777" w:rsidR="00DC671F" w:rsidRPr="00D4727E" w:rsidRDefault="00DC671F" w:rsidP="00DC671F">
            <w:pPr>
              <w:jc w:val="both"/>
              <w:rPr>
                <w:rFonts w:ascii="Arial" w:hAnsi="Arial" w:cs="Arial"/>
                <w:noProof/>
                <w:sz w:val="18"/>
                <w:szCs w:val="18"/>
                <w:lang w:val="ro-MD"/>
              </w:rPr>
            </w:pPr>
          </w:p>
          <w:p w14:paraId="5EE979E9" w14:textId="49722451"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9</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F6B690" w14:textId="7504E2B3" w:rsidR="00DC671F" w:rsidRPr="00840B12" w:rsidDel="00F17BCB"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2025</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7565DF"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MEn</w:t>
            </w:r>
          </w:p>
          <w:p w14:paraId="4AD2153F" w14:textId="77777777" w:rsidR="00DC671F" w:rsidRPr="00D4727E" w:rsidRDefault="00DC671F" w:rsidP="00DC671F">
            <w:pPr>
              <w:jc w:val="both"/>
              <w:rPr>
                <w:rFonts w:ascii="Arial" w:hAnsi="Arial" w:cs="Arial"/>
                <w:noProof/>
                <w:sz w:val="18"/>
                <w:szCs w:val="18"/>
                <w:lang w:val="ro-MD"/>
              </w:rPr>
            </w:pPr>
          </w:p>
          <w:p w14:paraId="7D7B831C" w14:textId="7885E7D4" w:rsidR="00DC671F" w:rsidRPr="00840B12" w:rsidDel="000A7DDA" w:rsidRDefault="00DC671F" w:rsidP="00DC671F">
            <w:pPr>
              <w:jc w:val="both"/>
              <w:rPr>
                <w:rFonts w:ascii="Arial" w:hAnsi="Arial" w:cs="Arial"/>
                <w:noProof/>
                <w:sz w:val="18"/>
                <w:szCs w:val="18"/>
              </w:rPr>
            </w:pPr>
            <w:r w:rsidRPr="00D4727E">
              <w:rPr>
                <w:rFonts w:ascii="Arial" w:hAnsi="Arial" w:cs="Arial"/>
                <w:noProof/>
                <w:sz w:val="18"/>
                <w:szCs w:val="18"/>
                <w:lang w:val="ro-MD"/>
              </w:rPr>
              <w:t>ANRE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7B71BF"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Furnizorul de ultimă instanță/furnizorul universal de gaze naturale este desemnat de ANRE, pe baza procedurii transparente și nediscriminatorii. </w:t>
            </w:r>
          </w:p>
          <w:p w14:paraId="27C79B6F" w14:textId="77777777" w:rsidR="00DC671F" w:rsidRPr="00D4727E" w:rsidRDefault="00DC671F" w:rsidP="00DC671F">
            <w:pPr>
              <w:jc w:val="both"/>
              <w:rPr>
                <w:rFonts w:ascii="Arial" w:hAnsi="Arial" w:cs="Arial"/>
                <w:noProof/>
                <w:sz w:val="18"/>
                <w:szCs w:val="18"/>
                <w:lang w:val="ro-MD"/>
              </w:rPr>
            </w:pPr>
          </w:p>
          <w:p w14:paraId="1CE29F55" w14:textId="2FA2AC4B"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Linia de referință: cadrul juridic existent.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A7A7E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ANRE organizează o licitație, într-o manieră transparentă și nediscriminatorie, având ca element principal prețul activității pentru un furnizor de ultimă instanță/furnizor universal de gaze și selectează câștigătorul. </w:t>
            </w:r>
          </w:p>
          <w:p w14:paraId="0FE0EFE2" w14:textId="77777777" w:rsidR="00DC671F" w:rsidRPr="00D4727E" w:rsidRDefault="00DC671F" w:rsidP="00DC671F">
            <w:pPr>
              <w:jc w:val="both"/>
              <w:rPr>
                <w:rFonts w:ascii="Arial" w:hAnsi="Arial" w:cs="Arial"/>
                <w:noProof/>
                <w:sz w:val="18"/>
                <w:szCs w:val="18"/>
                <w:lang w:val="ro-MD"/>
              </w:rPr>
            </w:pPr>
          </w:p>
          <w:p w14:paraId="051D3378" w14:textId="435F75F6"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Sursa de verificare: Hotărârea ANRE este publicată</w:t>
            </w:r>
          </w:p>
        </w:tc>
      </w:tr>
      <w:tr w:rsidR="00DC671F" w:rsidRPr="00BD0643" w14:paraId="4F445F32" w14:textId="77777777" w:rsidTr="00C11442">
        <w:trPr>
          <w:trHeight w:val="306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35AA7A" w14:textId="77777777" w:rsidR="00DC671F" w:rsidRPr="00D4727E" w:rsidRDefault="00DC671F" w:rsidP="00DC671F">
            <w:pPr>
              <w:jc w:val="both"/>
              <w:rPr>
                <w:rFonts w:ascii="Arial" w:hAnsi="Arial" w:cs="Arial"/>
                <w:noProof/>
                <w:sz w:val="18"/>
                <w:szCs w:val="18"/>
                <w:lang w:val="ro-MD"/>
              </w:rPr>
            </w:pPr>
          </w:p>
          <w:p w14:paraId="79D9FDB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Energie</w:t>
            </w:r>
          </w:p>
          <w:p w14:paraId="3AE6FE78" w14:textId="77777777" w:rsidR="00DC671F" w:rsidRPr="00D4727E" w:rsidRDefault="00DC671F" w:rsidP="00DC671F">
            <w:pPr>
              <w:jc w:val="both"/>
              <w:rPr>
                <w:rFonts w:ascii="Arial" w:hAnsi="Arial" w:cs="Arial"/>
                <w:noProof/>
                <w:sz w:val="18"/>
                <w:szCs w:val="18"/>
                <w:lang w:val="ro-MD"/>
              </w:rPr>
            </w:pPr>
          </w:p>
          <w:p w14:paraId="25DA8A79" w14:textId="77777777" w:rsidR="00DC671F" w:rsidRPr="00840B12" w:rsidRDefault="00DC671F" w:rsidP="00DC671F">
            <w:pPr>
              <w:jc w:val="both"/>
              <w:rPr>
                <w:rFonts w:ascii="Arial" w:hAnsi="Arial" w:cs="Arial"/>
                <w:noProof/>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236D6A" w14:textId="77777777" w:rsidR="00DC671F" w:rsidRPr="00D4727E" w:rsidRDefault="00DC671F" w:rsidP="00DC671F">
            <w:pPr>
              <w:jc w:val="both"/>
              <w:rPr>
                <w:rFonts w:ascii="Arial" w:hAnsi="Arial" w:cs="Arial"/>
                <w:noProof/>
                <w:sz w:val="18"/>
                <w:szCs w:val="18"/>
                <w:lang w:val="ro-MD"/>
              </w:rPr>
            </w:pPr>
          </w:p>
          <w:p w14:paraId="11ABD4E0" w14:textId="7A295DE3"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3</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0D6C4A" w14:textId="77777777" w:rsidR="00DC671F" w:rsidRPr="00D4727E" w:rsidRDefault="00DC671F" w:rsidP="00DC671F">
            <w:pPr>
              <w:jc w:val="both"/>
              <w:rPr>
                <w:rFonts w:ascii="Arial" w:hAnsi="Arial" w:cs="Arial"/>
                <w:noProof/>
                <w:sz w:val="18"/>
                <w:szCs w:val="18"/>
                <w:lang w:val="ro-MD"/>
              </w:rPr>
            </w:pPr>
          </w:p>
          <w:p w14:paraId="422B11BA" w14:textId="00002575"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Asigurarea securității aprovizionării</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551FBD" w14:textId="77777777" w:rsidR="00DC671F" w:rsidRPr="00D4727E" w:rsidRDefault="00DC671F" w:rsidP="00DC671F">
            <w:pPr>
              <w:jc w:val="both"/>
              <w:rPr>
                <w:rFonts w:ascii="Arial" w:hAnsi="Arial" w:cs="Arial"/>
                <w:noProof/>
                <w:sz w:val="18"/>
                <w:szCs w:val="18"/>
                <w:lang w:val="ro-MD"/>
              </w:rPr>
            </w:pPr>
          </w:p>
          <w:p w14:paraId="733F55DD" w14:textId="41AF4D55"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F7FA3C" w14:textId="77777777" w:rsidR="00DC671F" w:rsidRPr="00D4727E" w:rsidRDefault="00DC671F" w:rsidP="00DC671F">
            <w:pPr>
              <w:jc w:val="both"/>
              <w:rPr>
                <w:rFonts w:ascii="Arial" w:hAnsi="Arial" w:cs="Arial"/>
                <w:noProof/>
                <w:sz w:val="18"/>
                <w:szCs w:val="18"/>
                <w:lang w:val="ro-MD"/>
              </w:rPr>
            </w:pPr>
          </w:p>
          <w:p w14:paraId="7D142D0D" w14:textId="34478CB7"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2027</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C76B0F" w14:textId="77777777" w:rsidR="00DC671F" w:rsidRPr="00D4727E" w:rsidRDefault="00DC671F" w:rsidP="00DC671F">
            <w:pPr>
              <w:jc w:val="both"/>
              <w:rPr>
                <w:rFonts w:ascii="Arial" w:hAnsi="Arial" w:cs="Arial"/>
                <w:noProof/>
                <w:sz w:val="18"/>
                <w:szCs w:val="18"/>
                <w:lang w:val="ro-MD"/>
              </w:rPr>
            </w:pPr>
          </w:p>
          <w:p w14:paraId="5462F584"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MEn</w:t>
            </w:r>
          </w:p>
          <w:p w14:paraId="7371A556" w14:textId="77777777" w:rsidR="00DC671F" w:rsidRPr="00D4727E" w:rsidRDefault="00DC671F" w:rsidP="00DC671F">
            <w:pPr>
              <w:jc w:val="both"/>
              <w:rPr>
                <w:rFonts w:ascii="Arial" w:hAnsi="Arial" w:cs="Arial"/>
                <w:noProof/>
                <w:sz w:val="18"/>
                <w:szCs w:val="18"/>
                <w:lang w:val="ro-MD"/>
              </w:rPr>
            </w:pPr>
          </w:p>
          <w:p w14:paraId="676B38A1" w14:textId="69E0D305"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ANRE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0C4D8A" w14:textId="77777777" w:rsidR="00DC671F" w:rsidRPr="00D4727E" w:rsidRDefault="00DC671F" w:rsidP="00DC671F">
            <w:pPr>
              <w:jc w:val="both"/>
              <w:rPr>
                <w:rFonts w:ascii="Arial" w:hAnsi="Arial" w:cs="Arial"/>
                <w:noProof/>
                <w:sz w:val="18"/>
                <w:szCs w:val="18"/>
                <w:lang w:val="ro-MD"/>
              </w:rPr>
            </w:pPr>
          </w:p>
          <w:p w14:paraId="0007A877"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Obligația de stocare a gazelor de 15% din consumul total al Republicii Moldova este asigurată anual. </w:t>
            </w:r>
          </w:p>
          <w:p w14:paraId="40D67E20" w14:textId="77777777" w:rsidR="00DC671F" w:rsidRPr="00D4727E" w:rsidRDefault="00DC671F" w:rsidP="00DC671F">
            <w:pPr>
              <w:jc w:val="both"/>
              <w:rPr>
                <w:rFonts w:ascii="Arial" w:hAnsi="Arial" w:cs="Arial"/>
                <w:noProof/>
                <w:sz w:val="18"/>
                <w:szCs w:val="18"/>
                <w:lang w:val="ro-MD"/>
              </w:rPr>
            </w:pPr>
          </w:p>
          <w:p w14:paraId="7FB1617F" w14:textId="77777777" w:rsidR="00DC671F" w:rsidRPr="00D4727E" w:rsidRDefault="00DC671F" w:rsidP="00DC671F">
            <w:pPr>
              <w:jc w:val="both"/>
              <w:rPr>
                <w:rFonts w:ascii="Arial" w:hAnsi="Arial" w:cs="Arial"/>
                <w:noProof/>
                <w:sz w:val="18"/>
                <w:szCs w:val="18"/>
                <w:lang w:val="ro-MD"/>
              </w:rPr>
            </w:pPr>
          </w:p>
          <w:p w14:paraId="52F644BD"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Linia de referință: Legislația existentă. </w:t>
            </w:r>
          </w:p>
          <w:p w14:paraId="4CB7ED63" w14:textId="77777777" w:rsidR="00DC671F" w:rsidRPr="00D4727E" w:rsidRDefault="00DC671F" w:rsidP="00DC671F">
            <w:pPr>
              <w:jc w:val="both"/>
              <w:rPr>
                <w:rFonts w:ascii="Arial" w:hAnsi="Arial" w:cs="Arial"/>
                <w:noProof/>
                <w:sz w:val="18"/>
                <w:szCs w:val="18"/>
                <w:lang w:val="ro-MD"/>
              </w:rPr>
            </w:pPr>
          </w:p>
          <w:p w14:paraId="2F5154B6" w14:textId="77777777" w:rsidR="00DC671F" w:rsidRPr="00840B12" w:rsidRDefault="00DC671F" w:rsidP="00DC671F">
            <w:pPr>
              <w:jc w:val="both"/>
              <w:rPr>
                <w:rFonts w:ascii="Arial" w:hAnsi="Arial" w:cs="Arial"/>
                <w:noProof/>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C17691" w14:textId="77777777" w:rsidR="00DC671F" w:rsidRPr="00D4727E" w:rsidRDefault="00DC671F" w:rsidP="00DC671F">
            <w:pPr>
              <w:jc w:val="both"/>
              <w:rPr>
                <w:rFonts w:ascii="Arial" w:hAnsi="Arial" w:cs="Arial"/>
                <w:noProof/>
                <w:sz w:val="18"/>
                <w:szCs w:val="18"/>
                <w:lang w:val="ro-MD"/>
              </w:rPr>
            </w:pPr>
          </w:p>
          <w:p w14:paraId="3DEE80F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Guvernul Republicii Moldova va: </w:t>
            </w:r>
          </w:p>
          <w:p w14:paraId="01D6CAAB"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modifica legea pentru a include prevederi care să asigure menținerea stocului de gaze, prin utilizarea instrumentelor bazate pe piață definite de Guvernul Republicii Moldova în consultare cu UE și Secretariatul Comunității Energiei. </w:t>
            </w:r>
          </w:p>
          <w:p w14:paraId="2829BF6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Acesta va asigura stocarea gazului pentru 15 % din consumul total la începutul sezonului de încălzire pentru anii: 2025, 2026 și 2027</w:t>
            </w:r>
          </w:p>
          <w:p w14:paraId="703A3A99" w14:textId="64A10F50"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Sursa de verificare: Date de monitorizare ANRE.</w:t>
            </w:r>
          </w:p>
        </w:tc>
      </w:tr>
      <w:tr w:rsidR="00DC671F" w:rsidRPr="00BD0643" w14:paraId="4B17C13D" w14:textId="77777777" w:rsidTr="00C11442">
        <w:trPr>
          <w:trHeight w:val="2610"/>
        </w:trPr>
        <w:tc>
          <w:tcPr>
            <w:tcW w:w="42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D04D9F5" w14:textId="77777777" w:rsidR="00DC671F" w:rsidRPr="00DC671F" w:rsidRDefault="00DC671F" w:rsidP="00DC671F">
            <w:pPr>
              <w:jc w:val="both"/>
              <w:rPr>
                <w:rFonts w:ascii="Arial" w:hAnsi="Arial" w:cs="Arial"/>
                <w:noProof/>
                <w:sz w:val="18"/>
                <w:szCs w:val="18"/>
                <w:lang w:val="fr-FR"/>
              </w:rPr>
            </w:pP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4177D273" w14:textId="77777777" w:rsidR="00DC671F" w:rsidRPr="00D4727E" w:rsidRDefault="00DC671F" w:rsidP="00DC671F">
            <w:pPr>
              <w:jc w:val="both"/>
              <w:rPr>
                <w:rFonts w:ascii="Arial" w:hAnsi="Arial" w:cs="Arial"/>
                <w:noProof/>
                <w:sz w:val="18"/>
                <w:szCs w:val="18"/>
                <w:lang w:val="ro-MD"/>
              </w:rPr>
            </w:pPr>
          </w:p>
          <w:p w14:paraId="07397332" w14:textId="2CD15162"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3</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4204E7C8" w14:textId="2E6FAEB4"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Asigurarea securității aprovizionării</w:t>
            </w:r>
          </w:p>
        </w:tc>
        <w:tc>
          <w:tcPr>
            <w:tcW w:w="82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1C1EF874" w14:textId="77777777" w:rsidR="00DC671F" w:rsidRPr="00D4727E" w:rsidRDefault="00DC671F" w:rsidP="00DC671F">
            <w:pPr>
              <w:jc w:val="both"/>
              <w:rPr>
                <w:rFonts w:ascii="Arial" w:hAnsi="Arial" w:cs="Arial"/>
                <w:noProof/>
                <w:sz w:val="18"/>
                <w:szCs w:val="18"/>
                <w:lang w:val="ro-MD"/>
              </w:rPr>
            </w:pPr>
          </w:p>
          <w:p w14:paraId="21C5C83E" w14:textId="6B2E43F1"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11</w:t>
            </w:r>
          </w:p>
        </w:tc>
        <w:tc>
          <w:tcPr>
            <w:tcW w:w="113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3B9FB92E" w14:textId="119D4759" w:rsidR="00DC671F" w:rsidRPr="00840B12" w:rsidDel="004D5898"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2025</w:t>
            </w:r>
          </w:p>
        </w:tc>
        <w:tc>
          <w:tcPr>
            <w:tcW w:w="179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3F5CD2A7"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MEn </w:t>
            </w:r>
          </w:p>
          <w:p w14:paraId="670A1A65" w14:textId="77777777" w:rsidR="00DC671F" w:rsidRPr="00D4727E" w:rsidRDefault="00DC671F" w:rsidP="00DC671F">
            <w:pPr>
              <w:jc w:val="both"/>
              <w:rPr>
                <w:rFonts w:ascii="Arial" w:hAnsi="Arial" w:cs="Arial"/>
                <w:noProof/>
                <w:sz w:val="18"/>
                <w:szCs w:val="18"/>
                <w:lang w:val="ro-MD"/>
              </w:rPr>
            </w:pPr>
          </w:p>
          <w:p w14:paraId="584BAD95" w14:textId="09A38AB5"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ANRE</w:t>
            </w:r>
          </w:p>
        </w:tc>
        <w:tc>
          <w:tcPr>
            <w:tcW w:w="354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26A4448C" w14:textId="77777777" w:rsidR="00DC671F" w:rsidRPr="00D4727E" w:rsidRDefault="00DC671F" w:rsidP="00DC671F">
            <w:pPr>
              <w:jc w:val="both"/>
              <w:rPr>
                <w:rFonts w:ascii="Arial" w:hAnsi="Arial" w:cs="Arial"/>
                <w:noProof/>
                <w:sz w:val="18"/>
                <w:szCs w:val="18"/>
                <w:lang w:val="ro-MD"/>
              </w:rPr>
            </w:pPr>
          </w:p>
          <w:p w14:paraId="06E67080"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ANRE adoptă o hotărâre privind avizul reexaminat al ministerului și ia în considerare redeschiderea certificării Vestmoldtransgaz în ceea ce privește proprietatea asupra sistemului de transport. </w:t>
            </w:r>
          </w:p>
          <w:p w14:paraId="51769678" w14:textId="77777777" w:rsidR="00DC671F" w:rsidRPr="00D4727E" w:rsidRDefault="00DC671F" w:rsidP="00DC671F">
            <w:pPr>
              <w:jc w:val="both"/>
              <w:rPr>
                <w:rFonts w:ascii="Arial" w:hAnsi="Arial" w:cs="Arial"/>
                <w:noProof/>
                <w:sz w:val="18"/>
                <w:szCs w:val="18"/>
                <w:lang w:val="ro-MD"/>
              </w:rPr>
            </w:pPr>
          </w:p>
          <w:p w14:paraId="18908F3E" w14:textId="4D776DBB"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Situația de referință: avizul existent.</w:t>
            </w:r>
          </w:p>
        </w:tc>
        <w:tc>
          <w:tcPr>
            <w:tcW w:w="510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5E7A31A6"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ANRE adoptă, până în trimestrul 3 2025, o hotărâre privind transferul dreptului de proprietate asupra rețelei de la Moldovagaz către o entitate care nu are legătură cu furnizarea, comercializarea sau distribuția de gaze. </w:t>
            </w:r>
          </w:p>
          <w:p w14:paraId="10CF8BF1" w14:textId="77777777" w:rsidR="00DC671F" w:rsidRPr="00D4727E" w:rsidRDefault="00DC671F" w:rsidP="00DC671F">
            <w:pPr>
              <w:jc w:val="both"/>
              <w:rPr>
                <w:rFonts w:ascii="Arial" w:hAnsi="Arial" w:cs="Arial"/>
                <w:noProof/>
                <w:sz w:val="18"/>
                <w:szCs w:val="18"/>
                <w:lang w:val="ro-MD"/>
              </w:rPr>
            </w:pPr>
          </w:p>
          <w:p w14:paraId="05385FD7"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Sursă de verificare: Avizul Ministerului Energiei privind situația securității aprovizionării; </w:t>
            </w:r>
          </w:p>
          <w:p w14:paraId="6BB2970D" w14:textId="5EC172ED"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Hotărârea de certificare a ANRE publicată pe pagina web.</w:t>
            </w:r>
          </w:p>
        </w:tc>
      </w:tr>
      <w:tr w:rsidR="00DC671F" w:rsidRPr="00BD0643" w14:paraId="0EC3F683" w14:textId="77777777" w:rsidTr="00C11442">
        <w:trPr>
          <w:trHeight w:val="2400"/>
        </w:trPr>
        <w:tc>
          <w:tcPr>
            <w:tcW w:w="42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695D239D" w14:textId="77777777" w:rsidR="00DC671F" w:rsidRPr="00DC671F" w:rsidRDefault="00DC671F" w:rsidP="00DC671F">
            <w:pPr>
              <w:jc w:val="both"/>
              <w:rPr>
                <w:rFonts w:ascii="Arial" w:hAnsi="Arial" w:cs="Arial"/>
                <w:noProof/>
                <w:sz w:val="18"/>
                <w:szCs w:val="18"/>
                <w:lang w:val="fr-FR"/>
              </w:rPr>
            </w:pP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4D5DADFD" w14:textId="77777777" w:rsidR="00DC671F" w:rsidRPr="00D4727E" w:rsidRDefault="00DC671F" w:rsidP="00DC671F">
            <w:pPr>
              <w:jc w:val="both"/>
              <w:rPr>
                <w:rFonts w:ascii="Arial" w:hAnsi="Arial" w:cs="Arial"/>
                <w:noProof/>
                <w:sz w:val="18"/>
                <w:szCs w:val="18"/>
                <w:lang w:val="ro-MD"/>
              </w:rPr>
            </w:pPr>
          </w:p>
          <w:p w14:paraId="7B7F514C" w14:textId="1DE8B028"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3</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5E5EC9EB" w14:textId="51AE814E"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Asigurarea securității aprovizionării</w:t>
            </w:r>
          </w:p>
        </w:tc>
        <w:tc>
          <w:tcPr>
            <w:tcW w:w="82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4F078305" w14:textId="77777777" w:rsidR="00DC671F" w:rsidRPr="00D4727E" w:rsidRDefault="00DC671F" w:rsidP="00DC671F">
            <w:pPr>
              <w:jc w:val="both"/>
              <w:rPr>
                <w:rFonts w:ascii="Arial" w:hAnsi="Arial" w:cs="Arial"/>
                <w:noProof/>
                <w:sz w:val="18"/>
                <w:szCs w:val="18"/>
                <w:lang w:val="ro-MD"/>
              </w:rPr>
            </w:pPr>
          </w:p>
          <w:p w14:paraId="2854E21E" w14:textId="6E3A3BD1"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12</w:t>
            </w:r>
          </w:p>
        </w:tc>
        <w:tc>
          <w:tcPr>
            <w:tcW w:w="113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1BC46A91" w14:textId="77777777" w:rsidR="00DC671F" w:rsidRPr="00D4727E" w:rsidRDefault="00DC671F" w:rsidP="00DC671F">
            <w:pPr>
              <w:jc w:val="both"/>
              <w:rPr>
                <w:rFonts w:ascii="Arial" w:hAnsi="Arial" w:cs="Arial"/>
                <w:noProof/>
                <w:sz w:val="18"/>
                <w:szCs w:val="18"/>
                <w:lang w:val="ro-MD"/>
              </w:rPr>
            </w:pPr>
          </w:p>
          <w:p w14:paraId="75452281" w14:textId="5938FCF7"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2025</w:t>
            </w:r>
          </w:p>
        </w:tc>
        <w:tc>
          <w:tcPr>
            <w:tcW w:w="179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5F7A1CD" w14:textId="77777777" w:rsidR="00DC671F" w:rsidRPr="00D4727E" w:rsidRDefault="00DC671F" w:rsidP="00DC671F">
            <w:pPr>
              <w:jc w:val="both"/>
              <w:rPr>
                <w:rFonts w:ascii="Arial" w:hAnsi="Arial" w:cs="Arial"/>
                <w:noProof/>
                <w:sz w:val="18"/>
                <w:szCs w:val="18"/>
                <w:lang w:val="ro-MD"/>
              </w:rPr>
            </w:pPr>
          </w:p>
          <w:p w14:paraId="0806F70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GRM </w:t>
            </w:r>
          </w:p>
          <w:p w14:paraId="0E3FEBA4" w14:textId="77777777" w:rsidR="00DC671F" w:rsidRPr="00D4727E" w:rsidRDefault="00DC671F" w:rsidP="00DC671F">
            <w:pPr>
              <w:jc w:val="both"/>
              <w:rPr>
                <w:rFonts w:ascii="Arial" w:hAnsi="Arial" w:cs="Arial"/>
                <w:noProof/>
                <w:sz w:val="18"/>
                <w:szCs w:val="18"/>
                <w:lang w:val="ro-MD"/>
              </w:rPr>
            </w:pPr>
          </w:p>
          <w:p w14:paraId="18EE7E56" w14:textId="453F9E1D"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Moldelectrica</w:t>
            </w:r>
          </w:p>
        </w:tc>
        <w:tc>
          <w:tcPr>
            <w:tcW w:w="354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33B06B7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Moldova finalizează construcția liniei de 400 kV Vulcănești - Chișinău pentru a-și securiza sistemul energetic.</w:t>
            </w:r>
          </w:p>
          <w:p w14:paraId="12173462" w14:textId="77777777" w:rsidR="00DC671F" w:rsidRPr="00D4727E" w:rsidRDefault="00DC671F" w:rsidP="00DC671F">
            <w:pPr>
              <w:jc w:val="both"/>
              <w:rPr>
                <w:rFonts w:ascii="Arial" w:hAnsi="Arial" w:cs="Arial"/>
                <w:noProof/>
                <w:sz w:val="18"/>
                <w:szCs w:val="18"/>
                <w:lang w:val="ro-MD"/>
              </w:rPr>
            </w:pPr>
          </w:p>
          <w:p w14:paraId="1F415504" w14:textId="77777777" w:rsidR="00DC671F" w:rsidRPr="00D4727E" w:rsidRDefault="00DC671F" w:rsidP="00DC671F">
            <w:pPr>
              <w:jc w:val="both"/>
              <w:rPr>
                <w:rFonts w:ascii="Arial" w:hAnsi="Arial" w:cs="Arial"/>
                <w:noProof/>
                <w:sz w:val="18"/>
                <w:szCs w:val="18"/>
                <w:lang w:val="ro-MD"/>
              </w:rPr>
            </w:pPr>
          </w:p>
          <w:p w14:paraId="5C06FBDB" w14:textId="286743E2"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Linia de referință: nicio linie electrică.</w:t>
            </w:r>
          </w:p>
        </w:tc>
        <w:tc>
          <w:tcPr>
            <w:tcW w:w="510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5CE984B4"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Noua linie internă de 400 kV de la Vulcănești la Chișinău permite transportul direct al energiei electrice importate din România către capitala Moldovei și securizează sistemul în cazul unor posibile întreruperi ale liniei de 400 kV Vulcănești - MGRES (care traversează parțial frontiera cu Ucraina) sau ale liniei de 330 kV MGRES - Chișinău.   </w:t>
            </w:r>
          </w:p>
          <w:p w14:paraId="0594DCAA" w14:textId="77777777" w:rsidR="00DC671F" w:rsidRPr="00D4727E" w:rsidRDefault="00DC671F" w:rsidP="00DC671F">
            <w:pPr>
              <w:jc w:val="both"/>
              <w:rPr>
                <w:rFonts w:ascii="Arial" w:hAnsi="Arial" w:cs="Arial"/>
                <w:noProof/>
                <w:sz w:val="18"/>
                <w:szCs w:val="18"/>
                <w:lang w:val="ro-MD"/>
              </w:rPr>
            </w:pPr>
          </w:p>
          <w:p w14:paraId="3AE20F1E" w14:textId="77777777" w:rsidR="00DC671F" w:rsidRPr="00D4727E" w:rsidRDefault="00DC671F" w:rsidP="00DC671F">
            <w:pPr>
              <w:jc w:val="both"/>
              <w:rPr>
                <w:rFonts w:ascii="Arial" w:hAnsi="Arial" w:cs="Arial"/>
                <w:noProof/>
                <w:sz w:val="18"/>
                <w:szCs w:val="18"/>
                <w:lang w:val="ro-MD"/>
              </w:rPr>
            </w:pPr>
          </w:p>
          <w:p w14:paraId="618BAE1E" w14:textId="0D6AD5EE"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Sursa de verificare: linia electrică este funcțională și conformă cu toate reglementările necesare.</w:t>
            </w:r>
          </w:p>
        </w:tc>
      </w:tr>
      <w:tr w:rsidR="00DC671F" w:rsidRPr="00840B12" w14:paraId="362A8306" w14:textId="77777777" w:rsidTr="00C11442">
        <w:trPr>
          <w:trHeight w:val="1408"/>
        </w:trPr>
        <w:tc>
          <w:tcPr>
            <w:tcW w:w="42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ED4BBFC" w14:textId="77777777" w:rsidR="00DC671F" w:rsidRPr="00DC671F" w:rsidRDefault="00DC671F" w:rsidP="00DC671F">
            <w:pPr>
              <w:jc w:val="both"/>
              <w:rPr>
                <w:rFonts w:ascii="Arial" w:hAnsi="Arial" w:cs="Arial"/>
                <w:noProof/>
                <w:sz w:val="18"/>
                <w:szCs w:val="18"/>
                <w:lang w:val="fr-FR"/>
              </w:rPr>
            </w:pP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5BB0E244" w14:textId="77777777" w:rsidR="00DC671F" w:rsidRPr="00D4727E" w:rsidRDefault="00DC671F" w:rsidP="00DC671F">
            <w:pPr>
              <w:jc w:val="both"/>
              <w:rPr>
                <w:rFonts w:ascii="Arial" w:hAnsi="Arial" w:cs="Arial"/>
                <w:noProof/>
                <w:sz w:val="18"/>
                <w:szCs w:val="18"/>
                <w:lang w:val="ro-MD"/>
              </w:rPr>
            </w:pPr>
          </w:p>
          <w:p w14:paraId="3472EB36" w14:textId="2BE52717"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3</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37B64B10" w14:textId="18C7ED4C"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Asigurarea securității aprovizionării</w:t>
            </w:r>
          </w:p>
        </w:tc>
        <w:tc>
          <w:tcPr>
            <w:tcW w:w="82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6857ABB9" w14:textId="77777777" w:rsidR="00DC671F" w:rsidRPr="00D4727E" w:rsidRDefault="00DC671F" w:rsidP="00DC671F">
            <w:pPr>
              <w:jc w:val="both"/>
              <w:rPr>
                <w:rFonts w:ascii="Arial" w:hAnsi="Arial" w:cs="Arial"/>
                <w:noProof/>
                <w:sz w:val="18"/>
                <w:szCs w:val="18"/>
                <w:lang w:val="ro-MD"/>
              </w:rPr>
            </w:pPr>
          </w:p>
          <w:p w14:paraId="79DD519B" w14:textId="0663C083"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13</w:t>
            </w:r>
          </w:p>
        </w:tc>
        <w:tc>
          <w:tcPr>
            <w:tcW w:w="113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2A980932" w14:textId="77777777" w:rsidR="00DC671F" w:rsidRPr="00D4727E" w:rsidRDefault="00DC671F" w:rsidP="00DC671F">
            <w:pPr>
              <w:jc w:val="both"/>
              <w:rPr>
                <w:rFonts w:ascii="Arial" w:hAnsi="Arial" w:cs="Arial"/>
                <w:noProof/>
                <w:sz w:val="18"/>
                <w:szCs w:val="18"/>
                <w:lang w:val="ro-MD"/>
              </w:rPr>
            </w:pPr>
          </w:p>
          <w:p w14:paraId="25A58CF8" w14:textId="77777777" w:rsidR="00DC671F" w:rsidRPr="00D4727E" w:rsidRDefault="00DC671F" w:rsidP="00DC671F">
            <w:pPr>
              <w:jc w:val="both"/>
              <w:rPr>
                <w:rFonts w:ascii="Arial" w:hAnsi="Arial" w:cs="Arial"/>
                <w:noProof/>
                <w:sz w:val="18"/>
                <w:szCs w:val="18"/>
                <w:lang w:val="ro-MD"/>
              </w:rPr>
            </w:pPr>
          </w:p>
          <w:p w14:paraId="5BFD8C0E" w14:textId="5B1DDCB6"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i</w:t>
            </w:r>
            <w:r w:rsidRPr="00D4727E">
              <w:rPr>
                <w:rFonts w:ascii="Arial" w:hAnsi="Arial" w:cs="Arial"/>
                <w:noProof/>
                <w:sz w:val="18"/>
                <w:szCs w:val="18"/>
                <w:lang w:val="ro-MD"/>
              </w:rPr>
              <w:t>unie 2026</w:t>
            </w:r>
          </w:p>
        </w:tc>
        <w:tc>
          <w:tcPr>
            <w:tcW w:w="179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271A093B" w14:textId="77777777" w:rsidR="00DC671F" w:rsidRPr="00D4727E" w:rsidRDefault="00DC671F" w:rsidP="00DC671F">
            <w:pPr>
              <w:jc w:val="both"/>
              <w:rPr>
                <w:rFonts w:ascii="Arial" w:hAnsi="Arial" w:cs="Arial"/>
                <w:noProof/>
                <w:sz w:val="18"/>
                <w:szCs w:val="18"/>
                <w:lang w:val="ro-MD"/>
              </w:rPr>
            </w:pPr>
          </w:p>
          <w:p w14:paraId="2CE0DA8D"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Termoelectrica</w:t>
            </w:r>
          </w:p>
          <w:p w14:paraId="15227491" w14:textId="492D1CF4"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MEn</w:t>
            </w:r>
          </w:p>
        </w:tc>
        <w:tc>
          <w:tcPr>
            <w:tcW w:w="354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765ECFF1" w14:textId="77777777" w:rsidR="00DC671F" w:rsidRPr="00D4727E" w:rsidRDefault="00DC671F" w:rsidP="00DC671F">
            <w:pPr>
              <w:jc w:val="both"/>
              <w:rPr>
                <w:rFonts w:ascii="Arial" w:hAnsi="Arial" w:cs="Arial"/>
                <w:noProof/>
                <w:sz w:val="18"/>
                <w:szCs w:val="18"/>
                <w:lang w:val="ro-MD"/>
              </w:rPr>
            </w:pPr>
          </w:p>
          <w:p w14:paraId="2E5C4152" w14:textId="77777777" w:rsidR="00DC671F" w:rsidRPr="00D4727E" w:rsidRDefault="00DC671F" w:rsidP="00DC671F">
            <w:pPr>
              <w:jc w:val="both"/>
              <w:rPr>
                <w:rFonts w:ascii="Arial" w:hAnsi="Arial" w:cs="Arial"/>
                <w:noProof/>
                <w:sz w:val="18"/>
                <w:szCs w:val="18"/>
                <w:lang w:val="ro-MD"/>
              </w:rPr>
            </w:pPr>
          </w:p>
          <w:p w14:paraId="2442A881"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Moldova va asigura punerea în funcțiune a capacității suplimentare dispecerizabile. </w:t>
            </w:r>
          </w:p>
          <w:p w14:paraId="3E838237" w14:textId="2C471BCE"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Linia de referință: nicio capacitate de generare construită.</w:t>
            </w:r>
          </w:p>
        </w:tc>
        <w:tc>
          <w:tcPr>
            <w:tcW w:w="510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5CAEE574"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Moldova va avansa spre operaționalizarea capacității de producție de 125 MW, prin Mecanismul de protecție civilă al Uniunii Europene, care va contribui la creșterea capacității interne de producție a energiei electrice.</w:t>
            </w:r>
          </w:p>
          <w:p w14:paraId="3CA57453"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Aceasta necesită: </w:t>
            </w:r>
          </w:p>
          <w:p w14:paraId="326C5E2F"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Proiectul de lege privind declararea utilității publice a fost aprobat de Guvern;</w:t>
            </w:r>
          </w:p>
          <w:p w14:paraId="0265F63D"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Înființarea Grupului de lucru și aprobarea Planului de acțiune pentru punerea în funcțiune a turbinei cu gaz;</w:t>
            </w:r>
          </w:p>
          <w:p w14:paraId="1CA42860"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Studiu de fezabilitate și Proiect aprobat.</w:t>
            </w:r>
          </w:p>
          <w:p w14:paraId="60ADB6C7"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Având în vedere importanța proiectului, acesta va fi declarat de utilitate publică de interes național.</w:t>
            </w:r>
          </w:p>
          <w:p w14:paraId="7A9FDCF2" w14:textId="0349E137"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Sursa de verificare: Proiect de lege privind declararea utilității publice aprobat de Guvern, grup de lucru instituit și plan de acțiune elaborat. Studii de fezabilitate și proiect aprobat.</w:t>
            </w:r>
          </w:p>
        </w:tc>
      </w:tr>
      <w:tr w:rsidR="00DC671F" w:rsidRPr="00BD0643" w14:paraId="3215B8E6" w14:textId="77777777" w:rsidTr="00C11442">
        <w:trPr>
          <w:trHeight w:val="699"/>
        </w:trPr>
        <w:tc>
          <w:tcPr>
            <w:tcW w:w="42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17F15FF0" w14:textId="77777777" w:rsidR="00DC671F" w:rsidRPr="00840B12" w:rsidRDefault="00DC671F" w:rsidP="00DC671F">
            <w:pPr>
              <w:jc w:val="both"/>
              <w:rPr>
                <w:rFonts w:ascii="Arial" w:hAnsi="Arial" w:cs="Arial"/>
                <w:noProof/>
                <w:sz w:val="18"/>
                <w:szCs w:val="18"/>
              </w:rPr>
            </w:pP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1CDDD7FE" w14:textId="77777777" w:rsidR="00DC671F" w:rsidRPr="00D4727E" w:rsidRDefault="00DC671F" w:rsidP="00DC671F">
            <w:pPr>
              <w:jc w:val="both"/>
              <w:rPr>
                <w:rFonts w:ascii="Arial" w:hAnsi="Arial" w:cs="Arial"/>
                <w:noProof/>
                <w:sz w:val="18"/>
                <w:szCs w:val="18"/>
                <w:lang w:val="ro-MD"/>
              </w:rPr>
            </w:pPr>
          </w:p>
          <w:p w14:paraId="1806C9CB" w14:textId="05B3DE27"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3</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1A8EE280" w14:textId="77777777" w:rsidR="00DC671F" w:rsidRPr="00D4727E" w:rsidRDefault="00DC671F" w:rsidP="00DC671F">
            <w:pPr>
              <w:jc w:val="both"/>
              <w:rPr>
                <w:rFonts w:ascii="Arial" w:hAnsi="Arial" w:cs="Arial"/>
                <w:noProof/>
                <w:sz w:val="18"/>
                <w:szCs w:val="18"/>
                <w:lang w:val="ro-MD"/>
              </w:rPr>
            </w:pPr>
          </w:p>
          <w:p w14:paraId="769413BA" w14:textId="77777777" w:rsidR="00DC671F" w:rsidRPr="00D4727E" w:rsidRDefault="00DC671F" w:rsidP="00DC671F">
            <w:pPr>
              <w:jc w:val="both"/>
              <w:rPr>
                <w:rFonts w:ascii="Arial" w:hAnsi="Arial" w:cs="Arial"/>
                <w:noProof/>
                <w:sz w:val="18"/>
                <w:szCs w:val="18"/>
                <w:lang w:val="ro-MD"/>
              </w:rPr>
            </w:pPr>
          </w:p>
          <w:p w14:paraId="55A04A80" w14:textId="29C5AE7F"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Asigurarea securității aprovizionării</w:t>
            </w:r>
          </w:p>
        </w:tc>
        <w:tc>
          <w:tcPr>
            <w:tcW w:w="82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407CA7A2" w14:textId="77777777" w:rsidR="00DC671F" w:rsidRPr="00D4727E" w:rsidRDefault="00DC671F" w:rsidP="00DC671F">
            <w:pPr>
              <w:jc w:val="both"/>
              <w:rPr>
                <w:rFonts w:ascii="Arial" w:hAnsi="Arial" w:cs="Arial"/>
                <w:noProof/>
                <w:sz w:val="18"/>
                <w:szCs w:val="18"/>
                <w:lang w:val="ro-MD"/>
              </w:rPr>
            </w:pPr>
          </w:p>
          <w:p w14:paraId="7E603DA9" w14:textId="0937B5AA"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14</w:t>
            </w:r>
          </w:p>
        </w:tc>
        <w:tc>
          <w:tcPr>
            <w:tcW w:w="113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D368BFF" w14:textId="77777777" w:rsidR="00DC671F" w:rsidRPr="00D4727E" w:rsidRDefault="00DC671F" w:rsidP="00DC671F">
            <w:pPr>
              <w:jc w:val="both"/>
              <w:rPr>
                <w:rFonts w:ascii="Arial" w:hAnsi="Arial" w:cs="Arial"/>
                <w:noProof/>
                <w:sz w:val="18"/>
                <w:szCs w:val="18"/>
                <w:lang w:val="ro-MD"/>
              </w:rPr>
            </w:pPr>
          </w:p>
          <w:p w14:paraId="00A56273" w14:textId="77777777" w:rsidR="00DC671F" w:rsidRPr="00D4727E" w:rsidRDefault="00DC671F" w:rsidP="00DC671F">
            <w:pPr>
              <w:jc w:val="both"/>
              <w:rPr>
                <w:rFonts w:ascii="Arial" w:hAnsi="Arial" w:cs="Arial"/>
                <w:noProof/>
                <w:sz w:val="18"/>
                <w:szCs w:val="18"/>
                <w:lang w:val="ro-MD"/>
              </w:rPr>
            </w:pPr>
          </w:p>
          <w:p w14:paraId="63BE7AB7" w14:textId="77777777" w:rsidR="00DC671F" w:rsidRPr="00D4727E" w:rsidRDefault="00DC671F" w:rsidP="00DC671F">
            <w:pPr>
              <w:jc w:val="both"/>
              <w:rPr>
                <w:rFonts w:ascii="Arial" w:hAnsi="Arial" w:cs="Arial"/>
                <w:noProof/>
                <w:sz w:val="18"/>
                <w:szCs w:val="18"/>
                <w:lang w:val="ro-MD"/>
              </w:rPr>
            </w:pPr>
          </w:p>
          <w:p w14:paraId="09995940" w14:textId="1D76AD61"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2027</w:t>
            </w:r>
          </w:p>
        </w:tc>
        <w:tc>
          <w:tcPr>
            <w:tcW w:w="179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5296B6BF" w14:textId="77777777" w:rsidR="00DC671F" w:rsidRPr="00D4727E" w:rsidRDefault="00DC671F" w:rsidP="00DC671F">
            <w:pPr>
              <w:jc w:val="both"/>
              <w:rPr>
                <w:rFonts w:ascii="Arial" w:hAnsi="Arial" w:cs="Arial"/>
                <w:noProof/>
                <w:sz w:val="18"/>
                <w:szCs w:val="18"/>
                <w:lang w:val="ro-MD"/>
              </w:rPr>
            </w:pPr>
          </w:p>
          <w:p w14:paraId="7AED9786"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MEn</w:t>
            </w:r>
          </w:p>
          <w:p w14:paraId="07DADD3B" w14:textId="77777777" w:rsidR="00DC671F" w:rsidRPr="00D4727E" w:rsidRDefault="00DC671F" w:rsidP="00DC671F">
            <w:pPr>
              <w:jc w:val="both"/>
              <w:rPr>
                <w:rFonts w:ascii="Arial" w:hAnsi="Arial" w:cs="Arial"/>
                <w:noProof/>
                <w:sz w:val="18"/>
                <w:szCs w:val="18"/>
                <w:lang w:val="ro-MD"/>
              </w:rPr>
            </w:pPr>
          </w:p>
          <w:p w14:paraId="01027E7A" w14:textId="7265C31F"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Moldelectrica</w:t>
            </w:r>
          </w:p>
        </w:tc>
        <w:tc>
          <w:tcPr>
            <w:tcW w:w="354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7F754C74" w14:textId="77777777" w:rsidR="00DC671F" w:rsidRPr="00D4727E" w:rsidRDefault="00DC671F" w:rsidP="00DC671F">
            <w:pPr>
              <w:jc w:val="both"/>
              <w:rPr>
                <w:rFonts w:ascii="Arial" w:hAnsi="Arial" w:cs="Arial"/>
                <w:noProof/>
                <w:sz w:val="18"/>
                <w:szCs w:val="18"/>
                <w:lang w:val="ro-MD"/>
              </w:rPr>
            </w:pPr>
          </w:p>
          <w:p w14:paraId="5202F979" w14:textId="77777777" w:rsidR="00DC671F" w:rsidRPr="00D4727E" w:rsidRDefault="00DC671F" w:rsidP="00DC671F">
            <w:pPr>
              <w:jc w:val="both"/>
              <w:rPr>
                <w:rFonts w:ascii="Arial" w:hAnsi="Arial" w:cs="Arial"/>
                <w:noProof/>
                <w:sz w:val="18"/>
                <w:szCs w:val="18"/>
                <w:lang w:val="ro-MD"/>
              </w:rPr>
            </w:pPr>
          </w:p>
          <w:p w14:paraId="57297032"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Moldova începe construcția unei linii de 400 kV Bălți - Suceava pentru a crește capacitățile transfrontaliere către România.</w:t>
            </w:r>
          </w:p>
          <w:p w14:paraId="6BC214D0" w14:textId="77777777" w:rsidR="00DC671F" w:rsidRPr="00D4727E" w:rsidRDefault="00DC671F" w:rsidP="00DC671F">
            <w:pPr>
              <w:jc w:val="both"/>
              <w:rPr>
                <w:rFonts w:ascii="Arial" w:hAnsi="Arial" w:cs="Arial"/>
                <w:noProof/>
                <w:sz w:val="18"/>
                <w:szCs w:val="18"/>
                <w:lang w:val="ro-MD"/>
              </w:rPr>
            </w:pPr>
          </w:p>
          <w:p w14:paraId="79886165" w14:textId="0FA569EC"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Linia de referință: nicio linie de interconectare directă.</w:t>
            </w:r>
          </w:p>
        </w:tc>
        <w:tc>
          <w:tcPr>
            <w:tcW w:w="510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60079E29" w14:textId="77777777" w:rsidR="00DC671F" w:rsidRPr="00D4727E" w:rsidRDefault="00DC671F" w:rsidP="00DC671F">
            <w:pPr>
              <w:jc w:val="both"/>
              <w:rPr>
                <w:rFonts w:ascii="Arial" w:hAnsi="Arial" w:cs="Arial"/>
                <w:noProof/>
                <w:sz w:val="18"/>
                <w:szCs w:val="18"/>
                <w:lang w:val="ro-MD"/>
              </w:rPr>
            </w:pPr>
          </w:p>
          <w:p w14:paraId="1F4B8481"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Cel puțin 50 % din lucrările de construcție pentru linia de interconectare de 400 kV Bălți - Suceava pe partea moldoveană au fost finalizate.</w:t>
            </w:r>
          </w:p>
          <w:p w14:paraId="2F271B23"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Noua interconectare cu piața UE (România) va spori schimburile posibile între România și Moldova și va contribui la securitatea aprovizionării cu energie electrică prin reducerea dependenței de centrala electrică din regiunea transnistreană. </w:t>
            </w:r>
          </w:p>
          <w:p w14:paraId="2E38F5BC" w14:textId="0A48D221"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Sursa de verificare:  Rapoarte ale Ministerului Energiei sau ale Unității  de Implementare a Proiectelor Energetice din Moldova /MEPIU/.</w:t>
            </w:r>
          </w:p>
        </w:tc>
      </w:tr>
      <w:tr w:rsidR="00DC671F" w:rsidRPr="00BD0643" w14:paraId="04639807"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632341" w14:textId="73D7B956"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Energie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AB1979" w14:textId="77777777" w:rsidR="00DC671F" w:rsidRPr="00D4727E" w:rsidRDefault="00DC671F" w:rsidP="00DC671F">
            <w:pPr>
              <w:jc w:val="both"/>
              <w:rPr>
                <w:rFonts w:ascii="Arial" w:hAnsi="Arial" w:cs="Arial"/>
                <w:noProof/>
                <w:sz w:val="18"/>
                <w:szCs w:val="18"/>
                <w:lang w:val="ro-MD"/>
              </w:rPr>
            </w:pPr>
          </w:p>
          <w:p w14:paraId="180CB325" w14:textId="60FCFB71"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4</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4141F2" w14:textId="11BD7636"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Promovarea eficienței energetice</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215514" w14:textId="77777777" w:rsidR="00DC671F" w:rsidRPr="00D4727E" w:rsidRDefault="00DC671F" w:rsidP="00DC671F">
            <w:pPr>
              <w:jc w:val="both"/>
              <w:rPr>
                <w:rFonts w:ascii="Arial" w:hAnsi="Arial" w:cs="Arial"/>
                <w:noProof/>
                <w:sz w:val="18"/>
                <w:szCs w:val="18"/>
                <w:lang w:val="ro-MD"/>
              </w:rPr>
            </w:pPr>
          </w:p>
          <w:p w14:paraId="3074052F" w14:textId="1CC9D588"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F79671" w14:textId="686DFF0E"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2025</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5359FF" w14:textId="1DBA04CC"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 xml:space="preserve">MEn </w:t>
            </w:r>
            <w:r w:rsidRPr="00D4727E">
              <w:rPr>
                <w:rFonts w:ascii="Arial" w:hAnsi="Arial" w:cs="Arial"/>
                <w:noProof/>
                <w:sz w:val="18"/>
                <w:szCs w:val="18"/>
                <w:lang w:val="ro-MD"/>
              </w:rPr>
              <w:br/>
            </w:r>
            <w:r w:rsidRPr="00D4727E">
              <w:rPr>
                <w:rFonts w:ascii="Arial" w:hAnsi="Arial" w:cs="Arial"/>
                <w:noProof/>
                <w:sz w:val="18"/>
                <w:szCs w:val="18"/>
                <w:lang w:val="ro-MD"/>
              </w:rPr>
              <w:br/>
              <w:t>Centrul Național pentru Energie Durabilă (CNED)</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56BBC3"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Extinderea Fondului de eficiență energetică rezidențială pentru a oferi stimulente clădirilor rezidențiale cu mai multe apartamente și renovarea caselor individuale, inclusiv gospodăriilor vulnerabile.</w:t>
            </w:r>
          </w:p>
          <w:p w14:paraId="0E6DDD6B" w14:textId="77777777" w:rsidR="00DC671F" w:rsidRPr="00D4727E" w:rsidRDefault="00DC671F" w:rsidP="00DC671F">
            <w:pPr>
              <w:jc w:val="both"/>
              <w:rPr>
                <w:rFonts w:ascii="Arial" w:hAnsi="Arial" w:cs="Arial"/>
                <w:noProof/>
                <w:sz w:val="18"/>
                <w:szCs w:val="18"/>
                <w:lang w:val="ro-MD"/>
              </w:rPr>
            </w:pPr>
          </w:p>
          <w:p w14:paraId="27D4007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Linia de referință: astfel de instrumente nu sunt operaționale.</w:t>
            </w:r>
          </w:p>
          <w:p w14:paraId="0B23216A" w14:textId="77777777" w:rsidR="00DC671F" w:rsidRPr="00D4727E" w:rsidRDefault="00DC671F" w:rsidP="00DC671F">
            <w:pPr>
              <w:jc w:val="both"/>
              <w:rPr>
                <w:rFonts w:ascii="Arial" w:hAnsi="Arial" w:cs="Arial"/>
                <w:noProof/>
                <w:sz w:val="18"/>
                <w:szCs w:val="18"/>
                <w:lang w:val="ro-MD"/>
              </w:rPr>
            </w:pPr>
          </w:p>
          <w:p w14:paraId="5DC591DC" w14:textId="77777777" w:rsidR="00DC671F" w:rsidRPr="00D4727E" w:rsidRDefault="00DC671F" w:rsidP="00DC671F">
            <w:pPr>
              <w:jc w:val="both"/>
              <w:rPr>
                <w:rFonts w:ascii="Arial" w:hAnsi="Arial" w:cs="Arial"/>
                <w:noProof/>
                <w:sz w:val="18"/>
                <w:szCs w:val="18"/>
                <w:lang w:val="ro-MD"/>
              </w:rPr>
            </w:pPr>
          </w:p>
          <w:p w14:paraId="1258CBFE" w14:textId="77777777" w:rsidR="00DC671F" w:rsidRPr="00DC671F" w:rsidRDefault="00DC671F" w:rsidP="00DC671F">
            <w:pPr>
              <w:jc w:val="both"/>
              <w:rPr>
                <w:rFonts w:ascii="Arial" w:hAnsi="Arial" w:cs="Arial"/>
                <w:noProof/>
                <w:sz w:val="18"/>
                <w:szCs w:val="18"/>
                <w:lang w:val="fr-FR"/>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DDD3B7"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Fondul va: </w:t>
            </w:r>
          </w:p>
          <w:p w14:paraId="470FE05B"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efectua evaluarea obligatorie, pentru subvenții suplimentare;</w:t>
            </w:r>
          </w:p>
          <w:p w14:paraId="471EEAD6"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oferi stimulente pentru renovarea eficientă energetic;</w:t>
            </w:r>
          </w:p>
          <w:p w14:paraId="0823DD2D"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contribui la trecerea de la sistemele de încălzire pe gaz la sistemele regenerabile;</w:t>
            </w:r>
          </w:p>
          <w:p w14:paraId="62E8BB1F"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sprijini lansarea sobelor eficiente energetic;</w:t>
            </w:r>
          </w:p>
          <w:p w14:paraId="155F81CF"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 xml:space="preserve">contribui la renovarea și transformarea rentabilă pentru un anumit număr de clădiri cu energie aproape zero. </w:t>
            </w:r>
          </w:p>
          <w:p w14:paraId="280AC5AB" w14:textId="0C03AB1C"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Sursa de verificare: Rapoartele publice anuale ale CNED.</w:t>
            </w:r>
          </w:p>
        </w:tc>
      </w:tr>
      <w:tr w:rsidR="00DC671F" w:rsidRPr="00BD0643" w14:paraId="5EA1521D"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CBF205" w14:textId="77777777" w:rsidR="00DC671F" w:rsidRPr="00DC671F" w:rsidRDefault="00DC671F" w:rsidP="00DC671F">
            <w:pPr>
              <w:jc w:val="both"/>
              <w:rPr>
                <w:rFonts w:ascii="Arial" w:hAnsi="Arial" w:cs="Arial"/>
                <w:noProof/>
                <w:sz w:val="18"/>
                <w:szCs w:val="18"/>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A7DA1F" w14:textId="77777777" w:rsidR="00DC671F" w:rsidRPr="00D4727E" w:rsidRDefault="00DC671F" w:rsidP="00DC671F">
            <w:pPr>
              <w:jc w:val="both"/>
              <w:rPr>
                <w:rFonts w:ascii="Arial" w:hAnsi="Arial" w:cs="Arial"/>
                <w:noProof/>
                <w:sz w:val="18"/>
                <w:szCs w:val="18"/>
                <w:lang w:val="ro-MD"/>
              </w:rPr>
            </w:pPr>
          </w:p>
          <w:p w14:paraId="4DCFE2B2" w14:textId="2567B24D"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4</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38AB38" w14:textId="4ACB6A8A"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Promovarea eficienței energetice</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8AD0D3" w14:textId="77777777" w:rsidR="00DC671F" w:rsidRPr="00D4727E" w:rsidRDefault="00DC671F" w:rsidP="00DC671F">
            <w:pPr>
              <w:jc w:val="both"/>
              <w:rPr>
                <w:rFonts w:ascii="Arial" w:hAnsi="Arial" w:cs="Arial"/>
                <w:noProof/>
                <w:sz w:val="18"/>
                <w:szCs w:val="18"/>
                <w:lang w:val="ro-MD"/>
              </w:rPr>
            </w:pPr>
          </w:p>
          <w:p w14:paraId="025DF587" w14:textId="247A30A8"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16</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A0F31D" w14:textId="415CD312"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2026</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34ED4B"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MEn </w:t>
            </w:r>
            <w:r w:rsidRPr="00D4727E">
              <w:rPr>
                <w:rFonts w:ascii="Arial" w:hAnsi="Arial" w:cs="Arial"/>
                <w:noProof/>
                <w:sz w:val="18"/>
                <w:szCs w:val="18"/>
                <w:lang w:val="ro-MD"/>
              </w:rPr>
              <w:br/>
            </w:r>
            <w:r w:rsidRPr="00D4727E">
              <w:rPr>
                <w:rFonts w:ascii="Arial" w:hAnsi="Arial" w:cs="Arial"/>
                <w:noProof/>
                <w:sz w:val="18"/>
                <w:szCs w:val="18"/>
                <w:lang w:val="ro-MD"/>
              </w:rPr>
              <w:br/>
            </w:r>
          </w:p>
          <w:p w14:paraId="7D801AA7"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Centrul Național pentru Energie Durabilă (CNED)</w:t>
            </w:r>
          </w:p>
          <w:p w14:paraId="69D2533A" w14:textId="368B72A7"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MEPIU</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BA3F6C"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Implementarea măsurilor de eficiență energetică.</w:t>
            </w:r>
          </w:p>
          <w:p w14:paraId="6A1FC209" w14:textId="77777777" w:rsidR="00DC671F" w:rsidRPr="00D4727E" w:rsidRDefault="00DC671F" w:rsidP="00DC671F">
            <w:pPr>
              <w:jc w:val="both"/>
              <w:rPr>
                <w:rFonts w:ascii="Arial" w:hAnsi="Arial" w:cs="Arial"/>
                <w:noProof/>
                <w:sz w:val="18"/>
                <w:szCs w:val="18"/>
                <w:lang w:val="ro-MD"/>
              </w:rPr>
            </w:pPr>
          </w:p>
          <w:p w14:paraId="5F63CF20" w14:textId="77777777" w:rsidR="00DC671F" w:rsidRPr="00D4727E" w:rsidRDefault="00DC671F" w:rsidP="00DC671F">
            <w:pPr>
              <w:jc w:val="both"/>
              <w:rPr>
                <w:rFonts w:ascii="Arial" w:hAnsi="Arial" w:cs="Arial"/>
                <w:noProof/>
                <w:sz w:val="18"/>
                <w:szCs w:val="18"/>
                <w:lang w:val="ro-MD"/>
              </w:rPr>
            </w:pPr>
          </w:p>
          <w:p w14:paraId="130DE222"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Linia de referință: până acum nu au fost efectuate renovări în cadrul REEF și MEPIU.</w:t>
            </w:r>
          </w:p>
          <w:p w14:paraId="16A8EE39" w14:textId="77777777" w:rsidR="00DC671F" w:rsidRPr="00D4727E" w:rsidRDefault="00DC671F" w:rsidP="00DC671F">
            <w:pPr>
              <w:jc w:val="both"/>
              <w:rPr>
                <w:rFonts w:ascii="Arial" w:hAnsi="Arial" w:cs="Arial"/>
                <w:noProof/>
                <w:sz w:val="18"/>
                <w:szCs w:val="18"/>
                <w:lang w:val="ro-MD"/>
              </w:rPr>
            </w:pPr>
          </w:p>
          <w:p w14:paraId="1863F6D5" w14:textId="77777777" w:rsidR="00DC671F" w:rsidRPr="00840B12" w:rsidRDefault="00DC671F" w:rsidP="00DC671F">
            <w:pPr>
              <w:jc w:val="both"/>
              <w:rPr>
                <w:rFonts w:ascii="Arial" w:hAnsi="Arial" w:cs="Arial"/>
                <w:noProof/>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18D81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Implementarea eficienței energetice necesită: </w:t>
            </w:r>
          </w:p>
          <w:p w14:paraId="0A266F74"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Realizarea a cel puțin 200 de audituri energetice în diferite tipuri de clădiri rezidențiale, inclusiv clădiri de apartamente, case individuale și gospodării rurale.</w:t>
            </w:r>
          </w:p>
          <w:p w14:paraId="7F8E761A"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Elaborarea a cel puțin 20 de proiecte tehnice pentru intervenții în domeniul eficienței energetice pentru clădiri rezidențiale cu mai multe etaje.</w:t>
            </w:r>
          </w:p>
          <w:p w14:paraId="1755AFCB"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Semnarea contractelor de finanțare cu cel puțin 20 de asociații de proprietari pentru renovarea clădirilor cu mai multe etaje.</w:t>
            </w:r>
          </w:p>
          <w:p w14:paraId="4D45CB66"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Semnarea de contracte de finanțare pentru cel puțin 300 de case individuale, inclusiv cele aparținând gospodăriilor vulnerabile, în vederea implementării de măsuri de eficiență energetică.</w:t>
            </w:r>
          </w:p>
          <w:p w14:paraId="0998DAEE"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 xml:space="preserve">REEF va sprijini renovarea a cel puțin 20 de clădiri rezidențiale cu mai multe apartamente. </w:t>
            </w:r>
          </w:p>
          <w:p w14:paraId="48138BE4"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REEF va sprijini renovarea a cel puțin 200 de locuințe individuale, fie în curs de execuție, fie finalizate, cu un sprijin financiar de minimum 50% din partea UE.</w:t>
            </w:r>
          </w:p>
          <w:p w14:paraId="30EA82D8"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Lucrări de renovare a 3 clădiri publice, fie în curs, fie finalizate, cu un sprijin financiar de minimum 50% din partea UE.</w:t>
            </w:r>
          </w:p>
          <w:p w14:paraId="7EA82811" w14:textId="2FAA6A38"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Sursa de verificare: Rapoarte publice anuale ale CNED și MEPIU.</w:t>
            </w:r>
          </w:p>
        </w:tc>
      </w:tr>
      <w:tr w:rsidR="00DC671F" w:rsidRPr="00BD0643" w14:paraId="311054A6"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D7FF12" w14:textId="77777777" w:rsidR="00DC671F" w:rsidRPr="00DC671F" w:rsidRDefault="00DC671F" w:rsidP="00DC671F">
            <w:pPr>
              <w:jc w:val="both"/>
              <w:rPr>
                <w:rFonts w:ascii="Arial" w:hAnsi="Arial" w:cs="Arial"/>
                <w:noProof/>
                <w:sz w:val="18"/>
                <w:szCs w:val="18"/>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AEC1FF" w14:textId="77777777" w:rsidR="00DC671F" w:rsidRPr="00D4727E" w:rsidRDefault="00DC671F" w:rsidP="00DC671F">
            <w:pPr>
              <w:jc w:val="both"/>
              <w:rPr>
                <w:rFonts w:ascii="Arial" w:hAnsi="Arial" w:cs="Arial"/>
                <w:noProof/>
                <w:sz w:val="18"/>
                <w:szCs w:val="18"/>
                <w:lang w:val="ro-MD"/>
              </w:rPr>
            </w:pPr>
          </w:p>
          <w:p w14:paraId="37437877" w14:textId="4855254F"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4</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713084" w14:textId="5F533D94"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Promovarea eficienței energetice</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EED213" w14:textId="77777777" w:rsidR="00DC671F" w:rsidRPr="00D4727E" w:rsidRDefault="00DC671F" w:rsidP="00DC671F">
            <w:pPr>
              <w:jc w:val="both"/>
              <w:rPr>
                <w:rFonts w:ascii="Arial" w:hAnsi="Arial" w:cs="Arial"/>
                <w:noProof/>
                <w:sz w:val="18"/>
                <w:szCs w:val="18"/>
                <w:lang w:val="ro-MD"/>
              </w:rPr>
            </w:pPr>
          </w:p>
          <w:p w14:paraId="49E122EB" w14:textId="70FE2A25"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17</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0561EB" w14:textId="634BCDBD"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2027</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70A384"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MEn </w:t>
            </w:r>
            <w:r w:rsidRPr="00D4727E">
              <w:rPr>
                <w:rFonts w:ascii="Arial" w:hAnsi="Arial" w:cs="Arial"/>
                <w:noProof/>
                <w:sz w:val="18"/>
                <w:szCs w:val="18"/>
                <w:lang w:val="ro-MD"/>
              </w:rPr>
              <w:br/>
            </w:r>
          </w:p>
          <w:p w14:paraId="713E01D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Centrul Național pentru Energie Durabilă (CNED)</w:t>
            </w:r>
          </w:p>
          <w:p w14:paraId="2F95AA83" w14:textId="72D9EE9F"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MEPIU</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A42F4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Implementarea măsurilor de eficiență energetică. </w:t>
            </w:r>
          </w:p>
          <w:p w14:paraId="0EB7088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Linia de referință: nicio renovare în cadrul REEF și MEPIU efectuată până în prezent.</w:t>
            </w:r>
          </w:p>
          <w:p w14:paraId="47308984" w14:textId="77777777" w:rsidR="00DC671F" w:rsidRPr="00840B12" w:rsidRDefault="00DC671F" w:rsidP="00DC671F">
            <w:pPr>
              <w:jc w:val="both"/>
              <w:rPr>
                <w:rFonts w:ascii="Arial" w:hAnsi="Arial" w:cs="Arial"/>
                <w:noProof/>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E78721"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Implementarea măsurilor de eficiență energetică necesită: </w:t>
            </w:r>
          </w:p>
          <w:p w14:paraId="2B37E331"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Elaborarea a cel puțin 30 de proiecte tehnice suplimentare pentru intervenții în domeniul eficienței energetice în clădirile rezidențiale cu mai multe etaje.</w:t>
            </w:r>
          </w:p>
          <w:p w14:paraId="1A139F5A"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 xml:space="preserve">Semnarea de contracte de finanțare cu cel puțin 30 de asociații de proprietari suplimentare pentru renovarea </w:t>
            </w:r>
            <w:r w:rsidRPr="00D4727E">
              <w:rPr>
                <w:rFonts w:ascii="Arial" w:hAnsi="Arial" w:cs="Arial"/>
                <w:noProof/>
                <w:sz w:val="18"/>
                <w:szCs w:val="18"/>
                <w:lang w:val="ro-MD"/>
              </w:rPr>
              <w:lastRenderedPageBreak/>
              <w:t>clădirilor cu mai multe etaje, comparativ cu situația de referință din 2026.</w:t>
            </w:r>
          </w:p>
          <w:p w14:paraId="7DD4FD48"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 xml:space="preserve">REEF să sprijine renovarea a cel puțin 30 de clădiri rezidențiale cu mai multe apartamente suplimentare. </w:t>
            </w:r>
          </w:p>
          <w:p w14:paraId="6F05BF32"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Lucrările de renovare a 10 clădiri publice sunt în curs de desfășurare sau finalizate, cu un sprijin financiar de 50% din partea UE.</w:t>
            </w:r>
          </w:p>
          <w:p w14:paraId="4A84CDBC"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REEF să sprijine renovarea a cel puțin 250 de case individuale suplimentare, fie în curs de desfășurare, fie finalizate, cu un sprijin financiar de 50% din partea UE.</w:t>
            </w:r>
          </w:p>
          <w:p w14:paraId="0C6FF18B" w14:textId="63D586C7"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Sursa de verificare: Rapoarte publice anuale ale CNED și MEPIU.</w:t>
            </w:r>
          </w:p>
        </w:tc>
      </w:tr>
      <w:tr w:rsidR="00DC671F" w:rsidRPr="00BD0643" w14:paraId="31E90D73"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8C3C92" w14:textId="77777777" w:rsidR="00DC671F" w:rsidRPr="00DC671F" w:rsidRDefault="00DC671F" w:rsidP="00DC671F">
            <w:pPr>
              <w:jc w:val="both"/>
              <w:rPr>
                <w:rFonts w:ascii="Arial" w:hAnsi="Arial" w:cs="Arial"/>
                <w:noProof/>
                <w:sz w:val="18"/>
                <w:szCs w:val="18"/>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CD2FF6" w14:textId="77777777" w:rsidR="00DC671F" w:rsidRPr="00D4727E" w:rsidRDefault="00DC671F" w:rsidP="00DC671F">
            <w:pPr>
              <w:jc w:val="both"/>
              <w:rPr>
                <w:rFonts w:ascii="Arial" w:hAnsi="Arial" w:cs="Arial"/>
                <w:noProof/>
                <w:sz w:val="18"/>
                <w:szCs w:val="18"/>
                <w:lang w:val="ro-MD"/>
              </w:rPr>
            </w:pPr>
          </w:p>
          <w:p w14:paraId="02A6F93A" w14:textId="19B5CD81"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4</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B3C610" w14:textId="167EA4AE"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Promovarea eficienței energetice</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E19B13" w14:textId="77777777" w:rsidR="00DC671F" w:rsidRPr="00D4727E" w:rsidRDefault="00DC671F" w:rsidP="00DC671F">
            <w:pPr>
              <w:jc w:val="both"/>
              <w:rPr>
                <w:rFonts w:ascii="Arial" w:hAnsi="Arial" w:cs="Arial"/>
                <w:noProof/>
                <w:sz w:val="18"/>
                <w:szCs w:val="18"/>
                <w:lang w:val="ro-MD"/>
              </w:rPr>
            </w:pPr>
          </w:p>
          <w:p w14:paraId="60974339" w14:textId="7006FDD8"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18</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FADEEA" w14:textId="1412AEE4"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2027</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614168"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MEn </w:t>
            </w:r>
          </w:p>
          <w:p w14:paraId="7817232C"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Ministerul Infrastructurii și Dezvoltării Regionale (MIDR)</w:t>
            </w:r>
          </w:p>
          <w:p w14:paraId="2AAD3A82" w14:textId="77777777" w:rsidR="00DC671F" w:rsidRPr="00D4727E" w:rsidRDefault="00DC671F" w:rsidP="00DC671F">
            <w:pPr>
              <w:jc w:val="both"/>
              <w:rPr>
                <w:rFonts w:ascii="Arial" w:hAnsi="Arial" w:cs="Arial"/>
                <w:noProof/>
                <w:sz w:val="18"/>
                <w:szCs w:val="18"/>
                <w:lang w:val="ro-MD"/>
              </w:rPr>
            </w:pPr>
          </w:p>
          <w:p w14:paraId="1389D62A" w14:textId="52AA59E1"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Centrul Național pentru Energie Durabilă (CNED)</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FD3976" w14:textId="77777777" w:rsidR="00DC671F" w:rsidRPr="00D4727E" w:rsidRDefault="00DC671F" w:rsidP="00DC671F">
            <w:pPr>
              <w:jc w:val="both"/>
              <w:rPr>
                <w:rFonts w:ascii="Arial" w:hAnsi="Arial" w:cs="Arial"/>
                <w:noProof/>
                <w:sz w:val="18"/>
                <w:szCs w:val="18"/>
                <w:lang w:val="ro-MD"/>
              </w:rPr>
            </w:pPr>
          </w:p>
          <w:p w14:paraId="0E926353"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Cadrul juridic privind performanța energetică a clădirilor (referitor la eliberarea certificatelor de performanță energetică) este în vigoare.</w:t>
            </w:r>
          </w:p>
          <w:p w14:paraId="20F91995" w14:textId="77777777" w:rsidR="00DC671F" w:rsidRPr="00D4727E" w:rsidRDefault="00DC671F" w:rsidP="00DC671F">
            <w:pPr>
              <w:jc w:val="both"/>
              <w:rPr>
                <w:rFonts w:ascii="Arial" w:hAnsi="Arial" w:cs="Arial"/>
                <w:noProof/>
                <w:sz w:val="18"/>
                <w:szCs w:val="18"/>
                <w:lang w:val="ro-MD"/>
              </w:rPr>
            </w:pPr>
          </w:p>
          <w:p w14:paraId="0F5725F9" w14:textId="473E4294"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Instrumentul pentru certificatele de performanță energetică a clădirilor este complet funcțional. </w:t>
            </w:r>
          </w:p>
          <w:p w14:paraId="1D5887D1" w14:textId="77777777" w:rsidR="00DC671F" w:rsidRPr="00D4727E" w:rsidRDefault="00DC671F" w:rsidP="00DC671F">
            <w:pPr>
              <w:jc w:val="both"/>
              <w:rPr>
                <w:rFonts w:ascii="Arial" w:hAnsi="Arial" w:cs="Arial"/>
                <w:noProof/>
                <w:sz w:val="18"/>
                <w:szCs w:val="18"/>
                <w:lang w:val="ro-MD"/>
              </w:rPr>
            </w:pPr>
          </w:p>
          <w:p w14:paraId="264F161B" w14:textId="685F25E7"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Linia de bază: nu există un astfel de sistem și nu sunt emise certificate începând cu 2024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5E2F5D"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Elaborarea unui cadru juridic necesită:</w:t>
            </w:r>
          </w:p>
          <w:p w14:paraId="304BEFCF"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 xml:space="preserve">Guvernul elaborează și adoptă cadrul juridic secundar pentru certificatele de performanță energetică. </w:t>
            </w:r>
          </w:p>
          <w:p w14:paraId="4510CA82" w14:textId="076934C4" w:rsidR="00DC671F" w:rsidRPr="005F00AE" w:rsidRDefault="005F00AE" w:rsidP="005F00AE">
            <w:pPr>
              <w:pStyle w:val="ListParagraph"/>
              <w:numPr>
                <w:ilvl w:val="0"/>
                <w:numId w:val="2"/>
              </w:numPr>
              <w:jc w:val="both"/>
              <w:rPr>
                <w:rFonts w:ascii="Arial" w:hAnsi="Arial" w:cs="Arial"/>
                <w:noProof/>
                <w:sz w:val="18"/>
                <w:szCs w:val="18"/>
                <w:lang w:val="ro-MD"/>
              </w:rPr>
            </w:pPr>
            <w:bookmarkStart w:id="13" w:name="_GoBack"/>
            <w:bookmarkEnd w:id="13"/>
            <w:r w:rsidRPr="005F00AE">
              <w:rPr>
                <w:rFonts w:ascii="Arial" w:hAnsi="Arial" w:cs="Arial"/>
                <w:noProof/>
                <w:sz w:val="18"/>
                <w:szCs w:val="18"/>
                <w:lang w:val="ro-MD"/>
              </w:rPr>
              <w:t>Sistemul de eliberare a certificatelor de performanță energetică pentru clădiri este pus în funcțiune de către CNED.</w:t>
            </w:r>
          </w:p>
          <w:p w14:paraId="48661278" w14:textId="3035BEB6" w:rsidR="00DC671F" w:rsidRPr="00DC671F"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Sursa de verificare: Instrumentul/sistemul de emitere a certificatelor de performanță energetică a clădirilor este în vigoare. Raport public al CNED privind certificatele de performanță energetică emise.</w:t>
            </w:r>
          </w:p>
        </w:tc>
      </w:tr>
      <w:tr w:rsidR="00DC671F" w:rsidRPr="00840B12" w14:paraId="25D70BA2"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4AD244"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Energie</w:t>
            </w:r>
          </w:p>
          <w:p w14:paraId="114F7AFC" w14:textId="76AA686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 </w:t>
            </w:r>
          </w:p>
          <w:p w14:paraId="65CAC813" w14:textId="77777777" w:rsidR="00DC671F" w:rsidRPr="00840B12" w:rsidRDefault="00DC671F" w:rsidP="00DC671F">
            <w:pPr>
              <w:jc w:val="both"/>
              <w:rPr>
                <w:rFonts w:ascii="Arial" w:hAnsi="Arial" w:cs="Arial"/>
                <w:noProof/>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6A7A83" w14:textId="4440BFF5"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lastRenderedPageBreak/>
              <w:t>4</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EAC5DD" w14:textId="39E953DA"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Promovarea eficienței energetice</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B573B2" w14:textId="62DD48CE"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19</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24474A" w14:textId="31B34B2E"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2025</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DE277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MEn</w:t>
            </w:r>
          </w:p>
          <w:p w14:paraId="31F84F3D" w14:textId="499D546D"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Centrul Național pentru Energie Durabilă (CNED)</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BCC306"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Programul de eco-vouchere este extins.</w:t>
            </w:r>
          </w:p>
          <w:p w14:paraId="6B92867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Linia de referință: economii realizate de 0,9 GWh prin repartizarea de eco-vouchere până la 31 decembrie 2024.</w:t>
            </w:r>
          </w:p>
          <w:p w14:paraId="22D9BCA2" w14:textId="77777777" w:rsidR="00DC671F" w:rsidRPr="00840B12" w:rsidRDefault="00DC671F" w:rsidP="00DC671F">
            <w:pPr>
              <w:jc w:val="both"/>
              <w:rPr>
                <w:rFonts w:ascii="Arial" w:hAnsi="Arial" w:cs="Arial"/>
                <w:noProof/>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5D670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Economiile realizate cu distribuirea de EcoVouchere începând cu 31.12.2024 comparativ cu economiile realizate cu distribuirea de ecoVouchere între 01.01.2025 și 31.12.2025. </w:t>
            </w:r>
          </w:p>
          <w:p w14:paraId="5246B9D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Obiectivul privind economiile în 2025 este de 6 GWh</w:t>
            </w:r>
          </w:p>
          <w:p w14:paraId="06A1159D" w14:textId="7E53F9FD"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lastRenderedPageBreak/>
              <w:t>Sursa de verificare: Rapoartele CNED privind eco-voucherele repartizate</w:t>
            </w:r>
          </w:p>
        </w:tc>
      </w:tr>
      <w:tr w:rsidR="00DC671F" w:rsidRPr="00BD0643" w14:paraId="752035EB" w14:textId="77777777" w:rsidTr="00C11442">
        <w:trPr>
          <w:trHeight w:val="481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E600AC" w14:textId="77777777" w:rsidR="00DC671F" w:rsidRPr="00840B12" w:rsidRDefault="00DC671F" w:rsidP="00DC671F">
            <w:pPr>
              <w:jc w:val="both"/>
              <w:rPr>
                <w:rFonts w:ascii="Arial" w:hAnsi="Arial" w:cs="Arial"/>
                <w:noProof/>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32F23C" w14:textId="77777777" w:rsidR="00DC671F" w:rsidRPr="00D4727E" w:rsidRDefault="00DC671F" w:rsidP="00DC671F">
            <w:pPr>
              <w:jc w:val="both"/>
              <w:rPr>
                <w:rFonts w:ascii="Arial" w:hAnsi="Arial" w:cs="Arial"/>
                <w:noProof/>
                <w:sz w:val="18"/>
                <w:szCs w:val="18"/>
                <w:lang w:val="ro-MD"/>
              </w:rPr>
            </w:pPr>
          </w:p>
          <w:p w14:paraId="6118DD1C" w14:textId="7483B32C"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5</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C41809" w14:textId="77777777" w:rsidR="00DC671F" w:rsidRPr="00D4727E" w:rsidRDefault="00DC671F" w:rsidP="00DC671F">
            <w:pPr>
              <w:jc w:val="both"/>
              <w:rPr>
                <w:rFonts w:ascii="Arial" w:hAnsi="Arial" w:cs="Arial"/>
                <w:noProof/>
                <w:sz w:val="18"/>
                <w:szCs w:val="18"/>
                <w:lang w:val="ro-MD"/>
              </w:rPr>
            </w:pPr>
          </w:p>
          <w:p w14:paraId="76781A6F" w14:textId="4CDAC498"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Piață prosperă pentru energia regenerabilă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CE360E" w14:textId="77777777" w:rsidR="00DC671F" w:rsidRPr="00D4727E" w:rsidRDefault="00DC671F" w:rsidP="00DC671F">
            <w:pPr>
              <w:jc w:val="both"/>
              <w:rPr>
                <w:rFonts w:ascii="Arial" w:hAnsi="Arial" w:cs="Arial"/>
                <w:noProof/>
                <w:sz w:val="18"/>
                <w:szCs w:val="18"/>
                <w:lang w:val="ro-MD"/>
              </w:rPr>
            </w:pPr>
          </w:p>
          <w:p w14:paraId="70723095" w14:textId="56FCAB00"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20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BEBFD5" w14:textId="586DD954" w:rsidR="00DC671F" w:rsidRPr="00840B12" w:rsidRDefault="00DC671F" w:rsidP="00DC671F">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 xml:space="preserve">ecembrie </w:t>
            </w:r>
            <w:r w:rsidRPr="00D4727E" w:rsidDel="00DE7B69">
              <w:rPr>
                <w:rFonts w:ascii="Arial" w:hAnsi="Arial" w:cs="Arial"/>
                <w:noProof/>
                <w:sz w:val="18"/>
                <w:szCs w:val="18"/>
                <w:lang w:val="ro-MD"/>
              </w:rPr>
              <w:t>2025</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693EC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MEn</w:t>
            </w:r>
          </w:p>
          <w:p w14:paraId="119ABF9A" w14:textId="77777777" w:rsidR="00DC671F" w:rsidRPr="00D4727E" w:rsidRDefault="00DC671F" w:rsidP="00DC671F">
            <w:pPr>
              <w:jc w:val="both"/>
              <w:rPr>
                <w:rFonts w:ascii="Arial" w:hAnsi="Arial" w:cs="Arial"/>
                <w:noProof/>
                <w:sz w:val="18"/>
                <w:szCs w:val="18"/>
                <w:lang w:val="ro-MD"/>
              </w:rPr>
            </w:pPr>
          </w:p>
          <w:p w14:paraId="78B51FDA"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ANRE</w:t>
            </w:r>
          </w:p>
          <w:p w14:paraId="5793F524" w14:textId="77777777" w:rsidR="00DC671F" w:rsidRPr="00D4727E" w:rsidRDefault="00DC671F" w:rsidP="00DC671F">
            <w:pPr>
              <w:jc w:val="both"/>
              <w:rPr>
                <w:rFonts w:ascii="Arial" w:hAnsi="Arial" w:cs="Arial"/>
                <w:noProof/>
                <w:sz w:val="18"/>
                <w:szCs w:val="18"/>
                <w:lang w:val="ro-MD"/>
              </w:rPr>
            </w:pPr>
          </w:p>
          <w:p w14:paraId="69610C59" w14:textId="09374103" w:rsidR="00DC671F" w:rsidRPr="00DC671F"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Centrul Național pentru Energie Durabilă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7D2FBB"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Planul de acțiune pentru utilizarea energiei regenerabile și stocarea energiei continuă să fie pus în aplicare. </w:t>
            </w:r>
          </w:p>
          <w:p w14:paraId="307CE65C" w14:textId="0C9D0176"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Linia de referință: 580 MW de capacități regenerabile la sfârșitul anului 2024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F14AC7"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Planul de acțiune este pus în aplicare de guvern și va fi monitorizat pentru a se asigura că acesta include:  </w:t>
            </w:r>
          </w:p>
          <w:p w14:paraId="08CE7B41"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 xml:space="preserve">revizuirea concepției licitației pentru a include stocarea; </w:t>
            </w:r>
          </w:p>
          <w:p w14:paraId="745B209C"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 xml:space="preserve">reflectarea asupra rezultatelor primei licitații; </w:t>
            </w:r>
          </w:p>
          <w:p w14:paraId="66FF031F"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pregătirea unui cadru, inclusiv a documentației de licitație;</w:t>
            </w:r>
          </w:p>
          <w:p w14:paraId="60279F3E" w14:textId="77777777" w:rsidR="00DC671F" w:rsidRPr="00D4727E" w:rsidRDefault="00DC671F" w:rsidP="00DC671F">
            <w:pPr>
              <w:numPr>
                <w:ilvl w:val="0"/>
                <w:numId w:val="2"/>
              </w:numPr>
              <w:jc w:val="both"/>
              <w:rPr>
                <w:rFonts w:ascii="Arial" w:hAnsi="Arial" w:cs="Arial"/>
                <w:noProof/>
                <w:sz w:val="18"/>
                <w:szCs w:val="18"/>
                <w:lang w:val="ro-MD"/>
              </w:rPr>
            </w:pPr>
            <w:r w:rsidRPr="00D4727E">
              <w:rPr>
                <w:rFonts w:ascii="Arial" w:hAnsi="Arial" w:cs="Arial"/>
                <w:noProof/>
                <w:sz w:val="18"/>
                <w:szCs w:val="18"/>
                <w:lang w:val="ro-MD"/>
              </w:rPr>
              <w:t>lansarea de licitații pentru noi surse regenerabile de energie și pentru stocarea energiei în 2025, specificând capacitățile alocate fiecărei tehnologii, cu scopul de a accelera implementarea surselor regenerabile de energie;</w:t>
            </w:r>
          </w:p>
          <w:p w14:paraId="44CB270B" w14:textId="6B14E556"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Sursa de verificare: Publicarea anunțului licitației, inclusiv a documentației de atribuire, pe pagina oficială web a Ministerului Energiei.</w:t>
            </w:r>
          </w:p>
        </w:tc>
      </w:tr>
      <w:tr w:rsidR="00DC671F" w:rsidRPr="00BD0643" w14:paraId="701EE40B" w14:textId="77777777" w:rsidTr="00C11442">
        <w:trPr>
          <w:trHeight w:val="98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C162C4" w14:textId="77777777" w:rsidR="00DC671F" w:rsidRPr="00DC671F" w:rsidRDefault="00DC671F" w:rsidP="00DC671F">
            <w:pPr>
              <w:jc w:val="both"/>
              <w:rPr>
                <w:rFonts w:ascii="Arial" w:hAnsi="Arial" w:cs="Arial"/>
                <w:noProof/>
                <w:sz w:val="18"/>
                <w:szCs w:val="18"/>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72A2CC" w14:textId="77777777" w:rsidR="00DC671F" w:rsidRPr="00D4727E" w:rsidRDefault="00DC671F" w:rsidP="00DC671F">
            <w:pPr>
              <w:jc w:val="both"/>
              <w:rPr>
                <w:rFonts w:ascii="Arial" w:hAnsi="Arial" w:cs="Arial"/>
                <w:noProof/>
                <w:sz w:val="18"/>
                <w:szCs w:val="18"/>
                <w:lang w:val="ro-MD"/>
              </w:rPr>
            </w:pPr>
          </w:p>
          <w:p w14:paraId="6563612F" w14:textId="44DC45B9"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5</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1C7D39" w14:textId="516BAD56"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Piață prosperă pentru energia regenerabilă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8480BD" w14:textId="77777777" w:rsidR="00DC671F" w:rsidRPr="00D4727E" w:rsidRDefault="00DC671F" w:rsidP="00DC671F">
            <w:pPr>
              <w:jc w:val="both"/>
              <w:rPr>
                <w:rFonts w:ascii="Arial" w:hAnsi="Arial" w:cs="Arial"/>
                <w:noProof/>
                <w:sz w:val="18"/>
                <w:szCs w:val="18"/>
                <w:lang w:val="ro-MD"/>
              </w:rPr>
            </w:pPr>
          </w:p>
          <w:p w14:paraId="2E18A906" w14:textId="644BA8FA" w:rsidR="00DC671F" w:rsidRPr="00840B12" w:rsidRDefault="00DC671F" w:rsidP="00DC671F">
            <w:pPr>
              <w:jc w:val="both"/>
              <w:rPr>
                <w:rFonts w:ascii="Arial" w:hAnsi="Arial" w:cs="Arial"/>
                <w:noProof/>
                <w:sz w:val="18"/>
                <w:szCs w:val="18"/>
              </w:rPr>
            </w:pPr>
            <w:r w:rsidRPr="00D4727E">
              <w:rPr>
                <w:rFonts w:ascii="Arial" w:hAnsi="Arial" w:cs="Arial"/>
                <w:noProof/>
                <w:sz w:val="18"/>
                <w:szCs w:val="18"/>
                <w:lang w:val="ro-MD"/>
              </w:rPr>
              <w:t>21</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1920C0" w14:textId="682C0C83" w:rsidR="00DC671F" w:rsidRPr="00840B12" w:rsidRDefault="00DC671F" w:rsidP="00DC671F">
            <w:pPr>
              <w:jc w:val="both"/>
              <w:rPr>
                <w:rFonts w:ascii="Arial" w:hAnsi="Arial" w:cs="Arial"/>
                <w:noProof/>
                <w:sz w:val="18"/>
                <w:szCs w:val="18"/>
                <w:lang w:val="en-GB"/>
              </w:rPr>
            </w:pPr>
            <w:r>
              <w:rPr>
                <w:rFonts w:ascii="Arial" w:hAnsi="Arial" w:cs="Arial"/>
                <w:noProof/>
                <w:sz w:val="18"/>
                <w:szCs w:val="18"/>
                <w:lang w:val="ro-MD"/>
              </w:rPr>
              <w:t>d</w:t>
            </w:r>
            <w:r w:rsidRPr="00D4727E">
              <w:rPr>
                <w:rFonts w:ascii="Arial" w:hAnsi="Arial" w:cs="Arial"/>
                <w:noProof/>
                <w:sz w:val="18"/>
                <w:szCs w:val="18"/>
                <w:lang w:val="ro-MD"/>
              </w:rPr>
              <w:t xml:space="preserve">ecembrie 2026 </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E8E091"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Ministerul Energiei</w:t>
            </w:r>
          </w:p>
          <w:p w14:paraId="0CFC18DC" w14:textId="77777777" w:rsidR="00DC671F" w:rsidRPr="00D4727E" w:rsidRDefault="00DC671F" w:rsidP="00DC671F">
            <w:pPr>
              <w:jc w:val="both"/>
              <w:rPr>
                <w:rFonts w:ascii="Arial" w:hAnsi="Arial" w:cs="Arial"/>
                <w:noProof/>
                <w:sz w:val="18"/>
                <w:szCs w:val="18"/>
                <w:lang w:val="ro-MD"/>
              </w:rPr>
            </w:pPr>
          </w:p>
          <w:p w14:paraId="3E525EE7"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Ministerul Dezvoltării Economice și Digitalizării</w:t>
            </w:r>
          </w:p>
          <w:p w14:paraId="790F997C" w14:textId="77777777" w:rsidR="00DC671F" w:rsidRPr="00D4727E" w:rsidRDefault="00DC671F" w:rsidP="00DC671F">
            <w:pPr>
              <w:jc w:val="both"/>
              <w:rPr>
                <w:rFonts w:ascii="Arial" w:hAnsi="Arial" w:cs="Arial"/>
                <w:noProof/>
                <w:sz w:val="18"/>
                <w:szCs w:val="18"/>
                <w:lang w:val="ro-MD"/>
              </w:rPr>
            </w:pPr>
          </w:p>
          <w:p w14:paraId="66801485"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Ministerul Finanțelor</w:t>
            </w:r>
          </w:p>
          <w:p w14:paraId="5AA01080" w14:textId="77777777" w:rsidR="00DC671F" w:rsidRPr="00D4727E" w:rsidRDefault="00DC671F" w:rsidP="00DC671F">
            <w:pPr>
              <w:jc w:val="both"/>
              <w:rPr>
                <w:rFonts w:ascii="Arial" w:hAnsi="Arial" w:cs="Arial"/>
                <w:noProof/>
                <w:sz w:val="18"/>
                <w:szCs w:val="18"/>
                <w:lang w:val="ro-MD"/>
              </w:rPr>
            </w:pPr>
          </w:p>
          <w:p w14:paraId="49A5E4B4" w14:textId="77777777" w:rsidR="00DC671F" w:rsidRPr="00D4727E" w:rsidRDefault="00DC671F" w:rsidP="00DC671F">
            <w:pPr>
              <w:jc w:val="both"/>
              <w:rPr>
                <w:rFonts w:ascii="Arial" w:hAnsi="Arial" w:cs="Arial"/>
                <w:noProof/>
                <w:sz w:val="18"/>
                <w:szCs w:val="18"/>
                <w:lang w:val="ro-MD"/>
              </w:rPr>
            </w:pPr>
          </w:p>
          <w:p w14:paraId="7C439DEF" w14:textId="77777777" w:rsidR="00DC671F" w:rsidRPr="00D4727E" w:rsidRDefault="00DC671F" w:rsidP="00DC671F">
            <w:pPr>
              <w:jc w:val="both"/>
              <w:rPr>
                <w:rFonts w:ascii="Arial" w:hAnsi="Arial" w:cs="Arial"/>
                <w:noProof/>
                <w:sz w:val="18"/>
                <w:szCs w:val="18"/>
                <w:lang w:val="ro-MD"/>
              </w:rPr>
            </w:pPr>
          </w:p>
          <w:p w14:paraId="1D9413E1" w14:textId="77777777" w:rsidR="00DC671F" w:rsidRPr="00840B12" w:rsidRDefault="00DC671F" w:rsidP="00DC671F">
            <w:pPr>
              <w:jc w:val="both"/>
              <w:rPr>
                <w:rFonts w:ascii="Arial" w:hAnsi="Arial" w:cs="Arial"/>
                <w:noProof/>
                <w:sz w:val="18"/>
                <w:szCs w:val="1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531EE8"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Dezvoltarea mecanismului de sprijin pentru Stocarea energiei în sectorul rezidențial și în întreprinderi.</w:t>
            </w:r>
          </w:p>
          <w:p w14:paraId="1ED57E5A" w14:textId="77777777" w:rsidR="00DC671F" w:rsidRPr="00D4727E" w:rsidRDefault="00DC671F" w:rsidP="00DC671F">
            <w:pPr>
              <w:jc w:val="both"/>
              <w:rPr>
                <w:rFonts w:ascii="Arial" w:hAnsi="Arial" w:cs="Arial"/>
                <w:noProof/>
                <w:sz w:val="18"/>
                <w:szCs w:val="18"/>
                <w:lang w:val="ro-MD"/>
              </w:rPr>
            </w:pPr>
          </w:p>
          <w:p w14:paraId="5AB96F22" w14:textId="7F5D14E3" w:rsidR="00DC671F" w:rsidRPr="00840B12" w:rsidRDefault="00DC671F" w:rsidP="00DC671F">
            <w:pPr>
              <w:jc w:val="both"/>
              <w:rPr>
                <w:rFonts w:ascii="Arial" w:hAnsi="Arial" w:cs="Arial"/>
                <w:noProof/>
                <w:sz w:val="18"/>
                <w:szCs w:val="18"/>
                <w:lang w:val="en-GB"/>
              </w:rPr>
            </w:pPr>
            <w:r w:rsidRPr="00D4727E">
              <w:rPr>
                <w:rFonts w:ascii="Arial" w:hAnsi="Arial" w:cs="Arial"/>
                <w:noProof/>
                <w:sz w:val="18"/>
                <w:szCs w:val="18"/>
                <w:lang w:val="ro-MD"/>
              </w:rPr>
              <w:t>Linia de referință: niciun sprijin pentru consumatorii care achiziționează sisteme de stocare pe baterii</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29E898"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 xml:space="preserve">Este lansat mecanismul care vizează finanțarea sistemelor de stocare a bateriilor pentru sectorul rezidențial și pentru întreprinderi. Acest lucru ar putea fi realizat prin extinderea domeniului de aplicare al programelor de finanțare existente pentru energia regenerabilă și eficiența energetică. </w:t>
            </w:r>
          </w:p>
          <w:p w14:paraId="31CCDD98"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t>Sprijinirea sistemelor de autoconsum va stimula independența energetică și reziliența Moldovei. Prin sprijinirea persoanelor fizice și a întreprinderilor să genereze și să consume propria energie regenerabilă sau să o stocheze, se va diminua dependența de sursele centralizate de energie și de importuri, precum și se va reduce presiunea asupra rețelei prin uniformizarea curbelor de consum și prin creșterea disponibilității energiei în timpul vârfurilor de cerere.</w:t>
            </w:r>
          </w:p>
          <w:p w14:paraId="1B5DE9E9" w14:textId="77777777" w:rsidR="00DC671F" w:rsidRPr="00D4727E" w:rsidRDefault="00DC671F" w:rsidP="00DC671F">
            <w:pPr>
              <w:jc w:val="both"/>
              <w:rPr>
                <w:rFonts w:ascii="Arial" w:hAnsi="Arial" w:cs="Arial"/>
                <w:noProof/>
                <w:sz w:val="18"/>
                <w:szCs w:val="18"/>
                <w:lang w:val="ro-MD"/>
              </w:rPr>
            </w:pPr>
            <w:r w:rsidRPr="00D4727E">
              <w:rPr>
                <w:rFonts w:ascii="Arial" w:hAnsi="Arial" w:cs="Arial"/>
                <w:noProof/>
                <w:sz w:val="18"/>
                <w:szCs w:val="18"/>
                <w:lang w:val="ro-MD"/>
              </w:rPr>
              <w:lastRenderedPageBreak/>
              <w:t xml:space="preserve">Pentru a stimula introducerea energiei regenerabile la nivelul consumatorilor, este necesar un sprijin financiar pentru achiziționarea de sisteme de stocare a bateriilor. </w:t>
            </w:r>
          </w:p>
          <w:p w14:paraId="1F19007E" w14:textId="7CE35360" w:rsidR="00DC671F" w:rsidRPr="00DC671F" w:rsidRDefault="00DC671F" w:rsidP="00DC671F">
            <w:pPr>
              <w:jc w:val="both"/>
              <w:rPr>
                <w:rFonts w:ascii="Arial" w:hAnsi="Arial" w:cs="Arial"/>
                <w:noProof/>
                <w:sz w:val="18"/>
                <w:szCs w:val="18"/>
                <w:lang w:val="fr-FR"/>
              </w:rPr>
            </w:pPr>
            <w:r w:rsidRPr="00D4727E">
              <w:rPr>
                <w:rFonts w:ascii="Arial" w:hAnsi="Arial" w:cs="Arial"/>
                <w:noProof/>
                <w:sz w:val="18"/>
                <w:szCs w:val="18"/>
                <w:lang w:val="ro-MD"/>
              </w:rPr>
              <w:t>Sursa de verificare: Adoptarea produsului financiar</w:t>
            </w:r>
          </w:p>
        </w:tc>
      </w:tr>
      <w:tr w:rsidR="002B572B" w:rsidRPr="00BD0643" w14:paraId="7D881F88"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1F6272" w14:textId="77777777" w:rsidR="002B572B" w:rsidRPr="00DC671F" w:rsidRDefault="002B572B" w:rsidP="002B572B">
            <w:pPr>
              <w:jc w:val="both"/>
              <w:rPr>
                <w:rFonts w:ascii="Arial" w:hAnsi="Arial" w:cs="Arial"/>
                <w:noProof/>
                <w:sz w:val="18"/>
                <w:szCs w:val="18"/>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CE23C7" w14:textId="77777777" w:rsidR="002B572B" w:rsidRPr="00D4727E" w:rsidRDefault="002B572B" w:rsidP="002B572B">
            <w:pPr>
              <w:jc w:val="both"/>
              <w:rPr>
                <w:rFonts w:ascii="Arial" w:hAnsi="Arial" w:cs="Arial"/>
                <w:noProof/>
                <w:sz w:val="18"/>
                <w:szCs w:val="18"/>
                <w:lang w:val="ro-MD"/>
              </w:rPr>
            </w:pPr>
          </w:p>
          <w:p w14:paraId="15A4C665" w14:textId="543F678D" w:rsidR="002B572B" w:rsidRPr="00840B12" w:rsidRDefault="002B572B" w:rsidP="002B572B">
            <w:pPr>
              <w:jc w:val="both"/>
              <w:rPr>
                <w:rFonts w:ascii="Arial" w:hAnsi="Arial" w:cs="Arial"/>
                <w:noProof/>
                <w:sz w:val="18"/>
                <w:szCs w:val="18"/>
              </w:rPr>
            </w:pPr>
            <w:r w:rsidRPr="00D4727E">
              <w:rPr>
                <w:rFonts w:ascii="Arial" w:hAnsi="Arial" w:cs="Arial"/>
                <w:noProof/>
                <w:sz w:val="18"/>
                <w:szCs w:val="18"/>
                <w:lang w:val="ro-MD"/>
              </w:rPr>
              <w:t>5</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C5F1A8" w14:textId="1F747965" w:rsidR="002B572B" w:rsidRPr="00840B12" w:rsidRDefault="002B572B" w:rsidP="002B572B">
            <w:pPr>
              <w:jc w:val="both"/>
              <w:rPr>
                <w:rFonts w:ascii="Arial" w:hAnsi="Arial" w:cs="Arial"/>
                <w:noProof/>
                <w:sz w:val="18"/>
                <w:szCs w:val="18"/>
              </w:rPr>
            </w:pPr>
            <w:r w:rsidRPr="00D4727E">
              <w:rPr>
                <w:rFonts w:ascii="Arial" w:hAnsi="Arial" w:cs="Arial"/>
                <w:noProof/>
                <w:sz w:val="18"/>
                <w:szCs w:val="18"/>
                <w:lang w:val="ro-MD"/>
              </w:rPr>
              <w:t>Piață prosperă pentru energia regenerabilă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79373B" w14:textId="77777777" w:rsidR="002B572B" w:rsidRPr="00D4727E" w:rsidRDefault="002B572B" w:rsidP="002B572B">
            <w:pPr>
              <w:jc w:val="both"/>
              <w:rPr>
                <w:rFonts w:ascii="Arial" w:hAnsi="Arial" w:cs="Arial"/>
                <w:noProof/>
                <w:sz w:val="18"/>
                <w:szCs w:val="18"/>
                <w:lang w:val="ro-MD"/>
              </w:rPr>
            </w:pPr>
          </w:p>
          <w:p w14:paraId="1D6CB365" w14:textId="15488E3B" w:rsidR="002B572B" w:rsidRPr="00840B12" w:rsidRDefault="002B572B" w:rsidP="002B572B">
            <w:pPr>
              <w:jc w:val="both"/>
              <w:rPr>
                <w:rFonts w:ascii="Arial" w:hAnsi="Arial" w:cs="Arial"/>
                <w:noProof/>
                <w:sz w:val="18"/>
                <w:szCs w:val="18"/>
              </w:rPr>
            </w:pPr>
            <w:r w:rsidRPr="00D4727E">
              <w:rPr>
                <w:rFonts w:ascii="Arial" w:hAnsi="Arial" w:cs="Arial"/>
                <w:noProof/>
                <w:sz w:val="18"/>
                <w:szCs w:val="18"/>
                <w:lang w:val="ro-MD"/>
              </w:rPr>
              <w:t>22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851EF7" w14:textId="77777777" w:rsidR="002B572B" w:rsidRPr="00D4727E" w:rsidRDefault="002B572B" w:rsidP="002B572B">
            <w:pPr>
              <w:jc w:val="both"/>
              <w:rPr>
                <w:rFonts w:ascii="Arial" w:hAnsi="Arial" w:cs="Arial"/>
                <w:noProof/>
                <w:sz w:val="18"/>
                <w:szCs w:val="18"/>
                <w:lang w:val="ro-MD"/>
              </w:rPr>
            </w:pPr>
            <w:r>
              <w:rPr>
                <w:rFonts w:ascii="Arial" w:hAnsi="Arial" w:cs="Arial"/>
                <w:noProof/>
                <w:sz w:val="18"/>
                <w:szCs w:val="18"/>
                <w:lang w:val="ro-MD"/>
              </w:rPr>
              <w:t>d</w:t>
            </w:r>
            <w:r w:rsidRPr="00D4727E">
              <w:rPr>
                <w:rFonts w:ascii="Arial" w:hAnsi="Arial" w:cs="Arial"/>
                <w:noProof/>
                <w:sz w:val="18"/>
                <w:szCs w:val="18"/>
                <w:lang w:val="ro-MD"/>
              </w:rPr>
              <w:t>ecembrie 2027</w:t>
            </w:r>
          </w:p>
          <w:p w14:paraId="7D6DCC8C" w14:textId="77777777" w:rsidR="002B572B" w:rsidRPr="00840B12" w:rsidRDefault="002B572B" w:rsidP="002B572B">
            <w:pPr>
              <w:jc w:val="both"/>
              <w:rPr>
                <w:rFonts w:ascii="Arial" w:hAnsi="Arial" w:cs="Arial"/>
                <w:noProof/>
                <w:sz w:val="18"/>
                <w:szCs w:val="18"/>
              </w:rPr>
            </w:pP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019FAD" w14:textId="77777777" w:rsidR="002B572B" w:rsidRPr="00D4727E" w:rsidRDefault="002B572B" w:rsidP="002B572B">
            <w:pPr>
              <w:jc w:val="both"/>
              <w:rPr>
                <w:rFonts w:ascii="Arial" w:hAnsi="Arial" w:cs="Arial"/>
                <w:noProof/>
                <w:sz w:val="18"/>
                <w:szCs w:val="18"/>
                <w:lang w:val="ro-MD"/>
              </w:rPr>
            </w:pPr>
          </w:p>
          <w:p w14:paraId="2257A7A9"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MEn</w:t>
            </w:r>
          </w:p>
          <w:p w14:paraId="17C7C2E2" w14:textId="77777777" w:rsidR="002B572B" w:rsidRPr="00D4727E" w:rsidRDefault="002B572B" w:rsidP="002B572B">
            <w:pPr>
              <w:jc w:val="both"/>
              <w:rPr>
                <w:rFonts w:ascii="Arial" w:hAnsi="Arial" w:cs="Arial"/>
                <w:noProof/>
                <w:sz w:val="18"/>
                <w:szCs w:val="18"/>
                <w:lang w:val="ro-MD"/>
              </w:rPr>
            </w:pPr>
          </w:p>
          <w:p w14:paraId="712D0DC2" w14:textId="77777777" w:rsidR="002B572B" w:rsidRPr="00840B12" w:rsidRDefault="002B572B" w:rsidP="002B572B">
            <w:pPr>
              <w:jc w:val="both"/>
              <w:rPr>
                <w:rFonts w:ascii="Arial" w:hAnsi="Arial" w:cs="Arial"/>
                <w:noProof/>
                <w:sz w:val="18"/>
                <w:szCs w:val="1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8C0C53"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Se adoptă legislația secundară privind criteriile de durabilitate pentru biomasă, biocarburanți și criteriile de reducere a emisiilor de gaze cu efect de seră este transpusă integral, asigurându-se că carburanții consumați la nivel național sunt amestecați cu biocarburanți certificați, fie produși local, fie importați.</w:t>
            </w:r>
          </w:p>
          <w:p w14:paraId="48C1BD25" w14:textId="77777777" w:rsidR="002B572B" w:rsidRPr="00D4727E" w:rsidRDefault="002B572B" w:rsidP="002B572B">
            <w:pPr>
              <w:jc w:val="both"/>
              <w:rPr>
                <w:rFonts w:ascii="Arial" w:hAnsi="Arial" w:cs="Arial"/>
                <w:noProof/>
                <w:sz w:val="18"/>
                <w:szCs w:val="18"/>
                <w:lang w:val="ro-MD"/>
              </w:rPr>
            </w:pPr>
          </w:p>
          <w:p w14:paraId="4A80AEAC" w14:textId="4B820AFC" w:rsidR="002B572B" w:rsidRPr="002B572B" w:rsidDel="00F77AF7"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 xml:space="preserve">Linia de referință: Nu există legislație conexă în vigoare. Guvernul nu raportează nicio utilizare a biocarburanților de către sectorul transporturilor din țară.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1AB837"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Republica Moldova trebuie să accelereze punerea în aplicare a politicilor de promovare a consumului de energie regenerabilă în sectorul transporturilor, punând accentul, în măsura posibilului, pe industria locală de producere a biocombustibililor. Deși importurile de combustibil, în special din UE, conțin deja biocombustibili în amestecul lor, acestea nu pot fi încă contabilizate pentru obiectivul sectorial sau raportate din cauza faptului că reglementările relevante nu au intrat în vigoare.</w:t>
            </w:r>
          </w:p>
          <w:p w14:paraId="067C9306" w14:textId="7F19FA15" w:rsidR="002B572B" w:rsidRPr="002B572B" w:rsidDel="00B0608A"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Sursa de verificare: Legislația secundară cu privire la criteriile durabile pentru biocarburanți și criteriile pentru reducerea emisiilor de gaze cu efect de seră a intrat în vigoare. Până în decembrie 2027, ANRE și CNED vor furniza rapoartele privind utilizarea biocarburanților, în amestec cu combustibilii fosili, în 2026.</w:t>
            </w:r>
          </w:p>
        </w:tc>
      </w:tr>
      <w:tr w:rsidR="002B572B" w:rsidRPr="00840B12" w14:paraId="78040CF5"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2E8ECD" w14:textId="77777777" w:rsidR="002B572B" w:rsidRPr="002B572B" w:rsidRDefault="002B572B" w:rsidP="002B572B">
            <w:pPr>
              <w:jc w:val="both"/>
              <w:rPr>
                <w:rFonts w:ascii="Arial" w:hAnsi="Arial" w:cs="Arial"/>
                <w:noProof/>
                <w:sz w:val="18"/>
                <w:szCs w:val="18"/>
                <w:lang w:val="ro-MD"/>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619C3D" w14:textId="77777777" w:rsidR="002B572B" w:rsidRPr="00D4727E" w:rsidRDefault="002B572B" w:rsidP="002B572B">
            <w:pPr>
              <w:jc w:val="both"/>
              <w:rPr>
                <w:rFonts w:ascii="Arial" w:hAnsi="Arial" w:cs="Arial"/>
                <w:noProof/>
                <w:sz w:val="18"/>
                <w:szCs w:val="18"/>
                <w:lang w:val="ro-MD"/>
              </w:rPr>
            </w:pPr>
          </w:p>
          <w:p w14:paraId="2654992D" w14:textId="69B3905F" w:rsidR="002B572B" w:rsidRPr="00840B12" w:rsidRDefault="002B572B" w:rsidP="002B572B">
            <w:pPr>
              <w:jc w:val="both"/>
              <w:rPr>
                <w:rFonts w:ascii="Arial" w:hAnsi="Arial" w:cs="Arial"/>
                <w:noProof/>
                <w:sz w:val="18"/>
                <w:szCs w:val="18"/>
              </w:rPr>
            </w:pPr>
            <w:r w:rsidRPr="00D4727E">
              <w:rPr>
                <w:rFonts w:ascii="Arial" w:hAnsi="Arial" w:cs="Arial"/>
                <w:noProof/>
                <w:sz w:val="18"/>
                <w:szCs w:val="18"/>
                <w:lang w:val="ro-MD"/>
              </w:rPr>
              <w:t>5</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4EA5AF" w14:textId="28B67FE7" w:rsidR="002B572B" w:rsidRPr="00840B12" w:rsidRDefault="002B572B" w:rsidP="002B572B">
            <w:pPr>
              <w:jc w:val="both"/>
              <w:rPr>
                <w:rFonts w:ascii="Arial" w:hAnsi="Arial" w:cs="Arial"/>
                <w:noProof/>
                <w:sz w:val="18"/>
                <w:szCs w:val="18"/>
              </w:rPr>
            </w:pPr>
            <w:r w:rsidRPr="00D4727E">
              <w:rPr>
                <w:rFonts w:ascii="Arial" w:hAnsi="Arial" w:cs="Arial"/>
                <w:noProof/>
                <w:sz w:val="18"/>
                <w:szCs w:val="18"/>
                <w:lang w:val="ro-MD"/>
              </w:rPr>
              <w:t>Piață prosperă pentru energia regenerabilă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8C6840" w14:textId="77777777" w:rsidR="002B572B" w:rsidRPr="00D4727E" w:rsidRDefault="002B572B" w:rsidP="002B572B">
            <w:pPr>
              <w:jc w:val="both"/>
              <w:rPr>
                <w:rFonts w:ascii="Arial" w:hAnsi="Arial" w:cs="Arial"/>
                <w:noProof/>
                <w:sz w:val="18"/>
                <w:szCs w:val="18"/>
                <w:lang w:val="ro-MD"/>
              </w:rPr>
            </w:pPr>
          </w:p>
          <w:p w14:paraId="5C956E88" w14:textId="1A8860A7" w:rsidR="002B572B" w:rsidRPr="00840B12" w:rsidRDefault="002B572B" w:rsidP="002B572B">
            <w:pPr>
              <w:jc w:val="both"/>
              <w:rPr>
                <w:rFonts w:ascii="Arial" w:hAnsi="Arial" w:cs="Arial"/>
                <w:noProof/>
                <w:sz w:val="18"/>
                <w:szCs w:val="18"/>
              </w:rPr>
            </w:pPr>
            <w:r w:rsidRPr="00D4727E">
              <w:rPr>
                <w:rFonts w:ascii="Arial" w:hAnsi="Arial" w:cs="Arial"/>
                <w:noProof/>
                <w:sz w:val="18"/>
                <w:szCs w:val="18"/>
                <w:lang w:val="ro-MD"/>
              </w:rPr>
              <w:t>23</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F0B4D1" w14:textId="77777777" w:rsidR="002B572B" w:rsidRPr="00D4727E" w:rsidRDefault="002B572B" w:rsidP="002B572B">
            <w:pPr>
              <w:jc w:val="both"/>
              <w:rPr>
                <w:rFonts w:ascii="Arial" w:hAnsi="Arial" w:cs="Arial"/>
                <w:noProof/>
                <w:sz w:val="18"/>
                <w:szCs w:val="18"/>
                <w:lang w:val="ro-MD"/>
              </w:rPr>
            </w:pPr>
            <w:r>
              <w:rPr>
                <w:rFonts w:ascii="Arial" w:hAnsi="Arial" w:cs="Arial"/>
                <w:noProof/>
                <w:sz w:val="18"/>
                <w:szCs w:val="18"/>
                <w:lang w:val="ro-MD"/>
              </w:rPr>
              <w:t>d</w:t>
            </w:r>
            <w:r w:rsidRPr="00D4727E">
              <w:rPr>
                <w:rFonts w:ascii="Arial" w:hAnsi="Arial" w:cs="Arial"/>
                <w:noProof/>
                <w:sz w:val="18"/>
                <w:szCs w:val="18"/>
                <w:lang w:val="ro-MD"/>
              </w:rPr>
              <w:t>ecembrie 2025</w:t>
            </w:r>
          </w:p>
          <w:p w14:paraId="7CE6B35D" w14:textId="77777777" w:rsidR="002B572B" w:rsidRPr="00840B12" w:rsidRDefault="002B572B" w:rsidP="002B572B">
            <w:pPr>
              <w:jc w:val="both"/>
              <w:rPr>
                <w:rFonts w:ascii="Arial" w:hAnsi="Arial" w:cs="Arial"/>
                <w:noProof/>
                <w:sz w:val="18"/>
                <w:szCs w:val="18"/>
              </w:rPr>
            </w:pP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55A113"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ANRE</w:t>
            </w:r>
          </w:p>
          <w:p w14:paraId="25112627"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 xml:space="preserve">MEn </w:t>
            </w:r>
          </w:p>
          <w:p w14:paraId="1DF16E40" w14:textId="77777777" w:rsidR="002B572B" w:rsidRPr="00D4727E" w:rsidRDefault="002B572B" w:rsidP="002B572B">
            <w:pPr>
              <w:jc w:val="both"/>
              <w:rPr>
                <w:rFonts w:ascii="Arial" w:hAnsi="Arial" w:cs="Arial"/>
                <w:noProof/>
                <w:sz w:val="18"/>
                <w:szCs w:val="18"/>
                <w:lang w:val="ro-MD"/>
              </w:rPr>
            </w:pPr>
          </w:p>
          <w:p w14:paraId="55C733D3" w14:textId="77777777" w:rsidR="002B572B" w:rsidRPr="00840B12" w:rsidRDefault="002B572B" w:rsidP="002B572B">
            <w:pPr>
              <w:jc w:val="both"/>
              <w:rPr>
                <w:rFonts w:ascii="Arial" w:hAnsi="Arial" w:cs="Arial"/>
                <w:noProof/>
                <w:sz w:val="18"/>
                <w:szCs w:val="1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1F5D0C"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Este instituit un registru electronic pentru emiterea, transferul și anularea garanțiilor de origine pentru energia electrică</w:t>
            </w:r>
          </w:p>
          <w:p w14:paraId="1841805C" w14:textId="77777777" w:rsidR="002B572B" w:rsidRPr="00D4727E" w:rsidRDefault="002B572B" w:rsidP="002B572B">
            <w:pPr>
              <w:jc w:val="both"/>
              <w:rPr>
                <w:rFonts w:ascii="Arial" w:hAnsi="Arial" w:cs="Arial"/>
                <w:noProof/>
                <w:sz w:val="18"/>
                <w:szCs w:val="18"/>
                <w:lang w:val="ro-MD"/>
              </w:rPr>
            </w:pPr>
          </w:p>
          <w:p w14:paraId="52BBF86F" w14:textId="23E60B96" w:rsidR="002B572B" w:rsidRPr="00840B12" w:rsidDel="00F77AF7" w:rsidRDefault="002B572B" w:rsidP="002B572B">
            <w:pPr>
              <w:jc w:val="both"/>
              <w:rPr>
                <w:rFonts w:ascii="Arial" w:hAnsi="Arial" w:cs="Arial"/>
                <w:noProof/>
                <w:sz w:val="18"/>
                <w:szCs w:val="18"/>
              </w:rPr>
            </w:pPr>
            <w:r w:rsidRPr="00D4727E">
              <w:rPr>
                <w:rFonts w:ascii="Arial" w:hAnsi="Arial" w:cs="Arial"/>
                <w:noProof/>
                <w:sz w:val="18"/>
                <w:szCs w:val="18"/>
                <w:lang w:val="ro-MD"/>
              </w:rPr>
              <w:t>Linia de referință: nu există niciun registru.</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A0FE07"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Moldova s-a alăturat inițiativei Comunității Energetice de a institui un sistem regional pentru garanțiile de origine (GO). Registrul electronic național pentru GO în Moldova a fost creat și poate fi utilizat de îndată ce autoritatea de reglementare în domeniul energiei, organismul emitent desemnat, semnează un acord cu furnizorul de servicii.</w:t>
            </w:r>
          </w:p>
          <w:p w14:paraId="773E43D5" w14:textId="77777777" w:rsidR="002B572B" w:rsidRPr="00D4727E" w:rsidRDefault="002B572B" w:rsidP="002B572B">
            <w:pPr>
              <w:jc w:val="both"/>
              <w:rPr>
                <w:rFonts w:ascii="Arial" w:hAnsi="Arial" w:cs="Arial"/>
                <w:noProof/>
                <w:sz w:val="18"/>
                <w:szCs w:val="18"/>
                <w:lang w:val="ro-MD"/>
              </w:rPr>
            </w:pPr>
          </w:p>
          <w:p w14:paraId="0BF5CEE3" w14:textId="2ABD34CC" w:rsidR="002B572B" w:rsidRPr="00840B12" w:rsidDel="00B0608A" w:rsidRDefault="002B572B" w:rsidP="002B572B">
            <w:pPr>
              <w:jc w:val="both"/>
              <w:rPr>
                <w:rFonts w:ascii="Arial" w:hAnsi="Arial" w:cs="Arial"/>
                <w:noProof/>
                <w:sz w:val="18"/>
                <w:szCs w:val="18"/>
              </w:rPr>
            </w:pPr>
            <w:r w:rsidRPr="00D4727E">
              <w:rPr>
                <w:rFonts w:ascii="Arial" w:hAnsi="Arial" w:cs="Arial"/>
                <w:noProof/>
                <w:sz w:val="18"/>
                <w:szCs w:val="18"/>
                <w:lang w:val="ro-MD"/>
              </w:rPr>
              <w:t>Sursa de verificare: acordul cu furnizorul de servicii este semnat și registrul electronic este operațional.</w:t>
            </w:r>
          </w:p>
        </w:tc>
      </w:tr>
      <w:tr w:rsidR="002B572B" w:rsidRPr="00840B12" w14:paraId="47920C7F" w14:textId="77777777" w:rsidTr="00C11442">
        <w:trPr>
          <w:trHeight w:val="3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71F84E" w14:textId="77777777" w:rsidR="002B572B" w:rsidRPr="00840B12" w:rsidRDefault="002B572B" w:rsidP="002B572B">
            <w:pPr>
              <w:jc w:val="both"/>
              <w:rPr>
                <w:rFonts w:ascii="Arial" w:hAnsi="Arial" w:cs="Arial"/>
                <w:noProof/>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3E134E" w14:textId="77777777" w:rsidR="002B572B" w:rsidRPr="00D4727E" w:rsidRDefault="002B572B" w:rsidP="002B572B">
            <w:pPr>
              <w:jc w:val="both"/>
              <w:rPr>
                <w:rFonts w:ascii="Arial" w:hAnsi="Arial" w:cs="Arial"/>
                <w:noProof/>
                <w:sz w:val="18"/>
                <w:szCs w:val="18"/>
                <w:lang w:val="ro-MD"/>
              </w:rPr>
            </w:pPr>
          </w:p>
          <w:p w14:paraId="5E6043BD" w14:textId="2A776B42" w:rsidR="002B572B" w:rsidRPr="00840B12" w:rsidRDefault="002B572B" w:rsidP="002B572B">
            <w:pPr>
              <w:jc w:val="both"/>
              <w:rPr>
                <w:rFonts w:ascii="Arial" w:hAnsi="Arial" w:cs="Arial"/>
                <w:noProof/>
                <w:sz w:val="18"/>
                <w:szCs w:val="18"/>
              </w:rPr>
            </w:pPr>
            <w:r w:rsidRPr="00D4727E">
              <w:rPr>
                <w:rFonts w:ascii="Arial" w:hAnsi="Arial" w:cs="Arial"/>
                <w:noProof/>
                <w:sz w:val="18"/>
                <w:szCs w:val="18"/>
                <w:lang w:val="ro-MD"/>
              </w:rPr>
              <w:t>5</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C24A80" w14:textId="425A873D" w:rsidR="002B572B" w:rsidRPr="00840B12" w:rsidRDefault="002B572B" w:rsidP="002B572B">
            <w:pPr>
              <w:jc w:val="both"/>
              <w:rPr>
                <w:rFonts w:ascii="Arial" w:hAnsi="Arial" w:cs="Arial"/>
                <w:noProof/>
                <w:sz w:val="18"/>
                <w:szCs w:val="18"/>
              </w:rPr>
            </w:pPr>
            <w:r w:rsidRPr="00D4727E">
              <w:rPr>
                <w:rFonts w:ascii="Arial" w:hAnsi="Arial" w:cs="Arial"/>
                <w:noProof/>
                <w:sz w:val="18"/>
                <w:szCs w:val="18"/>
                <w:lang w:val="ro-MD"/>
              </w:rPr>
              <w:t>Piață prosperă pentru energia regenerabilă</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77D976" w14:textId="77777777" w:rsidR="002B572B" w:rsidRPr="00D4727E" w:rsidRDefault="002B572B" w:rsidP="002B572B">
            <w:pPr>
              <w:jc w:val="both"/>
              <w:rPr>
                <w:rFonts w:ascii="Arial" w:hAnsi="Arial" w:cs="Arial"/>
                <w:noProof/>
                <w:sz w:val="18"/>
                <w:szCs w:val="18"/>
                <w:lang w:val="ro-MD"/>
              </w:rPr>
            </w:pPr>
          </w:p>
          <w:p w14:paraId="210180F9" w14:textId="42DE5949" w:rsidR="002B572B" w:rsidRPr="00840B12" w:rsidRDefault="002B572B" w:rsidP="002B572B">
            <w:pPr>
              <w:jc w:val="both"/>
              <w:rPr>
                <w:rFonts w:ascii="Arial" w:hAnsi="Arial" w:cs="Arial"/>
                <w:noProof/>
                <w:sz w:val="18"/>
                <w:szCs w:val="18"/>
              </w:rPr>
            </w:pPr>
            <w:r w:rsidRPr="00D4727E">
              <w:rPr>
                <w:rFonts w:ascii="Arial" w:hAnsi="Arial" w:cs="Arial"/>
                <w:noProof/>
                <w:sz w:val="18"/>
                <w:szCs w:val="18"/>
                <w:lang w:val="ro-MD"/>
              </w:rPr>
              <w:t>24</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BD9C5C" w14:textId="0A6B5971" w:rsidR="002B572B" w:rsidRPr="00840B12" w:rsidRDefault="002B572B" w:rsidP="002B572B">
            <w:pPr>
              <w:jc w:val="both"/>
              <w:rPr>
                <w:rFonts w:ascii="Arial" w:hAnsi="Arial" w:cs="Arial"/>
                <w:noProof/>
                <w:sz w:val="18"/>
                <w:szCs w:val="18"/>
              </w:rPr>
            </w:pPr>
            <w:r>
              <w:rPr>
                <w:rFonts w:ascii="Arial" w:hAnsi="Arial" w:cs="Arial"/>
                <w:noProof/>
                <w:sz w:val="18"/>
                <w:szCs w:val="18"/>
                <w:lang w:val="ro-MD"/>
              </w:rPr>
              <w:t>d</w:t>
            </w:r>
            <w:r w:rsidRPr="00D4727E">
              <w:rPr>
                <w:rFonts w:ascii="Arial" w:hAnsi="Arial" w:cs="Arial"/>
                <w:noProof/>
                <w:sz w:val="18"/>
                <w:szCs w:val="18"/>
                <w:lang w:val="ro-MD"/>
              </w:rPr>
              <w:t>ecembrie 2027</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A0FFB3"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Ministerul Energiei</w:t>
            </w:r>
          </w:p>
          <w:p w14:paraId="087E3618" w14:textId="77777777" w:rsidR="002B572B" w:rsidRPr="00D4727E" w:rsidRDefault="002B572B" w:rsidP="002B572B">
            <w:pPr>
              <w:jc w:val="both"/>
              <w:rPr>
                <w:rFonts w:ascii="Arial" w:hAnsi="Arial" w:cs="Arial"/>
                <w:noProof/>
                <w:sz w:val="18"/>
                <w:szCs w:val="18"/>
                <w:lang w:val="ro-MD"/>
              </w:rPr>
            </w:pPr>
          </w:p>
          <w:p w14:paraId="6CEDF5CE"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Ministerul Mediului</w:t>
            </w:r>
          </w:p>
          <w:p w14:paraId="7FFBDDC9"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 </w:t>
            </w:r>
          </w:p>
          <w:p w14:paraId="7C787542"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lastRenderedPageBreak/>
              <w:t>Ministerul Infrastructurii și Dezvoltării Regionale (MIDR)</w:t>
            </w:r>
          </w:p>
          <w:p w14:paraId="34374DF4" w14:textId="77777777" w:rsidR="002B572B" w:rsidRPr="00D4727E" w:rsidRDefault="002B572B" w:rsidP="002B572B">
            <w:pPr>
              <w:jc w:val="both"/>
              <w:rPr>
                <w:rFonts w:ascii="Arial" w:hAnsi="Arial" w:cs="Arial"/>
                <w:noProof/>
                <w:sz w:val="18"/>
                <w:szCs w:val="18"/>
                <w:lang w:val="ro-MD"/>
              </w:rPr>
            </w:pPr>
          </w:p>
          <w:p w14:paraId="48B64F8C"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Ministerul Dezvoltării Economice și Digitalizării</w:t>
            </w:r>
          </w:p>
          <w:p w14:paraId="151699C2"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ANRE</w:t>
            </w:r>
          </w:p>
          <w:p w14:paraId="242C520C" w14:textId="1F157089" w:rsidR="002B572B" w:rsidRPr="002B572B" w:rsidRDefault="002B572B" w:rsidP="002B572B">
            <w:pPr>
              <w:jc w:val="both"/>
              <w:rPr>
                <w:rFonts w:ascii="Arial" w:hAnsi="Arial" w:cs="Arial"/>
                <w:noProof/>
                <w:sz w:val="18"/>
                <w:szCs w:val="18"/>
                <w:lang w:val="fr-FR"/>
              </w:rPr>
            </w:pPr>
            <w:r w:rsidRPr="00D4727E">
              <w:rPr>
                <w:rFonts w:ascii="Arial" w:hAnsi="Arial" w:cs="Arial"/>
                <w:noProof/>
                <w:sz w:val="18"/>
                <w:szCs w:val="18"/>
                <w:lang w:val="ro-MD"/>
              </w:rPr>
              <w:t>Centrul Național pentru Energie Durabilă (CNED)</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023AF7"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lastRenderedPageBreak/>
              <w:t xml:space="preserve">Sunt stabilite proceduri simplificate de acordare a autorizațiilor pentru energia regenerabilă în cadrul unei platforme cu punct unic de informare.   </w:t>
            </w:r>
          </w:p>
          <w:p w14:paraId="3D9CDCC3" w14:textId="77777777" w:rsidR="002B572B" w:rsidRPr="00D4727E" w:rsidRDefault="002B572B" w:rsidP="002B572B">
            <w:pPr>
              <w:jc w:val="both"/>
              <w:rPr>
                <w:rFonts w:ascii="Arial" w:hAnsi="Arial" w:cs="Arial"/>
                <w:noProof/>
                <w:sz w:val="18"/>
                <w:szCs w:val="18"/>
                <w:lang w:val="ro-MD"/>
              </w:rPr>
            </w:pPr>
          </w:p>
          <w:p w14:paraId="49CB1427" w14:textId="45CE062C" w:rsidR="002B572B" w:rsidRPr="002B572B" w:rsidDel="00F77AF7" w:rsidRDefault="002B572B" w:rsidP="002B572B">
            <w:pPr>
              <w:jc w:val="both"/>
              <w:rPr>
                <w:rFonts w:ascii="Arial" w:hAnsi="Arial" w:cs="Arial"/>
                <w:noProof/>
                <w:sz w:val="18"/>
                <w:szCs w:val="18"/>
                <w:lang w:val="fr-FR"/>
              </w:rPr>
            </w:pPr>
            <w:r w:rsidRPr="00D4727E">
              <w:rPr>
                <w:rFonts w:ascii="Arial" w:hAnsi="Arial" w:cs="Arial"/>
                <w:noProof/>
                <w:sz w:val="18"/>
                <w:szCs w:val="18"/>
                <w:lang w:val="ro-MD"/>
              </w:rPr>
              <w:lastRenderedPageBreak/>
              <w:t>Linia de referință: Nu există un punct unic de informare și orientare pentru investitorii în energia regenerabilă.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CF9DF4"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lastRenderedPageBreak/>
              <w:t xml:space="preserve">Punerea în aplicare de către Moldova a procedurilor simplificate de acordare a permiselor va accelera implementarea proiectelor de energie regenerabilă, soluționând întârzierile birocratice și asigurând claritate juridică pentru investitori. </w:t>
            </w:r>
          </w:p>
          <w:p w14:paraId="36EB568F"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lastRenderedPageBreak/>
              <w:t>Obiectivul este de a simplifica procedurile și de a oferi claritate cu privire la termenele de eliberare a autorizațiilor. Înființarea unei platforme de tip „ghișeu unic” facilitează și mai mult procesul de informare și ajută investitorii în obținerea autorizațiilor.</w:t>
            </w:r>
          </w:p>
          <w:p w14:paraId="7D647946" w14:textId="77777777" w:rsidR="002B572B" w:rsidRPr="00D4727E" w:rsidRDefault="002B572B" w:rsidP="002B572B">
            <w:pPr>
              <w:jc w:val="both"/>
              <w:rPr>
                <w:rFonts w:ascii="Arial" w:hAnsi="Arial" w:cs="Arial"/>
                <w:noProof/>
                <w:sz w:val="18"/>
                <w:szCs w:val="18"/>
                <w:lang w:val="ro-MD"/>
              </w:rPr>
            </w:pPr>
            <w:r w:rsidRPr="00D4727E">
              <w:rPr>
                <w:rFonts w:ascii="Arial" w:hAnsi="Arial" w:cs="Arial"/>
                <w:noProof/>
                <w:sz w:val="18"/>
                <w:szCs w:val="18"/>
                <w:lang w:val="ro-MD"/>
              </w:rPr>
              <w:t xml:space="preserve">Sursa de verificare: Punctul unic de informare și orientare pentru investitori este operațional. O platformă online este înființată și accesibilă investitorilor, oferind orientări. </w:t>
            </w:r>
          </w:p>
          <w:p w14:paraId="06E652EF" w14:textId="77777777" w:rsidR="002B572B" w:rsidRPr="00840B12" w:rsidDel="00B0608A" w:rsidRDefault="002B572B" w:rsidP="002B572B">
            <w:pPr>
              <w:jc w:val="both"/>
              <w:rPr>
                <w:rFonts w:ascii="Arial" w:hAnsi="Arial" w:cs="Arial"/>
                <w:noProof/>
                <w:sz w:val="18"/>
                <w:szCs w:val="18"/>
                <w:lang w:val="en-GB"/>
              </w:rPr>
            </w:pPr>
          </w:p>
        </w:tc>
      </w:tr>
    </w:tbl>
    <w:p w14:paraId="48F6374F" w14:textId="77777777" w:rsidR="00A42EC3" w:rsidRPr="00840B12" w:rsidRDefault="00A42EC3" w:rsidP="00A42EC3">
      <w:pPr>
        <w:jc w:val="both"/>
        <w:rPr>
          <w:rFonts w:ascii="Arial" w:hAnsi="Arial" w:cs="Arial"/>
          <w:noProof/>
          <w:sz w:val="18"/>
          <w:szCs w:val="18"/>
        </w:rPr>
      </w:pPr>
    </w:p>
    <w:p w14:paraId="7F82AD1E" w14:textId="28B49D01" w:rsidR="00C74EE9" w:rsidRPr="00840B12" w:rsidRDefault="00C74EE9" w:rsidP="002F7854">
      <w:pPr>
        <w:jc w:val="both"/>
        <w:rPr>
          <w:rFonts w:ascii="Arial" w:hAnsi="Arial" w:cs="Arial"/>
          <w:sz w:val="18"/>
          <w:szCs w:val="18"/>
        </w:rPr>
      </w:pPr>
    </w:p>
    <w:p w14:paraId="533855A1" w14:textId="77777777" w:rsidR="00C74EE9" w:rsidRPr="00840B12" w:rsidRDefault="00C74EE9" w:rsidP="002F7854">
      <w:pPr>
        <w:jc w:val="both"/>
        <w:rPr>
          <w:rFonts w:ascii="Arial" w:hAnsi="Arial" w:cs="Arial"/>
          <w:sz w:val="18"/>
          <w:szCs w:val="18"/>
        </w:rPr>
      </w:pPr>
    </w:p>
    <w:p w14:paraId="3339D389" w14:textId="77777777" w:rsidR="00C74EE9" w:rsidRPr="00840B12" w:rsidRDefault="00C74EE9" w:rsidP="002F7854">
      <w:pPr>
        <w:jc w:val="both"/>
        <w:rPr>
          <w:rFonts w:ascii="Arial" w:hAnsi="Arial" w:cs="Arial"/>
          <w:sz w:val="18"/>
          <w:szCs w:val="18"/>
        </w:rPr>
      </w:pPr>
    </w:p>
    <w:p w14:paraId="4C7504A3" w14:textId="77777777" w:rsidR="00C74EE9" w:rsidRPr="00840B12" w:rsidRDefault="00C74EE9" w:rsidP="002F7854">
      <w:pPr>
        <w:jc w:val="both"/>
        <w:rPr>
          <w:rFonts w:ascii="Arial" w:hAnsi="Arial" w:cs="Arial"/>
          <w:sz w:val="18"/>
          <w:szCs w:val="18"/>
        </w:rPr>
      </w:pPr>
    </w:p>
    <w:p w14:paraId="403FC133" w14:textId="77777777" w:rsidR="00C74EE9" w:rsidRPr="00840B12" w:rsidRDefault="00C74EE9" w:rsidP="002F7854">
      <w:pPr>
        <w:jc w:val="both"/>
        <w:rPr>
          <w:rFonts w:ascii="Arial" w:hAnsi="Arial" w:cs="Arial"/>
          <w:sz w:val="18"/>
          <w:szCs w:val="18"/>
        </w:rPr>
      </w:pPr>
    </w:p>
    <w:p w14:paraId="68E38F27" w14:textId="77777777" w:rsidR="00C74EE9" w:rsidRPr="00840B12" w:rsidRDefault="00C74EE9" w:rsidP="002F7854">
      <w:pPr>
        <w:jc w:val="both"/>
        <w:rPr>
          <w:rFonts w:ascii="Arial" w:hAnsi="Arial" w:cs="Arial"/>
          <w:sz w:val="18"/>
          <w:szCs w:val="18"/>
          <w:lang w:val="en-US"/>
        </w:rPr>
      </w:pPr>
    </w:p>
    <w:p w14:paraId="3A849925" w14:textId="77777777" w:rsidR="00C74EE9" w:rsidRPr="00840B12" w:rsidRDefault="00C74EE9" w:rsidP="002F7854">
      <w:pPr>
        <w:jc w:val="both"/>
        <w:rPr>
          <w:rFonts w:ascii="Arial" w:hAnsi="Arial" w:cs="Arial"/>
          <w:sz w:val="18"/>
          <w:szCs w:val="18"/>
        </w:rPr>
        <w:sectPr w:rsidR="00C74EE9" w:rsidRPr="00840B12" w:rsidSect="009462C6">
          <w:pgSz w:w="16838" w:h="11906" w:orient="landscape"/>
          <w:pgMar w:top="1701" w:right="153" w:bottom="851" w:left="153" w:header="709" w:footer="709" w:gutter="0"/>
          <w:cols w:space="720"/>
        </w:sectPr>
      </w:pPr>
    </w:p>
    <w:p w14:paraId="0BF3E6BA" w14:textId="77777777" w:rsidR="009462C6" w:rsidRPr="00840B12" w:rsidRDefault="009462C6" w:rsidP="002F7854">
      <w:pPr>
        <w:widowControl w:val="0"/>
        <w:pBdr>
          <w:top w:val="nil"/>
          <w:left w:val="nil"/>
          <w:bottom w:val="nil"/>
          <w:right w:val="nil"/>
          <w:between w:val="nil"/>
        </w:pBdr>
        <w:spacing w:after="0" w:line="276" w:lineRule="auto"/>
        <w:jc w:val="both"/>
        <w:rPr>
          <w:rFonts w:ascii="Arial" w:hAnsi="Arial" w:cs="Arial"/>
          <w:sz w:val="18"/>
          <w:szCs w:val="18"/>
        </w:rPr>
      </w:pPr>
    </w:p>
    <w:p w14:paraId="167BE4EC" w14:textId="77777777" w:rsidR="006B3411" w:rsidRPr="00840B12" w:rsidRDefault="006B3411" w:rsidP="002F7854">
      <w:pPr>
        <w:jc w:val="both"/>
        <w:rPr>
          <w:rFonts w:ascii="Arial" w:hAnsi="Arial" w:cs="Arial"/>
          <w:sz w:val="18"/>
          <w:szCs w:val="18"/>
        </w:rPr>
        <w:sectPr w:rsidR="006B3411" w:rsidRPr="00840B12" w:rsidSect="006B3411">
          <w:pgSz w:w="16838" w:h="11906" w:orient="landscape"/>
          <w:pgMar w:top="1701" w:right="153" w:bottom="851" w:left="153" w:header="709" w:footer="709" w:gutter="0"/>
          <w:cols w:space="720"/>
        </w:sectPr>
      </w:pPr>
    </w:p>
    <w:p w14:paraId="2422C743" w14:textId="6862368D" w:rsidR="00936380" w:rsidRPr="00840B12" w:rsidRDefault="002B572B" w:rsidP="00C11442">
      <w:pPr>
        <w:pBdr>
          <w:bottom w:val="none" w:sz="0" w:space="0" w:color="000000"/>
          <w:between w:val="none" w:sz="0" w:space="0" w:color="000000"/>
        </w:pBdr>
        <w:spacing w:after="0" w:line="240" w:lineRule="auto"/>
        <w:jc w:val="center"/>
        <w:rPr>
          <w:rFonts w:ascii="Arial" w:hAnsi="Arial" w:cs="Arial"/>
          <w:sz w:val="18"/>
          <w:szCs w:val="18"/>
        </w:rPr>
      </w:pPr>
      <w:r w:rsidRPr="001E6C64">
        <w:rPr>
          <w:rFonts w:ascii="Arial" w:hAnsi="Arial" w:cs="Arial"/>
          <w:sz w:val="18"/>
          <w:szCs w:val="18"/>
          <w:lang w:val="it-IT"/>
        </w:rPr>
        <w:lastRenderedPageBreak/>
        <w:t>Agenda reformei MD Pilonul 7: Fundamente</w:t>
      </w:r>
    </w:p>
    <w:tbl>
      <w:tblPr>
        <w:tblpPr w:leftFromText="180" w:rightFromText="180" w:horzAnchor="margin" w:tblpX="832" w:tblpY="-1440"/>
        <w:tblW w:w="14752" w:type="dxa"/>
        <w:tblLayout w:type="fixed"/>
        <w:tblCellMar>
          <w:left w:w="115" w:type="dxa"/>
          <w:right w:w="115" w:type="dxa"/>
        </w:tblCellMar>
        <w:tblLook w:val="0400" w:firstRow="0" w:lastRow="0" w:firstColumn="0" w:lastColumn="0" w:noHBand="0" w:noVBand="1"/>
      </w:tblPr>
      <w:tblGrid>
        <w:gridCol w:w="846"/>
        <w:gridCol w:w="577"/>
        <w:gridCol w:w="1417"/>
        <w:gridCol w:w="567"/>
        <w:gridCol w:w="709"/>
        <w:gridCol w:w="1280"/>
        <w:gridCol w:w="4820"/>
        <w:gridCol w:w="4536"/>
      </w:tblGrid>
      <w:tr w:rsidR="002B572B" w:rsidRPr="00840B12" w14:paraId="735C4A69" w14:textId="77777777" w:rsidTr="00FE50DE">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D1754" w14:textId="46F0BD76"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lastRenderedPageBreak/>
              <w:t>Subdomeniu</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4DEC3" w14:textId="704A2F6C"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 xml:space="preserve">Reformă </w:t>
            </w:r>
            <w:r w:rsidRPr="001E6C64">
              <w:rPr>
                <w:rFonts w:ascii="Arial" w:hAnsi="Arial" w:cs="Arial"/>
                <w:sz w:val="18"/>
                <w:szCs w:val="18"/>
                <w:lang w:val="ro-MD"/>
              </w:rPr>
              <w:b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2B262" w14:textId="46EBF3BB"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Titlul reformei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247BF" w14:textId="39BAA09C"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Etapa #</w:t>
            </w:r>
          </w:p>
        </w:tc>
        <w:tc>
          <w:tcPr>
            <w:tcW w:w="709" w:type="dxa"/>
            <w:tcBorders>
              <w:top w:val="single" w:sz="4" w:space="0" w:color="000000" w:themeColor="text1"/>
              <w:left w:val="single" w:sz="4" w:space="0" w:color="000000" w:themeColor="text1"/>
              <w:right w:val="single" w:sz="4" w:space="0" w:color="000000" w:themeColor="text1"/>
            </w:tcBorders>
            <w:vAlign w:val="center"/>
          </w:tcPr>
          <w:p w14:paraId="054744D4" w14:textId="52BB4EB4" w:rsidR="002B572B" w:rsidRPr="002B572B" w:rsidRDefault="002B572B" w:rsidP="002B572B">
            <w:pPr>
              <w:spacing w:after="0" w:line="240" w:lineRule="auto"/>
              <w:jc w:val="both"/>
              <w:rPr>
                <w:rFonts w:ascii="Arial" w:hAnsi="Arial" w:cs="Arial"/>
                <w:sz w:val="18"/>
                <w:szCs w:val="18"/>
                <w:lang w:val="fr-FR"/>
              </w:rPr>
            </w:pPr>
            <w:r w:rsidRPr="001E6C64">
              <w:rPr>
                <w:rFonts w:ascii="Arial" w:hAnsi="Arial" w:cs="Arial"/>
                <w:sz w:val="18"/>
                <w:szCs w:val="18"/>
                <w:lang w:val="ro-MD"/>
              </w:rPr>
              <w:t>Termen de punere în aplicare</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835B6" w14:textId="508B795B"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Instituții</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B7ECA" w14:textId="77777777" w:rsidR="002B572B" w:rsidRPr="001E6C64" w:rsidRDefault="002B572B" w:rsidP="002B572B">
            <w:pPr>
              <w:jc w:val="both"/>
              <w:rPr>
                <w:rFonts w:ascii="Arial" w:hAnsi="Arial" w:cs="Arial"/>
                <w:sz w:val="18"/>
                <w:szCs w:val="18"/>
                <w:lang w:val="ro-MD"/>
              </w:rPr>
            </w:pPr>
          </w:p>
          <w:p w14:paraId="730ECDF3" w14:textId="60FBBFFB" w:rsidR="002B572B" w:rsidRPr="002B572B" w:rsidRDefault="002B572B" w:rsidP="002B572B">
            <w:pPr>
              <w:spacing w:after="0" w:line="240" w:lineRule="auto"/>
              <w:jc w:val="both"/>
              <w:rPr>
                <w:rFonts w:ascii="Arial" w:hAnsi="Arial" w:cs="Arial"/>
                <w:sz w:val="18"/>
                <w:szCs w:val="18"/>
                <w:lang w:val="fr-FR"/>
              </w:rPr>
            </w:pPr>
            <w:r w:rsidRPr="001E6C64">
              <w:rPr>
                <w:rFonts w:ascii="Arial" w:hAnsi="Arial" w:cs="Arial"/>
                <w:sz w:val="18"/>
                <w:szCs w:val="18"/>
                <w:lang w:val="ro-MD"/>
              </w:rPr>
              <w:t>Condiția de plată și termenul de punere în aplicare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0EDA8" w14:textId="77777777" w:rsidR="002B572B" w:rsidRPr="001E6C64" w:rsidRDefault="002B572B" w:rsidP="002B572B">
            <w:pPr>
              <w:jc w:val="both"/>
              <w:rPr>
                <w:rFonts w:ascii="Arial" w:hAnsi="Arial" w:cs="Arial"/>
                <w:sz w:val="18"/>
                <w:szCs w:val="18"/>
                <w:lang w:val="ro-MD"/>
              </w:rPr>
            </w:pPr>
          </w:p>
          <w:p w14:paraId="238FE2B1" w14:textId="7FAA07F7"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Descrierea și definirea clară a ceea ce presupune fiecare etapă</w:t>
            </w:r>
          </w:p>
        </w:tc>
      </w:tr>
      <w:tr w:rsidR="002B572B" w:rsidRPr="00BD0643" w14:paraId="18A6C8DD"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B360B" w14:textId="05B773FB" w:rsidR="002B572B" w:rsidRPr="00840B12" w:rsidRDefault="002B572B" w:rsidP="002B572B">
            <w:pPr>
              <w:spacing w:after="0" w:line="240" w:lineRule="auto"/>
              <w:jc w:val="both"/>
              <w:rPr>
                <w:rStyle w:val="normaltextrun"/>
                <w:rFonts w:ascii="Arial" w:hAnsi="Arial" w:cs="Arial"/>
                <w:sz w:val="18"/>
                <w:szCs w:val="18"/>
                <w:u w:val="single"/>
              </w:rPr>
            </w:pPr>
            <w:r w:rsidRPr="001E6C64">
              <w:rPr>
                <w:rFonts w:ascii="Arial" w:hAnsi="Arial" w:cs="Arial"/>
                <w:sz w:val="18"/>
                <w:szCs w:val="18"/>
                <w:lang w:val="ro-MD"/>
              </w:rPr>
              <w:t>Lupta împotriva corupției</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51A2A" w14:textId="2BF8DA31"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FB342" w14:textId="04D757A8"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Îmbunătățirea eficacității prevenirii și reprimării corupției, inclusiv prin îmbunătățirea cadrului instituțional și legislativ.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CA6D9" w14:textId="46DBAE22"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98B55" w14:textId="7FD254B9" w:rsidR="002B572B" w:rsidRPr="00840B12" w:rsidRDefault="002B572B" w:rsidP="002B572B">
            <w:pPr>
              <w:spacing w:after="0" w:line="240" w:lineRule="auto"/>
              <w:jc w:val="both"/>
              <w:rPr>
                <w:rFonts w:ascii="Arial" w:hAnsi="Arial" w:cs="Arial"/>
                <w:sz w:val="18"/>
                <w:szCs w:val="18"/>
              </w:rPr>
            </w:pPr>
            <w:r>
              <w:rPr>
                <w:rFonts w:ascii="Arial" w:hAnsi="Arial" w:cs="Arial"/>
                <w:sz w:val="18"/>
                <w:szCs w:val="18"/>
                <w:lang w:val="ro-MD"/>
              </w:rPr>
              <w:t>i</w:t>
            </w:r>
            <w:r w:rsidRPr="001E6C64">
              <w:rPr>
                <w:rFonts w:ascii="Arial" w:hAnsi="Arial" w:cs="Arial"/>
                <w:sz w:val="18"/>
                <w:szCs w:val="18"/>
                <w:lang w:val="ro-MD"/>
              </w:rPr>
              <w:t xml:space="preserve">unie 2027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2EDB6" w14:textId="2D0FCA6C"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Ministerul Justiției, Procuratura Generală</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54C0D"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Îmbunătățirea istoricului investigațiilor, urmăririlor penale și hotărârilor definitive eficace și eficiente în materie de corupție, inclusiv în cazurile de corupție la nivel înalt. </w:t>
            </w:r>
          </w:p>
          <w:p w14:paraId="7ED37F1D" w14:textId="77777777" w:rsidR="002B572B" w:rsidRPr="001E6C64" w:rsidRDefault="002B572B" w:rsidP="002B572B">
            <w:pPr>
              <w:spacing w:after="0" w:line="240" w:lineRule="auto"/>
              <w:jc w:val="both"/>
              <w:rPr>
                <w:rFonts w:ascii="Arial" w:hAnsi="Arial" w:cs="Arial"/>
                <w:sz w:val="18"/>
                <w:szCs w:val="18"/>
                <w:lang w:val="ro-MD"/>
              </w:rPr>
            </w:pPr>
          </w:p>
          <w:p w14:paraId="12C0670F"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Definiția statistică a diferitelor categorii de infracțiuni este revizuită și aliniată la standardele internaționale</w:t>
            </w:r>
          </w:p>
          <w:p w14:paraId="7A3E7719" w14:textId="77777777" w:rsidR="002B572B" w:rsidRPr="001E6C64" w:rsidRDefault="002B572B" w:rsidP="002B572B">
            <w:pPr>
              <w:spacing w:after="0" w:line="240" w:lineRule="auto"/>
              <w:jc w:val="both"/>
              <w:rPr>
                <w:rFonts w:ascii="Arial" w:hAnsi="Arial" w:cs="Arial"/>
                <w:sz w:val="18"/>
                <w:szCs w:val="18"/>
                <w:lang w:val="ro-MD"/>
              </w:rPr>
            </w:pPr>
          </w:p>
          <w:p w14:paraId="496BF351"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Linia de referință: media 2021-2022-2023: media investigațiilor, a urmăririlor penale și a hotărârilor definitive în cazurile de corupție, inclusiv corupția la nivel înalt, astfel cum sunt raportate în datele platformei electronice. </w:t>
            </w:r>
          </w:p>
          <w:p w14:paraId="4D62405E"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(395 de anchete/an (corupție la nivel înalt și alte tipuri de corupție), 199 de rechizitorii/an (corupție la nivel înalt și alte tipuri de corupție, 158 de hotărâri definitive pe an privind corupția la nivel înalt și alte tipuri de corupție</w:t>
            </w:r>
          </w:p>
          <w:p w14:paraId="33421407" w14:textId="77777777" w:rsidR="002B572B" w:rsidRPr="002B572B" w:rsidRDefault="002B572B" w:rsidP="002B572B">
            <w:pPr>
              <w:spacing w:after="0" w:line="240" w:lineRule="auto"/>
              <w:jc w:val="both"/>
              <w:rPr>
                <w:rFonts w:ascii="Arial" w:hAnsi="Arial" w:cs="Arial"/>
                <w:sz w:val="18"/>
                <w:szCs w:val="18"/>
                <w:lang w:val="fr-FR"/>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0D7F4"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Este demonstrată o tendință generală pozitivă a bilanțului, care cuprinde anchete, urmăriri penale și hotărâri judecătorești. </w:t>
            </w:r>
          </w:p>
          <w:p w14:paraId="66F96662" w14:textId="77777777" w:rsidR="002B572B" w:rsidRPr="001E6C64" w:rsidRDefault="002B572B" w:rsidP="002B572B">
            <w:pPr>
              <w:spacing w:after="0" w:line="240" w:lineRule="auto"/>
              <w:jc w:val="both"/>
              <w:rPr>
                <w:rFonts w:ascii="Arial" w:hAnsi="Arial" w:cs="Arial"/>
                <w:sz w:val="18"/>
                <w:szCs w:val="18"/>
                <w:lang w:val="ro-MD"/>
              </w:rPr>
            </w:pPr>
          </w:p>
          <w:p w14:paraId="08D9A708"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Definiția statistică a diferitelor categorii de infracțiuni este revizuită pentru a se alinia standardelor internaționale, legislației UE, UNCAC, ONU și CoE. </w:t>
            </w:r>
          </w:p>
          <w:p w14:paraId="20E98C4A" w14:textId="77777777" w:rsidR="002B572B" w:rsidRPr="001E6C64" w:rsidRDefault="002B572B" w:rsidP="002B572B">
            <w:pPr>
              <w:spacing w:after="0" w:line="240" w:lineRule="auto"/>
              <w:jc w:val="both"/>
              <w:rPr>
                <w:rFonts w:ascii="Arial" w:hAnsi="Arial" w:cs="Arial"/>
                <w:sz w:val="18"/>
                <w:szCs w:val="18"/>
                <w:lang w:val="ro-MD"/>
              </w:rPr>
            </w:pPr>
          </w:p>
          <w:p w14:paraId="6C758B0E" w14:textId="3AB7B711" w:rsidR="002B572B" w:rsidRPr="002B572B" w:rsidRDefault="002B572B" w:rsidP="002B572B">
            <w:pPr>
              <w:spacing w:after="0" w:line="240" w:lineRule="auto"/>
              <w:jc w:val="both"/>
              <w:rPr>
                <w:rFonts w:ascii="Arial" w:hAnsi="Arial" w:cs="Arial"/>
                <w:sz w:val="18"/>
                <w:szCs w:val="18"/>
                <w:lang w:val="fr-FR"/>
              </w:rPr>
            </w:pPr>
            <w:r w:rsidRPr="001E6C64">
              <w:rPr>
                <w:rFonts w:ascii="Arial" w:hAnsi="Arial" w:cs="Arial"/>
                <w:sz w:val="18"/>
                <w:szCs w:val="18"/>
                <w:lang w:val="ro-MD"/>
              </w:rPr>
              <w:t xml:space="preserve">Sursa de verificare: valoare de referință - 2025 date e-platformă. </w:t>
            </w:r>
          </w:p>
        </w:tc>
      </w:tr>
      <w:tr w:rsidR="002B572B" w:rsidRPr="00BD0643" w14:paraId="3401AC2D"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48466" w14:textId="77777777" w:rsidR="002B572B" w:rsidRPr="00840B12" w:rsidRDefault="002B572B" w:rsidP="002B572B">
            <w:pPr>
              <w:spacing w:after="0" w:line="240" w:lineRule="auto"/>
              <w:jc w:val="both"/>
              <w:rPr>
                <w:rFonts w:ascii="Arial" w:hAnsi="Arial" w:cs="Arial"/>
                <w:sz w:val="18"/>
                <w:szCs w:val="18"/>
                <w:lang w:val="it-IT"/>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82D25" w14:textId="0824A237"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DA75" w14:textId="5B7B5D92"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Îmbunătățirea eficacității prevenirii și reprimării corupției, inclusiv prin îmbunătățirea cadrului instituțional și legislativ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17147" w14:textId="6C9C0174"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3822B" w14:textId="0B8D7180" w:rsidR="002B572B" w:rsidRPr="00840B12" w:rsidRDefault="002B572B" w:rsidP="002B572B">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56924" w14:textId="34FD8CDB"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Autoritatea Națională de Integritate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08304"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100 % din declarații sunt depuse electronic în noul sistem e-Integrity, iar cele marcate cu roșu sunt atribuite automat și aleatoriu inspectorilor Agenției Naționale de Integritate (ANI). Interoperabilitatea cu alte platforme este asigurată prin intermediul platformei MConect.</w:t>
            </w:r>
          </w:p>
          <w:p w14:paraId="516ED9BD" w14:textId="77777777" w:rsidR="002B572B" w:rsidRPr="001E6C64" w:rsidRDefault="002B572B" w:rsidP="002B572B">
            <w:pPr>
              <w:spacing w:after="0" w:line="240" w:lineRule="auto"/>
              <w:jc w:val="both"/>
              <w:rPr>
                <w:rFonts w:ascii="Arial" w:hAnsi="Arial" w:cs="Arial"/>
                <w:sz w:val="18"/>
                <w:szCs w:val="18"/>
                <w:lang w:val="ro-MD"/>
              </w:rPr>
            </w:pPr>
          </w:p>
          <w:p w14:paraId="2CC09A43" w14:textId="24A404BA" w:rsidR="002B572B" w:rsidRPr="002B572B"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Linia de referință: Nu există niciun sistem actual care să poată efectua verificările și atribuirile automate de mai sus.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B7BF8"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Noul sistem IT e-Integrity este pilotat. Sunt introduse module IT pentru depunerea electronică și verificarea automată. Sistemul verifică automat 100% din declarațiile depuse și le compară cu stegulețele roșii. Sistemul identifică și marchează cu stegulețe roșii 100% din declarații. Declarațiile cu stegulețe roșii sunt atribuite aleatoriu de sistem inspectorilor ANI.</w:t>
            </w:r>
          </w:p>
          <w:p w14:paraId="374FB841" w14:textId="77777777" w:rsidR="002B572B" w:rsidRPr="001E6C64" w:rsidRDefault="002B572B" w:rsidP="002B572B">
            <w:pPr>
              <w:spacing w:after="0" w:line="240" w:lineRule="auto"/>
              <w:jc w:val="both"/>
              <w:rPr>
                <w:rFonts w:ascii="Arial" w:hAnsi="Arial" w:cs="Arial"/>
                <w:sz w:val="18"/>
                <w:szCs w:val="18"/>
                <w:lang w:val="ro-MD"/>
              </w:rPr>
            </w:pPr>
          </w:p>
          <w:p w14:paraId="085C6351"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Noul sistem e-Integrity este interoperabil cu următoarele registre naționale:</w:t>
            </w:r>
          </w:p>
          <w:p w14:paraId="5B5ADBC3"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Registrul Serviciului Fiscal de Stat; Registrul de Stat al Transporturilor; Registrul de Stat al Persoanelor Juridice; Registrul de Stat al Populației; și Registrul Imobiliar.</w:t>
            </w:r>
          </w:p>
          <w:p w14:paraId="47ADB0AA"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 </w:t>
            </w:r>
          </w:p>
          <w:p w14:paraId="6D5F4804"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Sursa de verificare:</w:t>
            </w:r>
          </w:p>
          <w:p w14:paraId="4BF49DEA" w14:textId="7B5AAE9F" w:rsidR="002B572B" w:rsidRPr="002B572B" w:rsidRDefault="002B572B" w:rsidP="002B572B">
            <w:pPr>
              <w:spacing w:after="0" w:line="240" w:lineRule="auto"/>
              <w:jc w:val="both"/>
              <w:rPr>
                <w:rFonts w:ascii="Arial" w:hAnsi="Arial" w:cs="Arial"/>
                <w:sz w:val="18"/>
                <w:szCs w:val="18"/>
                <w:lang w:val="fr-FR"/>
              </w:rPr>
            </w:pPr>
            <w:r w:rsidRPr="001E6C64">
              <w:rPr>
                <w:rFonts w:ascii="Arial" w:hAnsi="Arial" w:cs="Arial"/>
                <w:sz w:val="18"/>
                <w:szCs w:val="18"/>
                <w:lang w:val="ro-MD"/>
              </w:rPr>
              <w:t>Rapoartele Autorității Naționale de Integritate, sistemul automat E-Integrity</w:t>
            </w:r>
          </w:p>
        </w:tc>
      </w:tr>
      <w:tr w:rsidR="002B572B" w:rsidRPr="00840B12" w14:paraId="7F079A54"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A348F" w14:textId="77777777" w:rsidR="002B572B" w:rsidRPr="001E6C64" w:rsidRDefault="002B572B" w:rsidP="002B572B">
            <w:pPr>
              <w:pStyle w:val="paragraph"/>
              <w:spacing w:before="0" w:beforeAutospacing="0" w:after="0" w:afterAutospacing="0"/>
              <w:jc w:val="both"/>
              <w:textAlignment w:val="baseline"/>
              <w:rPr>
                <w:rFonts w:ascii="Arial" w:eastAsia="Calibri" w:hAnsi="Arial" w:cs="Arial"/>
                <w:sz w:val="18"/>
                <w:szCs w:val="18"/>
                <w:lang w:val="ro-MD"/>
              </w:rPr>
            </w:pPr>
            <w:r w:rsidRPr="001E6C64">
              <w:rPr>
                <w:rStyle w:val="eop"/>
                <w:rFonts w:ascii="Arial" w:eastAsia="Calibri" w:hAnsi="Arial" w:cs="Arial"/>
                <w:sz w:val="18"/>
                <w:szCs w:val="18"/>
                <w:lang w:val="ro-MD"/>
              </w:rPr>
              <w:t> </w:t>
            </w:r>
          </w:p>
          <w:p w14:paraId="3DA14E8A" w14:textId="77777777" w:rsidR="002B572B" w:rsidRPr="002B572B" w:rsidRDefault="002B572B" w:rsidP="002B572B">
            <w:pPr>
              <w:spacing w:after="0" w:line="240" w:lineRule="auto"/>
              <w:jc w:val="both"/>
              <w:rPr>
                <w:rFonts w:ascii="Arial" w:hAnsi="Arial" w:cs="Arial"/>
                <w:sz w:val="18"/>
                <w:szCs w:val="18"/>
                <w:lang w:val="fr-FR"/>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EC6BE" w14:textId="61062E3D"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B5339" w14:textId="45FE50A1"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 xml:space="preserve">Îmbunătățirea eficacității prevenirii și reprimării corupției, </w:t>
            </w:r>
            <w:r w:rsidRPr="001E6C64">
              <w:rPr>
                <w:rFonts w:ascii="Arial" w:hAnsi="Arial" w:cs="Arial"/>
                <w:sz w:val="18"/>
                <w:szCs w:val="18"/>
                <w:lang w:val="ro-MD"/>
              </w:rPr>
              <w:lastRenderedPageBreak/>
              <w:t>inclusiv prin îmbunătățirea cadrului instituțional și legislativ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47046" w14:textId="5938F782"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lastRenderedPageBreak/>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3FA9B" w14:textId="27CECA5C" w:rsidR="002B572B" w:rsidRPr="00840B12" w:rsidRDefault="002B572B" w:rsidP="002B572B">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1E999" w14:textId="05392948"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Centrul Național Anticorupție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646D" w14:textId="77777777" w:rsidR="002B572B" w:rsidRPr="001E6C64" w:rsidRDefault="002B572B" w:rsidP="002B572B">
            <w:pPr>
              <w:spacing w:after="0" w:line="257" w:lineRule="auto"/>
              <w:jc w:val="both"/>
              <w:rPr>
                <w:rFonts w:ascii="Arial" w:hAnsi="Arial" w:cs="Arial"/>
                <w:sz w:val="18"/>
                <w:szCs w:val="18"/>
                <w:lang w:val="ro-MD"/>
              </w:rPr>
            </w:pPr>
            <w:r w:rsidRPr="001E6C64">
              <w:rPr>
                <w:rFonts w:ascii="Arial" w:hAnsi="Arial" w:cs="Arial"/>
                <w:sz w:val="18"/>
                <w:szCs w:val="18"/>
                <w:lang w:val="ro-MD"/>
              </w:rPr>
              <w:t xml:space="preserve">100% din recomandările CNA privind măsurile de atenuare a riscurilor de corupție sunt abordate în proiectele de lege finale de către autorul proiectului de </w:t>
            </w:r>
            <w:r w:rsidRPr="001E6C64">
              <w:rPr>
                <w:rFonts w:ascii="Arial" w:hAnsi="Arial" w:cs="Arial"/>
                <w:sz w:val="18"/>
                <w:szCs w:val="18"/>
                <w:lang w:val="ro-MD"/>
              </w:rPr>
              <w:lastRenderedPageBreak/>
              <w:t xml:space="preserve">lege. În cazul în care unele dintre recomandări nu sunt acceptate, ar trebui prezentată o justificare scrisă. </w:t>
            </w:r>
          </w:p>
          <w:p w14:paraId="53A6AF6B" w14:textId="77777777" w:rsidR="002B572B" w:rsidRPr="001E6C64" w:rsidRDefault="002B572B" w:rsidP="002B572B">
            <w:pPr>
              <w:spacing w:after="0" w:line="257" w:lineRule="auto"/>
              <w:jc w:val="both"/>
              <w:rPr>
                <w:rFonts w:ascii="Arial" w:hAnsi="Arial" w:cs="Arial"/>
                <w:sz w:val="18"/>
                <w:szCs w:val="18"/>
                <w:lang w:val="ro-MD"/>
              </w:rPr>
            </w:pPr>
          </w:p>
          <w:p w14:paraId="6D0130D8" w14:textId="3CA48598" w:rsidR="002B572B" w:rsidRPr="002B572B" w:rsidRDefault="002B572B" w:rsidP="002B572B">
            <w:pPr>
              <w:spacing w:after="0" w:line="257" w:lineRule="auto"/>
              <w:jc w:val="both"/>
              <w:rPr>
                <w:rFonts w:ascii="Arial" w:hAnsi="Arial" w:cs="Arial"/>
                <w:sz w:val="18"/>
                <w:szCs w:val="18"/>
                <w:lang w:val="ro-MD"/>
              </w:rPr>
            </w:pPr>
            <w:r w:rsidRPr="001E6C64">
              <w:rPr>
                <w:rFonts w:ascii="Arial" w:hAnsi="Arial" w:cs="Arial"/>
                <w:sz w:val="18"/>
                <w:szCs w:val="18"/>
                <w:lang w:val="ro-MD"/>
              </w:rPr>
              <w:t>Linia de referință: În 2020-2024: 76% din recomandările CNA sunt incluse în proiectele legislative finale.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60799"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lastRenderedPageBreak/>
              <w:t xml:space="preserve">CNA asigură evaluarea ex-ante a riscurilor de corupție pentru proiectele legislative. Acesta evaluează riscurile de corupție din proiectele de lege și prezintă un raport de evaluare autorității publice relevante care a elaborat proiectul de lege. Raportul este apoi făcut public. </w:t>
            </w:r>
            <w:r w:rsidRPr="001E6C64">
              <w:rPr>
                <w:rFonts w:ascii="Arial" w:hAnsi="Arial" w:cs="Arial"/>
                <w:sz w:val="18"/>
                <w:szCs w:val="18"/>
                <w:lang w:val="ro-MD"/>
              </w:rPr>
              <w:lastRenderedPageBreak/>
              <w:t xml:space="preserve">Autoritatea relevantă este obligată prin lege să ia în considerare această evaluare și să integreze observațiile CNA. </w:t>
            </w:r>
          </w:p>
          <w:p w14:paraId="498E2324" w14:textId="77777777" w:rsidR="002B572B" w:rsidRPr="001E6C64" w:rsidRDefault="002B572B" w:rsidP="002B572B">
            <w:pPr>
              <w:spacing w:after="0" w:line="240" w:lineRule="auto"/>
              <w:jc w:val="both"/>
              <w:rPr>
                <w:rFonts w:ascii="Arial" w:hAnsi="Arial" w:cs="Arial"/>
                <w:sz w:val="18"/>
                <w:szCs w:val="18"/>
                <w:lang w:val="ro-MD"/>
              </w:rPr>
            </w:pPr>
          </w:p>
          <w:p w14:paraId="6CE6FC82"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Atunci când instituțiile nu pot urma recomandările CNA din cauza constrângerilor legislative, acestea trebuie să prezinte o justificare în scris.</w:t>
            </w:r>
          </w:p>
          <w:p w14:paraId="7471FEA9" w14:textId="77777777" w:rsidR="002B572B" w:rsidRPr="001E6C64" w:rsidRDefault="002B572B" w:rsidP="002B572B">
            <w:pPr>
              <w:spacing w:after="0" w:line="240" w:lineRule="auto"/>
              <w:jc w:val="both"/>
              <w:rPr>
                <w:rFonts w:ascii="Arial" w:hAnsi="Arial" w:cs="Arial"/>
                <w:sz w:val="18"/>
                <w:szCs w:val="18"/>
                <w:lang w:val="ro-MD"/>
              </w:rPr>
            </w:pPr>
          </w:p>
          <w:p w14:paraId="741DE90E" w14:textId="544387EA"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Sursa de verificare: raportul CNA privind recomandările acceptate și puse în aplicare.</w:t>
            </w:r>
          </w:p>
        </w:tc>
      </w:tr>
      <w:tr w:rsidR="002B572B" w:rsidRPr="00BD0643" w14:paraId="68FE1C4B"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88B30" w14:textId="77777777" w:rsidR="002B572B" w:rsidRPr="00840B12" w:rsidRDefault="002B572B" w:rsidP="002B572B">
            <w:pPr>
              <w:pStyle w:val="paragraph"/>
              <w:jc w:val="both"/>
              <w:rPr>
                <w:rStyle w:val="eop"/>
                <w:rFonts w:ascii="Arial" w:eastAsia="Calibri" w:hAnsi="Arial" w:cs="Arial"/>
                <w:sz w:val="18"/>
                <w:szCs w:val="18"/>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A83F" w14:textId="31D08291"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363BD" w14:textId="23586FA1"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Îmbunătățirea eficacității prevenirii și reprimării corupției, inclusiv prin îmbunătățirea cadrului instituțional și legislativ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5FE09" w14:textId="4A35642E"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51B0B" w14:textId="28251536" w:rsidR="002B572B" w:rsidRPr="00840B12" w:rsidRDefault="002B572B" w:rsidP="002B572B">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B47B8" w14:textId="197299FA"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Centrul Național Anticorupție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9D938" w14:textId="77777777" w:rsidR="002B572B" w:rsidRPr="001E6C64" w:rsidRDefault="002B572B" w:rsidP="002B572B">
            <w:pPr>
              <w:spacing w:after="0" w:line="257" w:lineRule="auto"/>
              <w:jc w:val="both"/>
              <w:rPr>
                <w:rFonts w:ascii="Arial" w:hAnsi="Arial" w:cs="Arial"/>
                <w:sz w:val="18"/>
                <w:szCs w:val="18"/>
                <w:lang w:val="ro-MD"/>
              </w:rPr>
            </w:pPr>
            <w:r w:rsidRPr="001E6C64">
              <w:rPr>
                <w:rFonts w:ascii="Arial" w:hAnsi="Arial" w:cs="Arial"/>
                <w:sz w:val="18"/>
                <w:szCs w:val="18"/>
                <w:lang w:val="ro-MD"/>
              </w:rPr>
              <w:t xml:space="preserve">95% din recomandările CNA privind evaluarea integrității sunt incluse în planurile locale de integritate ale instituțiilor evaluate și cel puțin 85% din recomandări sunt puse în aplicare. </w:t>
            </w:r>
          </w:p>
          <w:p w14:paraId="2F5F2B89" w14:textId="77777777" w:rsidR="002B572B" w:rsidRPr="001E6C64" w:rsidRDefault="002B572B" w:rsidP="002B572B">
            <w:pPr>
              <w:spacing w:after="0" w:line="257" w:lineRule="auto"/>
              <w:jc w:val="both"/>
              <w:rPr>
                <w:rFonts w:ascii="Arial" w:hAnsi="Arial" w:cs="Arial"/>
                <w:sz w:val="18"/>
                <w:szCs w:val="18"/>
                <w:lang w:val="ro-MD"/>
              </w:rPr>
            </w:pPr>
          </w:p>
          <w:p w14:paraId="7115F9B6" w14:textId="77777777" w:rsidR="002B572B" w:rsidRPr="001E6C64" w:rsidRDefault="002B572B" w:rsidP="002B572B">
            <w:pPr>
              <w:spacing w:after="0" w:line="257" w:lineRule="auto"/>
              <w:jc w:val="both"/>
              <w:rPr>
                <w:rFonts w:ascii="Arial" w:hAnsi="Arial" w:cs="Arial"/>
                <w:sz w:val="18"/>
                <w:szCs w:val="18"/>
                <w:highlight w:val="magenta"/>
                <w:lang w:val="ro-MD"/>
              </w:rPr>
            </w:pPr>
            <w:r w:rsidRPr="001E6C64">
              <w:rPr>
                <w:rFonts w:ascii="Arial" w:hAnsi="Arial" w:cs="Arial"/>
                <w:sz w:val="18"/>
                <w:szCs w:val="18"/>
                <w:lang w:val="ro-MD"/>
              </w:rPr>
              <w:t>Linia de referință: în 2020-2024, 75% din recomandările de evaluare a integrității sunt puse în aplicare de instituțiile evaluate</w:t>
            </w:r>
          </w:p>
          <w:p w14:paraId="7319BE3D" w14:textId="77777777" w:rsidR="002B572B" w:rsidRPr="001E6C64" w:rsidRDefault="002B572B" w:rsidP="002B572B">
            <w:pPr>
              <w:spacing w:after="0" w:line="257" w:lineRule="auto"/>
              <w:jc w:val="both"/>
              <w:rPr>
                <w:rFonts w:ascii="Arial" w:hAnsi="Arial" w:cs="Arial"/>
                <w:sz w:val="18"/>
                <w:szCs w:val="18"/>
                <w:highlight w:val="magenta"/>
                <w:lang w:val="ro-MD"/>
              </w:rPr>
            </w:pPr>
          </w:p>
          <w:p w14:paraId="09364C8D" w14:textId="77777777" w:rsidR="002B572B" w:rsidRPr="00840B12" w:rsidRDefault="002B572B" w:rsidP="002B572B">
            <w:pPr>
              <w:spacing w:after="0" w:line="257" w:lineRule="auto"/>
              <w:jc w:val="both"/>
              <w:rPr>
                <w:rFonts w:ascii="Arial" w:hAnsi="Arial" w:cs="Arial"/>
                <w:sz w:val="18"/>
                <w:szCs w:val="1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20BCF"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CNA este responsabil de testarea integrității instituționale. Acesta constă în evaluarea instituțiilor, identificarea riscurilor de corupție și formularea de recomandări pentru abordarea acestor riscuri și ameliorarea mediului de integritate. CNA prezintă rapoarte anuale publice privind punerea în aplicare a recomandărilor sale.</w:t>
            </w:r>
          </w:p>
          <w:p w14:paraId="49CBDFC3" w14:textId="77777777" w:rsidR="002B572B" w:rsidRPr="001E6C64" w:rsidRDefault="002B572B" w:rsidP="002B572B">
            <w:pPr>
              <w:spacing w:after="0" w:line="240" w:lineRule="auto"/>
              <w:jc w:val="both"/>
              <w:rPr>
                <w:rFonts w:ascii="Arial" w:hAnsi="Arial" w:cs="Arial"/>
                <w:sz w:val="18"/>
                <w:szCs w:val="18"/>
                <w:lang w:val="ro-MD"/>
              </w:rPr>
            </w:pPr>
          </w:p>
          <w:p w14:paraId="2D541455"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Sursa de verificare: raportul CNA privind recomandările acceptate și puse în aplicare, publicat pe pagina web a CNA.</w:t>
            </w:r>
          </w:p>
          <w:p w14:paraId="13A05236" w14:textId="3DA42591" w:rsidR="002B572B" w:rsidRPr="002B572B" w:rsidRDefault="002B572B" w:rsidP="002B572B">
            <w:pPr>
              <w:spacing w:after="0" w:line="240" w:lineRule="auto"/>
              <w:jc w:val="both"/>
              <w:rPr>
                <w:rFonts w:ascii="Arial" w:hAnsi="Arial" w:cs="Arial"/>
                <w:sz w:val="18"/>
                <w:szCs w:val="18"/>
                <w:lang w:val="ro-MD"/>
              </w:rPr>
            </w:pPr>
          </w:p>
        </w:tc>
      </w:tr>
      <w:tr w:rsidR="002B572B" w:rsidRPr="00BD0643" w14:paraId="2B1717FF"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906387" w14:textId="77777777" w:rsidR="002B572B" w:rsidRPr="002B572B" w:rsidRDefault="002B572B" w:rsidP="002B572B">
            <w:pPr>
              <w:spacing w:after="0" w:line="240" w:lineRule="auto"/>
              <w:jc w:val="both"/>
              <w:rPr>
                <w:rFonts w:ascii="Arial" w:hAnsi="Arial" w:cs="Arial"/>
                <w:i/>
                <w:iCs/>
                <w:sz w:val="18"/>
                <w:szCs w:val="18"/>
                <w:lang w:val="ro-MD"/>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471CAA" w14:textId="019D73E1" w:rsidR="002B572B" w:rsidRPr="00840B12" w:rsidRDefault="002B572B" w:rsidP="002B572B">
            <w:pPr>
              <w:spacing w:after="0" w:line="240" w:lineRule="auto"/>
              <w:jc w:val="both"/>
              <w:rPr>
                <w:rFonts w:ascii="Arial" w:hAnsi="Arial" w:cs="Arial"/>
                <w:i/>
                <w:iCs/>
                <w:sz w:val="18"/>
                <w:szCs w:val="18"/>
              </w:rPr>
            </w:pPr>
            <w:r w:rsidRPr="001E6C64">
              <w:rPr>
                <w:rFonts w:ascii="Arial" w:hAnsi="Arial" w:cs="Arial"/>
                <w:i/>
                <w:iCs/>
                <w:sz w:val="18"/>
                <w:szCs w:val="18"/>
                <w:lang w:val="ro-MD"/>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2391E1" w14:textId="2D408654"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Îmbunătățirea eficacității prevenirii și reprimării corupției, inclusiv prin îmbunătățirea cadrului instituțional și legislativ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A042C6" w14:textId="5D7FB6F3"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2E7E31" w14:textId="4C605041" w:rsidR="002B572B" w:rsidRPr="00840B12" w:rsidRDefault="002B572B" w:rsidP="002B572B">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AC1CF5" w14:textId="0ED6658A"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Ministerul Justiției</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DDD653" w14:textId="77777777" w:rsidR="002B572B" w:rsidRPr="001E6C64" w:rsidRDefault="002B572B" w:rsidP="002B572B">
            <w:pPr>
              <w:spacing w:after="0" w:line="240" w:lineRule="auto"/>
              <w:jc w:val="both"/>
              <w:rPr>
                <w:rFonts w:ascii="Arial" w:hAnsi="Arial" w:cs="Arial"/>
                <w:sz w:val="18"/>
                <w:szCs w:val="18"/>
                <w:lang w:val="ro-MD"/>
              </w:rPr>
            </w:pPr>
          </w:p>
          <w:p w14:paraId="5473F136"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Prin consolidarea cadrului juridic privind o infrastructură de adjudecare anticorupție dedicată, MD realizează o reducere cu 40 % a timpului de soluționare a cazurilor de corupție și a cazurilor conexe în comparație cu 2024 și crește rata de soluționare cu 10 % pentru aceste cazuri în comparație cu 2024.</w:t>
            </w:r>
          </w:p>
          <w:p w14:paraId="7EF99442" w14:textId="77777777" w:rsidR="002B572B" w:rsidRPr="001E6C64" w:rsidRDefault="002B572B" w:rsidP="002B572B">
            <w:pPr>
              <w:spacing w:after="0" w:line="240" w:lineRule="auto"/>
              <w:jc w:val="both"/>
              <w:rPr>
                <w:rFonts w:ascii="Arial" w:hAnsi="Arial" w:cs="Arial"/>
                <w:sz w:val="18"/>
                <w:szCs w:val="18"/>
                <w:lang w:val="ro-MD"/>
              </w:rPr>
            </w:pPr>
          </w:p>
          <w:p w14:paraId="3CBF6D5A" w14:textId="47B99A8B" w:rsidR="002B572B" w:rsidRPr="00840B12" w:rsidRDefault="002B572B" w:rsidP="002B572B">
            <w:pPr>
              <w:spacing w:after="0" w:line="240" w:lineRule="auto"/>
              <w:jc w:val="both"/>
              <w:rPr>
                <w:rFonts w:ascii="Arial" w:hAnsi="Arial" w:cs="Arial"/>
                <w:sz w:val="18"/>
                <w:szCs w:val="18"/>
                <w:lang w:val="en-US"/>
              </w:rPr>
            </w:pPr>
            <w:r w:rsidRPr="001E6C64">
              <w:rPr>
                <w:rFonts w:ascii="Arial" w:hAnsi="Arial" w:cs="Arial"/>
                <w:sz w:val="18"/>
                <w:szCs w:val="18"/>
                <w:lang w:val="ro-MD"/>
              </w:rPr>
              <w:t>Linia de referință: în 2024, timpul de soluționare a cazurilor de corupție în Judecătoria Chișinău a fost de 775,28 zile. Rata de soluționare era de 30,1 %.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0926C3" w14:textId="77777777" w:rsidR="002B572B" w:rsidRPr="001E6C64" w:rsidRDefault="002B572B" w:rsidP="002B572B">
            <w:pPr>
              <w:spacing w:after="0" w:line="240" w:lineRule="auto"/>
              <w:jc w:val="both"/>
              <w:rPr>
                <w:rFonts w:ascii="Arial" w:hAnsi="Arial" w:cs="Arial"/>
                <w:sz w:val="18"/>
                <w:szCs w:val="18"/>
                <w:lang w:val="ro-MD"/>
              </w:rPr>
            </w:pPr>
          </w:p>
          <w:p w14:paraId="2420D97D"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Cazurile conexe sunt conflictul de interese, abuzul de serviciu. Abuzul de putere etc. - acestea sunt definite în legislația MD drept infracțiuni legate de corupție.</w:t>
            </w:r>
          </w:p>
          <w:p w14:paraId="1B44514D" w14:textId="77777777" w:rsidR="002B572B" w:rsidRPr="001E6C64" w:rsidRDefault="002B572B" w:rsidP="002B572B">
            <w:pPr>
              <w:spacing w:after="0" w:line="240" w:lineRule="auto"/>
              <w:jc w:val="both"/>
              <w:rPr>
                <w:rFonts w:ascii="Arial" w:hAnsi="Arial" w:cs="Arial"/>
                <w:sz w:val="18"/>
                <w:szCs w:val="18"/>
                <w:lang w:val="ro-MD"/>
              </w:rPr>
            </w:pPr>
          </w:p>
          <w:p w14:paraId="26EFB5FD" w14:textId="77777777" w:rsidR="002B572B" w:rsidRPr="001E6C64" w:rsidRDefault="002B572B" w:rsidP="002B572B">
            <w:pPr>
              <w:spacing w:after="0" w:line="240" w:lineRule="auto"/>
              <w:jc w:val="both"/>
              <w:rPr>
                <w:rFonts w:ascii="Arial" w:hAnsi="Arial" w:cs="Arial"/>
                <w:sz w:val="18"/>
                <w:szCs w:val="18"/>
                <w:lang w:val="ro-MD"/>
              </w:rPr>
            </w:pPr>
          </w:p>
          <w:p w14:paraId="78A1AAC9" w14:textId="55257B88" w:rsidR="002B572B" w:rsidRPr="002B572B"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Sursa de verificare: Raportul anual de activitate al Judecătoriei Chișinău, hotărârile CSM privind monitorizarea periodică a cauzelor judiciare</w:t>
            </w:r>
          </w:p>
        </w:tc>
      </w:tr>
      <w:tr w:rsidR="002B572B" w:rsidRPr="00840B12" w14:paraId="552F5CFE"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B6474" w14:textId="0295B4BF" w:rsidR="002B572B" w:rsidRPr="00840B12" w:rsidRDefault="002B572B" w:rsidP="002B572B">
            <w:pPr>
              <w:pStyle w:val="paragraph"/>
              <w:spacing w:before="0" w:beforeAutospacing="0" w:after="0" w:afterAutospacing="0"/>
              <w:jc w:val="both"/>
              <w:rPr>
                <w:rFonts w:ascii="Arial" w:eastAsia="Calibri" w:hAnsi="Arial" w:cs="Arial"/>
                <w:sz w:val="18"/>
                <w:szCs w:val="18"/>
                <w:lang w:eastAsia="en-US"/>
              </w:rPr>
            </w:pPr>
            <w:r w:rsidRPr="001E6C64">
              <w:rPr>
                <w:rFonts w:ascii="Arial" w:eastAsia="Calibri" w:hAnsi="Arial" w:cs="Arial"/>
                <w:sz w:val="18"/>
                <w:szCs w:val="18"/>
                <w:lang w:val="ro-MD" w:eastAsia="en-US"/>
              </w:rPr>
              <w:t>Reforma sistemului judiciar și a procuraturii</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9A75B" w14:textId="74A2CFC4"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63994" w14:textId="7BC98B85" w:rsidR="002B572B" w:rsidRPr="002B572B" w:rsidRDefault="002B572B" w:rsidP="002B572B">
            <w:pPr>
              <w:spacing w:after="0" w:line="240" w:lineRule="auto"/>
              <w:jc w:val="both"/>
              <w:rPr>
                <w:rFonts w:ascii="Arial" w:hAnsi="Arial" w:cs="Arial"/>
                <w:sz w:val="18"/>
                <w:szCs w:val="18"/>
                <w:lang w:val="fr-FR"/>
              </w:rPr>
            </w:pPr>
            <w:r w:rsidRPr="001E6C64">
              <w:rPr>
                <w:rFonts w:ascii="Arial" w:hAnsi="Arial" w:cs="Arial"/>
                <w:sz w:val="18"/>
                <w:szCs w:val="18"/>
                <w:lang w:val="ro-MD"/>
              </w:rPr>
              <w:t>Consolidarea independenței, responsabilității și integrității sistemului de justiție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BD5C8" w14:textId="0D05E519"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2982B" w14:textId="77777777" w:rsidR="002B572B" w:rsidRPr="001E6C64" w:rsidRDefault="002B572B" w:rsidP="002B572B">
            <w:pPr>
              <w:spacing w:after="0" w:line="240" w:lineRule="auto"/>
              <w:jc w:val="both"/>
              <w:rPr>
                <w:rFonts w:ascii="Arial" w:hAnsi="Arial" w:cs="Arial"/>
                <w:sz w:val="18"/>
                <w:szCs w:val="18"/>
                <w:lang w:val="ro-MD"/>
              </w:rPr>
            </w:pPr>
            <w:r>
              <w:rPr>
                <w:rFonts w:ascii="Arial" w:hAnsi="Arial" w:cs="Arial"/>
                <w:sz w:val="18"/>
                <w:szCs w:val="18"/>
                <w:lang w:val="ro-MD"/>
              </w:rPr>
              <w:t>i</w:t>
            </w:r>
            <w:r w:rsidRPr="001E6C64">
              <w:rPr>
                <w:rFonts w:ascii="Arial" w:hAnsi="Arial" w:cs="Arial"/>
                <w:sz w:val="18"/>
                <w:szCs w:val="18"/>
                <w:lang w:val="ro-MD"/>
              </w:rPr>
              <w:t>unie 2026</w:t>
            </w:r>
          </w:p>
          <w:p w14:paraId="4E048A47" w14:textId="77777777" w:rsidR="002B572B" w:rsidRPr="001E6C64" w:rsidRDefault="002B572B" w:rsidP="002B572B">
            <w:pPr>
              <w:spacing w:after="0" w:line="240" w:lineRule="auto"/>
              <w:jc w:val="both"/>
              <w:rPr>
                <w:rFonts w:ascii="Arial" w:hAnsi="Arial" w:cs="Arial"/>
                <w:sz w:val="18"/>
                <w:szCs w:val="18"/>
                <w:lang w:val="ro-MD"/>
              </w:rPr>
            </w:pPr>
          </w:p>
          <w:p w14:paraId="1F39ABC6" w14:textId="77777777" w:rsidR="002B572B" w:rsidRPr="001E6C64" w:rsidRDefault="002B572B" w:rsidP="002B572B">
            <w:pPr>
              <w:spacing w:after="0" w:line="240" w:lineRule="auto"/>
              <w:jc w:val="both"/>
              <w:rPr>
                <w:rFonts w:ascii="Arial" w:hAnsi="Arial" w:cs="Arial"/>
                <w:sz w:val="18"/>
                <w:szCs w:val="18"/>
                <w:lang w:val="ro-MD"/>
              </w:rPr>
            </w:pPr>
          </w:p>
          <w:p w14:paraId="027F8694" w14:textId="77777777" w:rsidR="002B572B" w:rsidRPr="001E6C64" w:rsidRDefault="002B572B" w:rsidP="002B572B">
            <w:pPr>
              <w:spacing w:after="0" w:line="240" w:lineRule="auto"/>
              <w:jc w:val="both"/>
              <w:rPr>
                <w:rFonts w:ascii="Arial" w:hAnsi="Arial" w:cs="Arial"/>
                <w:sz w:val="18"/>
                <w:szCs w:val="18"/>
                <w:lang w:val="ro-MD"/>
              </w:rPr>
            </w:pPr>
          </w:p>
          <w:p w14:paraId="715A7F5B" w14:textId="77777777" w:rsidR="002B572B" w:rsidRPr="001E6C64" w:rsidRDefault="002B572B" w:rsidP="002B572B">
            <w:pPr>
              <w:spacing w:after="0" w:line="240" w:lineRule="auto"/>
              <w:jc w:val="both"/>
              <w:rPr>
                <w:rFonts w:ascii="Arial" w:hAnsi="Arial" w:cs="Arial"/>
                <w:sz w:val="18"/>
                <w:szCs w:val="18"/>
                <w:lang w:val="ro-MD"/>
              </w:rPr>
            </w:pPr>
          </w:p>
          <w:p w14:paraId="37D4AA9E" w14:textId="77777777" w:rsidR="002B572B" w:rsidRPr="001E6C64" w:rsidRDefault="002B572B" w:rsidP="002B572B">
            <w:pPr>
              <w:spacing w:after="0" w:line="240" w:lineRule="auto"/>
              <w:jc w:val="both"/>
              <w:rPr>
                <w:rFonts w:ascii="Arial" w:hAnsi="Arial" w:cs="Arial"/>
                <w:sz w:val="18"/>
                <w:szCs w:val="18"/>
                <w:lang w:val="ro-MD"/>
              </w:rPr>
            </w:pPr>
          </w:p>
          <w:p w14:paraId="74A230CF" w14:textId="77777777" w:rsidR="002B572B" w:rsidRPr="001E6C64" w:rsidRDefault="002B572B" w:rsidP="002B572B">
            <w:pPr>
              <w:spacing w:after="0" w:line="240" w:lineRule="auto"/>
              <w:jc w:val="both"/>
              <w:rPr>
                <w:rFonts w:ascii="Arial" w:hAnsi="Arial" w:cs="Arial"/>
                <w:sz w:val="18"/>
                <w:szCs w:val="18"/>
                <w:lang w:val="ro-MD"/>
              </w:rPr>
            </w:pPr>
          </w:p>
          <w:p w14:paraId="0D3764FF" w14:textId="77777777" w:rsidR="002B572B" w:rsidRPr="001E6C64" w:rsidRDefault="002B572B" w:rsidP="002B572B">
            <w:pPr>
              <w:spacing w:after="0" w:line="240" w:lineRule="auto"/>
              <w:jc w:val="both"/>
              <w:rPr>
                <w:rFonts w:ascii="Arial" w:hAnsi="Arial" w:cs="Arial"/>
                <w:sz w:val="18"/>
                <w:szCs w:val="18"/>
                <w:lang w:val="ro-MD"/>
              </w:rPr>
            </w:pPr>
          </w:p>
          <w:p w14:paraId="140F9441" w14:textId="77777777" w:rsidR="002B572B" w:rsidRPr="00840B12" w:rsidRDefault="002B572B" w:rsidP="002B572B">
            <w:pPr>
              <w:spacing w:after="0" w:line="240" w:lineRule="auto"/>
              <w:jc w:val="both"/>
              <w:rPr>
                <w:rFonts w:ascii="Arial" w:hAnsi="Arial" w:cs="Arial"/>
                <w:sz w:val="18"/>
                <w:szCs w:val="18"/>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92FB0"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Ministerul Justiției</w:t>
            </w:r>
          </w:p>
          <w:p w14:paraId="31976235" w14:textId="77777777" w:rsidR="002B572B" w:rsidRPr="001E6C64" w:rsidRDefault="002B572B" w:rsidP="002B572B">
            <w:pPr>
              <w:spacing w:after="0" w:line="240" w:lineRule="auto"/>
              <w:jc w:val="both"/>
              <w:rPr>
                <w:rFonts w:ascii="Arial" w:hAnsi="Arial" w:cs="Arial"/>
                <w:sz w:val="18"/>
                <w:szCs w:val="18"/>
                <w:lang w:val="ro-MD"/>
              </w:rPr>
            </w:pPr>
          </w:p>
          <w:p w14:paraId="0C91C3AE" w14:textId="179F5B0E" w:rsidR="002B572B" w:rsidRPr="00840B12" w:rsidRDefault="002B572B" w:rsidP="002B572B">
            <w:pPr>
              <w:spacing w:after="0" w:line="240" w:lineRule="auto"/>
              <w:jc w:val="both"/>
              <w:rPr>
                <w:rFonts w:ascii="Arial" w:hAnsi="Arial" w:cs="Arial"/>
                <w:sz w:val="18"/>
                <w:szCs w:val="18"/>
              </w:rPr>
            </w:pPr>
            <w:r w:rsidRPr="001E6C64">
              <w:rPr>
                <w:rFonts w:ascii="Arial" w:hAnsi="Arial" w:cs="Arial"/>
                <w:sz w:val="18"/>
                <w:szCs w:val="18"/>
                <w:lang w:val="ro-MD"/>
              </w:rPr>
              <w:t>Consiliul Superior al Magistraturii</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A375F"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Consiliile specializate ale CSM și CSP sunt operaționale, cu cel puțin 2/3 din membrii lor numiți dintre candidații verificați. Curtea Supremă de Justiție este operațională, cu cel puțin 4 membri suplimentari numiți permanent din rândul candidaților verificați.  </w:t>
            </w:r>
          </w:p>
          <w:p w14:paraId="0C1AF9E7" w14:textId="77777777" w:rsidR="002B572B" w:rsidRPr="001E6C64" w:rsidRDefault="002B572B" w:rsidP="002B572B">
            <w:pPr>
              <w:spacing w:after="0" w:line="240" w:lineRule="auto"/>
              <w:jc w:val="both"/>
              <w:rPr>
                <w:rFonts w:ascii="Arial" w:hAnsi="Arial" w:cs="Arial"/>
                <w:sz w:val="18"/>
                <w:szCs w:val="18"/>
                <w:lang w:val="ro-MD"/>
              </w:rPr>
            </w:pPr>
          </w:p>
          <w:p w14:paraId="01F1C3DA" w14:textId="77777777" w:rsidR="002B572B" w:rsidRPr="001E6C64" w:rsidRDefault="002B572B" w:rsidP="002B572B">
            <w:pPr>
              <w:spacing w:after="0" w:line="240" w:lineRule="auto"/>
              <w:jc w:val="both"/>
              <w:rPr>
                <w:rFonts w:ascii="Arial" w:hAnsi="Arial" w:cs="Arial"/>
                <w:sz w:val="18"/>
                <w:szCs w:val="18"/>
                <w:lang w:val="ro-MD"/>
              </w:rPr>
            </w:pPr>
          </w:p>
          <w:p w14:paraId="32F326C3"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Linia de referință: Până în februarie 2025, Comisia pentru proceduri disciplinare a CSM avea 4 membri verificați (din 7 membri pentru componența completă, 5 pentru a fi operaționali) numiți; membrii Comisiei de Evaluare a CSP </w:t>
            </w:r>
            <w:r w:rsidRPr="001E6C64">
              <w:rPr>
                <w:rFonts w:ascii="Arial" w:hAnsi="Arial" w:cs="Arial"/>
                <w:sz w:val="18"/>
                <w:szCs w:val="18"/>
                <w:lang w:val="ro-MD"/>
              </w:rPr>
              <w:lastRenderedPageBreak/>
              <w:t>aveau 2 membri verificați (din 7 pentru componența completă, 5 pentru a fi operaționali) numiți;</w:t>
            </w:r>
          </w:p>
          <w:p w14:paraId="3522D2E5"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Comisia pentru proceduri disciplinare a CSM a avut 2 membri verificați (din 7 membri pentru componența completă, 5 pentru a fi operaționali);</w:t>
            </w:r>
          </w:p>
          <w:p w14:paraId="63E0EB30" w14:textId="140173AF" w:rsidR="002B572B" w:rsidRPr="002B572B"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CSJ a inclus 5 membri permanenți verificați, numiți din 20 de membri pentru componența completă și din 9 pentru a fi operaționali.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4E61F" w14:textId="77777777" w:rsidR="002B572B" w:rsidRPr="001E6C64" w:rsidRDefault="002B572B" w:rsidP="002B572B">
            <w:pPr>
              <w:spacing w:after="0"/>
              <w:ind w:left="13" w:right="-104" w:hanging="13"/>
              <w:jc w:val="both"/>
              <w:rPr>
                <w:rFonts w:ascii="Arial" w:hAnsi="Arial" w:cs="Arial"/>
                <w:sz w:val="18"/>
                <w:szCs w:val="18"/>
                <w:lang w:val="ro-MD"/>
              </w:rPr>
            </w:pPr>
            <w:r w:rsidRPr="001E6C64">
              <w:rPr>
                <w:rFonts w:ascii="Arial" w:hAnsi="Arial" w:cs="Arial"/>
                <w:sz w:val="18"/>
                <w:szCs w:val="18"/>
                <w:lang w:val="ro-MD"/>
              </w:rPr>
              <w:lastRenderedPageBreak/>
              <w:t>Două treimi din membrii Comisiilor specializate ale CSM și CSP - ceea ce ar permite comisiilor să fie operaționale cu un cvorum - corespund la:</w:t>
            </w:r>
          </w:p>
          <w:p w14:paraId="77DD211A" w14:textId="77777777" w:rsidR="002B572B" w:rsidRPr="001E6C64" w:rsidRDefault="002B572B" w:rsidP="002B572B">
            <w:pPr>
              <w:spacing w:after="0"/>
              <w:ind w:left="13" w:right="-104" w:hanging="13"/>
              <w:jc w:val="both"/>
              <w:rPr>
                <w:rFonts w:ascii="Arial" w:hAnsi="Arial" w:cs="Arial"/>
                <w:sz w:val="18"/>
                <w:szCs w:val="18"/>
                <w:lang w:val="ro-MD"/>
              </w:rPr>
            </w:pPr>
            <w:r w:rsidRPr="001E6C64">
              <w:rPr>
                <w:rFonts w:ascii="Arial" w:hAnsi="Arial" w:cs="Arial"/>
                <w:sz w:val="18"/>
                <w:szCs w:val="18"/>
                <w:lang w:val="ro-MD"/>
              </w:rPr>
              <w:t>5 membri ai Comisiei pentru proceduri disciplinare a CSM; 5 membri ai Comisiei de Evaluare a CSP; 5 membri ai Comisiei de Disciplină a CSP.</w:t>
            </w:r>
          </w:p>
          <w:p w14:paraId="794BED95" w14:textId="77777777" w:rsidR="002B572B" w:rsidRPr="001E6C64" w:rsidRDefault="002B572B" w:rsidP="002B572B">
            <w:pPr>
              <w:spacing w:after="0"/>
              <w:ind w:left="13" w:right="-104" w:hanging="13"/>
              <w:jc w:val="both"/>
              <w:rPr>
                <w:rFonts w:ascii="Arial" w:hAnsi="Arial" w:cs="Arial"/>
                <w:sz w:val="18"/>
                <w:szCs w:val="18"/>
                <w:lang w:val="ro-MD"/>
              </w:rPr>
            </w:pPr>
          </w:p>
          <w:p w14:paraId="70E6792B" w14:textId="77777777" w:rsidR="002B572B" w:rsidRPr="001E6C64" w:rsidRDefault="002B572B" w:rsidP="002B572B">
            <w:pPr>
              <w:spacing w:after="0"/>
              <w:ind w:left="13" w:right="-104" w:hanging="13"/>
              <w:jc w:val="both"/>
              <w:rPr>
                <w:rFonts w:ascii="Arial" w:hAnsi="Arial" w:cs="Arial"/>
                <w:sz w:val="18"/>
                <w:szCs w:val="18"/>
                <w:lang w:val="ro-MD"/>
              </w:rPr>
            </w:pPr>
          </w:p>
          <w:p w14:paraId="062DAFE1" w14:textId="54C35331" w:rsidR="002B572B" w:rsidRPr="00840B12" w:rsidRDefault="002B572B" w:rsidP="002B572B">
            <w:pPr>
              <w:spacing w:after="0"/>
              <w:jc w:val="both"/>
              <w:rPr>
                <w:rFonts w:ascii="Arial" w:hAnsi="Arial" w:cs="Arial"/>
                <w:sz w:val="18"/>
                <w:szCs w:val="18"/>
              </w:rPr>
            </w:pPr>
            <w:r w:rsidRPr="001E6C64">
              <w:rPr>
                <w:rFonts w:ascii="Arial" w:hAnsi="Arial" w:cs="Arial"/>
                <w:sz w:val="18"/>
                <w:szCs w:val="18"/>
                <w:lang w:val="ro-MD"/>
              </w:rPr>
              <w:t>Sursa de verificare: Hotărârile Comisiilor de vetting privind evaluarea și hotărârile CSM/CSP (concurs organizat și candidați selectați).</w:t>
            </w:r>
          </w:p>
        </w:tc>
      </w:tr>
      <w:tr w:rsidR="002B572B" w:rsidRPr="00BD0643" w14:paraId="26BB8750"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F6C85" w14:textId="77777777" w:rsidR="002B572B" w:rsidRPr="00840B12" w:rsidRDefault="002B572B" w:rsidP="002B572B">
            <w:pPr>
              <w:pStyle w:val="paragraph"/>
              <w:jc w:val="both"/>
              <w:rPr>
                <w:rFonts w:ascii="Arial" w:eastAsia="Calibri" w:hAnsi="Arial" w:cs="Arial"/>
                <w:i/>
                <w:iCs/>
                <w:sz w:val="18"/>
                <w:szCs w:val="18"/>
                <w:lang w:eastAsia="en-US"/>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2E18B" w14:textId="77777777" w:rsidR="002B572B" w:rsidRPr="00840B12" w:rsidRDefault="002B572B" w:rsidP="002B572B">
            <w:pPr>
              <w:spacing w:line="240" w:lineRule="auto"/>
              <w:jc w:val="both"/>
              <w:rPr>
                <w:rFonts w:ascii="Arial" w:hAnsi="Arial" w:cs="Arial"/>
                <w:i/>
                <w:iCs/>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33FF3" w14:textId="36BC7669" w:rsidR="002B572B" w:rsidRPr="002B572B" w:rsidRDefault="002B572B" w:rsidP="002B572B">
            <w:pPr>
              <w:spacing w:line="240" w:lineRule="auto"/>
              <w:jc w:val="both"/>
              <w:rPr>
                <w:rFonts w:ascii="Arial" w:hAnsi="Arial" w:cs="Arial"/>
                <w:sz w:val="18"/>
                <w:szCs w:val="18"/>
                <w:lang w:val="fr-FR"/>
              </w:rPr>
            </w:pPr>
            <w:r w:rsidRPr="001E6C64">
              <w:rPr>
                <w:rFonts w:ascii="Arial" w:hAnsi="Arial" w:cs="Arial"/>
                <w:sz w:val="18"/>
                <w:szCs w:val="18"/>
                <w:lang w:val="ro-MD"/>
              </w:rPr>
              <w:t>Consolidarea independenței, responsabilității și integrității sistemului de justiție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93ECB" w14:textId="55CCEA21" w:rsidR="002B572B" w:rsidRPr="00840B12" w:rsidRDefault="002B572B" w:rsidP="002B572B">
            <w:pPr>
              <w:spacing w:line="240" w:lineRule="auto"/>
              <w:jc w:val="both"/>
              <w:rPr>
                <w:rFonts w:ascii="Arial" w:hAnsi="Arial" w:cs="Arial"/>
                <w:sz w:val="18"/>
                <w:szCs w:val="18"/>
              </w:rPr>
            </w:pPr>
            <w:r w:rsidRPr="001E6C64">
              <w:rPr>
                <w:rFonts w:ascii="Arial" w:hAnsi="Arial" w:cs="Arial"/>
                <w:sz w:val="18"/>
                <w:szCs w:val="18"/>
                <w:lang w:val="ro-MD"/>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AD2B4" w14:textId="52230769" w:rsidR="002B572B" w:rsidRPr="00840B12" w:rsidRDefault="002B572B" w:rsidP="002B572B">
            <w:pPr>
              <w:spacing w:line="240" w:lineRule="auto"/>
              <w:jc w:val="both"/>
              <w:rPr>
                <w:rFonts w:ascii="Arial" w:hAnsi="Arial" w:cs="Arial"/>
                <w:sz w:val="18"/>
                <w:szCs w:val="18"/>
              </w:rPr>
            </w:pPr>
            <w:r w:rsidRPr="001E6C64">
              <w:rPr>
                <w:rFonts w:ascii="Arial" w:hAnsi="Arial" w:cs="Arial"/>
                <w:sz w:val="18"/>
                <w:szCs w:val="18"/>
                <w:lang w:val="ro-MD"/>
              </w:rPr>
              <w:t xml:space="preserve">  </w:t>
            </w:r>
            <w:r>
              <w:rPr>
                <w:rFonts w:ascii="Arial" w:hAnsi="Arial" w:cs="Arial"/>
                <w:sz w:val="18"/>
                <w:szCs w:val="18"/>
                <w:lang w:val="ro-MD"/>
              </w:rPr>
              <w:t>d</w:t>
            </w:r>
            <w:r w:rsidRPr="001E6C64">
              <w:rPr>
                <w:rFonts w:ascii="Arial" w:hAnsi="Arial" w:cs="Arial"/>
                <w:sz w:val="18"/>
                <w:szCs w:val="18"/>
                <w:lang w:val="ro-MD"/>
              </w:rPr>
              <w:t>ecembrie 2025</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02555"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Ministerul Justiției</w:t>
            </w:r>
          </w:p>
          <w:p w14:paraId="4604EDB8" w14:textId="77777777" w:rsidR="002B572B" w:rsidRPr="001E6C64" w:rsidRDefault="002B572B" w:rsidP="002B572B">
            <w:pPr>
              <w:spacing w:after="0" w:line="240" w:lineRule="auto"/>
              <w:jc w:val="both"/>
              <w:rPr>
                <w:rFonts w:ascii="Arial" w:hAnsi="Arial" w:cs="Arial"/>
                <w:sz w:val="18"/>
                <w:szCs w:val="18"/>
                <w:lang w:val="ro-MD"/>
              </w:rPr>
            </w:pPr>
          </w:p>
          <w:p w14:paraId="13F21F08" w14:textId="77777777" w:rsidR="002B572B" w:rsidRPr="00840B12" w:rsidRDefault="002B572B" w:rsidP="002B572B">
            <w:pPr>
              <w:spacing w:line="240" w:lineRule="auto"/>
              <w:jc w:val="both"/>
              <w:rPr>
                <w:rFonts w:ascii="Arial" w:hAnsi="Arial" w:cs="Arial"/>
                <w:sz w:val="18"/>
                <w:szCs w:val="18"/>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7C64" w14:textId="77777777" w:rsidR="002B572B" w:rsidRPr="001E6C64"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100% dintre judecătorii în funcție ai celor trei Curți de Apel din MD sunt verificați, pentru a fi ulterior confirmați în funcție.</w:t>
            </w:r>
          </w:p>
          <w:p w14:paraId="6750EC48" w14:textId="77777777" w:rsidR="002B572B" w:rsidRPr="001E6C64" w:rsidRDefault="002B572B" w:rsidP="002B572B">
            <w:pPr>
              <w:spacing w:after="0" w:line="240" w:lineRule="auto"/>
              <w:jc w:val="both"/>
              <w:rPr>
                <w:rFonts w:ascii="Arial" w:hAnsi="Arial" w:cs="Arial"/>
                <w:sz w:val="18"/>
                <w:szCs w:val="18"/>
                <w:lang w:val="ro-MD"/>
              </w:rPr>
            </w:pPr>
          </w:p>
          <w:p w14:paraId="3EB519B9" w14:textId="26856BD6" w:rsidR="002B572B" w:rsidRPr="002B572B" w:rsidRDefault="002B572B" w:rsidP="002B572B">
            <w:pPr>
              <w:spacing w:after="0" w:line="240" w:lineRule="auto"/>
              <w:jc w:val="both"/>
              <w:rPr>
                <w:rFonts w:ascii="Arial" w:hAnsi="Arial" w:cs="Arial"/>
                <w:sz w:val="18"/>
                <w:szCs w:val="18"/>
                <w:lang w:val="ro-MD"/>
              </w:rPr>
            </w:pPr>
            <w:r w:rsidRPr="001E6C64">
              <w:rPr>
                <w:rFonts w:ascii="Arial" w:hAnsi="Arial" w:cs="Arial"/>
                <w:sz w:val="18"/>
                <w:szCs w:val="18"/>
                <w:lang w:val="ro-MD"/>
              </w:rPr>
              <w:t>Linia de referință: Până în februarie 2025, 1 judecător al Curții de Apel se află în funcție și a fost deja verificat, din totalul de 27 de judecători în funcție care urmează să fie verificați. 18 judecători de la Curtea de Apel Chișinău sunt în curs de verificare și 8 judecători de la celelalte două Curți de Apel.</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289D0" w14:textId="77777777" w:rsidR="002B572B" w:rsidRPr="001E6C64" w:rsidRDefault="002B572B" w:rsidP="002B572B">
            <w:pPr>
              <w:spacing w:after="0"/>
              <w:jc w:val="both"/>
              <w:rPr>
                <w:rFonts w:ascii="Arial" w:hAnsi="Arial" w:cs="Arial"/>
                <w:sz w:val="18"/>
                <w:szCs w:val="18"/>
                <w:lang w:val="ro-MD"/>
              </w:rPr>
            </w:pPr>
            <w:r w:rsidRPr="001E6C64">
              <w:rPr>
                <w:rFonts w:ascii="Arial" w:hAnsi="Arial" w:cs="Arial"/>
                <w:sz w:val="18"/>
                <w:szCs w:val="18"/>
                <w:lang w:val="ro-MD"/>
              </w:rPr>
              <w:t xml:space="preserve">Procesul de vetting verifică integritatea etică și financiară a judecătorilor și procurorilor de rang înalt din Moldova. Verificarea judecătorilor de la Curțile de Apel urmează prevederile Legii 252 din 17.08.2023. Verificarea este efectuată de Comisia de calificare și evaluare a experților judiciari, cu membri internaționali și naționali, iar raportul de evaluare este apoi examinat de Consiliul Superior al Magistraturii. </w:t>
            </w:r>
          </w:p>
          <w:p w14:paraId="660DD39E" w14:textId="77777777" w:rsidR="002B572B" w:rsidRPr="001E6C64" w:rsidRDefault="002B572B" w:rsidP="002B572B">
            <w:pPr>
              <w:spacing w:after="0"/>
              <w:jc w:val="both"/>
              <w:rPr>
                <w:rFonts w:ascii="Arial" w:hAnsi="Arial" w:cs="Arial"/>
                <w:sz w:val="18"/>
                <w:szCs w:val="18"/>
                <w:lang w:val="ro-MD"/>
              </w:rPr>
            </w:pPr>
          </w:p>
          <w:p w14:paraId="4DC9FE66" w14:textId="3B7C332F" w:rsidR="002B572B" w:rsidRPr="002B572B" w:rsidRDefault="002B572B" w:rsidP="002B572B">
            <w:pPr>
              <w:spacing w:after="0"/>
              <w:jc w:val="both"/>
              <w:rPr>
                <w:rFonts w:ascii="Arial" w:hAnsi="Arial" w:cs="Arial"/>
                <w:sz w:val="18"/>
                <w:szCs w:val="18"/>
                <w:lang w:val="ro-MD"/>
              </w:rPr>
            </w:pPr>
            <w:r w:rsidRPr="001E6C64">
              <w:rPr>
                <w:rFonts w:ascii="Arial" w:hAnsi="Arial" w:cs="Arial"/>
                <w:sz w:val="18"/>
                <w:szCs w:val="18"/>
                <w:lang w:val="ro-MD"/>
              </w:rPr>
              <w:t>Sursa de verificare: Hotărârile Comisiei de calificare și evaluare a experților judiciari privind vettingul și hotărârile CSM (concurs organizat și candidați selectați).</w:t>
            </w:r>
          </w:p>
        </w:tc>
      </w:tr>
      <w:tr w:rsidR="00C56981" w:rsidRPr="00BD0643" w14:paraId="0025DC8F"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17935" w14:textId="47CF55B3"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 xml:space="preserve">Reforma sistemului judiciar și a procuraturii </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3C1F8" w14:textId="3AD84D40"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51E29" w14:textId="203D33ED"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Construirea în continuare a unei administrații mai eficiente, moderne, digitale și ușor de manevrat a sectorului justiției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2E749" w14:textId="2F3A2270"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F8D92" w14:textId="376DA733" w:rsidR="00C56981" w:rsidRPr="00840B12" w:rsidRDefault="00C56981" w:rsidP="00C56981">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2027</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08B88"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Ministerul Justiției</w:t>
            </w:r>
          </w:p>
          <w:p w14:paraId="0BB59097" w14:textId="77777777" w:rsidR="00C56981" w:rsidRPr="001E6C64" w:rsidRDefault="00C56981" w:rsidP="00C56981">
            <w:pPr>
              <w:spacing w:after="0" w:line="240" w:lineRule="auto"/>
              <w:jc w:val="both"/>
              <w:rPr>
                <w:rFonts w:ascii="Arial" w:hAnsi="Arial" w:cs="Arial"/>
                <w:sz w:val="18"/>
                <w:szCs w:val="18"/>
                <w:lang w:val="ro-MD"/>
              </w:rPr>
            </w:pPr>
          </w:p>
          <w:p w14:paraId="69754ABA" w14:textId="4F789C77"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Agenția Digitalizare în Justiție și Administrare Judecătorească</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75021"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Pentru a crește transparența și eficiența sectorului justiției, aplicația E-File este operațională în toate instanțele de prim grad de jurisdicție și cel puțin 15% din toate cazurile sunt prezentate și prelucrate prin intermediul acestei aplicații. Programul Integrat de Gestionare a Dosarelor (PIGD) este operațional, acoperind 100 % din toate cauzele, toate datele fiind accesibile în format electronic și conexiunea cu 7 sisteme informatice este asigurată.</w:t>
            </w:r>
          </w:p>
          <w:p w14:paraId="5669E617" w14:textId="77777777" w:rsidR="00C56981" w:rsidRPr="001E6C64" w:rsidRDefault="00C56981" w:rsidP="00C56981">
            <w:pPr>
              <w:spacing w:after="0" w:line="240" w:lineRule="auto"/>
              <w:jc w:val="both"/>
              <w:rPr>
                <w:rFonts w:ascii="Arial" w:hAnsi="Arial" w:cs="Arial"/>
                <w:sz w:val="18"/>
                <w:szCs w:val="18"/>
                <w:lang w:val="ro-MD"/>
              </w:rPr>
            </w:pPr>
          </w:p>
          <w:p w14:paraId="37ACF3F8"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Linia de referință: Aplicația E-File este utilizată în mod experimental în toate instanțele, dar acoperirea este de 0,4 % din toate cazurile. PIGD este aplicat din 2009 în toate instanțele, dar se află încă într-un stadiu de pilotare, deoarece nu a fost implementat. </w:t>
            </w:r>
          </w:p>
          <w:p w14:paraId="7E9DA401" w14:textId="77777777" w:rsidR="00C56981" w:rsidRPr="00C56981" w:rsidRDefault="00C56981" w:rsidP="00C56981">
            <w:pPr>
              <w:spacing w:after="0" w:line="240" w:lineRule="auto"/>
              <w:jc w:val="both"/>
              <w:rPr>
                <w:rFonts w:ascii="Arial" w:hAnsi="Arial" w:cs="Arial"/>
                <w:sz w:val="18"/>
                <w:szCs w:val="18"/>
                <w:lang w:val="fr-FR"/>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F1286"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Sistemul E-file este utilizat pentru crearea și gestionarea dosarelor judiciare electronice, accesul fiind acordat participanților la proces. Cel puțin 15 % din totalul cauzelor (penale, civile, contravenționale) sunt introduse și prelucrate prin intermediul aplicației E-file.</w:t>
            </w:r>
          </w:p>
          <w:p w14:paraId="14C65455" w14:textId="77777777" w:rsidR="00C56981" w:rsidRPr="001E6C64" w:rsidRDefault="00C56981" w:rsidP="00C56981">
            <w:pPr>
              <w:spacing w:after="0" w:line="240" w:lineRule="auto"/>
              <w:jc w:val="both"/>
              <w:rPr>
                <w:rFonts w:ascii="Arial" w:hAnsi="Arial" w:cs="Arial"/>
                <w:sz w:val="18"/>
                <w:szCs w:val="18"/>
                <w:lang w:val="ro-MD"/>
              </w:rPr>
            </w:pPr>
          </w:p>
          <w:p w14:paraId="179E01F5"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PIGD este o aplicație pentru documentarea, înregistrarea și controlul automat al activității de gestionare electronică a dosarelor și a altor materiale procedurale emise de instanțe.  Acesta este conectat la 7 sisteme informatice naționale pentru a asigura un schimb fluid de date. Interoperabilitatea între sisteme este aplicată la toate etapele de examinare a cauzelor. </w:t>
            </w:r>
          </w:p>
          <w:p w14:paraId="23BDD143" w14:textId="77777777" w:rsidR="00C56981" w:rsidRPr="001E6C64" w:rsidRDefault="00C56981" w:rsidP="00C56981">
            <w:pPr>
              <w:spacing w:after="0" w:line="240" w:lineRule="auto"/>
              <w:jc w:val="both"/>
              <w:rPr>
                <w:rFonts w:ascii="Arial" w:hAnsi="Arial" w:cs="Arial"/>
                <w:sz w:val="18"/>
                <w:szCs w:val="18"/>
                <w:lang w:val="ro-MD"/>
              </w:rPr>
            </w:pPr>
          </w:p>
          <w:p w14:paraId="44EAE702" w14:textId="4411AA7A"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Sursa de verificare: rapoarte ale Agenției Digitalizare în Justiție și Administrare Judecătorească, rapoarte statistice ale PIGD și soluția E-Court File. Poate fi verificată, de asemenea, prin intermediul unui extras sau al verificărilor la fața locului.</w:t>
            </w:r>
          </w:p>
        </w:tc>
      </w:tr>
      <w:tr w:rsidR="00C56981" w:rsidRPr="00BD0643" w14:paraId="4487EA6C"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B0FAC" w14:textId="0B186A2C"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Reforma sistem</w:t>
            </w:r>
            <w:r w:rsidRPr="001E6C64">
              <w:rPr>
                <w:rFonts w:ascii="Arial" w:hAnsi="Arial" w:cs="Arial"/>
                <w:sz w:val="18"/>
                <w:szCs w:val="18"/>
                <w:lang w:val="ro-MD"/>
              </w:rPr>
              <w:lastRenderedPageBreak/>
              <w:t>ului judiciar și a procuraturii</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51C64" w14:textId="22F49F6B"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lastRenderedPageBreak/>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F0790" w14:textId="668FB7DD"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 xml:space="preserve">Construirea în continuare a unei </w:t>
            </w:r>
            <w:r w:rsidRPr="001E6C64">
              <w:rPr>
                <w:rFonts w:ascii="Arial" w:hAnsi="Arial" w:cs="Arial"/>
                <w:sz w:val="18"/>
                <w:szCs w:val="18"/>
                <w:lang w:val="ro-MD"/>
              </w:rPr>
              <w:lastRenderedPageBreak/>
              <w:t>administrații mai eficiente, moderne, digitale și ușor de manevrat a sectorului justiției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1F3FB" w14:textId="780A9E58"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lastRenderedPageBreak/>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9C7C4" w14:textId="4FF7E4A0" w:rsidR="00C56981" w:rsidRPr="00840B12" w:rsidRDefault="00C56981" w:rsidP="00C56981">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2027</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16D1C" w14:textId="5B417937"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Consiliul Superior al Magistraturii</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648BB"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Reducerea cu 30 % a timpului de soluționare a cauzelor administrative în instanțele de fond față de 2023. Creșterea ratei de soluționare la 110% pentru cauzele </w:t>
            </w:r>
            <w:r w:rsidRPr="001E6C64">
              <w:rPr>
                <w:rFonts w:ascii="Arial" w:hAnsi="Arial" w:cs="Arial"/>
                <w:sz w:val="18"/>
                <w:szCs w:val="18"/>
                <w:lang w:val="ro-MD"/>
              </w:rPr>
              <w:lastRenderedPageBreak/>
              <w:t xml:space="preserve">civile și comerciale și la 100% pentru cauzele administrative în instanțele de fond și de apel. </w:t>
            </w:r>
          </w:p>
          <w:p w14:paraId="0FA1230D" w14:textId="77777777" w:rsidR="00C56981" w:rsidRPr="001E6C64" w:rsidRDefault="00C56981" w:rsidP="00C56981">
            <w:pPr>
              <w:spacing w:after="0" w:line="240" w:lineRule="auto"/>
              <w:jc w:val="both"/>
              <w:rPr>
                <w:rFonts w:ascii="Arial" w:hAnsi="Arial" w:cs="Arial"/>
                <w:sz w:val="18"/>
                <w:szCs w:val="18"/>
                <w:lang w:val="ro-MD"/>
              </w:rPr>
            </w:pPr>
          </w:p>
          <w:p w14:paraId="33CA5987"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Linia de referință: conform raportului CEPEJ 2024, date 2023:</w:t>
            </w:r>
          </w:p>
          <w:p w14:paraId="1D9019C5" w14:textId="74D96589"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Timpul de soluționare a cauzelor administrative în instanțele de fond în 2023: 544 de zile. Rata de soluționare a cauzelor civile și comerciale: 98 % (prima instanță) și 96 % (a doua instanță) în 2023. Rata de soluționare a cauzelor administrative: 76% (prima instanță) și 96% (a doua instanță) în 2023.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E8BAA"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lastRenderedPageBreak/>
              <w:t xml:space="preserve">Timpul de soluționare compară numărul de cazuri soluționate în timpul perioadei observate și numărul de cazuri nesoluționate la sfârșitul perioadei observate. </w:t>
            </w:r>
            <w:r w:rsidRPr="001E6C64">
              <w:rPr>
                <w:rFonts w:ascii="Arial" w:hAnsi="Arial" w:cs="Arial"/>
                <w:sz w:val="18"/>
                <w:szCs w:val="18"/>
                <w:lang w:val="ro-MD"/>
              </w:rPr>
              <w:lastRenderedPageBreak/>
              <w:t xml:space="preserve">365 este împărțit la numărul de cazuri soluționate împărțit la numărul de cazuri nesoluționate la sfârșit, pentru a putea fi exprimat în zile. Raportul măsoară cât timp este necesar pentru ca un tip de cazuri să fie soluționate. </w:t>
            </w:r>
          </w:p>
          <w:p w14:paraId="1720B142"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Rata de soluționare este raportul dintre cazurile noi și cazurile soluționate într-o anumită perioadă, exprimat în procente.</w:t>
            </w:r>
          </w:p>
          <w:p w14:paraId="5C3CE2CD" w14:textId="77777777" w:rsidR="00C56981" w:rsidRPr="001E6C64" w:rsidRDefault="00C56981" w:rsidP="00C56981">
            <w:pPr>
              <w:spacing w:after="0" w:line="240" w:lineRule="auto"/>
              <w:jc w:val="both"/>
              <w:rPr>
                <w:rFonts w:ascii="Arial" w:hAnsi="Arial" w:cs="Arial"/>
                <w:sz w:val="18"/>
                <w:szCs w:val="18"/>
                <w:lang w:val="ro-MD"/>
              </w:rPr>
            </w:pPr>
          </w:p>
          <w:p w14:paraId="1486AC51" w14:textId="26D5CAA9"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Sursa de verificare: Tabloul de bord al justiției.</w:t>
            </w:r>
          </w:p>
        </w:tc>
      </w:tr>
      <w:tr w:rsidR="00C56981" w:rsidRPr="00BD0643" w14:paraId="4FCE2A71"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915B7" w14:textId="090722F9"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lastRenderedPageBreak/>
              <w:t>Investigații privind combaterea spălării banilor și a criminalității financiare</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2D737" w14:textId="2475697C"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70244" w14:textId="44210E77"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Crearea unor condiții de concurență echitabile pentru întreprinderi prin combaterea criminalității economice și a spălării banilor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EC7C5" w14:textId="5CAC7BDD"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28B9C" w14:textId="2C6E8CB2" w:rsidR="00C56981" w:rsidRPr="00840B12" w:rsidRDefault="00C56981" w:rsidP="00C56981">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2025</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71F77" w14:textId="281854B8"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Agenția Servicii Publice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60548"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Un registru central al beneficiarilor efectivi (BE) este pe deplin operațional și actualizat, asigurând un acces transparent pentru autoritățile competente, UIF și entitățile obligate; iar sancțiunile pentru nerespectarea obligațiilor BE sunt aplicate, după caz. 90% dintre întreprinderile active au depus declarația de BE. Acces acordat (i) tuturor autorităților competente și UIF, (ii) entităților obligate în cadrul CDD și (iii) oricărei persoane/organizații care poate demonstra un interes legitim. </w:t>
            </w:r>
          </w:p>
          <w:p w14:paraId="09154AD0" w14:textId="77777777" w:rsidR="00C56981" w:rsidRPr="001E6C64" w:rsidRDefault="00C56981" w:rsidP="00C56981">
            <w:pPr>
              <w:spacing w:after="0" w:line="240" w:lineRule="auto"/>
              <w:jc w:val="both"/>
              <w:rPr>
                <w:rFonts w:ascii="Arial" w:hAnsi="Arial" w:cs="Arial"/>
                <w:sz w:val="18"/>
                <w:szCs w:val="18"/>
                <w:lang w:val="ro-MD"/>
              </w:rPr>
            </w:pPr>
          </w:p>
          <w:p w14:paraId="5B2AACBD" w14:textId="10E3D51F"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Linia de referință: Până în decembrie 2024, aproximativ 75% din persoanele juridice active au declarat BE și 88% din marii contribuabili au declarat BE. Au fost înregistrate 164.905 persoane juridice cu scop lucrativ, iar 83978 au depus deja declarația de BE. Începând cu decembrie 2024, peste 43 000 de companii nu au flux de numerar.</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3CBA6"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Entitățile active sunt persoanele juridice care înregistrează activități lucrative. Companiile inactive vor fi considerate cele fără activitate și fără flux de numerar pentru mai mult de un an.</w:t>
            </w:r>
          </w:p>
          <w:p w14:paraId="68585A6C" w14:textId="77777777" w:rsidR="00C56981" w:rsidRPr="001E6C64" w:rsidRDefault="00C56981" w:rsidP="00C56981">
            <w:pPr>
              <w:spacing w:after="0" w:line="240" w:lineRule="auto"/>
              <w:jc w:val="both"/>
              <w:rPr>
                <w:rFonts w:ascii="Arial" w:hAnsi="Arial" w:cs="Arial"/>
                <w:sz w:val="18"/>
                <w:szCs w:val="18"/>
                <w:lang w:val="ro-MD"/>
              </w:rPr>
            </w:pPr>
          </w:p>
          <w:p w14:paraId="2091C724"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Acces acordat unui număr de 18 autorități publice competente și entități raportoare și unui număr de 18 entități private și neguvernamentale (instituții financiare, mass-media de investigare) în conformitate cu Legea 308/2017 privind combaterea spălării banilor.</w:t>
            </w:r>
          </w:p>
          <w:p w14:paraId="139164C1" w14:textId="77777777" w:rsidR="00C56981" w:rsidRPr="001E6C64" w:rsidRDefault="00C56981" w:rsidP="00C56981">
            <w:pPr>
              <w:spacing w:after="0" w:line="240" w:lineRule="auto"/>
              <w:jc w:val="both"/>
              <w:rPr>
                <w:rFonts w:ascii="Arial" w:hAnsi="Arial" w:cs="Arial"/>
                <w:sz w:val="18"/>
                <w:szCs w:val="18"/>
                <w:lang w:val="ro-MD"/>
              </w:rPr>
            </w:pPr>
          </w:p>
          <w:p w14:paraId="4BD30E30" w14:textId="77777777" w:rsidR="00C56981" w:rsidRPr="001E6C64" w:rsidRDefault="00C56981" w:rsidP="00C56981">
            <w:pPr>
              <w:spacing w:after="0" w:line="240" w:lineRule="auto"/>
              <w:jc w:val="both"/>
              <w:rPr>
                <w:rFonts w:ascii="Arial" w:hAnsi="Arial" w:cs="Arial"/>
                <w:sz w:val="18"/>
                <w:szCs w:val="18"/>
                <w:lang w:val="ro-MD"/>
              </w:rPr>
            </w:pPr>
          </w:p>
          <w:p w14:paraId="7AD42B9D"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Sursa de verificare: Registrul de Stat al Unităţilor de Drept (RSUD)</w:t>
            </w:r>
          </w:p>
          <w:p w14:paraId="68DCC5DB" w14:textId="77777777" w:rsidR="00C56981" w:rsidRPr="00C56981" w:rsidRDefault="00C56981" w:rsidP="00C56981">
            <w:pPr>
              <w:spacing w:after="0" w:line="240" w:lineRule="auto"/>
              <w:jc w:val="both"/>
              <w:rPr>
                <w:rFonts w:ascii="Arial" w:hAnsi="Arial" w:cs="Arial"/>
                <w:sz w:val="18"/>
                <w:szCs w:val="18"/>
                <w:lang w:val="fr-FR"/>
              </w:rPr>
            </w:pPr>
          </w:p>
        </w:tc>
      </w:tr>
      <w:tr w:rsidR="00C56981" w:rsidRPr="00BD0643" w14:paraId="659C53BF"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CB229" w14:textId="389A209E"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 xml:space="preserve">Investigații privind combaterea spălării banilor și a criminalității financiare </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B8E82" w14:textId="7EF995F7"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6F33B" w14:textId="0890F8E7"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Crearea unor condiții de concurență echitabile pentru întreprinderi prin combaterea criminalității economice și a spălării banilor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E0EC1" w14:textId="4AD57282"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8C04D" w14:textId="28DECD52" w:rsidR="00C56981" w:rsidRPr="00840B12" w:rsidRDefault="00C56981" w:rsidP="00C56981">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793CA"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Serviciul Prevenirea şi</w:t>
            </w:r>
          </w:p>
          <w:p w14:paraId="6729C1CC" w14:textId="346D6D6C"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Combaterea Spălării Banilor</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71AD2"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Un sistem național de certificare în domeniul combaterii spălării banilor este instituit și operațional, cu cel puțin 500 de profesioniști în domeniul combaterii spălării banilor certificați.</w:t>
            </w:r>
          </w:p>
          <w:p w14:paraId="767CAF98" w14:textId="77777777" w:rsidR="00C56981" w:rsidRPr="001E6C64" w:rsidRDefault="00C56981" w:rsidP="00C56981">
            <w:pPr>
              <w:spacing w:after="0" w:line="240" w:lineRule="auto"/>
              <w:jc w:val="both"/>
              <w:rPr>
                <w:rFonts w:ascii="Arial" w:hAnsi="Arial" w:cs="Arial"/>
                <w:sz w:val="18"/>
                <w:szCs w:val="18"/>
                <w:lang w:val="ro-MD"/>
              </w:rPr>
            </w:pPr>
          </w:p>
          <w:p w14:paraId="65B8556B" w14:textId="28695B19"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Linia de referință: Nu există un sistem național de certificare în domeniul combaterii spălării banilor.</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C00B0"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Centrul de instruire în domeniul combaterii spălării banilor oferă certificare pentru o perioadă de 3 ani pentru cel puțin 500 de profesioniști. Procesul de certificare în domeniul combaterii spălării banilor respectă standardele FATF, iar profesioniștii certificați în domeniul combaterii spălării banilor își reînnoiesc certificarea la fiecare 3 ani. Instruirea în domeniul combaterii spălării banilor include detectarea fraudei financiare în cadrul proiectelor finanțate de UE.</w:t>
            </w:r>
          </w:p>
          <w:p w14:paraId="239331B0" w14:textId="77777777" w:rsidR="00C56981" w:rsidRPr="001E6C64" w:rsidRDefault="00C56981" w:rsidP="00C56981">
            <w:pPr>
              <w:spacing w:after="0" w:line="240" w:lineRule="auto"/>
              <w:jc w:val="both"/>
              <w:rPr>
                <w:rFonts w:ascii="Arial" w:hAnsi="Arial" w:cs="Arial"/>
                <w:sz w:val="18"/>
                <w:szCs w:val="18"/>
                <w:lang w:val="ro-MD"/>
              </w:rPr>
            </w:pPr>
          </w:p>
          <w:p w14:paraId="520FBD8E" w14:textId="60E5E6EE" w:rsidR="00C56981" w:rsidRPr="00C56981"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Sursa de verificare: Rapoartele anuale ale UIF pe pagina web oficială</w:t>
            </w:r>
          </w:p>
        </w:tc>
      </w:tr>
      <w:tr w:rsidR="00C56981" w:rsidRPr="00BD0643" w14:paraId="66FC79B4"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5A985" w14:textId="5A9758A4"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 xml:space="preserve">Investigații privind combaterea spălării </w:t>
            </w:r>
            <w:r w:rsidRPr="001E6C64">
              <w:rPr>
                <w:rFonts w:ascii="Arial" w:hAnsi="Arial" w:cs="Arial"/>
                <w:sz w:val="18"/>
                <w:szCs w:val="18"/>
                <w:lang w:val="ro-MD"/>
              </w:rPr>
              <w:lastRenderedPageBreak/>
              <w:t>banilor și a criminalității financiare</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512B5" w14:textId="0C087C07"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lastRenderedPageBreak/>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76DB" w14:textId="345726C4"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 xml:space="preserve">Crearea unor condiții de concurență echitabile pentru întreprinderi </w:t>
            </w:r>
            <w:r w:rsidRPr="001E6C64">
              <w:rPr>
                <w:rFonts w:ascii="Arial" w:hAnsi="Arial" w:cs="Arial"/>
                <w:sz w:val="18"/>
                <w:szCs w:val="18"/>
                <w:lang w:val="ro-MD"/>
              </w:rPr>
              <w:lastRenderedPageBreak/>
              <w:t>prin combaterea criminalității economice și a spălării banilor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B85E0" w14:textId="03E66A3F"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lastRenderedPageBreak/>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BC5CE" w14:textId="7CDA18C4" w:rsidR="00C56981" w:rsidRPr="00840B12" w:rsidRDefault="00C56981" w:rsidP="00C56981">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50CC4"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Ministerul Justiției (ADJAJ),</w:t>
            </w:r>
          </w:p>
          <w:p w14:paraId="34F794E5" w14:textId="77777777" w:rsidR="00C56981" w:rsidRPr="001E6C64" w:rsidRDefault="00C56981" w:rsidP="00C56981">
            <w:pPr>
              <w:spacing w:after="0" w:line="240" w:lineRule="auto"/>
              <w:jc w:val="both"/>
              <w:rPr>
                <w:rFonts w:ascii="Arial" w:hAnsi="Arial" w:cs="Arial"/>
                <w:sz w:val="18"/>
                <w:szCs w:val="18"/>
                <w:lang w:val="ro-MD"/>
              </w:rPr>
            </w:pPr>
          </w:p>
          <w:p w14:paraId="1917D8EE"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Ministerul Afacerilor </w:t>
            </w:r>
            <w:r w:rsidRPr="001E6C64">
              <w:rPr>
                <w:rFonts w:ascii="Arial" w:hAnsi="Arial" w:cs="Arial"/>
                <w:sz w:val="18"/>
                <w:szCs w:val="18"/>
                <w:lang w:val="ro-MD"/>
              </w:rPr>
              <w:lastRenderedPageBreak/>
              <w:t>Interne, Procuratura Generală, CNA, Serviciul Fiscal de Stat și Serviciul Vamal, Serviciul Prevenirea și Combaterea Spălării Banilor (Unitatea de Informații Financiare a Republicii Moldova)</w:t>
            </w:r>
          </w:p>
          <w:p w14:paraId="69FDE10F" w14:textId="77777777" w:rsidR="00C56981" w:rsidRPr="00840B12" w:rsidRDefault="00C56981" w:rsidP="00C56981">
            <w:pPr>
              <w:spacing w:after="0" w:line="240" w:lineRule="auto"/>
              <w:jc w:val="both"/>
              <w:rPr>
                <w:rFonts w:ascii="Arial" w:hAnsi="Arial" w:cs="Arial"/>
                <w:sz w:val="18"/>
                <w:szCs w:val="18"/>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C1C69"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lastRenderedPageBreak/>
              <w:t xml:space="preserve">Îmbunătățirea istoricului în ceea ce privește investigațiile, punerea sub învinuire, hotărârile judecătorești și condamnările pentru spălare de bani (inclusiv spălare de bani de sine stătătoare). </w:t>
            </w:r>
          </w:p>
          <w:p w14:paraId="1D0ABAF1" w14:textId="77777777" w:rsidR="00C56981" w:rsidRPr="001E6C64" w:rsidRDefault="00C56981" w:rsidP="00C56981">
            <w:pPr>
              <w:spacing w:after="0" w:line="240" w:lineRule="auto"/>
              <w:jc w:val="both"/>
              <w:rPr>
                <w:rFonts w:ascii="Arial" w:hAnsi="Arial" w:cs="Arial"/>
                <w:sz w:val="18"/>
                <w:szCs w:val="18"/>
                <w:lang w:val="ro-MD"/>
              </w:rPr>
            </w:pPr>
          </w:p>
          <w:p w14:paraId="3FB27E60"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Linia de referință: Investigații: 24 (2021-2023)</w:t>
            </w:r>
          </w:p>
          <w:p w14:paraId="3DA70603"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lastRenderedPageBreak/>
              <w:t xml:space="preserve">Puneri sub învinuire: 13,5 (2021-2022) </w:t>
            </w:r>
          </w:p>
          <w:p w14:paraId="4B9E7276"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Hotărâri judecătorești definitive: 6 (2021-2023)</w:t>
            </w:r>
          </w:p>
          <w:p w14:paraId="1899FCC0"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Condamnări definitive: 2 (2021-2022)</w:t>
            </w:r>
          </w:p>
          <w:p w14:paraId="66820A18"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 </w:t>
            </w:r>
          </w:p>
          <w:p w14:paraId="25CA2B57"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2023: Investigații: 33 - Puneri sub învinuire: N/A - Hotărâri judecătorești definitive: 14 - Condamnări definitive: N/A</w:t>
            </w:r>
          </w:p>
          <w:p w14:paraId="57ED5C4E"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2022: Investigații: 18 - Puneri sub învinuire: 14 Hotărâri judecătorești definitive: 1 - Condamnări definitive: 1</w:t>
            </w:r>
          </w:p>
          <w:p w14:paraId="6AA00FEC" w14:textId="47FB02EA"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2021: Investigații: 22 - Puneri sub învinuire: 13 - Hotărâri judecătorești definitive: 3 - Condamnări definitive: 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B980A" w14:textId="77777777" w:rsidR="00C56981" w:rsidRPr="001E6C64" w:rsidRDefault="00C56981" w:rsidP="00C56981">
            <w:pPr>
              <w:spacing w:after="0" w:line="240" w:lineRule="auto"/>
              <w:jc w:val="both"/>
              <w:rPr>
                <w:rFonts w:ascii="Arial" w:hAnsi="Arial" w:cs="Arial"/>
                <w:sz w:val="18"/>
                <w:szCs w:val="18"/>
                <w:lang w:val="ro-MD"/>
              </w:rPr>
            </w:pPr>
          </w:p>
          <w:p w14:paraId="68F4609E"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Numărul mediu de investigații și de hotărâri judecătorești definitive pentru cazurile de spălare a banilor este îmbunătățit în comparație cu media între 2021-2023. </w:t>
            </w:r>
          </w:p>
          <w:p w14:paraId="022B74F4" w14:textId="77777777" w:rsidR="00C56981" w:rsidRPr="001E6C64" w:rsidRDefault="00C56981" w:rsidP="00C56981">
            <w:pPr>
              <w:spacing w:after="0" w:line="240" w:lineRule="auto"/>
              <w:jc w:val="both"/>
              <w:rPr>
                <w:rFonts w:ascii="Arial" w:hAnsi="Arial" w:cs="Arial"/>
                <w:sz w:val="18"/>
                <w:szCs w:val="18"/>
                <w:lang w:val="ro-MD"/>
              </w:rPr>
            </w:pPr>
          </w:p>
          <w:p w14:paraId="5A18BAEE" w14:textId="5832692A"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lastRenderedPageBreak/>
              <w:t>Sursa de verificare: Platforma electronică</w:t>
            </w:r>
          </w:p>
        </w:tc>
      </w:tr>
      <w:tr w:rsidR="00C56981" w:rsidRPr="00840B12" w14:paraId="5816349F"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86A7F" w14:textId="77777777" w:rsidR="00C56981" w:rsidRPr="001E6C64" w:rsidRDefault="00C56981" w:rsidP="00C56981">
            <w:pPr>
              <w:spacing w:after="0" w:line="240" w:lineRule="auto"/>
              <w:jc w:val="both"/>
              <w:rPr>
                <w:rFonts w:ascii="Arial" w:hAnsi="Arial" w:cs="Arial"/>
                <w:sz w:val="18"/>
                <w:szCs w:val="18"/>
                <w:lang w:val="ro-MD"/>
              </w:rPr>
            </w:pPr>
          </w:p>
          <w:p w14:paraId="13D81A6D" w14:textId="67AA34FE"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Drepturile fundamentale</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D44B7" w14:textId="77777777" w:rsidR="00C56981" w:rsidRPr="001E6C64" w:rsidRDefault="00C56981" w:rsidP="00C56981">
            <w:pPr>
              <w:spacing w:after="0" w:line="240" w:lineRule="auto"/>
              <w:jc w:val="both"/>
              <w:rPr>
                <w:rFonts w:ascii="Arial" w:hAnsi="Arial" w:cs="Arial"/>
                <w:sz w:val="18"/>
                <w:szCs w:val="18"/>
                <w:lang w:val="ro-MD"/>
              </w:rPr>
            </w:pPr>
          </w:p>
          <w:p w14:paraId="4951DF44" w14:textId="05C2105A"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C3D1D" w14:textId="77777777" w:rsidR="00C56981" w:rsidRPr="001E6C64" w:rsidRDefault="00C56981" w:rsidP="00C56981">
            <w:pPr>
              <w:spacing w:after="0" w:line="240" w:lineRule="auto"/>
              <w:jc w:val="both"/>
              <w:rPr>
                <w:rFonts w:ascii="Arial" w:hAnsi="Arial" w:cs="Arial"/>
                <w:sz w:val="18"/>
                <w:szCs w:val="18"/>
                <w:lang w:val="ro-MD"/>
              </w:rPr>
            </w:pPr>
          </w:p>
          <w:p w14:paraId="4043B20D" w14:textId="71C14AD0"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Nivelul violenței bazate pe gen și al violenței domestice este redus, iar accesul la justiție și la servicii pentru victime este ameliorat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AFDAC" w14:textId="77777777" w:rsidR="00C56981" w:rsidRPr="001E6C64" w:rsidRDefault="00C56981" w:rsidP="00C56981">
            <w:pPr>
              <w:spacing w:after="0" w:line="240" w:lineRule="auto"/>
              <w:jc w:val="both"/>
              <w:rPr>
                <w:rFonts w:ascii="Arial" w:hAnsi="Arial" w:cs="Arial"/>
                <w:sz w:val="18"/>
                <w:szCs w:val="18"/>
                <w:lang w:val="ro-MD"/>
              </w:rPr>
            </w:pPr>
          </w:p>
          <w:p w14:paraId="5D7859B6" w14:textId="34D295B0"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3E600" w14:textId="77777777" w:rsidR="00C56981" w:rsidRPr="001E6C64" w:rsidRDefault="00C56981" w:rsidP="00C56981">
            <w:pPr>
              <w:spacing w:after="0" w:line="240" w:lineRule="auto"/>
              <w:jc w:val="both"/>
              <w:rPr>
                <w:rFonts w:ascii="Arial" w:hAnsi="Arial" w:cs="Arial"/>
                <w:sz w:val="18"/>
                <w:szCs w:val="18"/>
                <w:lang w:val="ro-MD"/>
              </w:rPr>
            </w:pPr>
          </w:p>
          <w:p w14:paraId="11C577FD" w14:textId="0D2B73AE" w:rsidR="00C56981" w:rsidRPr="00840B12" w:rsidRDefault="00C56981" w:rsidP="00C56981">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2027</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12A68" w14:textId="77777777" w:rsidR="00C56981" w:rsidRPr="001E6C64" w:rsidRDefault="00C56981" w:rsidP="00C56981">
            <w:pPr>
              <w:spacing w:after="0" w:line="240" w:lineRule="auto"/>
              <w:jc w:val="both"/>
              <w:rPr>
                <w:rFonts w:ascii="Arial" w:hAnsi="Arial" w:cs="Arial"/>
                <w:sz w:val="18"/>
                <w:szCs w:val="18"/>
                <w:lang w:val="ro-MD"/>
              </w:rPr>
            </w:pPr>
          </w:p>
          <w:p w14:paraId="065E97E2" w14:textId="3474BAD6"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 xml:space="preserve">Ministerul Muncii și Protecției Sociale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082AC"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Pentru a aborda violența de gen și traficul de persoane, este operațională o bază de date centralizată cu ghișeu unic privind cazurile de violență de gen, în timp ce rețeaua de adăposturi pentru victimele violenței de gen este extinsă pentru a atinge un total de 260 de locuri destinate victimelor violenței de gen și violenței domestice, precum și victimelor traficului de persoane.</w:t>
            </w:r>
          </w:p>
          <w:p w14:paraId="49120602"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  </w:t>
            </w:r>
          </w:p>
          <w:p w14:paraId="537D4894"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Linia de referință: În decembrie 2024, nu exista o bază de date centralizată cu ghișeu unic privind VBG, în timp ce existau 182 de locuri în adăposturi pentru victime. Până în decembrie 2025, se preconizează că vor exista 207 locuri existente și operaționale ca parte a activității guvernului MD cu partenerii de dezvoltare în afara Planului de Creștere. </w:t>
            </w:r>
          </w:p>
          <w:p w14:paraId="0856250B"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 </w:t>
            </w:r>
          </w:p>
          <w:p w14:paraId="6BD7D137" w14:textId="77777777" w:rsidR="00C56981" w:rsidRPr="001E6C64" w:rsidRDefault="00C56981" w:rsidP="00C56981">
            <w:pPr>
              <w:spacing w:after="0" w:line="240" w:lineRule="auto"/>
              <w:jc w:val="both"/>
              <w:rPr>
                <w:rFonts w:ascii="Arial" w:hAnsi="Arial" w:cs="Arial"/>
                <w:sz w:val="18"/>
                <w:szCs w:val="18"/>
                <w:lang w:val="ro-MD"/>
              </w:rPr>
            </w:pPr>
          </w:p>
          <w:p w14:paraId="70EF3E8E" w14:textId="77777777" w:rsidR="00C56981" w:rsidRPr="00C56981" w:rsidRDefault="00C56981" w:rsidP="00C56981">
            <w:pPr>
              <w:spacing w:after="0" w:line="240" w:lineRule="auto"/>
              <w:jc w:val="both"/>
              <w:rPr>
                <w:rFonts w:ascii="Arial" w:hAnsi="Arial" w:cs="Arial"/>
                <w:sz w:val="18"/>
                <w:szCs w:val="18"/>
                <w:lang w:val="ro-MD"/>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6150B"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Baza de date centralizată privind VBG este creată și operațională. </w:t>
            </w:r>
          </w:p>
          <w:p w14:paraId="3E21EA36"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Rețeaua de adăposturi pentru victimele violenței de gen este extinsă pentru a ajunge la un total cumulat de 260 de locuri pentru victimele violenței de gen și ale violenței domestice, în conformitate cu cerințele Convenției de la Istanbul și ale Directivei (UE) 2024/1385 privind combaterea efectivă a violenței împotriva femeilor și a violenței domestice. Locuri suplimentare sunt stabilite prin crearea de noi facilități în clădirile publice reamenajate. Adăposturile pentru victimele VBG oferă servicii de sprijin integrate și specializate, inclusiv locuințe de urgență, trimiteri medicale, servicii de sprijin juridic, psihologic și de emancipare economică pentru victimele VBG. Standardele minime de infrastructură includ facilități sigure și securizate cu săli de consultații private, zone de dormit, spații adaptate copiilor, caracteristici de accesibilitate pentru persoanele cu dizabilități. </w:t>
            </w:r>
          </w:p>
          <w:p w14:paraId="362301B2" w14:textId="77777777" w:rsidR="00C56981" w:rsidRPr="001E6C64" w:rsidRDefault="00C56981" w:rsidP="00C56981">
            <w:pPr>
              <w:spacing w:before="240" w:after="0" w:line="240" w:lineRule="auto"/>
              <w:jc w:val="both"/>
              <w:rPr>
                <w:rFonts w:ascii="Arial" w:hAnsi="Arial" w:cs="Arial"/>
                <w:sz w:val="18"/>
                <w:szCs w:val="18"/>
                <w:lang w:val="ro-MD"/>
              </w:rPr>
            </w:pPr>
            <w:r w:rsidRPr="001E6C64">
              <w:rPr>
                <w:rFonts w:ascii="Arial" w:hAnsi="Arial" w:cs="Arial"/>
                <w:sz w:val="18"/>
                <w:szCs w:val="18"/>
                <w:lang w:val="ro-MD"/>
              </w:rPr>
              <w:t xml:space="preserve">Sursa de verificare: Documente de la Agenția EVAW care confirmă înființarea și operaționalizarea bazei de date centralizate privind VBG. Rapoarte periodice generate de baza de date privind VBG care prezintă </w:t>
            </w:r>
            <w:r w:rsidRPr="001E6C64">
              <w:rPr>
                <w:rFonts w:ascii="Arial" w:hAnsi="Arial" w:cs="Arial"/>
                <w:sz w:val="18"/>
                <w:szCs w:val="18"/>
                <w:lang w:val="ro-MD"/>
              </w:rPr>
              <w:lastRenderedPageBreak/>
              <w:t>intrările de date, utilizarea sistemului și parametrii de performanță</w:t>
            </w:r>
          </w:p>
          <w:p w14:paraId="7C82ABB9" w14:textId="7804C89A" w:rsidR="00C56981" w:rsidRPr="00840B12" w:rsidRDefault="00C56981" w:rsidP="00C56981">
            <w:pPr>
              <w:spacing w:before="240" w:after="0" w:line="240" w:lineRule="auto"/>
              <w:jc w:val="both"/>
              <w:rPr>
                <w:rFonts w:ascii="Arial" w:hAnsi="Arial" w:cs="Arial"/>
                <w:sz w:val="18"/>
                <w:szCs w:val="18"/>
              </w:rPr>
            </w:pPr>
            <w:r w:rsidRPr="001E6C64">
              <w:rPr>
                <w:rFonts w:ascii="Arial" w:hAnsi="Arial" w:cs="Arial"/>
                <w:sz w:val="18"/>
                <w:szCs w:val="18"/>
                <w:lang w:val="ro-MD"/>
              </w:rPr>
              <w:t>Rapoarte din partea Ministerului Muncii și Protecției Sociale, care confirmă înființarea, capacitatea (numărul de locuri suplimentare) și starea operațională a noilor adăposturi împotriva VBG, inclusiv numărul de beneficiari și tipurile de servicii furnizate. Raportul GREVIO, dacă este disponibil.</w:t>
            </w:r>
          </w:p>
        </w:tc>
      </w:tr>
      <w:tr w:rsidR="00C56981" w:rsidRPr="00BD0643" w14:paraId="0A91F02E"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22E26" w14:textId="6E6D9FB6"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lastRenderedPageBreak/>
              <w:t>Gestionarea frontierelor</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ECB37" w14:textId="77777777" w:rsidR="00C56981" w:rsidRPr="001E6C64" w:rsidRDefault="00C56981" w:rsidP="00C56981">
            <w:pPr>
              <w:spacing w:after="0" w:line="240" w:lineRule="auto"/>
              <w:jc w:val="both"/>
              <w:rPr>
                <w:rFonts w:ascii="Arial" w:hAnsi="Arial" w:cs="Arial"/>
                <w:sz w:val="18"/>
                <w:szCs w:val="18"/>
                <w:lang w:val="ro-MD"/>
              </w:rPr>
            </w:pPr>
          </w:p>
          <w:p w14:paraId="4E8FBCCA" w14:textId="2826C849"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E02F8" w14:textId="77777777" w:rsidR="00C56981" w:rsidRPr="001E6C64" w:rsidRDefault="00C56981" w:rsidP="00C56981">
            <w:pPr>
              <w:spacing w:after="0" w:line="240" w:lineRule="auto"/>
              <w:jc w:val="both"/>
              <w:rPr>
                <w:rFonts w:ascii="Arial" w:hAnsi="Arial" w:cs="Arial"/>
                <w:sz w:val="18"/>
                <w:szCs w:val="18"/>
                <w:lang w:val="ro-MD"/>
              </w:rPr>
            </w:pPr>
          </w:p>
          <w:p w14:paraId="6F8A8C30" w14:textId="5E04B670"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Sistemul de integrare și gestionarea frontierelor sunt consolidate.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6C375" w14:textId="77777777" w:rsidR="00C56981" w:rsidRPr="001E6C64" w:rsidRDefault="00C56981" w:rsidP="00C56981">
            <w:pPr>
              <w:spacing w:after="0" w:line="240" w:lineRule="auto"/>
              <w:jc w:val="both"/>
              <w:rPr>
                <w:rFonts w:ascii="Arial" w:hAnsi="Arial" w:cs="Arial"/>
                <w:sz w:val="18"/>
                <w:szCs w:val="18"/>
                <w:lang w:val="ro-MD"/>
              </w:rPr>
            </w:pPr>
          </w:p>
          <w:p w14:paraId="41A0216E" w14:textId="56D55511"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F4923" w14:textId="51047662" w:rsidR="00C56981" w:rsidRPr="00840B12" w:rsidRDefault="00C56981" w:rsidP="00C56981">
            <w:pPr>
              <w:spacing w:before="240"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2027</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584D4" w14:textId="7D3E1E45" w:rsidR="00C56981" w:rsidRPr="00840B12" w:rsidRDefault="00C56981" w:rsidP="00C56981">
            <w:pPr>
              <w:spacing w:before="240" w:after="0" w:line="240" w:lineRule="auto"/>
              <w:jc w:val="both"/>
              <w:rPr>
                <w:rFonts w:ascii="Arial" w:hAnsi="Arial" w:cs="Arial"/>
                <w:sz w:val="18"/>
                <w:szCs w:val="18"/>
              </w:rPr>
            </w:pPr>
            <w:r w:rsidRPr="001E6C64">
              <w:rPr>
                <w:rFonts w:ascii="Arial" w:hAnsi="Arial" w:cs="Arial"/>
                <w:sz w:val="18"/>
                <w:szCs w:val="18"/>
                <w:lang w:val="ro-MD"/>
              </w:rPr>
              <w:t>Ministerul Afacerilor Interne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91DF7" w14:textId="77777777" w:rsidR="00C56981" w:rsidRPr="001E6C64" w:rsidRDefault="00C56981" w:rsidP="00C56981">
            <w:pPr>
              <w:spacing w:before="240" w:after="0" w:line="252" w:lineRule="auto"/>
              <w:jc w:val="both"/>
              <w:rPr>
                <w:rFonts w:ascii="Arial" w:hAnsi="Arial" w:cs="Arial"/>
                <w:sz w:val="18"/>
                <w:szCs w:val="18"/>
                <w:lang w:val="ro-MD"/>
              </w:rPr>
            </w:pPr>
            <w:r w:rsidRPr="001E6C64">
              <w:rPr>
                <w:rFonts w:ascii="Arial" w:hAnsi="Arial" w:cs="Arial"/>
                <w:sz w:val="18"/>
                <w:szCs w:val="18"/>
                <w:lang w:val="ro-MD"/>
              </w:rPr>
              <w:t>Sistemul de control la frontieră este consolidat în conformitate cu standardele UE, în special prin consolidarea controalelor de linia a doua la punctele de trecere a frontierei internaționale. Capacitățile de monitorizare a frontierelor sunt îmbunătățite, inclusiv prin intermediul capacităților de control biometric, precum și al sistemelor de monitorizare fixe și mobile.</w:t>
            </w:r>
          </w:p>
          <w:p w14:paraId="144C9773" w14:textId="01DF9734" w:rsidR="00C56981" w:rsidRPr="00840B12" w:rsidRDefault="00C56981" w:rsidP="00C56981">
            <w:pPr>
              <w:spacing w:before="240" w:line="252" w:lineRule="auto"/>
              <w:jc w:val="both"/>
              <w:rPr>
                <w:rFonts w:ascii="Arial" w:hAnsi="Arial" w:cs="Arial"/>
                <w:sz w:val="18"/>
                <w:szCs w:val="18"/>
                <w:lang w:val="ro"/>
              </w:rPr>
            </w:pPr>
            <w:r w:rsidRPr="001E6C64">
              <w:rPr>
                <w:rFonts w:ascii="Arial" w:hAnsi="Arial" w:cs="Arial"/>
                <w:sz w:val="18"/>
                <w:szCs w:val="18"/>
                <w:lang w:val="ro-MD"/>
              </w:rPr>
              <w:t>Linia de referință: Până în decembrie 2024, MD avea 0% controale de linia a doua efectuate în conformitate cu standardele UE; capacități de control biometric - 0%; sisteme fixe de supraveghere - 13 sisteme; sisteme mobile de supraveghere - 9 sisteme.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84CC6" w14:textId="77777777" w:rsidR="00C56981" w:rsidRPr="001E6C64" w:rsidRDefault="00C56981" w:rsidP="00C56981">
            <w:pPr>
              <w:spacing w:before="240" w:after="0" w:line="252" w:lineRule="auto"/>
              <w:jc w:val="both"/>
              <w:rPr>
                <w:rFonts w:ascii="Arial" w:hAnsi="Arial" w:cs="Arial"/>
                <w:sz w:val="18"/>
                <w:szCs w:val="18"/>
                <w:lang w:val="ro-MD"/>
              </w:rPr>
            </w:pPr>
            <w:r w:rsidRPr="001E6C64">
              <w:rPr>
                <w:rFonts w:ascii="Arial" w:hAnsi="Arial" w:cs="Arial"/>
                <w:sz w:val="18"/>
                <w:szCs w:val="18"/>
                <w:lang w:val="ro-MD"/>
              </w:rPr>
              <w:t>100% din punctele de trecere a frontierei internaționale sunt dotate cu echipamentul necesar pentru controalele de linia întâi și a doua, în conformitate cu standardele UE. MD mărește capacitățile biometrice și numărul de sisteme de supraveghere fixe și mobile.</w:t>
            </w:r>
          </w:p>
          <w:p w14:paraId="2E66528D" w14:textId="77777777" w:rsidR="00C56981" w:rsidRPr="001E6C64" w:rsidRDefault="00C56981" w:rsidP="00C56981">
            <w:pPr>
              <w:spacing w:after="0" w:line="252" w:lineRule="auto"/>
              <w:jc w:val="both"/>
              <w:rPr>
                <w:rFonts w:ascii="Arial" w:hAnsi="Arial" w:cs="Arial"/>
                <w:sz w:val="18"/>
                <w:szCs w:val="18"/>
                <w:lang w:val="ro-MD"/>
              </w:rPr>
            </w:pPr>
          </w:p>
          <w:p w14:paraId="2679B720" w14:textId="77777777" w:rsidR="00C56981" w:rsidRPr="001E6C64" w:rsidRDefault="00C56981" w:rsidP="00C56981">
            <w:pPr>
              <w:spacing w:after="0" w:line="252" w:lineRule="auto"/>
              <w:jc w:val="both"/>
              <w:rPr>
                <w:rFonts w:ascii="Arial" w:hAnsi="Arial" w:cs="Arial"/>
                <w:sz w:val="18"/>
                <w:szCs w:val="18"/>
                <w:lang w:val="ro-MD"/>
              </w:rPr>
            </w:pPr>
          </w:p>
          <w:p w14:paraId="63F91824" w14:textId="77777777" w:rsidR="00C56981" w:rsidRPr="00C56981" w:rsidRDefault="00C56981" w:rsidP="00C56981">
            <w:pPr>
              <w:spacing w:before="240" w:after="0" w:line="252" w:lineRule="auto"/>
              <w:jc w:val="both"/>
              <w:rPr>
                <w:rFonts w:ascii="Arial" w:hAnsi="Arial" w:cs="Arial"/>
                <w:sz w:val="18"/>
                <w:szCs w:val="18"/>
                <w:lang w:val="fr-FR"/>
              </w:rPr>
            </w:pPr>
          </w:p>
        </w:tc>
      </w:tr>
      <w:tr w:rsidR="00C56981" w:rsidRPr="00BD0643" w14:paraId="13CB53BD"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7C617" w14:textId="29B426C6"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t>Alinierea politicii privind vizele</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72EBA" w14:textId="77777777" w:rsidR="00C56981" w:rsidRPr="00840B12" w:rsidRDefault="00C56981" w:rsidP="00C56981">
            <w:pPr>
              <w:spacing w:line="240" w:lineRule="auto"/>
              <w:jc w:val="both"/>
              <w:rPr>
                <w:rFonts w:ascii="Arial" w:hAnsi="Arial" w:cs="Arial"/>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895A0" w14:textId="612B2620"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t>Alinierea cerințelor privind vizele la standardele UE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0DEEF" w14:textId="121389F4"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55F6D" w14:textId="1158E35A" w:rsidR="00C56981" w:rsidRPr="00840B12" w:rsidRDefault="00C56981" w:rsidP="00C56981">
            <w:pPr>
              <w:spacing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2027</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AE629" w14:textId="77777777" w:rsidR="00C56981" w:rsidRPr="001E6C64" w:rsidRDefault="00C56981" w:rsidP="00C56981">
            <w:pPr>
              <w:spacing w:line="240" w:lineRule="auto"/>
              <w:jc w:val="both"/>
              <w:rPr>
                <w:rFonts w:ascii="Arial" w:hAnsi="Arial" w:cs="Arial"/>
                <w:sz w:val="18"/>
                <w:szCs w:val="18"/>
                <w:lang w:val="ro-MD"/>
              </w:rPr>
            </w:pPr>
            <w:r w:rsidRPr="001E6C64">
              <w:rPr>
                <w:rFonts w:ascii="Arial" w:hAnsi="Arial" w:cs="Arial"/>
                <w:sz w:val="18"/>
                <w:szCs w:val="18"/>
                <w:lang w:val="ro-MD"/>
              </w:rPr>
              <w:t>Ministerul Afacerilor Externe/</w:t>
            </w:r>
          </w:p>
          <w:p w14:paraId="413AA1F4" w14:textId="639CA9CE"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t>Ministerul Afacerilor Interne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B27DE" w14:textId="77777777" w:rsidR="00C56981" w:rsidRPr="001E6C64" w:rsidRDefault="00C56981" w:rsidP="00C56981">
            <w:pPr>
              <w:pStyle w:val="paragraph"/>
              <w:spacing w:after="0"/>
              <w:jc w:val="both"/>
              <w:textAlignment w:val="baseline"/>
              <w:rPr>
                <w:rStyle w:val="normaltextrun"/>
                <w:rFonts w:ascii="Arial" w:eastAsiaTheme="majorEastAsia" w:hAnsi="Arial" w:cs="Arial"/>
                <w:color w:val="000000"/>
                <w:sz w:val="18"/>
                <w:szCs w:val="18"/>
                <w:lang w:val="ro-MD"/>
              </w:rPr>
            </w:pPr>
            <w:r w:rsidRPr="001E6C64">
              <w:rPr>
                <w:rStyle w:val="normaltextrun"/>
                <w:rFonts w:ascii="Arial" w:eastAsiaTheme="majorEastAsia" w:hAnsi="Arial" w:cs="Arial"/>
                <w:color w:val="000000"/>
                <w:sz w:val="18"/>
                <w:szCs w:val="18"/>
                <w:lang w:val="ro-MD"/>
              </w:rPr>
              <w:t xml:space="preserve">Alinierea la Regulamentul 2018/1806 al UE pentru cel puțin trei țări care au obligația de a deține viză pentru UE.  </w:t>
            </w:r>
          </w:p>
          <w:p w14:paraId="74754B2D" w14:textId="6EA535EE" w:rsidR="00C56981" w:rsidRPr="00C56981" w:rsidRDefault="00C56981" w:rsidP="00C56981">
            <w:pPr>
              <w:spacing w:after="0" w:line="252" w:lineRule="auto"/>
              <w:jc w:val="both"/>
              <w:rPr>
                <w:rFonts w:ascii="Arial" w:eastAsia="Aptos" w:hAnsi="Arial" w:cs="Arial"/>
                <w:sz w:val="18"/>
                <w:szCs w:val="18"/>
                <w:lang w:val="fr-FR"/>
              </w:rPr>
            </w:pPr>
            <w:r w:rsidRPr="001E6C64">
              <w:rPr>
                <w:rStyle w:val="normaltextrun"/>
                <w:rFonts w:ascii="Arial" w:eastAsiaTheme="majorEastAsia" w:hAnsi="Arial" w:cs="Arial"/>
                <w:color w:val="000000"/>
                <w:sz w:val="18"/>
                <w:szCs w:val="18"/>
                <w:lang w:val="ro-MD"/>
              </w:rPr>
              <w:t>Linia de referință: În decembrie 2024, politica în materie de vize a Moldovei nu este aliniată la cea a UE.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593A2" w14:textId="77777777" w:rsidR="00C56981" w:rsidRPr="001E6C64" w:rsidRDefault="00C56981" w:rsidP="00C56981">
            <w:pPr>
              <w:spacing w:line="252" w:lineRule="auto"/>
              <w:jc w:val="both"/>
              <w:rPr>
                <w:rFonts w:ascii="Arial" w:hAnsi="Arial" w:cs="Arial"/>
                <w:sz w:val="18"/>
                <w:szCs w:val="18"/>
                <w:lang w:val="ro-MD"/>
              </w:rPr>
            </w:pPr>
            <w:r w:rsidRPr="001E6C64">
              <w:rPr>
                <w:rFonts w:ascii="Arial" w:hAnsi="Arial" w:cs="Arial"/>
                <w:sz w:val="18"/>
                <w:szCs w:val="18"/>
                <w:lang w:val="ro-MD"/>
              </w:rPr>
              <w:t xml:space="preserve">Republica Moldova se aliniază în continuare la Regulamentul UE 2018/1806 cu cel puțin trei țări care au obligația de a deține viză pentru UE. </w:t>
            </w:r>
          </w:p>
          <w:p w14:paraId="5DB6936F" w14:textId="320D6DFE" w:rsidR="00C56981" w:rsidRPr="00C56981" w:rsidRDefault="00C56981" w:rsidP="00C56981">
            <w:pPr>
              <w:spacing w:line="252" w:lineRule="auto"/>
              <w:jc w:val="both"/>
              <w:rPr>
                <w:rFonts w:ascii="Arial" w:hAnsi="Arial" w:cs="Arial"/>
                <w:sz w:val="18"/>
                <w:szCs w:val="18"/>
                <w:lang w:val="fr-FR"/>
              </w:rPr>
            </w:pPr>
            <w:r w:rsidRPr="001E6C64">
              <w:rPr>
                <w:rFonts w:ascii="Arial" w:hAnsi="Arial" w:cs="Arial"/>
                <w:sz w:val="18"/>
                <w:szCs w:val="18"/>
                <w:lang w:val="ro-MD"/>
              </w:rPr>
              <w:t>Sursa de verificare: Ministerul Afacerilor Externe al MD, aspecte consulare</w:t>
            </w:r>
          </w:p>
        </w:tc>
      </w:tr>
      <w:tr w:rsidR="00C56981" w:rsidRPr="00BD0643" w14:paraId="1ED2D386"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8281D" w14:textId="335B4202"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Lupta împotriva criminalității organizate</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7D20E" w14:textId="4FB81156"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21DC0" w14:textId="6EE08C70"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Recuperarea și gestionarea activelor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C5792" w14:textId="29B3D814"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84997" w14:textId="7342D22E" w:rsidR="00C56981" w:rsidRPr="00840B12" w:rsidRDefault="00C56981" w:rsidP="00C56981">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62DB6"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Centrul Național Anticorupție </w:t>
            </w:r>
          </w:p>
          <w:p w14:paraId="67949AD2"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Ministerul Justiției</w:t>
            </w:r>
          </w:p>
          <w:p w14:paraId="6F7E4FBD" w14:textId="77777777" w:rsidR="00C56981" w:rsidRPr="00840B12" w:rsidRDefault="00C56981" w:rsidP="00C56981">
            <w:pPr>
              <w:spacing w:after="0" w:line="240" w:lineRule="auto"/>
              <w:jc w:val="both"/>
              <w:rPr>
                <w:rFonts w:ascii="Arial" w:hAnsi="Arial" w:cs="Arial"/>
                <w:sz w:val="18"/>
                <w:szCs w:val="18"/>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25CD2"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Este introdus un mecanism de reutilizare socială a bunurilor confiscate și un mecanism de confiscare civilă. 20% din activele recuperate în anul precedent sunt reutilizate în scopuri cu caracter social. </w:t>
            </w:r>
          </w:p>
          <w:p w14:paraId="5B3F9C09" w14:textId="77777777" w:rsidR="00C56981" w:rsidRPr="001E6C64" w:rsidRDefault="00C56981" w:rsidP="00C56981">
            <w:pPr>
              <w:spacing w:after="0" w:line="240" w:lineRule="auto"/>
              <w:jc w:val="both"/>
              <w:rPr>
                <w:rFonts w:ascii="Arial" w:hAnsi="Arial" w:cs="Arial"/>
                <w:sz w:val="18"/>
                <w:szCs w:val="18"/>
                <w:lang w:val="ro-MD"/>
              </w:rPr>
            </w:pPr>
          </w:p>
          <w:p w14:paraId="3251E482" w14:textId="77777777" w:rsidR="00C56981" w:rsidRPr="001E6C64" w:rsidRDefault="00C56981" w:rsidP="00C56981">
            <w:pPr>
              <w:spacing w:after="0" w:line="240" w:lineRule="auto"/>
              <w:jc w:val="both"/>
              <w:rPr>
                <w:rFonts w:ascii="Arial" w:hAnsi="Arial" w:cs="Arial"/>
                <w:sz w:val="18"/>
                <w:szCs w:val="18"/>
                <w:lang w:val="ro-MD"/>
              </w:rPr>
            </w:pPr>
          </w:p>
          <w:p w14:paraId="5B8701C2" w14:textId="0AB8148A"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Linia de referință: 0% din activele recuperate sunt reutilizate în scopuri cu caracter social.</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8A648"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Sunt introduse mecanisme prin legislația primară și secundară relevantă pentru reutilizarea în scopuri sociale a bunurilor confiscate și pentru confiscarea civilă, iar 20% din bunurile recuperate în anii anteriori sunt reutilizate în scopuri cu caracter social. </w:t>
            </w:r>
          </w:p>
          <w:p w14:paraId="2810022E" w14:textId="77777777" w:rsidR="00C56981" w:rsidRPr="001E6C64" w:rsidRDefault="00C56981" w:rsidP="00C56981">
            <w:pPr>
              <w:spacing w:after="0" w:line="240" w:lineRule="auto"/>
              <w:jc w:val="both"/>
              <w:rPr>
                <w:rFonts w:ascii="Arial" w:hAnsi="Arial" w:cs="Arial"/>
                <w:sz w:val="18"/>
                <w:szCs w:val="18"/>
                <w:lang w:val="ro-MD"/>
              </w:rPr>
            </w:pPr>
          </w:p>
          <w:p w14:paraId="0A2C5519" w14:textId="09307961" w:rsidR="00C56981" w:rsidRPr="00C56981" w:rsidRDefault="00C56981" w:rsidP="00C56981">
            <w:pPr>
              <w:spacing w:after="0" w:line="240" w:lineRule="auto"/>
              <w:jc w:val="both"/>
              <w:rPr>
                <w:rFonts w:ascii="Arial" w:hAnsi="Arial" w:cs="Arial"/>
                <w:sz w:val="18"/>
                <w:szCs w:val="18"/>
                <w:lang w:val="fr-FR"/>
              </w:rPr>
            </w:pPr>
            <w:r w:rsidRPr="001E6C64">
              <w:rPr>
                <w:rFonts w:ascii="Arial" w:hAnsi="Arial" w:cs="Arial"/>
                <w:sz w:val="18"/>
                <w:szCs w:val="18"/>
                <w:lang w:val="ro-MD"/>
              </w:rPr>
              <w:t>Sursa de verificare: Raportul anual de activitate al Centrului Național Anticorupție, care va fi disponibil și pe pagina web oficială.</w:t>
            </w:r>
          </w:p>
        </w:tc>
      </w:tr>
      <w:tr w:rsidR="00C56981" w:rsidRPr="00BD0643" w14:paraId="651A9942"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97C58" w14:textId="0A1B726D"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 xml:space="preserve">Lupta împotriva </w:t>
            </w:r>
            <w:r w:rsidRPr="001E6C64">
              <w:rPr>
                <w:rFonts w:ascii="Arial" w:hAnsi="Arial" w:cs="Arial"/>
                <w:sz w:val="18"/>
                <w:szCs w:val="18"/>
                <w:lang w:val="ro-MD"/>
              </w:rPr>
              <w:lastRenderedPageBreak/>
              <w:t>criminalității organizate</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40C72" w14:textId="04523575"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lastRenderedPageBreak/>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E2809" w14:textId="13D2ECE4"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Recuperarea și gestionarea activelor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2CB11" w14:textId="4F239A67"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5374D" w14:textId="773B3745" w:rsidR="00C56981" w:rsidRPr="00840B12" w:rsidRDefault="00C56981" w:rsidP="00C56981">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43D71"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Centrul Național Anticorupție, </w:t>
            </w:r>
            <w:r w:rsidRPr="001E6C64">
              <w:rPr>
                <w:rFonts w:ascii="Arial" w:hAnsi="Arial" w:cs="Arial"/>
                <w:sz w:val="18"/>
                <w:szCs w:val="18"/>
                <w:lang w:val="ro-MD"/>
              </w:rPr>
              <w:lastRenderedPageBreak/>
              <w:t xml:space="preserve">Procuratura Generală </w:t>
            </w:r>
          </w:p>
          <w:p w14:paraId="4475D6C4" w14:textId="77777777" w:rsidR="00C56981" w:rsidRPr="001E6C64" w:rsidRDefault="00C56981" w:rsidP="00C56981">
            <w:pPr>
              <w:spacing w:line="240" w:lineRule="auto"/>
              <w:jc w:val="both"/>
              <w:rPr>
                <w:rFonts w:ascii="Arial" w:hAnsi="Arial" w:cs="Arial"/>
                <w:sz w:val="18"/>
                <w:szCs w:val="18"/>
                <w:lang w:val="ro-MD"/>
              </w:rPr>
            </w:pPr>
          </w:p>
          <w:p w14:paraId="77BCF850" w14:textId="77777777" w:rsidR="00C56981" w:rsidRPr="001E6C64" w:rsidRDefault="00C56981" w:rsidP="00C56981">
            <w:pPr>
              <w:spacing w:line="240" w:lineRule="auto"/>
              <w:jc w:val="both"/>
              <w:rPr>
                <w:rFonts w:ascii="Arial" w:hAnsi="Arial" w:cs="Arial"/>
                <w:sz w:val="18"/>
                <w:szCs w:val="18"/>
                <w:lang w:val="ro-MD"/>
              </w:rPr>
            </w:pPr>
          </w:p>
          <w:p w14:paraId="18BB9A08" w14:textId="77777777" w:rsidR="00C56981" w:rsidRPr="00840B12" w:rsidRDefault="00C56981" w:rsidP="00C56981">
            <w:pPr>
              <w:spacing w:after="0" w:line="240" w:lineRule="auto"/>
              <w:jc w:val="both"/>
              <w:rPr>
                <w:rFonts w:ascii="Arial" w:hAnsi="Arial" w:cs="Arial"/>
                <w:sz w:val="18"/>
                <w:szCs w:val="18"/>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F1079" w14:textId="77777777" w:rsidR="00C56981" w:rsidRPr="001E6C64" w:rsidRDefault="00C56981" w:rsidP="00C56981">
            <w:pPr>
              <w:spacing w:after="0" w:line="240" w:lineRule="auto"/>
              <w:jc w:val="both"/>
              <w:rPr>
                <w:rFonts w:ascii="Arial" w:hAnsi="Arial" w:cs="Arial"/>
                <w:i/>
                <w:iCs/>
                <w:sz w:val="18"/>
                <w:szCs w:val="18"/>
                <w:lang w:val="ro-MD"/>
              </w:rPr>
            </w:pPr>
            <w:r w:rsidRPr="001E6C64">
              <w:rPr>
                <w:rFonts w:ascii="Arial" w:hAnsi="Arial" w:cs="Arial"/>
                <w:sz w:val="18"/>
                <w:szCs w:val="18"/>
                <w:lang w:val="ro-MD"/>
              </w:rPr>
              <w:lastRenderedPageBreak/>
              <w:t xml:space="preserve">O majorare a valorii totale a înghețării și confiscării corpurilor delicte în comparație cu media ultimilor trei ani. </w:t>
            </w:r>
            <w:r w:rsidRPr="001E6C64">
              <w:rPr>
                <w:rFonts w:ascii="Arial" w:hAnsi="Arial" w:cs="Arial"/>
                <w:sz w:val="18"/>
                <w:szCs w:val="18"/>
                <w:lang w:val="ro-MD"/>
              </w:rPr>
              <w:lastRenderedPageBreak/>
              <w:t>Crește ponderea investigațiilor financiare paralele în numărul total de cauze penale privind generarea de profit.</w:t>
            </w:r>
          </w:p>
          <w:p w14:paraId="3677ABBA" w14:textId="77777777" w:rsidR="00C56981" w:rsidRPr="001E6C64" w:rsidRDefault="00C56981" w:rsidP="00C56981">
            <w:pPr>
              <w:spacing w:after="0" w:line="240" w:lineRule="auto"/>
              <w:jc w:val="both"/>
              <w:rPr>
                <w:rFonts w:ascii="Arial" w:hAnsi="Arial" w:cs="Arial"/>
                <w:sz w:val="18"/>
                <w:szCs w:val="18"/>
                <w:lang w:val="ro-MD"/>
              </w:rPr>
            </w:pPr>
          </w:p>
          <w:p w14:paraId="2803DA22"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Linia de referință: Media a trei ani 2021-23, Înghețare/ confiscare temporară: 44,135,755 EUR; Confiscare: 3,944,853 EUR, date din platforma electronică. Ponderea investigațiilor paralele în 2024: 0,1 % din numărul total de cazuri (262/2784 cazuri).</w:t>
            </w:r>
          </w:p>
          <w:p w14:paraId="36D422D8" w14:textId="77777777" w:rsidR="00C56981" w:rsidRPr="001E6C64" w:rsidRDefault="00C56981" w:rsidP="00C56981">
            <w:pPr>
              <w:spacing w:after="0" w:line="240" w:lineRule="auto"/>
              <w:jc w:val="both"/>
              <w:rPr>
                <w:rFonts w:ascii="Arial" w:hAnsi="Arial" w:cs="Arial"/>
                <w:sz w:val="18"/>
                <w:szCs w:val="18"/>
                <w:lang w:val="ro-MD"/>
              </w:rPr>
            </w:pPr>
          </w:p>
          <w:p w14:paraId="03497FCE"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Valori ale activelor înghețate/ confiscate:</w:t>
            </w:r>
          </w:p>
          <w:p w14:paraId="35B8B251"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2023: Înghețare temporară/ confiscare: 98,256,469 EUR - Confiscare: 8,890,219 EUR. </w:t>
            </w:r>
          </w:p>
          <w:p w14:paraId="099D94EA"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2022: Înghețare/ confiscare temporară: 7,682,760 EUR - Confiscare: 568,967 EUR</w:t>
            </w:r>
          </w:p>
          <w:p w14:paraId="7D66840F"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2021: Înghețare temporară/ confiscare: 26,468,036 EUR - Confiscare: 2,375,374 EUR</w:t>
            </w:r>
          </w:p>
          <w:p w14:paraId="2BCBA41D" w14:textId="60E53659"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Medie: Înghețare temporară/ confiscare: 44.135.755 EUR - Confiscare: 3,944,853 EUR</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DAC2" w14:textId="77777777" w:rsidR="00C56981" w:rsidRPr="001E6C64" w:rsidRDefault="00C56981" w:rsidP="00C56981">
            <w:pPr>
              <w:spacing w:after="0"/>
              <w:jc w:val="both"/>
              <w:rPr>
                <w:rFonts w:ascii="Arial" w:hAnsi="Arial" w:cs="Arial"/>
                <w:sz w:val="18"/>
                <w:szCs w:val="18"/>
                <w:lang w:val="ro-MD"/>
              </w:rPr>
            </w:pPr>
            <w:r w:rsidRPr="001E6C64">
              <w:rPr>
                <w:rFonts w:ascii="Arial" w:hAnsi="Arial" w:cs="Arial"/>
                <w:sz w:val="18"/>
                <w:szCs w:val="18"/>
                <w:lang w:val="ro-MD"/>
              </w:rPr>
              <w:lastRenderedPageBreak/>
              <w:t xml:space="preserve">Un bilanț pozitiv în ceea ce privește numărul și valoarea sechestrelor, înghețării și confiscării corpurilor delicte în comparație cu media pe trei ani </w:t>
            </w:r>
            <w:r w:rsidRPr="001E6C64">
              <w:rPr>
                <w:rFonts w:ascii="Arial" w:hAnsi="Arial" w:cs="Arial"/>
                <w:sz w:val="18"/>
                <w:szCs w:val="18"/>
                <w:lang w:val="ro-MD"/>
              </w:rPr>
              <w:lastRenderedPageBreak/>
              <w:t>pentru 2021-23.</w:t>
            </w:r>
            <w:r>
              <w:rPr>
                <w:rFonts w:ascii="Arial" w:hAnsi="Arial" w:cs="Arial"/>
                <w:sz w:val="18"/>
                <w:szCs w:val="18"/>
                <w:lang w:val="ro-MD"/>
              </w:rPr>
              <w:t xml:space="preserve"> </w:t>
            </w:r>
            <w:r w:rsidRPr="001E6C64">
              <w:rPr>
                <w:rFonts w:ascii="Arial" w:hAnsi="Arial" w:cs="Arial"/>
                <w:sz w:val="18"/>
                <w:szCs w:val="18"/>
                <w:lang w:val="ro-MD"/>
              </w:rPr>
              <w:t>Creșterea ponderii investigațiilor financiare paralele în numărul total de cauze penale generatoare de profit inițiate de autoritățile de aplicare a legii și de procurori.</w:t>
            </w:r>
          </w:p>
          <w:p w14:paraId="6F6F29ED" w14:textId="77777777" w:rsidR="00C56981" w:rsidRPr="001E6C64" w:rsidRDefault="00C56981" w:rsidP="00C56981">
            <w:pPr>
              <w:spacing w:after="0"/>
              <w:jc w:val="both"/>
              <w:rPr>
                <w:rFonts w:ascii="Arial" w:hAnsi="Arial" w:cs="Arial"/>
                <w:sz w:val="18"/>
                <w:szCs w:val="18"/>
                <w:lang w:val="ro-MD"/>
              </w:rPr>
            </w:pPr>
          </w:p>
          <w:p w14:paraId="16A8670E" w14:textId="77777777" w:rsidR="00C56981" w:rsidRPr="001E6C64" w:rsidRDefault="00C56981" w:rsidP="00C56981">
            <w:pPr>
              <w:spacing w:after="0"/>
              <w:jc w:val="both"/>
              <w:rPr>
                <w:rFonts w:ascii="Arial" w:hAnsi="Arial" w:cs="Arial"/>
                <w:sz w:val="18"/>
                <w:szCs w:val="18"/>
                <w:lang w:val="ro-MD"/>
              </w:rPr>
            </w:pPr>
            <w:r w:rsidRPr="001E6C64">
              <w:rPr>
                <w:rFonts w:ascii="Arial" w:hAnsi="Arial" w:cs="Arial"/>
                <w:sz w:val="18"/>
                <w:szCs w:val="18"/>
                <w:lang w:val="ro-MD"/>
              </w:rPr>
              <w:t>Sursă de verificare: Date statistice de la COM conduse de platforma electronică.</w:t>
            </w:r>
          </w:p>
          <w:p w14:paraId="1EFFEED0" w14:textId="77777777" w:rsidR="00C56981" w:rsidRPr="00C56981" w:rsidRDefault="00C56981" w:rsidP="00C56981">
            <w:pPr>
              <w:spacing w:after="0" w:line="240" w:lineRule="auto"/>
              <w:jc w:val="both"/>
              <w:rPr>
                <w:rFonts w:ascii="Arial" w:hAnsi="Arial" w:cs="Arial"/>
                <w:sz w:val="18"/>
                <w:szCs w:val="18"/>
                <w:lang w:val="fr-FR"/>
              </w:rPr>
            </w:pPr>
          </w:p>
        </w:tc>
      </w:tr>
      <w:tr w:rsidR="00C56981" w:rsidRPr="00BD0643" w14:paraId="0DBD37F6"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677AE" w14:textId="404A18B3"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lastRenderedPageBreak/>
              <w:t>Lupta împotriva criminalității organizate</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A2DF9" w14:textId="6EE54E45"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2622D" w14:textId="77418BA4"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Recuperarea și gestionarea activelor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D4572" w14:textId="42E70060"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DEBDF" w14:textId="0F90BE76" w:rsidR="00C56981" w:rsidRPr="00840B12" w:rsidRDefault="00C56981" w:rsidP="00C56981">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2025</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182A5" w14:textId="3EE762B9"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 xml:space="preserve">Centrul Național Anticorupție, Procuratura Generală, Serviciul Fiscal de Stat, Consiliul Superior al Magistraturii, Uniunea Națională a Executorilor Judecătorești, Ministerul Afacerilor Interne, Serviciul Vamal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33357"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Registrul Bunurilor Infracționale Indisponibilizate este populat cu date, este pe deplin funcțional și generează și diseminează date statistice relevante privind bunurile. </w:t>
            </w:r>
          </w:p>
          <w:p w14:paraId="54956C2B" w14:textId="77777777" w:rsidR="00C56981" w:rsidRPr="001E6C64" w:rsidRDefault="00C56981" w:rsidP="00C56981">
            <w:pPr>
              <w:spacing w:after="0" w:line="240" w:lineRule="auto"/>
              <w:jc w:val="both"/>
              <w:rPr>
                <w:rFonts w:ascii="Arial" w:hAnsi="Arial" w:cs="Arial"/>
                <w:sz w:val="18"/>
                <w:szCs w:val="18"/>
                <w:lang w:val="ro-MD"/>
              </w:rPr>
            </w:pPr>
          </w:p>
          <w:p w14:paraId="0363861E" w14:textId="77777777" w:rsidR="00C56981" w:rsidRPr="001E6C64" w:rsidRDefault="00C56981" w:rsidP="00C56981">
            <w:pPr>
              <w:spacing w:after="0" w:line="240" w:lineRule="auto"/>
              <w:jc w:val="both"/>
              <w:rPr>
                <w:rFonts w:ascii="Arial" w:hAnsi="Arial" w:cs="Arial"/>
                <w:sz w:val="18"/>
                <w:szCs w:val="18"/>
                <w:lang w:val="ro-MD"/>
              </w:rPr>
            </w:pPr>
          </w:p>
          <w:p w14:paraId="56557553" w14:textId="1C1CCDDF" w:rsidR="00C56981" w:rsidRPr="00C56981"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Linia de referință: În 2024, registrul bunurilor sechestrate a fost înființat, dar nu a fost populat; legăturile cu organele de aplicare a legii nu sunt stabilite și datele relevante nu sunt produse/difuzate.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76D42"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100% din bunurile înghețate, sechestrate și confiscate sunt înregistrate în registru, informațiile fiind accesibile tuturor utilizatorilor autorizați. Este operațional un sistem de generare a datelor statistice privind numărul de ordine de restricție și de confiscare, valoarea estimată a bunurilor sechestrate și recuperate, numărul de cereri formulate/executate în alt stat membru și valoarea bunurilor reutilizate în scopuri sociale. </w:t>
            </w:r>
          </w:p>
          <w:p w14:paraId="32873B65"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Registrul urmează să fie populat și accesul urmează să fie oferit tuturor organismelor relevante de aplicare a legii.</w:t>
            </w:r>
          </w:p>
          <w:p w14:paraId="509B37BF" w14:textId="08FE50EF" w:rsidR="00C56981" w:rsidRPr="00C56981"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Sursa de verificare: Raportul anual de activitate al Centrului Național Anticorupție</w:t>
            </w:r>
          </w:p>
        </w:tc>
      </w:tr>
      <w:tr w:rsidR="00C56981" w:rsidRPr="00840B12" w14:paraId="1CC5D52A"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5D05C" w14:textId="5895156D" w:rsidR="00C56981" w:rsidRPr="00840B12" w:rsidRDefault="00C56981" w:rsidP="00C56981">
            <w:pPr>
              <w:spacing w:line="240" w:lineRule="auto"/>
              <w:jc w:val="both"/>
              <w:rPr>
                <w:rFonts w:ascii="Arial" w:hAnsi="Arial" w:cs="Arial"/>
                <w:sz w:val="18"/>
                <w:szCs w:val="18"/>
              </w:rPr>
            </w:pPr>
            <w:bookmarkStart w:id="14" w:name="_Hlk192889704"/>
            <w:r w:rsidRPr="001E6C64">
              <w:rPr>
                <w:rFonts w:ascii="Arial" w:hAnsi="Arial" w:cs="Arial"/>
                <w:sz w:val="18"/>
                <w:szCs w:val="18"/>
                <w:lang w:val="ro-MD"/>
              </w:rPr>
              <w:t xml:space="preserve">Lupta împotriva criminalității </w:t>
            </w:r>
            <w:r w:rsidRPr="001E6C64">
              <w:rPr>
                <w:rFonts w:ascii="Arial" w:hAnsi="Arial" w:cs="Arial"/>
                <w:sz w:val="18"/>
                <w:szCs w:val="18"/>
                <w:lang w:val="ro-MD"/>
              </w:rPr>
              <w:lastRenderedPageBreak/>
              <w:t xml:space="preserve">organizate </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74373" w14:textId="77777777" w:rsidR="00C56981" w:rsidRPr="00840B12" w:rsidRDefault="00C56981" w:rsidP="00C56981">
            <w:pPr>
              <w:spacing w:line="240" w:lineRule="auto"/>
              <w:jc w:val="both"/>
              <w:rPr>
                <w:rFonts w:ascii="Arial" w:hAnsi="Arial" w:cs="Arial"/>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34713" w14:textId="77777777" w:rsidR="00C56981" w:rsidRPr="00840B12" w:rsidRDefault="00C56981" w:rsidP="00C56981">
            <w:pPr>
              <w:spacing w:line="240" w:lineRule="auto"/>
              <w:jc w:val="both"/>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A9BDD" w14:textId="11B91071"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t>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873F4" w14:textId="77777777" w:rsidR="00C56981" w:rsidRPr="001E6C64" w:rsidRDefault="00C56981" w:rsidP="00C56981">
            <w:pPr>
              <w:spacing w:after="0" w:line="240" w:lineRule="auto"/>
              <w:jc w:val="both"/>
              <w:rPr>
                <w:rFonts w:ascii="Arial" w:hAnsi="Arial" w:cs="Arial"/>
                <w:sz w:val="18"/>
                <w:szCs w:val="18"/>
                <w:lang w:val="ro-MD"/>
              </w:rPr>
            </w:pPr>
            <w:r>
              <w:rPr>
                <w:rFonts w:ascii="Arial" w:hAnsi="Arial" w:cs="Arial"/>
                <w:sz w:val="18"/>
                <w:szCs w:val="18"/>
                <w:lang w:val="ro-MD"/>
              </w:rPr>
              <w:t>d</w:t>
            </w:r>
            <w:r w:rsidRPr="001E6C64">
              <w:rPr>
                <w:rFonts w:ascii="Arial" w:hAnsi="Arial" w:cs="Arial"/>
                <w:sz w:val="18"/>
                <w:szCs w:val="18"/>
                <w:lang w:val="ro-MD"/>
              </w:rPr>
              <w:t>ecembrie 2027</w:t>
            </w:r>
          </w:p>
          <w:p w14:paraId="6ECD4D65" w14:textId="77777777" w:rsidR="00C56981" w:rsidRPr="00840B12" w:rsidRDefault="00C56981" w:rsidP="00C56981">
            <w:pPr>
              <w:spacing w:line="240" w:lineRule="auto"/>
              <w:jc w:val="both"/>
              <w:rPr>
                <w:rFonts w:ascii="Arial" w:hAnsi="Arial" w:cs="Arial"/>
                <w:sz w:val="18"/>
                <w:szCs w:val="18"/>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F0E41" w14:textId="56451442"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t xml:space="preserve">Ministerul Afacerilor Interne, Procuratura Generală, Serviciul Prevenirea și </w:t>
            </w:r>
            <w:r w:rsidRPr="001E6C64">
              <w:rPr>
                <w:rFonts w:ascii="Arial" w:hAnsi="Arial" w:cs="Arial"/>
                <w:sz w:val="18"/>
                <w:szCs w:val="18"/>
                <w:lang w:val="ro-MD"/>
              </w:rPr>
              <w:lastRenderedPageBreak/>
              <w:t>Combaterea Spălării Banilor</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FE416"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lastRenderedPageBreak/>
              <w:t>Îmbunătățirea istoricului de investigații, urmăriri penale și condamnări eficace și eficiente în cazurile de criminalitate gravă și organizată</w:t>
            </w:r>
          </w:p>
          <w:p w14:paraId="05A81C73" w14:textId="1A4E1BED" w:rsidR="00C56981" w:rsidRPr="00C56981"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Linia de referință: cifra medie pentru 2022-24 privind media investigațiilor, urmăririlor penale și hotărârilor </w:t>
            </w:r>
            <w:r w:rsidRPr="001E6C64">
              <w:rPr>
                <w:rFonts w:ascii="Arial" w:hAnsi="Arial" w:cs="Arial"/>
                <w:sz w:val="18"/>
                <w:szCs w:val="18"/>
                <w:lang w:val="ro-MD"/>
              </w:rPr>
              <w:lastRenderedPageBreak/>
              <w:t>definitive în cazurile de criminalitate gravă și organizată, astfel cum sunt raportate în datele platformei electronice.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EA1C"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lastRenderedPageBreak/>
              <w:t>Se observă o tendință generală pozitivă a bilanțului, care cuprinde investigații, urmăriri penale și hotărâri judecătorești. Infracțiunile grave sunt spălarea banilor, criminalitatea cibernetică, producția și traficul de droguri, infracțiunile legate de armele de foc, terorismul, traficul de ființe umane și introducerea ilegală de persoane.</w:t>
            </w:r>
          </w:p>
          <w:p w14:paraId="649FE4CC" w14:textId="77777777" w:rsidR="00C56981" w:rsidRPr="001E6C64" w:rsidRDefault="00C56981" w:rsidP="00C56981">
            <w:pPr>
              <w:spacing w:after="0" w:line="240" w:lineRule="auto"/>
              <w:jc w:val="both"/>
              <w:rPr>
                <w:rFonts w:ascii="Arial" w:hAnsi="Arial" w:cs="Arial"/>
                <w:sz w:val="18"/>
                <w:szCs w:val="18"/>
                <w:lang w:val="ro-MD"/>
              </w:rPr>
            </w:pPr>
          </w:p>
          <w:p w14:paraId="2C383A68" w14:textId="651961E4"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Sursa de verificare: date privind valoarea de referință a platformei electronice</w:t>
            </w:r>
          </w:p>
        </w:tc>
      </w:tr>
      <w:bookmarkEnd w:id="14"/>
      <w:tr w:rsidR="00C56981" w:rsidRPr="00BD0643" w14:paraId="6B69693D"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2A01E" w14:textId="1F3E0C39" w:rsidR="00C56981" w:rsidRPr="00840B12" w:rsidRDefault="00C56981" w:rsidP="00C56981">
            <w:pPr>
              <w:pStyle w:val="paragraph"/>
              <w:spacing w:before="0" w:beforeAutospacing="0" w:after="0" w:afterAutospacing="0"/>
              <w:jc w:val="both"/>
              <w:rPr>
                <w:rStyle w:val="normaltextrun"/>
                <w:rFonts w:ascii="Arial" w:eastAsia="Calibri" w:hAnsi="Arial" w:cs="Arial"/>
                <w:sz w:val="18"/>
                <w:szCs w:val="18"/>
              </w:rPr>
            </w:pPr>
            <w:r w:rsidRPr="001E6C64">
              <w:rPr>
                <w:rFonts w:ascii="Arial" w:eastAsia="Calibri" w:hAnsi="Arial" w:cs="Arial"/>
                <w:kern w:val="2"/>
                <w:sz w:val="18"/>
                <w:szCs w:val="18"/>
                <w:lang w:val="ro-MD" w:eastAsia="en-US"/>
              </w:rPr>
              <w:lastRenderedPageBreak/>
              <w:t>Statistică</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93B6" w14:textId="66BA8A67"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08DC6" w14:textId="0228FF80" w:rsidR="00C56981" w:rsidRPr="00C56981" w:rsidRDefault="00C56981" w:rsidP="00C56981">
            <w:pPr>
              <w:spacing w:after="0"/>
              <w:jc w:val="both"/>
              <w:rPr>
                <w:rFonts w:ascii="Arial" w:hAnsi="Arial" w:cs="Arial"/>
                <w:sz w:val="18"/>
                <w:szCs w:val="18"/>
                <w:lang w:val="fr-FR"/>
              </w:rPr>
            </w:pPr>
            <w:r w:rsidRPr="001E6C64">
              <w:rPr>
                <w:rFonts w:ascii="Arial" w:hAnsi="Arial" w:cs="Arial"/>
                <w:sz w:val="18"/>
                <w:szCs w:val="18"/>
                <w:lang w:val="ro-MD"/>
              </w:rPr>
              <w:t>Sporirea producției și difuzării de statistici oficiale în conformitate cu cerințele UE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CB0E" w14:textId="67B1A73A"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9C81A" w14:textId="532B9BF3" w:rsidR="00C56981" w:rsidRPr="00840B12" w:rsidRDefault="00C56981" w:rsidP="00C56981">
            <w:pPr>
              <w:spacing w:after="0" w:line="240" w:lineRule="auto"/>
              <w:jc w:val="both"/>
              <w:rPr>
                <w:rFonts w:ascii="Arial" w:hAnsi="Arial" w:cs="Arial"/>
                <w:sz w:val="18"/>
                <w:szCs w:val="18"/>
              </w:rPr>
            </w:pPr>
            <w:r>
              <w:rPr>
                <w:rFonts w:ascii="Arial" w:hAnsi="Arial" w:cs="Arial"/>
                <w:sz w:val="18"/>
                <w:szCs w:val="18"/>
                <w:lang w:val="ro-MD"/>
              </w:rPr>
              <w:t>d</w:t>
            </w:r>
            <w:r w:rsidRPr="001E6C64">
              <w:rPr>
                <w:rFonts w:ascii="Arial" w:hAnsi="Arial" w:cs="Arial"/>
                <w:sz w:val="18"/>
                <w:szCs w:val="18"/>
                <w:lang w:val="ro-MD"/>
              </w:rPr>
              <w:t>ecembrie 2027</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E7C90" w14:textId="714D2576"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Biroul Național de Statistică</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767A7"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t xml:space="preserve">Biroul Național de Statistică produce și difuzează pe pagina sa web principalii indicatori macroeconomici în conformitate cu SEC 2010, precum și indicele armonizat al prețurilor de consum (IAPC) și datele colectate în cadrul Programului european de comparare. </w:t>
            </w:r>
          </w:p>
          <w:p w14:paraId="64590323" w14:textId="07E023B9" w:rsidR="00C56981" w:rsidRPr="00C56981" w:rsidRDefault="00C56981" w:rsidP="00C56981">
            <w:pPr>
              <w:spacing w:after="0"/>
              <w:jc w:val="both"/>
              <w:rPr>
                <w:rFonts w:ascii="Arial" w:hAnsi="Arial" w:cs="Arial"/>
                <w:sz w:val="18"/>
                <w:szCs w:val="18"/>
                <w:lang w:val="ro-MD"/>
              </w:rPr>
            </w:pPr>
            <w:r w:rsidRPr="001E6C64">
              <w:rPr>
                <w:rFonts w:ascii="Arial" w:hAnsi="Arial" w:cs="Arial"/>
                <w:sz w:val="18"/>
                <w:szCs w:val="18"/>
                <w:lang w:val="ro-MD"/>
              </w:rPr>
              <w:t>Linia de referință: În decembrie 2024, producția limitată de date, difuzarea pe pagina web a BNS și transmiterea către Eurostat a indicatorilor macroeconomici aliniați la UE, a IAPC și a datelor din cadrul Programului european de comparare.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F2C01"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t xml:space="preserve">Producția și difuzarea pe pagina web a BNS a principalelor agregate ale conturilor naționale (cel puțin 5 tabele cu date) aliniate la SEC 2010 este sporită.  </w:t>
            </w:r>
          </w:p>
          <w:p w14:paraId="3567E979"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t xml:space="preserve">Se consolidează coerența datelor agregate ale principalelor conturi naționale cu SEC 2010. </w:t>
            </w:r>
          </w:p>
          <w:p w14:paraId="6E7488E4"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t>Indicele armonizat al prețurilor de consum (IAPC) este produs și difuzat pe pagina web a BNS</w:t>
            </w:r>
          </w:p>
          <w:p w14:paraId="07B48D0A"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t>Colectarea datelor este efectuată de BNS în cadrul Programului european de comparare pentru cel puțin 11 anchete statistice.</w:t>
            </w:r>
          </w:p>
          <w:p w14:paraId="36C2038E" w14:textId="34937600" w:rsidR="00C56981" w:rsidRPr="00C56981" w:rsidRDefault="00C56981" w:rsidP="00C56981">
            <w:pPr>
              <w:spacing w:after="0"/>
              <w:jc w:val="both"/>
              <w:rPr>
                <w:rFonts w:ascii="Arial" w:hAnsi="Arial" w:cs="Arial"/>
                <w:sz w:val="18"/>
                <w:szCs w:val="18"/>
                <w:lang w:val="fr-FR"/>
              </w:rPr>
            </w:pPr>
            <w:r w:rsidRPr="001E6C64">
              <w:rPr>
                <w:rFonts w:ascii="Arial" w:hAnsi="Arial" w:cs="Arial"/>
                <w:sz w:val="18"/>
                <w:szCs w:val="18"/>
                <w:lang w:val="ro-MD"/>
              </w:rPr>
              <w:t>Sursa de verificare: Pagina web a BNS; raportul BNS privind alinierea la UE</w:t>
            </w:r>
          </w:p>
        </w:tc>
      </w:tr>
      <w:tr w:rsidR="00C56981" w:rsidRPr="00BD0643" w14:paraId="44C3BDE9"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740F8" w14:textId="3BC23A3D" w:rsidR="00C56981" w:rsidRPr="00840B12" w:rsidRDefault="00C56981" w:rsidP="00C56981">
            <w:pPr>
              <w:spacing w:after="0" w:line="240" w:lineRule="auto"/>
              <w:jc w:val="both"/>
              <w:rPr>
                <w:rFonts w:ascii="Arial" w:hAnsi="Arial" w:cs="Arial"/>
                <w:sz w:val="18"/>
                <w:szCs w:val="18"/>
              </w:rPr>
            </w:pPr>
            <w:r w:rsidRPr="001E6C64">
              <w:rPr>
                <w:rFonts w:ascii="Arial" w:hAnsi="Arial" w:cs="Arial"/>
                <w:sz w:val="18"/>
                <w:szCs w:val="18"/>
                <w:lang w:val="ro-MD"/>
              </w:rPr>
              <w:t>Statistică</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45504" w14:textId="4A0A38F3"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E5C03" w14:textId="434A271A" w:rsidR="00C56981" w:rsidRPr="00C56981" w:rsidRDefault="00C56981" w:rsidP="00C56981">
            <w:pPr>
              <w:spacing w:line="240" w:lineRule="auto"/>
              <w:jc w:val="both"/>
              <w:rPr>
                <w:rFonts w:ascii="Arial" w:hAnsi="Arial" w:cs="Arial"/>
                <w:sz w:val="18"/>
                <w:szCs w:val="18"/>
                <w:lang w:val="fr-FR"/>
              </w:rPr>
            </w:pPr>
            <w:r w:rsidRPr="001E6C64">
              <w:rPr>
                <w:rFonts w:ascii="Arial" w:hAnsi="Arial" w:cs="Arial"/>
                <w:sz w:val="18"/>
                <w:szCs w:val="18"/>
                <w:lang w:val="ro-MD"/>
              </w:rPr>
              <w:t>Sporirea producției și difuzării de statistici oficiale în conformitate cu cerințele UE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CA599" w14:textId="1A70B9D9"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7C71" w14:textId="77777777" w:rsidR="00C56981" w:rsidRPr="001E6C64" w:rsidRDefault="00C56981" w:rsidP="00C56981">
            <w:pPr>
              <w:spacing w:after="0" w:line="240" w:lineRule="auto"/>
              <w:jc w:val="both"/>
              <w:rPr>
                <w:rFonts w:ascii="Arial" w:hAnsi="Arial" w:cs="Arial"/>
                <w:sz w:val="18"/>
                <w:szCs w:val="18"/>
                <w:lang w:val="ro-MD"/>
              </w:rPr>
            </w:pPr>
            <w:r>
              <w:rPr>
                <w:rFonts w:ascii="Arial" w:hAnsi="Arial" w:cs="Arial"/>
                <w:sz w:val="18"/>
                <w:szCs w:val="18"/>
                <w:lang w:val="ro-MD"/>
              </w:rPr>
              <w:t>d</w:t>
            </w:r>
            <w:r w:rsidRPr="001E6C64">
              <w:rPr>
                <w:rFonts w:ascii="Arial" w:hAnsi="Arial" w:cs="Arial"/>
                <w:sz w:val="18"/>
                <w:szCs w:val="18"/>
                <w:lang w:val="ro-MD"/>
              </w:rPr>
              <w:t>ecembrie 2026</w:t>
            </w:r>
          </w:p>
          <w:p w14:paraId="1144BDF4" w14:textId="77777777" w:rsidR="00C56981" w:rsidRPr="00840B12" w:rsidRDefault="00C56981" w:rsidP="00C56981">
            <w:pPr>
              <w:spacing w:line="240" w:lineRule="auto"/>
              <w:jc w:val="both"/>
              <w:rPr>
                <w:rFonts w:ascii="Arial" w:hAnsi="Arial" w:cs="Arial"/>
                <w:sz w:val="18"/>
                <w:szCs w:val="18"/>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8DDAD" w14:textId="3530E740"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t xml:space="preserve">Biroul Național de Statistică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75F19"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t xml:space="preserve">Biroul Național de Statistică prelucrează și difuzează datele Recensământului Populației și Locuințelor din 2024 în funcție de temele recensământului și de defalcările acestora pentru a asigura comparabilitatea cu statele membre ale UE. </w:t>
            </w:r>
          </w:p>
          <w:p w14:paraId="78AB1FD6" w14:textId="566845BB" w:rsidR="00C56981" w:rsidRPr="00840B12" w:rsidRDefault="00C56981" w:rsidP="00C56981">
            <w:pPr>
              <w:spacing w:after="0" w:line="257" w:lineRule="auto"/>
              <w:jc w:val="both"/>
              <w:rPr>
                <w:rFonts w:ascii="Arial" w:hAnsi="Arial" w:cs="Arial"/>
                <w:sz w:val="18"/>
                <w:szCs w:val="18"/>
                <w:lang w:val="en-GB"/>
              </w:rPr>
            </w:pPr>
            <w:r w:rsidRPr="001E6C64">
              <w:rPr>
                <w:rFonts w:ascii="Arial" w:hAnsi="Arial" w:cs="Arial"/>
                <w:sz w:val="18"/>
                <w:szCs w:val="18"/>
                <w:lang w:val="ro-MD"/>
              </w:rPr>
              <w:t>Linia de referință: În decembrie 2024, rezultatele recensământului nu sunt difuzate.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16408"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t xml:space="preserve">Rezultatele finale ale Recensământului Populației și Locuințelor 2024 sunt difuzate pe pagina web a BNS în două etape, în conformitate cu programul de difuzare (pe 35 de teme și defalcarea acestora în conformitate cu Regulamentul UE nr. 2017/543). </w:t>
            </w:r>
          </w:p>
          <w:p w14:paraId="0E27623F"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t>Se creează și se face funcțională o geodatabase statistică pe baza Recensământului Populației și Locuințelor din 2024.</w:t>
            </w:r>
          </w:p>
          <w:p w14:paraId="17F0CE7A"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t>Datele privind subiectele selectate (cel puțin 6 în conformitate cu anexa I la Regulamentul (UE) nr. 2018/1799) și defalcările acestora din rezultatele Recensământului Populației și Locuințelor din 2024, geocodate la nivelul rețelei de 1 km², sunt diseminate pe pagina web a BNS.</w:t>
            </w:r>
          </w:p>
          <w:p w14:paraId="1E9B71AF" w14:textId="0C2DCBA8" w:rsidR="00C56981" w:rsidRPr="00C56981" w:rsidRDefault="00C56981" w:rsidP="00C56981">
            <w:pPr>
              <w:spacing w:line="257" w:lineRule="auto"/>
              <w:jc w:val="both"/>
              <w:rPr>
                <w:rFonts w:ascii="Arial" w:hAnsi="Arial" w:cs="Arial"/>
                <w:sz w:val="18"/>
                <w:szCs w:val="18"/>
                <w:lang w:val="fr-FR"/>
              </w:rPr>
            </w:pPr>
            <w:r w:rsidRPr="001E6C64">
              <w:rPr>
                <w:rFonts w:ascii="Arial" w:hAnsi="Arial" w:cs="Arial"/>
                <w:sz w:val="18"/>
                <w:szCs w:val="18"/>
                <w:lang w:val="ro-MD"/>
              </w:rPr>
              <w:t>Sursa de verificare: Pagina web a BNS, raportul BNS privind alinierea la UE</w:t>
            </w:r>
          </w:p>
        </w:tc>
      </w:tr>
      <w:tr w:rsidR="00C56981" w:rsidRPr="00840B12" w14:paraId="3E695949" w14:textId="77777777" w:rsidTr="00A63D33">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96877" w14:textId="3180DF0C"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t>Statistică</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96863" w14:textId="7CF17CD2"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04170" w14:textId="79C4ECF3" w:rsidR="00C56981" w:rsidRPr="00C56981" w:rsidRDefault="00C56981" w:rsidP="00C56981">
            <w:pPr>
              <w:spacing w:line="240" w:lineRule="auto"/>
              <w:jc w:val="both"/>
              <w:rPr>
                <w:rFonts w:ascii="Arial" w:hAnsi="Arial" w:cs="Arial"/>
                <w:sz w:val="18"/>
                <w:szCs w:val="18"/>
                <w:lang w:val="fr-FR"/>
              </w:rPr>
            </w:pPr>
            <w:r w:rsidRPr="001E6C64">
              <w:rPr>
                <w:rFonts w:ascii="Arial" w:hAnsi="Arial" w:cs="Arial"/>
                <w:sz w:val="18"/>
                <w:szCs w:val="18"/>
                <w:lang w:val="ro-MD"/>
              </w:rPr>
              <w:t xml:space="preserve">Sporirea producției și difuzării de statistici oficiale în </w:t>
            </w:r>
            <w:r w:rsidRPr="001E6C64">
              <w:rPr>
                <w:rFonts w:ascii="Arial" w:hAnsi="Arial" w:cs="Arial"/>
                <w:sz w:val="18"/>
                <w:szCs w:val="18"/>
                <w:lang w:val="ro-MD"/>
              </w:rPr>
              <w:lastRenderedPageBreak/>
              <w:t>conformitate cu cerințele UE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B3736" w14:textId="61D3836F" w:rsidR="00C56981" w:rsidRPr="00840B12" w:rsidRDefault="00C56981" w:rsidP="00C56981">
            <w:pPr>
              <w:spacing w:line="240" w:lineRule="auto"/>
              <w:jc w:val="both"/>
              <w:rPr>
                <w:rFonts w:ascii="Arial" w:hAnsi="Arial" w:cs="Arial"/>
                <w:sz w:val="18"/>
                <w:szCs w:val="18"/>
              </w:rPr>
            </w:pPr>
            <w:r w:rsidRPr="001E6C64">
              <w:rPr>
                <w:rFonts w:ascii="Arial" w:hAnsi="Arial" w:cs="Arial"/>
                <w:sz w:val="18"/>
                <w:szCs w:val="18"/>
                <w:lang w:val="ro-MD"/>
              </w:rPr>
              <w:lastRenderedPageBreak/>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1DE12" w14:textId="0BD702F4" w:rsidR="00C56981" w:rsidRPr="00840B12" w:rsidRDefault="00C56981" w:rsidP="00C56981">
            <w:pPr>
              <w:spacing w:line="240" w:lineRule="auto"/>
              <w:jc w:val="both"/>
              <w:rPr>
                <w:rFonts w:ascii="Arial" w:hAnsi="Arial" w:cs="Arial"/>
                <w:sz w:val="18"/>
                <w:szCs w:val="18"/>
              </w:rPr>
            </w:pPr>
            <w:r>
              <w:rPr>
                <w:rFonts w:ascii="Arial" w:hAnsi="Arial" w:cs="Arial"/>
                <w:sz w:val="18"/>
                <w:szCs w:val="18"/>
                <w:lang w:val="ro-MD"/>
              </w:rPr>
              <w:t>i</w:t>
            </w:r>
            <w:r w:rsidRPr="001E6C64">
              <w:rPr>
                <w:rFonts w:ascii="Arial" w:hAnsi="Arial" w:cs="Arial"/>
                <w:sz w:val="18"/>
                <w:szCs w:val="18"/>
                <w:lang w:val="ro-MD"/>
              </w:rPr>
              <w:t>unie 2027</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914F8"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t>Biroul Național de Statistică</w:t>
            </w:r>
          </w:p>
          <w:p w14:paraId="62F52ABA" w14:textId="77777777" w:rsidR="00C56981" w:rsidRPr="00840B12" w:rsidRDefault="00C56981" w:rsidP="00C56981">
            <w:pPr>
              <w:spacing w:line="240" w:lineRule="auto"/>
              <w:jc w:val="both"/>
              <w:rPr>
                <w:rFonts w:ascii="Arial" w:hAnsi="Arial" w:cs="Arial"/>
                <w:sz w:val="18"/>
                <w:szCs w:val="18"/>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64F20"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lastRenderedPageBreak/>
              <w:t xml:space="preserve">Moldova adoptă Hotărârea de Guvern cu privire la efectuarea recensămîntului general agricol în conformitate cu cerințele UE. </w:t>
            </w:r>
          </w:p>
          <w:p w14:paraId="33D66115" w14:textId="77777777" w:rsidR="00C56981" w:rsidRPr="001E6C64" w:rsidRDefault="00C56981" w:rsidP="00C56981">
            <w:pPr>
              <w:spacing w:after="0" w:line="240" w:lineRule="auto"/>
              <w:jc w:val="both"/>
              <w:rPr>
                <w:rFonts w:ascii="Arial" w:hAnsi="Arial" w:cs="Arial"/>
                <w:sz w:val="18"/>
                <w:szCs w:val="18"/>
                <w:lang w:val="ro-MD"/>
              </w:rPr>
            </w:pPr>
            <w:r w:rsidRPr="001E6C64">
              <w:rPr>
                <w:rFonts w:ascii="Arial" w:hAnsi="Arial" w:cs="Arial"/>
                <w:sz w:val="18"/>
                <w:szCs w:val="18"/>
                <w:lang w:val="ro-MD"/>
              </w:rPr>
              <w:t xml:space="preserve"> </w:t>
            </w:r>
          </w:p>
          <w:p w14:paraId="42573008"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lastRenderedPageBreak/>
              <w:t xml:space="preserve">Linia de referință: Nu este adoptată nicio Hotărâre de Guvern cu privire la efectuarea recensămîntului general agricol. </w:t>
            </w:r>
          </w:p>
          <w:p w14:paraId="06EDF1E4" w14:textId="77777777" w:rsidR="00C56981" w:rsidRPr="00840B12" w:rsidRDefault="00C56981" w:rsidP="00C56981">
            <w:pPr>
              <w:spacing w:after="0" w:line="240" w:lineRule="auto"/>
              <w:jc w:val="both"/>
              <w:rPr>
                <w:rFonts w:ascii="Arial" w:hAnsi="Arial" w:cs="Arial"/>
                <w:sz w:val="18"/>
                <w:szCs w:val="1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6F53E" w14:textId="77777777" w:rsidR="00C56981" w:rsidRPr="001E6C64" w:rsidRDefault="00C56981" w:rsidP="00C56981">
            <w:pPr>
              <w:jc w:val="both"/>
              <w:rPr>
                <w:rFonts w:ascii="Arial" w:hAnsi="Arial" w:cs="Arial"/>
                <w:sz w:val="18"/>
                <w:szCs w:val="18"/>
                <w:lang w:val="ro-MD"/>
              </w:rPr>
            </w:pPr>
            <w:r w:rsidRPr="001E6C64">
              <w:rPr>
                <w:rFonts w:ascii="Arial" w:hAnsi="Arial" w:cs="Arial"/>
                <w:sz w:val="18"/>
                <w:szCs w:val="18"/>
                <w:lang w:val="ro-MD"/>
              </w:rPr>
              <w:lastRenderedPageBreak/>
              <w:t>Se adoptă Hotărârea de Guvern cu privire la organizarea recensământului general agricol care va avea loc în runda 2030.</w:t>
            </w:r>
          </w:p>
          <w:p w14:paraId="5A202906" w14:textId="1C8B284A" w:rsidR="00C56981" w:rsidRPr="00840B12" w:rsidRDefault="00C56981" w:rsidP="00C56981">
            <w:pPr>
              <w:jc w:val="both"/>
              <w:rPr>
                <w:rFonts w:ascii="Arial" w:hAnsi="Arial" w:cs="Arial"/>
                <w:sz w:val="18"/>
                <w:szCs w:val="18"/>
              </w:rPr>
            </w:pPr>
            <w:r w:rsidRPr="001E6C64">
              <w:rPr>
                <w:rFonts w:ascii="Arial" w:hAnsi="Arial" w:cs="Arial"/>
                <w:sz w:val="18"/>
                <w:szCs w:val="18"/>
                <w:lang w:val="ro-MD"/>
              </w:rPr>
              <w:lastRenderedPageBreak/>
              <w:t>Sursa de verificare: Monitorul Oficial</w:t>
            </w:r>
          </w:p>
        </w:tc>
      </w:tr>
    </w:tbl>
    <w:p w14:paraId="6A932B92" w14:textId="77777777" w:rsidR="00936380" w:rsidRPr="00840B12" w:rsidRDefault="00936380" w:rsidP="002F7854">
      <w:pPr>
        <w:widowControl w:val="0"/>
        <w:spacing w:after="0" w:line="276" w:lineRule="auto"/>
        <w:jc w:val="both"/>
        <w:rPr>
          <w:rFonts w:ascii="Arial" w:hAnsi="Arial" w:cs="Arial"/>
          <w:sz w:val="18"/>
          <w:szCs w:val="18"/>
        </w:rPr>
      </w:pPr>
    </w:p>
    <w:p w14:paraId="2AFB6904" w14:textId="77777777" w:rsidR="00936380" w:rsidRPr="00840B12" w:rsidRDefault="00936380" w:rsidP="002F7854">
      <w:pPr>
        <w:widowControl w:val="0"/>
        <w:pBdr>
          <w:top w:val="nil"/>
          <w:left w:val="nil"/>
          <w:bottom w:val="nil"/>
          <w:right w:val="nil"/>
          <w:between w:val="nil"/>
        </w:pBdr>
        <w:spacing w:after="0" w:line="276" w:lineRule="auto"/>
        <w:jc w:val="both"/>
        <w:rPr>
          <w:rFonts w:ascii="Arial" w:hAnsi="Arial" w:cs="Arial"/>
          <w:sz w:val="18"/>
          <w:szCs w:val="18"/>
        </w:rPr>
      </w:pPr>
    </w:p>
    <w:p w14:paraId="4244E2C2" w14:textId="77777777" w:rsidR="00D96D99" w:rsidRPr="00840B12" w:rsidRDefault="00D96D99" w:rsidP="002F7854">
      <w:pPr>
        <w:widowControl w:val="0"/>
        <w:pBdr>
          <w:top w:val="nil"/>
          <w:left w:val="nil"/>
          <w:bottom w:val="nil"/>
          <w:right w:val="nil"/>
          <w:between w:val="nil"/>
        </w:pBdr>
        <w:spacing w:after="0" w:line="276" w:lineRule="auto"/>
        <w:jc w:val="both"/>
        <w:rPr>
          <w:rFonts w:ascii="Arial" w:hAnsi="Arial" w:cs="Arial"/>
          <w:sz w:val="18"/>
          <w:szCs w:val="18"/>
        </w:rPr>
      </w:pPr>
    </w:p>
    <w:p w14:paraId="157B73C0" w14:textId="77777777" w:rsidR="00045DA7" w:rsidRPr="00840B12" w:rsidRDefault="00045DA7" w:rsidP="002F7854">
      <w:pPr>
        <w:widowControl w:val="0"/>
        <w:pBdr>
          <w:top w:val="nil"/>
          <w:left w:val="nil"/>
          <w:bottom w:val="nil"/>
          <w:right w:val="nil"/>
          <w:between w:val="nil"/>
        </w:pBdr>
        <w:spacing w:after="0" w:line="276" w:lineRule="auto"/>
        <w:jc w:val="both"/>
        <w:rPr>
          <w:rFonts w:ascii="Arial" w:hAnsi="Arial" w:cs="Arial"/>
          <w:sz w:val="18"/>
          <w:szCs w:val="18"/>
        </w:rPr>
      </w:pPr>
    </w:p>
    <w:p w14:paraId="794C98DE" w14:textId="77777777" w:rsidR="00045DA7" w:rsidRPr="00840B12" w:rsidRDefault="00045DA7" w:rsidP="002F7854">
      <w:pPr>
        <w:jc w:val="both"/>
        <w:rPr>
          <w:rFonts w:ascii="Arial" w:hAnsi="Arial" w:cs="Arial"/>
          <w:sz w:val="18"/>
          <w:szCs w:val="18"/>
        </w:rPr>
      </w:pPr>
    </w:p>
    <w:bookmarkEnd w:id="0"/>
    <w:p w14:paraId="4C11EC72" w14:textId="77777777" w:rsidR="00DB2B67" w:rsidRPr="00840B12" w:rsidRDefault="00DB2B67" w:rsidP="002F7854">
      <w:pPr>
        <w:jc w:val="both"/>
        <w:rPr>
          <w:rFonts w:ascii="Arial" w:hAnsi="Arial" w:cs="Arial"/>
          <w:sz w:val="18"/>
          <w:szCs w:val="18"/>
        </w:rPr>
      </w:pPr>
    </w:p>
    <w:sectPr w:rsidR="00DB2B67" w:rsidRPr="00840B12" w:rsidSect="00045DA7">
      <w:headerReference w:type="default" r:id="rId23"/>
      <w:footerReference w:type="default" r:id="rId24"/>
      <w:pgSz w:w="16838" w:h="11906" w:orient="landscape"/>
      <w:pgMar w:top="720" w:right="153" w:bottom="720" w:left="153"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C3E60" w14:textId="77777777" w:rsidR="00B059B2" w:rsidRDefault="00B059B2">
      <w:pPr>
        <w:spacing w:after="0" w:line="240" w:lineRule="auto"/>
      </w:pPr>
      <w:r>
        <w:separator/>
      </w:r>
    </w:p>
  </w:endnote>
  <w:endnote w:type="continuationSeparator" w:id="0">
    <w:p w14:paraId="4476E081" w14:textId="77777777" w:rsidR="00B059B2" w:rsidRDefault="00B0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CA33A" w14:textId="7D422135" w:rsidR="00FE50DE" w:rsidRDefault="00FE50DE">
    <w:pPr>
      <w:jc w:val="right"/>
    </w:pPr>
    <w:r>
      <w:fldChar w:fldCharType="begin"/>
    </w:r>
    <w:r>
      <w:instrText>PAGE</w:instrText>
    </w:r>
    <w:r>
      <w:fldChar w:fldCharType="separate"/>
    </w:r>
    <w:r w:rsidR="005F00AE">
      <w:rPr>
        <w:noProof/>
      </w:rPr>
      <w:t>22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5A26" w14:textId="7752B349" w:rsidR="00FE50DE" w:rsidRDefault="00FE50DE">
    <w:pPr>
      <w:jc w:val="right"/>
    </w:pPr>
    <w:r>
      <w:fldChar w:fldCharType="begin"/>
    </w:r>
    <w:r>
      <w:instrText>PAGE</w:instrText>
    </w:r>
    <w:r>
      <w:fldChar w:fldCharType="separate"/>
    </w:r>
    <w:r w:rsidR="005F00AE">
      <w:rPr>
        <w:noProof/>
      </w:rPr>
      <w:t>13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082B" w14:textId="5949553C" w:rsidR="00FE50DE" w:rsidRDefault="00FE50DE">
    <w:pPr>
      <w:jc w:val="right"/>
    </w:pPr>
    <w:r>
      <w:fldChar w:fldCharType="begin"/>
    </w:r>
    <w:r>
      <w:instrText>PAGE</w:instrText>
    </w:r>
    <w:r>
      <w:fldChar w:fldCharType="separate"/>
    </w:r>
    <w:r w:rsidR="005F00AE">
      <w:rPr>
        <w:noProof/>
      </w:rPr>
      <w:t>1</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A38A" w14:textId="1C774933" w:rsidR="00FE50DE" w:rsidRDefault="00FE50DE">
    <w:pPr>
      <w:jc w:val="right"/>
    </w:pPr>
    <w:r>
      <w:fldChar w:fldCharType="begin"/>
    </w:r>
    <w:r>
      <w:instrText>PAGE</w:instrText>
    </w:r>
    <w:r>
      <w:fldChar w:fldCharType="separate"/>
    </w:r>
    <w:r w:rsidR="005F00AE">
      <w:rPr>
        <w:noProof/>
      </w:rPr>
      <w:t>29</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6A8A" w14:textId="2FDA8E44" w:rsidR="00FE50DE" w:rsidRDefault="00FE50DE">
    <w:pPr>
      <w:jc w:val="right"/>
    </w:pPr>
    <w:r>
      <w:fldChar w:fldCharType="begin"/>
    </w:r>
    <w:r>
      <w:instrText>PAGE</w:instrText>
    </w:r>
    <w:r>
      <w:fldChar w:fldCharType="separate"/>
    </w:r>
    <w:r w:rsidR="005F00AE">
      <w:rPr>
        <w:noProof/>
      </w:rPr>
      <w:t>38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0C8D1" w14:textId="77777777" w:rsidR="00B059B2" w:rsidRDefault="00B059B2">
      <w:pPr>
        <w:spacing w:after="0" w:line="240" w:lineRule="auto"/>
      </w:pPr>
      <w:r>
        <w:separator/>
      </w:r>
    </w:p>
  </w:footnote>
  <w:footnote w:type="continuationSeparator" w:id="0">
    <w:p w14:paraId="07239687" w14:textId="77777777" w:rsidR="00B059B2" w:rsidRDefault="00B05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0EB5" w14:textId="101ABDD5" w:rsidR="00FE50DE" w:rsidRPr="003A36E3" w:rsidRDefault="00FE50DE">
    <w:pPr>
      <w:rPr>
        <w:rFonts w:ascii="Times New Roman" w:hAnsi="Times New Roman" w:cs="Times New Roman"/>
        <w:bCs/>
        <w:i/>
        <w:iCs/>
        <w:color w:val="000000" w:themeColor="text1"/>
        <w:sz w:val="24"/>
        <w:szCs w:val="24"/>
        <w:lang w:val="ro-MD"/>
      </w:rPr>
    </w:pPr>
    <w:r w:rsidRPr="003A36E3">
      <w:rPr>
        <w:rFonts w:ascii="Times New Roman" w:hAnsi="Times New Roman" w:cs="Times New Roman"/>
        <w:bCs/>
        <w:i/>
        <w:iCs/>
        <w:color w:val="000000" w:themeColor="text1"/>
        <w:sz w:val="24"/>
        <w:szCs w:val="24"/>
        <w:lang w:val="ro-MD"/>
      </w:rPr>
      <w:t>Traducere din limba engleză în limba română</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316D" w14:textId="77777777" w:rsidR="00FE50DE" w:rsidRDefault="00FE50DE">
    <w:pPr>
      <w:rPr>
        <w:b/>
        <w:color w:val="FF0000"/>
        <w:sz w:val="34"/>
        <w:szCs w:val="3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41F2" w14:textId="77777777" w:rsidR="00FE50DE" w:rsidRDefault="00FE50DE">
    <w:pPr>
      <w:rPr>
        <w:b/>
        <w:color w:val="FF0000"/>
        <w:sz w:val="34"/>
        <w:szCs w:val="3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ABE6" w14:textId="77777777" w:rsidR="00FE50DE" w:rsidRDefault="00FE50DE">
    <w:pPr>
      <w:rPr>
        <w:b/>
        <w:color w:val="FF0000"/>
        <w:sz w:val="34"/>
        <w:szCs w:val="3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84A6" w14:textId="77777777" w:rsidR="00FE50DE" w:rsidRDefault="00FE50DE">
    <w:pPr>
      <w:rPr>
        <w:b/>
        <w:color w:val="FF0000"/>
        <w:sz w:val="34"/>
        <w:szCs w:val="3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B5D7"/>
    <w:multiLevelType w:val="hybridMultilevel"/>
    <w:tmpl w:val="FFFFFFFF"/>
    <w:lvl w:ilvl="0" w:tplc="A4F4B6C0">
      <w:start w:val="1"/>
      <w:numFmt w:val="bullet"/>
      <w:lvlText w:val=""/>
      <w:lvlJc w:val="left"/>
      <w:pPr>
        <w:ind w:left="720" w:hanging="360"/>
      </w:pPr>
      <w:rPr>
        <w:rFonts w:ascii="Symbol" w:hAnsi="Symbol" w:hint="default"/>
      </w:rPr>
    </w:lvl>
    <w:lvl w:ilvl="1" w:tplc="5C08313C">
      <w:start w:val="1"/>
      <w:numFmt w:val="bullet"/>
      <w:lvlText w:val="o"/>
      <w:lvlJc w:val="left"/>
      <w:pPr>
        <w:ind w:left="1440" w:hanging="360"/>
      </w:pPr>
      <w:rPr>
        <w:rFonts w:ascii="Courier New" w:hAnsi="Courier New" w:hint="default"/>
      </w:rPr>
    </w:lvl>
    <w:lvl w:ilvl="2" w:tplc="448C1254">
      <w:start w:val="1"/>
      <w:numFmt w:val="bullet"/>
      <w:lvlText w:val=""/>
      <w:lvlJc w:val="left"/>
      <w:pPr>
        <w:ind w:left="2160" w:hanging="360"/>
      </w:pPr>
      <w:rPr>
        <w:rFonts w:ascii="Wingdings" w:hAnsi="Wingdings" w:hint="default"/>
      </w:rPr>
    </w:lvl>
    <w:lvl w:ilvl="3" w:tplc="65DE7B86">
      <w:start w:val="1"/>
      <w:numFmt w:val="bullet"/>
      <w:lvlText w:val=""/>
      <w:lvlJc w:val="left"/>
      <w:pPr>
        <w:ind w:left="2880" w:hanging="360"/>
      </w:pPr>
      <w:rPr>
        <w:rFonts w:ascii="Symbol" w:hAnsi="Symbol" w:hint="default"/>
      </w:rPr>
    </w:lvl>
    <w:lvl w:ilvl="4" w:tplc="6720D758">
      <w:start w:val="1"/>
      <w:numFmt w:val="bullet"/>
      <w:lvlText w:val="o"/>
      <w:lvlJc w:val="left"/>
      <w:pPr>
        <w:ind w:left="3600" w:hanging="360"/>
      </w:pPr>
      <w:rPr>
        <w:rFonts w:ascii="Courier New" w:hAnsi="Courier New" w:hint="default"/>
      </w:rPr>
    </w:lvl>
    <w:lvl w:ilvl="5" w:tplc="0242E164">
      <w:start w:val="1"/>
      <w:numFmt w:val="bullet"/>
      <w:lvlText w:val=""/>
      <w:lvlJc w:val="left"/>
      <w:pPr>
        <w:ind w:left="4320" w:hanging="360"/>
      </w:pPr>
      <w:rPr>
        <w:rFonts w:ascii="Wingdings" w:hAnsi="Wingdings" w:hint="default"/>
      </w:rPr>
    </w:lvl>
    <w:lvl w:ilvl="6" w:tplc="62E42E4A">
      <w:start w:val="1"/>
      <w:numFmt w:val="bullet"/>
      <w:lvlText w:val=""/>
      <w:lvlJc w:val="left"/>
      <w:pPr>
        <w:ind w:left="5040" w:hanging="360"/>
      </w:pPr>
      <w:rPr>
        <w:rFonts w:ascii="Symbol" w:hAnsi="Symbol" w:hint="default"/>
      </w:rPr>
    </w:lvl>
    <w:lvl w:ilvl="7" w:tplc="211ED7B8">
      <w:start w:val="1"/>
      <w:numFmt w:val="bullet"/>
      <w:lvlText w:val="o"/>
      <w:lvlJc w:val="left"/>
      <w:pPr>
        <w:ind w:left="5760" w:hanging="360"/>
      </w:pPr>
      <w:rPr>
        <w:rFonts w:ascii="Courier New" w:hAnsi="Courier New" w:hint="default"/>
      </w:rPr>
    </w:lvl>
    <w:lvl w:ilvl="8" w:tplc="55202C7A">
      <w:start w:val="1"/>
      <w:numFmt w:val="bullet"/>
      <w:lvlText w:val=""/>
      <w:lvlJc w:val="left"/>
      <w:pPr>
        <w:ind w:left="6480" w:hanging="360"/>
      </w:pPr>
      <w:rPr>
        <w:rFonts w:ascii="Wingdings" w:hAnsi="Wingdings" w:hint="default"/>
      </w:rPr>
    </w:lvl>
  </w:abstractNum>
  <w:abstractNum w:abstractNumId="1" w15:restartNumberingAfterBreak="0">
    <w:nsid w:val="0355756F"/>
    <w:multiLevelType w:val="hybridMultilevel"/>
    <w:tmpl w:val="FCF863EC"/>
    <w:lvl w:ilvl="0" w:tplc="70A626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93235"/>
    <w:multiLevelType w:val="hybridMultilevel"/>
    <w:tmpl w:val="FC2CB99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C52"/>
    <w:multiLevelType w:val="hybridMultilevel"/>
    <w:tmpl w:val="EF68FEAC"/>
    <w:lvl w:ilvl="0" w:tplc="452038F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B3993"/>
    <w:multiLevelType w:val="hybridMultilevel"/>
    <w:tmpl w:val="59EE6C94"/>
    <w:lvl w:ilvl="0" w:tplc="6EBEE0C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2C4DF"/>
    <w:multiLevelType w:val="hybridMultilevel"/>
    <w:tmpl w:val="1F78A046"/>
    <w:lvl w:ilvl="0" w:tplc="3EDE41AE">
      <w:start w:val="1"/>
      <w:numFmt w:val="bullet"/>
      <w:lvlText w:val="·"/>
      <w:lvlJc w:val="left"/>
      <w:pPr>
        <w:ind w:left="720" w:hanging="360"/>
      </w:pPr>
      <w:rPr>
        <w:rFonts w:ascii="Symbol" w:hAnsi="Symbol" w:hint="default"/>
      </w:rPr>
    </w:lvl>
    <w:lvl w:ilvl="1" w:tplc="129EB02A">
      <w:start w:val="1"/>
      <w:numFmt w:val="bullet"/>
      <w:lvlText w:val="o"/>
      <w:lvlJc w:val="left"/>
      <w:pPr>
        <w:ind w:left="1440" w:hanging="360"/>
      </w:pPr>
      <w:rPr>
        <w:rFonts w:ascii="Courier New" w:hAnsi="Courier New" w:hint="default"/>
      </w:rPr>
    </w:lvl>
    <w:lvl w:ilvl="2" w:tplc="ED882F32">
      <w:start w:val="1"/>
      <w:numFmt w:val="bullet"/>
      <w:lvlText w:val=""/>
      <w:lvlJc w:val="left"/>
      <w:pPr>
        <w:ind w:left="2160" w:hanging="360"/>
      </w:pPr>
      <w:rPr>
        <w:rFonts w:ascii="Wingdings" w:hAnsi="Wingdings" w:hint="default"/>
      </w:rPr>
    </w:lvl>
    <w:lvl w:ilvl="3" w:tplc="20E66906">
      <w:start w:val="1"/>
      <w:numFmt w:val="bullet"/>
      <w:lvlText w:val=""/>
      <w:lvlJc w:val="left"/>
      <w:pPr>
        <w:ind w:left="2880" w:hanging="360"/>
      </w:pPr>
      <w:rPr>
        <w:rFonts w:ascii="Symbol" w:hAnsi="Symbol" w:hint="default"/>
      </w:rPr>
    </w:lvl>
    <w:lvl w:ilvl="4" w:tplc="735E5C18">
      <w:start w:val="1"/>
      <w:numFmt w:val="bullet"/>
      <w:lvlText w:val="o"/>
      <w:lvlJc w:val="left"/>
      <w:pPr>
        <w:ind w:left="3600" w:hanging="360"/>
      </w:pPr>
      <w:rPr>
        <w:rFonts w:ascii="Courier New" w:hAnsi="Courier New" w:hint="default"/>
      </w:rPr>
    </w:lvl>
    <w:lvl w:ilvl="5" w:tplc="571090D6">
      <w:start w:val="1"/>
      <w:numFmt w:val="bullet"/>
      <w:lvlText w:val=""/>
      <w:lvlJc w:val="left"/>
      <w:pPr>
        <w:ind w:left="4320" w:hanging="360"/>
      </w:pPr>
      <w:rPr>
        <w:rFonts w:ascii="Wingdings" w:hAnsi="Wingdings" w:hint="default"/>
      </w:rPr>
    </w:lvl>
    <w:lvl w:ilvl="6" w:tplc="C72A3CEA">
      <w:start w:val="1"/>
      <w:numFmt w:val="bullet"/>
      <w:lvlText w:val=""/>
      <w:lvlJc w:val="left"/>
      <w:pPr>
        <w:ind w:left="5040" w:hanging="360"/>
      </w:pPr>
      <w:rPr>
        <w:rFonts w:ascii="Symbol" w:hAnsi="Symbol" w:hint="default"/>
      </w:rPr>
    </w:lvl>
    <w:lvl w:ilvl="7" w:tplc="5E14790A">
      <w:start w:val="1"/>
      <w:numFmt w:val="bullet"/>
      <w:lvlText w:val="o"/>
      <w:lvlJc w:val="left"/>
      <w:pPr>
        <w:ind w:left="5760" w:hanging="360"/>
      </w:pPr>
      <w:rPr>
        <w:rFonts w:ascii="Courier New" w:hAnsi="Courier New" w:hint="default"/>
      </w:rPr>
    </w:lvl>
    <w:lvl w:ilvl="8" w:tplc="0E0665FE">
      <w:start w:val="1"/>
      <w:numFmt w:val="bullet"/>
      <w:lvlText w:val=""/>
      <w:lvlJc w:val="left"/>
      <w:pPr>
        <w:ind w:left="6480" w:hanging="360"/>
      </w:pPr>
      <w:rPr>
        <w:rFonts w:ascii="Wingdings" w:hAnsi="Wingdings" w:hint="default"/>
      </w:rPr>
    </w:lvl>
  </w:abstractNum>
  <w:abstractNum w:abstractNumId="6" w15:restartNumberingAfterBreak="0">
    <w:nsid w:val="44EE20DA"/>
    <w:multiLevelType w:val="hybridMultilevel"/>
    <w:tmpl w:val="22BCF01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CB2052D"/>
    <w:multiLevelType w:val="hybridMultilevel"/>
    <w:tmpl w:val="3128464C"/>
    <w:lvl w:ilvl="0" w:tplc="1B04CD0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4CF5655"/>
    <w:multiLevelType w:val="hybridMultilevel"/>
    <w:tmpl w:val="85CE91B2"/>
    <w:lvl w:ilvl="0" w:tplc="1BD297AE">
      <w:numFmt w:val="bullet"/>
      <w:lvlText w:val="-"/>
      <w:lvlJc w:val="left"/>
      <w:pPr>
        <w:ind w:left="360" w:hanging="360"/>
      </w:pPr>
      <w:rPr>
        <w:rFonts w:ascii="Calibri" w:eastAsia="Calibri"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5DB07C03"/>
    <w:multiLevelType w:val="hybridMultilevel"/>
    <w:tmpl w:val="D17AED2C"/>
    <w:lvl w:ilvl="0" w:tplc="FCCEF320">
      <w:numFmt w:val="bullet"/>
      <w:lvlText w:val="-"/>
      <w:lvlJc w:val="left"/>
      <w:pPr>
        <w:ind w:left="720" w:hanging="360"/>
      </w:pPr>
      <w:rPr>
        <w:rFonts w:ascii="Aptos" w:eastAsia="Aptos" w:hAnsi="Aptos" w:cs="Apto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DCB7964"/>
    <w:multiLevelType w:val="hybridMultilevel"/>
    <w:tmpl w:val="14F0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F7CE1"/>
    <w:multiLevelType w:val="hybridMultilevel"/>
    <w:tmpl w:val="7DB0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F66F6"/>
    <w:multiLevelType w:val="hybridMultilevel"/>
    <w:tmpl w:val="59FEC19E"/>
    <w:lvl w:ilvl="0" w:tplc="C1AC614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27957DD"/>
    <w:multiLevelType w:val="hybridMultilevel"/>
    <w:tmpl w:val="0F5ED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37D5651"/>
    <w:multiLevelType w:val="hybridMultilevel"/>
    <w:tmpl w:val="421813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786757DF"/>
    <w:multiLevelType w:val="hybridMultilevel"/>
    <w:tmpl w:val="06CAD48A"/>
    <w:lvl w:ilvl="0" w:tplc="53C8713E">
      <w:numFmt w:val="bullet"/>
      <w:lvlText w:val="-"/>
      <w:lvlJc w:val="left"/>
      <w:pPr>
        <w:ind w:left="360" w:hanging="360"/>
      </w:pPr>
      <w:rPr>
        <w:rFonts w:ascii="Aptos" w:eastAsia="Aptos" w:hAnsi="Aptos" w:cs="Apto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6254C"/>
    <w:multiLevelType w:val="hybridMultilevel"/>
    <w:tmpl w:val="CB84FCEE"/>
    <w:lvl w:ilvl="0" w:tplc="19C62772">
      <w:start w:val="2"/>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050872"/>
    <w:multiLevelType w:val="hybridMultilevel"/>
    <w:tmpl w:val="AA7CC2D4"/>
    <w:lvl w:ilvl="0" w:tplc="45F2A6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DA3635A"/>
    <w:multiLevelType w:val="hybridMultilevel"/>
    <w:tmpl w:val="FFFFFFFF"/>
    <w:lvl w:ilvl="0" w:tplc="84289C38">
      <w:start w:val="1"/>
      <w:numFmt w:val="bullet"/>
      <w:lvlText w:val=""/>
      <w:lvlJc w:val="left"/>
      <w:pPr>
        <w:ind w:left="720" w:hanging="360"/>
      </w:pPr>
      <w:rPr>
        <w:rFonts w:ascii="Symbol" w:hAnsi="Symbol" w:hint="default"/>
      </w:rPr>
    </w:lvl>
    <w:lvl w:ilvl="1" w:tplc="7E643BD4">
      <w:start w:val="1"/>
      <w:numFmt w:val="bullet"/>
      <w:lvlText w:val="o"/>
      <w:lvlJc w:val="left"/>
      <w:pPr>
        <w:ind w:left="1440" w:hanging="360"/>
      </w:pPr>
      <w:rPr>
        <w:rFonts w:ascii="Courier New" w:hAnsi="Courier New" w:hint="default"/>
      </w:rPr>
    </w:lvl>
    <w:lvl w:ilvl="2" w:tplc="B66258E6">
      <w:start w:val="1"/>
      <w:numFmt w:val="bullet"/>
      <w:lvlText w:val=""/>
      <w:lvlJc w:val="left"/>
      <w:pPr>
        <w:ind w:left="2160" w:hanging="360"/>
      </w:pPr>
      <w:rPr>
        <w:rFonts w:ascii="Wingdings" w:hAnsi="Wingdings" w:hint="default"/>
      </w:rPr>
    </w:lvl>
    <w:lvl w:ilvl="3" w:tplc="F4ACEBDE">
      <w:start w:val="1"/>
      <w:numFmt w:val="bullet"/>
      <w:lvlText w:val=""/>
      <w:lvlJc w:val="left"/>
      <w:pPr>
        <w:ind w:left="2880" w:hanging="360"/>
      </w:pPr>
      <w:rPr>
        <w:rFonts w:ascii="Symbol" w:hAnsi="Symbol" w:hint="default"/>
      </w:rPr>
    </w:lvl>
    <w:lvl w:ilvl="4" w:tplc="49324F82">
      <w:start w:val="1"/>
      <w:numFmt w:val="bullet"/>
      <w:lvlText w:val="o"/>
      <w:lvlJc w:val="left"/>
      <w:pPr>
        <w:ind w:left="3600" w:hanging="360"/>
      </w:pPr>
      <w:rPr>
        <w:rFonts w:ascii="Courier New" w:hAnsi="Courier New" w:hint="default"/>
      </w:rPr>
    </w:lvl>
    <w:lvl w:ilvl="5" w:tplc="A0E60E38">
      <w:start w:val="1"/>
      <w:numFmt w:val="bullet"/>
      <w:lvlText w:val=""/>
      <w:lvlJc w:val="left"/>
      <w:pPr>
        <w:ind w:left="4320" w:hanging="360"/>
      </w:pPr>
      <w:rPr>
        <w:rFonts w:ascii="Wingdings" w:hAnsi="Wingdings" w:hint="default"/>
      </w:rPr>
    </w:lvl>
    <w:lvl w:ilvl="6" w:tplc="E1D40E8C">
      <w:start w:val="1"/>
      <w:numFmt w:val="bullet"/>
      <w:lvlText w:val=""/>
      <w:lvlJc w:val="left"/>
      <w:pPr>
        <w:ind w:left="5040" w:hanging="360"/>
      </w:pPr>
      <w:rPr>
        <w:rFonts w:ascii="Symbol" w:hAnsi="Symbol" w:hint="default"/>
      </w:rPr>
    </w:lvl>
    <w:lvl w:ilvl="7" w:tplc="6F662032">
      <w:start w:val="1"/>
      <w:numFmt w:val="bullet"/>
      <w:lvlText w:val="o"/>
      <w:lvlJc w:val="left"/>
      <w:pPr>
        <w:ind w:left="5760" w:hanging="360"/>
      </w:pPr>
      <w:rPr>
        <w:rFonts w:ascii="Courier New" w:hAnsi="Courier New" w:hint="default"/>
      </w:rPr>
    </w:lvl>
    <w:lvl w:ilvl="8" w:tplc="82B83A9C">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8"/>
  </w:num>
  <w:num w:numId="4">
    <w:abstractNumId w:val="0"/>
  </w:num>
  <w:num w:numId="5">
    <w:abstractNumId w:val="5"/>
  </w:num>
  <w:num w:numId="6">
    <w:abstractNumId w:val="1"/>
  </w:num>
  <w:num w:numId="7">
    <w:abstractNumId w:val="13"/>
  </w:num>
  <w:num w:numId="8">
    <w:abstractNumId w:val="2"/>
  </w:num>
  <w:num w:numId="9">
    <w:abstractNumId w:val="4"/>
  </w:num>
  <w:num w:numId="10">
    <w:abstractNumId w:val="6"/>
  </w:num>
  <w:num w:numId="11">
    <w:abstractNumId w:val="14"/>
  </w:num>
  <w:num w:numId="12">
    <w:abstractNumId w:val="9"/>
  </w:num>
  <w:num w:numId="13">
    <w:abstractNumId w:val="8"/>
  </w:num>
  <w:num w:numId="14">
    <w:abstractNumId w:val="11"/>
  </w:num>
  <w:num w:numId="15">
    <w:abstractNumId w:val="7"/>
  </w:num>
  <w:num w:numId="16">
    <w:abstractNumId w:val="12"/>
  </w:num>
  <w:num w:numId="17">
    <w:abstractNumId w:val="3"/>
  </w:num>
  <w:num w:numId="18">
    <w:abstractNumId w:val="17"/>
  </w:num>
  <w:num w:numId="1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77039"/>
    <w:rsid w:val="00001A4A"/>
    <w:rsid w:val="00003877"/>
    <w:rsid w:val="00011758"/>
    <w:rsid w:val="000123F9"/>
    <w:rsid w:val="0001259A"/>
    <w:rsid w:val="000147B3"/>
    <w:rsid w:val="00020FCF"/>
    <w:rsid w:val="00022BC7"/>
    <w:rsid w:val="00023ADD"/>
    <w:rsid w:val="00024F6F"/>
    <w:rsid w:val="000357FD"/>
    <w:rsid w:val="00036A96"/>
    <w:rsid w:val="00041294"/>
    <w:rsid w:val="00045DA7"/>
    <w:rsid w:val="000462AA"/>
    <w:rsid w:val="00047041"/>
    <w:rsid w:val="00051FC9"/>
    <w:rsid w:val="00055704"/>
    <w:rsid w:val="000576F8"/>
    <w:rsid w:val="000632C2"/>
    <w:rsid w:val="00065025"/>
    <w:rsid w:val="00065210"/>
    <w:rsid w:val="00083EB3"/>
    <w:rsid w:val="00091816"/>
    <w:rsid w:val="000941F9"/>
    <w:rsid w:val="000A66DF"/>
    <w:rsid w:val="000A77C6"/>
    <w:rsid w:val="000C2560"/>
    <w:rsid w:val="000C608D"/>
    <w:rsid w:val="000C7AC1"/>
    <w:rsid w:val="000D164A"/>
    <w:rsid w:val="000D2C5E"/>
    <w:rsid w:val="000D5338"/>
    <w:rsid w:val="000E3211"/>
    <w:rsid w:val="000E4645"/>
    <w:rsid w:val="000E5AD4"/>
    <w:rsid w:val="000E6182"/>
    <w:rsid w:val="000F340F"/>
    <w:rsid w:val="001015BE"/>
    <w:rsid w:val="0010428E"/>
    <w:rsid w:val="00104D26"/>
    <w:rsid w:val="00105494"/>
    <w:rsid w:val="001119AD"/>
    <w:rsid w:val="00117317"/>
    <w:rsid w:val="0013225A"/>
    <w:rsid w:val="00132306"/>
    <w:rsid w:val="0013320B"/>
    <w:rsid w:val="00133633"/>
    <w:rsid w:val="001431BC"/>
    <w:rsid w:val="00146FDF"/>
    <w:rsid w:val="00153170"/>
    <w:rsid w:val="00155E4A"/>
    <w:rsid w:val="00156D79"/>
    <w:rsid w:val="001617CD"/>
    <w:rsid w:val="00181C45"/>
    <w:rsid w:val="00194EE0"/>
    <w:rsid w:val="001A06BB"/>
    <w:rsid w:val="001A3983"/>
    <w:rsid w:val="001B5C20"/>
    <w:rsid w:val="001C3D6C"/>
    <w:rsid w:val="001C6B07"/>
    <w:rsid w:val="001D60E1"/>
    <w:rsid w:val="001D6CCD"/>
    <w:rsid w:val="001E3FB2"/>
    <w:rsid w:val="001F1BFC"/>
    <w:rsid w:val="002000C0"/>
    <w:rsid w:val="00214EC7"/>
    <w:rsid w:val="00217BD9"/>
    <w:rsid w:val="00225F78"/>
    <w:rsid w:val="0022616D"/>
    <w:rsid w:val="00226D07"/>
    <w:rsid w:val="0023117B"/>
    <w:rsid w:val="0023547E"/>
    <w:rsid w:val="00236475"/>
    <w:rsid w:val="00242106"/>
    <w:rsid w:val="00242E15"/>
    <w:rsid w:val="002505C5"/>
    <w:rsid w:val="002507B9"/>
    <w:rsid w:val="0025134B"/>
    <w:rsid w:val="002558C4"/>
    <w:rsid w:val="00262B5D"/>
    <w:rsid w:val="0026365D"/>
    <w:rsid w:val="00282FAC"/>
    <w:rsid w:val="002843EA"/>
    <w:rsid w:val="00285496"/>
    <w:rsid w:val="00291FAD"/>
    <w:rsid w:val="00292D1F"/>
    <w:rsid w:val="00294799"/>
    <w:rsid w:val="002A5E36"/>
    <w:rsid w:val="002A782B"/>
    <w:rsid w:val="002B0A1D"/>
    <w:rsid w:val="002B2335"/>
    <w:rsid w:val="002B572B"/>
    <w:rsid w:val="002C522F"/>
    <w:rsid w:val="002D1643"/>
    <w:rsid w:val="002E49FB"/>
    <w:rsid w:val="002F08F0"/>
    <w:rsid w:val="002F7854"/>
    <w:rsid w:val="00300E6B"/>
    <w:rsid w:val="0030301E"/>
    <w:rsid w:val="00304366"/>
    <w:rsid w:val="00304D72"/>
    <w:rsid w:val="003055F4"/>
    <w:rsid w:val="00310A4A"/>
    <w:rsid w:val="00312E68"/>
    <w:rsid w:val="003156FD"/>
    <w:rsid w:val="00326E02"/>
    <w:rsid w:val="003304CB"/>
    <w:rsid w:val="00330D87"/>
    <w:rsid w:val="003335BE"/>
    <w:rsid w:val="00334579"/>
    <w:rsid w:val="00342B7A"/>
    <w:rsid w:val="00350D8A"/>
    <w:rsid w:val="00354B93"/>
    <w:rsid w:val="003557D2"/>
    <w:rsid w:val="003575A2"/>
    <w:rsid w:val="00366CBE"/>
    <w:rsid w:val="0037302F"/>
    <w:rsid w:val="00373F6E"/>
    <w:rsid w:val="00374708"/>
    <w:rsid w:val="00376720"/>
    <w:rsid w:val="0037705B"/>
    <w:rsid w:val="00377A54"/>
    <w:rsid w:val="00377A87"/>
    <w:rsid w:val="00381027"/>
    <w:rsid w:val="00394B8E"/>
    <w:rsid w:val="00396891"/>
    <w:rsid w:val="003A2B63"/>
    <w:rsid w:val="003A36E3"/>
    <w:rsid w:val="003A3C0A"/>
    <w:rsid w:val="003A66C1"/>
    <w:rsid w:val="003A7F64"/>
    <w:rsid w:val="003B1F9C"/>
    <w:rsid w:val="003B32AC"/>
    <w:rsid w:val="003B3C96"/>
    <w:rsid w:val="003D773E"/>
    <w:rsid w:val="003E7114"/>
    <w:rsid w:val="003F24F4"/>
    <w:rsid w:val="003F28C6"/>
    <w:rsid w:val="003F2AA5"/>
    <w:rsid w:val="003F343C"/>
    <w:rsid w:val="003F4ED5"/>
    <w:rsid w:val="003F5C66"/>
    <w:rsid w:val="00401B58"/>
    <w:rsid w:val="00414C43"/>
    <w:rsid w:val="0041778B"/>
    <w:rsid w:val="00422840"/>
    <w:rsid w:val="00431B73"/>
    <w:rsid w:val="00432496"/>
    <w:rsid w:val="00434091"/>
    <w:rsid w:val="00441CF2"/>
    <w:rsid w:val="00442943"/>
    <w:rsid w:val="00450EF3"/>
    <w:rsid w:val="004534C2"/>
    <w:rsid w:val="00464175"/>
    <w:rsid w:val="0049282A"/>
    <w:rsid w:val="00492B12"/>
    <w:rsid w:val="0049712E"/>
    <w:rsid w:val="004973D9"/>
    <w:rsid w:val="00497699"/>
    <w:rsid w:val="004A0B39"/>
    <w:rsid w:val="004A393E"/>
    <w:rsid w:val="004A6A4D"/>
    <w:rsid w:val="004B2B23"/>
    <w:rsid w:val="004B3C09"/>
    <w:rsid w:val="004C011B"/>
    <w:rsid w:val="004C2B26"/>
    <w:rsid w:val="004C398A"/>
    <w:rsid w:val="004C6FA7"/>
    <w:rsid w:val="004D53FC"/>
    <w:rsid w:val="004D54EE"/>
    <w:rsid w:val="004D7C41"/>
    <w:rsid w:val="004E3C08"/>
    <w:rsid w:val="004E5B84"/>
    <w:rsid w:val="00503149"/>
    <w:rsid w:val="0050409D"/>
    <w:rsid w:val="00513905"/>
    <w:rsid w:val="00514012"/>
    <w:rsid w:val="00515311"/>
    <w:rsid w:val="0051606B"/>
    <w:rsid w:val="00516088"/>
    <w:rsid w:val="00516D5A"/>
    <w:rsid w:val="0052441F"/>
    <w:rsid w:val="00525237"/>
    <w:rsid w:val="00530E72"/>
    <w:rsid w:val="00541D50"/>
    <w:rsid w:val="00544117"/>
    <w:rsid w:val="00546D54"/>
    <w:rsid w:val="0055211B"/>
    <w:rsid w:val="005557C0"/>
    <w:rsid w:val="00563D1E"/>
    <w:rsid w:val="00567221"/>
    <w:rsid w:val="00575C3C"/>
    <w:rsid w:val="005846A7"/>
    <w:rsid w:val="0059048A"/>
    <w:rsid w:val="00591C73"/>
    <w:rsid w:val="00591F33"/>
    <w:rsid w:val="005A69D0"/>
    <w:rsid w:val="005B1998"/>
    <w:rsid w:val="005B4AE1"/>
    <w:rsid w:val="005C0055"/>
    <w:rsid w:val="005C37E1"/>
    <w:rsid w:val="005C6445"/>
    <w:rsid w:val="005D0238"/>
    <w:rsid w:val="005D0E90"/>
    <w:rsid w:val="005D28C3"/>
    <w:rsid w:val="005E4994"/>
    <w:rsid w:val="005F00AE"/>
    <w:rsid w:val="005F31CE"/>
    <w:rsid w:val="005F5855"/>
    <w:rsid w:val="0060094D"/>
    <w:rsid w:val="00602103"/>
    <w:rsid w:val="0061572F"/>
    <w:rsid w:val="0061618E"/>
    <w:rsid w:val="00635E02"/>
    <w:rsid w:val="00642BEB"/>
    <w:rsid w:val="00643719"/>
    <w:rsid w:val="006452DB"/>
    <w:rsid w:val="00654167"/>
    <w:rsid w:val="00660037"/>
    <w:rsid w:val="006602EA"/>
    <w:rsid w:val="00670062"/>
    <w:rsid w:val="00686A96"/>
    <w:rsid w:val="00686AC6"/>
    <w:rsid w:val="00690583"/>
    <w:rsid w:val="00694815"/>
    <w:rsid w:val="00696564"/>
    <w:rsid w:val="006A39AA"/>
    <w:rsid w:val="006A3E66"/>
    <w:rsid w:val="006A54D5"/>
    <w:rsid w:val="006A67D2"/>
    <w:rsid w:val="006B1E3F"/>
    <w:rsid w:val="006B3411"/>
    <w:rsid w:val="006C2B9D"/>
    <w:rsid w:val="006C6752"/>
    <w:rsid w:val="006D13CC"/>
    <w:rsid w:val="006D5372"/>
    <w:rsid w:val="006D6410"/>
    <w:rsid w:val="006E16D8"/>
    <w:rsid w:val="006E2464"/>
    <w:rsid w:val="006F15B4"/>
    <w:rsid w:val="006F516D"/>
    <w:rsid w:val="006F796E"/>
    <w:rsid w:val="00702918"/>
    <w:rsid w:val="00705170"/>
    <w:rsid w:val="0070522D"/>
    <w:rsid w:val="007074DA"/>
    <w:rsid w:val="00715570"/>
    <w:rsid w:val="007158AA"/>
    <w:rsid w:val="00725622"/>
    <w:rsid w:val="007258CF"/>
    <w:rsid w:val="007409C8"/>
    <w:rsid w:val="00743A74"/>
    <w:rsid w:val="00746D67"/>
    <w:rsid w:val="0075111E"/>
    <w:rsid w:val="00754B04"/>
    <w:rsid w:val="00760CE4"/>
    <w:rsid w:val="00762432"/>
    <w:rsid w:val="00763B45"/>
    <w:rsid w:val="007663F4"/>
    <w:rsid w:val="00772142"/>
    <w:rsid w:val="00773C8C"/>
    <w:rsid w:val="007802E7"/>
    <w:rsid w:val="00792651"/>
    <w:rsid w:val="00793263"/>
    <w:rsid w:val="00797689"/>
    <w:rsid w:val="007979F6"/>
    <w:rsid w:val="00797EC9"/>
    <w:rsid w:val="007A4175"/>
    <w:rsid w:val="007A667D"/>
    <w:rsid w:val="007B7179"/>
    <w:rsid w:val="007C7143"/>
    <w:rsid w:val="007D0AA0"/>
    <w:rsid w:val="007D2C35"/>
    <w:rsid w:val="007E3208"/>
    <w:rsid w:val="007E5207"/>
    <w:rsid w:val="007F7026"/>
    <w:rsid w:val="007F72AD"/>
    <w:rsid w:val="007F77D5"/>
    <w:rsid w:val="00800643"/>
    <w:rsid w:val="00801CFF"/>
    <w:rsid w:val="008112C2"/>
    <w:rsid w:val="008139EB"/>
    <w:rsid w:val="00816498"/>
    <w:rsid w:val="0082243D"/>
    <w:rsid w:val="008264E8"/>
    <w:rsid w:val="008276CB"/>
    <w:rsid w:val="00840B12"/>
    <w:rsid w:val="00855E75"/>
    <w:rsid w:val="00866546"/>
    <w:rsid w:val="00881657"/>
    <w:rsid w:val="008859FF"/>
    <w:rsid w:val="00890B40"/>
    <w:rsid w:val="00894EB5"/>
    <w:rsid w:val="008A1E2F"/>
    <w:rsid w:val="008A5942"/>
    <w:rsid w:val="008B6B1E"/>
    <w:rsid w:val="008B7231"/>
    <w:rsid w:val="008B7F8A"/>
    <w:rsid w:val="008C2053"/>
    <w:rsid w:val="008E0791"/>
    <w:rsid w:val="008E1948"/>
    <w:rsid w:val="008E2F54"/>
    <w:rsid w:val="008E6042"/>
    <w:rsid w:val="008E6BBC"/>
    <w:rsid w:val="008F15A3"/>
    <w:rsid w:val="00900619"/>
    <w:rsid w:val="009048C9"/>
    <w:rsid w:val="00905CB1"/>
    <w:rsid w:val="0092401D"/>
    <w:rsid w:val="00931845"/>
    <w:rsid w:val="00936380"/>
    <w:rsid w:val="00937C1C"/>
    <w:rsid w:val="00944C3A"/>
    <w:rsid w:val="009462C6"/>
    <w:rsid w:val="009538AC"/>
    <w:rsid w:val="00956E9A"/>
    <w:rsid w:val="009622C0"/>
    <w:rsid w:val="0097338F"/>
    <w:rsid w:val="0098080E"/>
    <w:rsid w:val="00984AD5"/>
    <w:rsid w:val="009925E6"/>
    <w:rsid w:val="009929A3"/>
    <w:rsid w:val="0099359F"/>
    <w:rsid w:val="009A7763"/>
    <w:rsid w:val="009B13D9"/>
    <w:rsid w:val="009B1722"/>
    <w:rsid w:val="009B662F"/>
    <w:rsid w:val="009C0B19"/>
    <w:rsid w:val="009C0CED"/>
    <w:rsid w:val="009C14AF"/>
    <w:rsid w:val="009C5EDA"/>
    <w:rsid w:val="009C6762"/>
    <w:rsid w:val="009C6F8B"/>
    <w:rsid w:val="009D234D"/>
    <w:rsid w:val="009D2998"/>
    <w:rsid w:val="009D412A"/>
    <w:rsid w:val="009D5FDA"/>
    <w:rsid w:val="009E0B92"/>
    <w:rsid w:val="009E3D21"/>
    <w:rsid w:val="009E67BB"/>
    <w:rsid w:val="009F12E8"/>
    <w:rsid w:val="009F2151"/>
    <w:rsid w:val="009F271D"/>
    <w:rsid w:val="009F2DF5"/>
    <w:rsid w:val="009F7355"/>
    <w:rsid w:val="00A00543"/>
    <w:rsid w:val="00A00AF9"/>
    <w:rsid w:val="00A0597F"/>
    <w:rsid w:val="00A06B3A"/>
    <w:rsid w:val="00A11A92"/>
    <w:rsid w:val="00A14EA5"/>
    <w:rsid w:val="00A24300"/>
    <w:rsid w:val="00A30914"/>
    <w:rsid w:val="00A32989"/>
    <w:rsid w:val="00A337E1"/>
    <w:rsid w:val="00A35A79"/>
    <w:rsid w:val="00A378C3"/>
    <w:rsid w:val="00A37E9C"/>
    <w:rsid w:val="00A42EC3"/>
    <w:rsid w:val="00A4580B"/>
    <w:rsid w:val="00A51C4C"/>
    <w:rsid w:val="00A56E85"/>
    <w:rsid w:val="00A610CC"/>
    <w:rsid w:val="00A63D33"/>
    <w:rsid w:val="00A66DA8"/>
    <w:rsid w:val="00A76137"/>
    <w:rsid w:val="00A77039"/>
    <w:rsid w:val="00A92D57"/>
    <w:rsid w:val="00AA1F8C"/>
    <w:rsid w:val="00AA5D62"/>
    <w:rsid w:val="00AA76D8"/>
    <w:rsid w:val="00AB3736"/>
    <w:rsid w:val="00AB48DA"/>
    <w:rsid w:val="00AB64FA"/>
    <w:rsid w:val="00AC3B1E"/>
    <w:rsid w:val="00AC4C07"/>
    <w:rsid w:val="00AD3DAC"/>
    <w:rsid w:val="00AE13BD"/>
    <w:rsid w:val="00AE271C"/>
    <w:rsid w:val="00AE287B"/>
    <w:rsid w:val="00B050A4"/>
    <w:rsid w:val="00B0569F"/>
    <w:rsid w:val="00B059B2"/>
    <w:rsid w:val="00B128BE"/>
    <w:rsid w:val="00B22965"/>
    <w:rsid w:val="00B32592"/>
    <w:rsid w:val="00B340C7"/>
    <w:rsid w:val="00B426DD"/>
    <w:rsid w:val="00B472B5"/>
    <w:rsid w:val="00B52677"/>
    <w:rsid w:val="00B54D91"/>
    <w:rsid w:val="00B61300"/>
    <w:rsid w:val="00B61D21"/>
    <w:rsid w:val="00B6290B"/>
    <w:rsid w:val="00B63207"/>
    <w:rsid w:val="00B63FBD"/>
    <w:rsid w:val="00B70970"/>
    <w:rsid w:val="00B71A2D"/>
    <w:rsid w:val="00B77FF7"/>
    <w:rsid w:val="00B8329E"/>
    <w:rsid w:val="00B964DD"/>
    <w:rsid w:val="00B9715F"/>
    <w:rsid w:val="00BA38CB"/>
    <w:rsid w:val="00BA4761"/>
    <w:rsid w:val="00BB1B78"/>
    <w:rsid w:val="00BB54A7"/>
    <w:rsid w:val="00BB571C"/>
    <w:rsid w:val="00BB65F8"/>
    <w:rsid w:val="00BB68B3"/>
    <w:rsid w:val="00BC0E90"/>
    <w:rsid w:val="00BC0EF2"/>
    <w:rsid w:val="00BC1F81"/>
    <w:rsid w:val="00BC78D7"/>
    <w:rsid w:val="00BD0643"/>
    <w:rsid w:val="00BD2B90"/>
    <w:rsid w:val="00BD420A"/>
    <w:rsid w:val="00BD7305"/>
    <w:rsid w:val="00BD776A"/>
    <w:rsid w:val="00BE0D39"/>
    <w:rsid w:val="00BE200E"/>
    <w:rsid w:val="00BE4D73"/>
    <w:rsid w:val="00BE6EE6"/>
    <w:rsid w:val="00BF2AF5"/>
    <w:rsid w:val="00BF63FC"/>
    <w:rsid w:val="00C03F05"/>
    <w:rsid w:val="00C07761"/>
    <w:rsid w:val="00C11442"/>
    <w:rsid w:val="00C12192"/>
    <w:rsid w:val="00C15D57"/>
    <w:rsid w:val="00C22566"/>
    <w:rsid w:val="00C2386D"/>
    <w:rsid w:val="00C23ADC"/>
    <w:rsid w:val="00C350C0"/>
    <w:rsid w:val="00C44C59"/>
    <w:rsid w:val="00C44E29"/>
    <w:rsid w:val="00C53382"/>
    <w:rsid w:val="00C55979"/>
    <w:rsid w:val="00C56981"/>
    <w:rsid w:val="00C570EE"/>
    <w:rsid w:val="00C57E25"/>
    <w:rsid w:val="00C61A4D"/>
    <w:rsid w:val="00C665D8"/>
    <w:rsid w:val="00C71009"/>
    <w:rsid w:val="00C72060"/>
    <w:rsid w:val="00C73D36"/>
    <w:rsid w:val="00C740B9"/>
    <w:rsid w:val="00C74EE9"/>
    <w:rsid w:val="00C7653B"/>
    <w:rsid w:val="00C76623"/>
    <w:rsid w:val="00C83EEB"/>
    <w:rsid w:val="00C967A4"/>
    <w:rsid w:val="00C9690B"/>
    <w:rsid w:val="00C97B18"/>
    <w:rsid w:val="00CB213C"/>
    <w:rsid w:val="00CB2276"/>
    <w:rsid w:val="00CC5F47"/>
    <w:rsid w:val="00CD0B0D"/>
    <w:rsid w:val="00CD57DC"/>
    <w:rsid w:val="00CE057E"/>
    <w:rsid w:val="00CE0FEC"/>
    <w:rsid w:val="00CE1E75"/>
    <w:rsid w:val="00CF29F1"/>
    <w:rsid w:val="00CF57B3"/>
    <w:rsid w:val="00D0384E"/>
    <w:rsid w:val="00D135D2"/>
    <w:rsid w:val="00D223CA"/>
    <w:rsid w:val="00D24063"/>
    <w:rsid w:val="00D24C5E"/>
    <w:rsid w:val="00D2636D"/>
    <w:rsid w:val="00D33CEF"/>
    <w:rsid w:val="00D35803"/>
    <w:rsid w:val="00D35A1B"/>
    <w:rsid w:val="00D40896"/>
    <w:rsid w:val="00D43158"/>
    <w:rsid w:val="00D65E68"/>
    <w:rsid w:val="00D66340"/>
    <w:rsid w:val="00D8061F"/>
    <w:rsid w:val="00D8293E"/>
    <w:rsid w:val="00D8425A"/>
    <w:rsid w:val="00D84E6F"/>
    <w:rsid w:val="00D8564A"/>
    <w:rsid w:val="00D939FE"/>
    <w:rsid w:val="00D96D99"/>
    <w:rsid w:val="00DA35ED"/>
    <w:rsid w:val="00DA409C"/>
    <w:rsid w:val="00DA571C"/>
    <w:rsid w:val="00DB2B67"/>
    <w:rsid w:val="00DB3507"/>
    <w:rsid w:val="00DB396A"/>
    <w:rsid w:val="00DB47CC"/>
    <w:rsid w:val="00DC2C65"/>
    <w:rsid w:val="00DC671F"/>
    <w:rsid w:val="00DD1559"/>
    <w:rsid w:val="00DD26A2"/>
    <w:rsid w:val="00DD317E"/>
    <w:rsid w:val="00DD4F49"/>
    <w:rsid w:val="00DE08A1"/>
    <w:rsid w:val="00DE3C72"/>
    <w:rsid w:val="00DF1852"/>
    <w:rsid w:val="00DF2A77"/>
    <w:rsid w:val="00DF40E2"/>
    <w:rsid w:val="00DF6A18"/>
    <w:rsid w:val="00E05E9D"/>
    <w:rsid w:val="00E07E60"/>
    <w:rsid w:val="00E171FF"/>
    <w:rsid w:val="00E17B9A"/>
    <w:rsid w:val="00E212B5"/>
    <w:rsid w:val="00E22854"/>
    <w:rsid w:val="00E23C96"/>
    <w:rsid w:val="00E262BA"/>
    <w:rsid w:val="00E319A9"/>
    <w:rsid w:val="00E3783D"/>
    <w:rsid w:val="00E4313D"/>
    <w:rsid w:val="00E43735"/>
    <w:rsid w:val="00E50056"/>
    <w:rsid w:val="00E505EA"/>
    <w:rsid w:val="00E51C0B"/>
    <w:rsid w:val="00E5213F"/>
    <w:rsid w:val="00E55759"/>
    <w:rsid w:val="00E711B0"/>
    <w:rsid w:val="00E74813"/>
    <w:rsid w:val="00E812A0"/>
    <w:rsid w:val="00E825DB"/>
    <w:rsid w:val="00E873D3"/>
    <w:rsid w:val="00E9143C"/>
    <w:rsid w:val="00E958A6"/>
    <w:rsid w:val="00EA7626"/>
    <w:rsid w:val="00EA77E4"/>
    <w:rsid w:val="00EB4888"/>
    <w:rsid w:val="00EB79A9"/>
    <w:rsid w:val="00EC56A4"/>
    <w:rsid w:val="00ED1A33"/>
    <w:rsid w:val="00ED42A2"/>
    <w:rsid w:val="00ED5252"/>
    <w:rsid w:val="00EE055A"/>
    <w:rsid w:val="00EE0D79"/>
    <w:rsid w:val="00EE2AD9"/>
    <w:rsid w:val="00EF7619"/>
    <w:rsid w:val="00F00CC6"/>
    <w:rsid w:val="00F00E3C"/>
    <w:rsid w:val="00F026FE"/>
    <w:rsid w:val="00F10639"/>
    <w:rsid w:val="00F12646"/>
    <w:rsid w:val="00F162FD"/>
    <w:rsid w:val="00F23BBC"/>
    <w:rsid w:val="00F23FE7"/>
    <w:rsid w:val="00F249EB"/>
    <w:rsid w:val="00F32F51"/>
    <w:rsid w:val="00F3471E"/>
    <w:rsid w:val="00F42FE8"/>
    <w:rsid w:val="00F44442"/>
    <w:rsid w:val="00F4608A"/>
    <w:rsid w:val="00F46C81"/>
    <w:rsid w:val="00F504B6"/>
    <w:rsid w:val="00F5482C"/>
    <w:rsid w:val="00F604B1"/>
    <w:rsid w:val="00F7424E"/>
    <w:rsid w:val="00F74D74"/>
    <w:rsid w:val="00F8399E"/>
    <w:rsid w:val="00F83D67"/>
    <w:rsid w:val="00F84527"/>
    <w:rsid w:val="00F9074E"/>
    <w:rsid w:val="00F95993"/>
    <w:rsid w:val="00FA355D"/>
    <w:rsid w:val="00FA3ACE"/>
    <w:rsid w:val="00FB0998"/>
    <w:rsid w:val="00FB5BB0"/>
    <w:rsid w:val="00FC00BD"/>
    <w:rsid w:val="00FC27E8"/>
    <w:rsid w:val="00FC2A27"/>
    <w:rsid w:val="00FC626F"/>
    <w:rsid w:val="00FE50DE"/>
    <w:rsid w:val="00FE51CD"/>
    <w:rsid w:val="00FE5A51"/>
    <w:rsid w:val="00FF07DE"/>
    <w:rsid w:val="00FF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BAE2"/>
  <w15:chartTrackingRefBased/>
  <w15:docId w15:val="{815E91EE-9C25-42F5-95EA-05BFE3AB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A7"/>
    <w:rPr>
      <w:rFonts w:ascii="Calibri" w:eastAsia="Calibri" w:hAnsi="Calibri" w:cs="Calibri"/>
      <w:kern w:val="2"/>
      <w:lang w:val="en-IE"/>
    </w:rPr>
  </w:style>
  <w:style w:type="paragraph" w:styleId="Heading1">
    <w:name w:val="heading 1"/>
    <w:basedOn w:val="Normal"/>
    <w:next w:val="Normal"/>
    <w:link w:val="Heading1Char"/>
    <w:uiPriority w:val="9"/>
    <w:qFormat/>
    <w:rsid w:val="00A7703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7703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7703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7703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7703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77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03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7703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7703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7703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7703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77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039"/>
    <w:rPr>
      <w:rFonts w:eastAsiaTheme="majorEastAsia" w:cstheme="majorBidi"/>
      <w:color w:val="272727" w:themeColor="text1" w:themeTint="D8"/>
    </w:rPr>
  </w:style>
  <w:style w:type="paragraph" w:styleId="Title">
    <w:name w:val="Title"/>
    <w:basedOn w:val="Normal"/>
    <w:next w:val="Normal"/>
    <w:link w:val="TitleChar"/>
    <w:uiPriority w:val="10"/>
    <w:qFormat/>
    <w:rsid w:val="00A77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039"/>
    <w:pPr>
      <w:spacing w:before="160"/>
      <w:jc w:val="center"/>
    </w:pPr>
    <w:rPr>
      <w:i/>
      <w:iCs/>
      <w:color w:val="404040" w:themeColor="text1" w:themeTint="BF"/>
    </w:rPr>
  </w:style>
  <w:style w:type="character" w:customStyle="1" w:styleId="QuoteChar">
    <w:name w:val="Quote Char"/>
    <w:basedOn w:val="DefaultParagraphFont"/>
    <w:link w:val="Quote"/>
    <w:uiPriority w:val="29"/>
    <w:rsid w:val="00A77039"/>
    <w:rPr>
      <w:i/>
      <w:iCs/>
      <w:color w:val="404040" w:themeColor="text1" w:themeTint="BF"/>
    </w:rPr>
  </w:style>
  <w:style w:type="paragraph" w:styleId="ListParagraph">
    <w:name w:val="List Paragraph"/>
    <w:basedOn w:val="Normal"/>
    <w:uiPriority w:val="34"/>
    <w:qFormat/>
    <w:rsid w:val="00A77039"/>
    <w:pPr>
      <w:ind w:left="720"/>
      <w:contextualSpacing/>
    </w:pPr>
  </w:style>
  <w:style w:type="character" w:styleId="IntenseEmphasis">
    <w:name w:val="Intense Emphasis"/>
    <w:basedOn w:val="DefaultParagraphFont"/>
    <w:uiPriority w:val="21"/>
    <w:qFormat/>
    <w:rsid w:val="00A77039"/>
    <w:rPr>
      <w:i/>
      <w:iCs/>
      <w:color w:val="2E74B5" w:themeColor="accent1" w:themeShade="BF"/>
    </w:rPr>
  </w:style>
  <w:style w:type="paragraph" w:styleId="IntenseQuote">
    <w:name w:val="Intense Quote"/>
    <w:basedOn w:val="Normal"/>
    <w:next w:val="Normal"/>
    <w:link w:val="IntenseQuoteChar"/>
    <w:uiPriority w:val="30"/>
    <w:qFormat/>
    <w:rsid w:val="00A7703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77039"/>
    <w:rPr>
      <w:i/>
      <w:iCs/>
      <w:color w:val="2E74B5" w:themeColor="accent1" w:themeShade="BF"/>
    </w:rPr>
  </w:style>
  <w:style w:type="character" w:styleId="IntenseReference">
    <w:name w:val="Intense Reference"/>
    <w:basedOn w:val="DefaultParagraphFont"/>
    <w:uiPriority w:val="32"/>
    <w:qFormat/>
    <w:rsid w:val="00A77039"/>
    <w:rPr>
      <w:b/>
      <w:bCs/>
      <w:smallCaps/>
      <w:color w:val="2E74B5" w:themeColor="accent1" w:themeShade="BF"/>
      <w:spacing w:val="5"/>
    </w:rPr>
  </w:style>
  <w:style w:type="paragraph" w:customStyle="1" w:styleId="paragraph">
    <w:name w:val="paragraph"/>
    <w:basedOn w:val="Normal"/>
    <w:rsid w:val="00045DA7"/>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customStyle="1" w:styleId="normaltextrun">
    <w:name w:val="normaltextrun"/>
    <w:basedOn w:val="DefaultParagraphFont"/>
    <w:rsid w:val="00045DA7"/>
  </w:style>
  <w:style w:type="character" w:customStyle="1" w:styleId="eop">
    <w:name w:val="eop"/>
    <w:basedOn w:val="DefaultParagraphFont"/>
    <w:rsid w:val="00045DA7"/>
  </w:style>
  <w:style w:type="character" w:styleId="Hyperlink">
    <w:name w:val="Hyperlink"/>
    <w:basedOn w:val="DefaultParagraphFont"/>
    <w:uiPriority w:val="99"/>
    <w:unhideWhenUsed/>
    <w:rsid w:val="00045DA7"/>
    <w:rPr>
      <w:color w:val="0563C1"/>
      <w:u w:val="single"/>
    </w:rPr>
  </w:style>
  <w:style w:type="character" w:customStyle="1" w:styleId="findhit">
    <w:name w:val="findhit"/>
    <w:basedOn w:val="DefaultParagraphFont"/>
    <w:rsid w:val="00045DA7"/>
  </w:style>
  <w:style w:type="paragraph" w:styleId="CommentText">
    <w:name w:val="annotation text"/>
    <w:basedOn w:val="Normal"/>
    <w:link w:val="CommentTextChar"/>
    <w:uiPriority w:val="99"/>
    <w:unhideWhenUsed/>
    <w:rsid w:val="006B3411"/>
    <w:pPr>
      <w:spacing w:line="240" w:lineRule="auto"/>
    </w:pPr>
    <w:rPr>
      <w:sz w:val="20"/>
      <w:szCs w:val="20"/>
    </w:rPr>
  </w:style>
  <w:style w:type="character" w:customStyle="1" w:styleId="CommentTextChar">
    <w:name w:val="Comment Text Char"/>
    <w:basedOn w:val="DefaultParagraphFont"/>
    <w:link w:val="CommentText"/>
    <w:uiPriority w:val="99"/>
    <w:rsid w:val="006B3411"/>
    <w:rPr>
      <w:rFonts w:ascii="Calibri" w:eastAsia="Calibri" w:hAnsi="Calibri" w:cs="Calibri"/>
      <w:kern w:val="2"/>
      <w:sz w:val="20"/>
      <w:szCs w:val="20"/>
      <w:lang w:val="en-IE"/>
    </w:rPr>
  </w:style>
  <w:style w:type="character" w:styleId="CommentReference">
    <w:name w:val="annotation reference"/>
    <w:basedOn w:val="DefaultParagraphFont"/>
    <w:uiPriority w:val="99"/>
    <w:semiHidden/>
    <w:unhideWhenUsed/>
    <w:rsid w:val="006B3411"/>
    <w:rPr>
      <w:sz w:val="16"/>
      <w:szCs w:val="16"/>
    </w:rPr>
  </w:style>
  <w:style w:type="paragraph" w:customStyle="1" w:styleId="P68B1DB1-ListParagraph2">
    <w:name w:val="P68B1DB1-ListParagraph2"/>
    <w:basedOn w:val="ListParagraph"/>
    <w:rsid w:val="006B3411"/>
    <w:pPr>
      <w:spacing w:line="276" w:lineRule="auto"/>
    </w:pPr>
    <w:rPr>
      <w:rFonts w:ascii="Times New Roman" w:hAnsi="Times New Roman" w:cs="Times New Roman"/>
      <w:sz w:val="24"/>
      <w:szCs w:val="20"/>
      <w:lang w:val="en"/>
    </w:rPr>
  </w:style>
  <w:style w:type="paragraph" w:customStyle="1" w:styleId="P68B1DB1-Normal8">
    <w:name w:val="P68B1DB1-Normal8"/>
    <w:basedOn w:val="Normal"/>
    <w:rsid w:val="006B3411"/>
    <w:pPr>
      <w:spacing w:line="276" w:lineRule="auto"/>
    </w:pPr>
    <w:rPr>
      <w:rFonts w:ascii="Times New Roman" w:eastAsiaTheme="minorHAnsi" w:hAnsi="Times New Roman" w:cs="Times New Roman"/>
      <w:sz w:val="24"/>
      <w:szCs w:val="20"/>
      <w:lang w:val="en"/>
    </w:rPr>
  </w:style>
  <w:style w:type="numbering" w:customStyle="1" w:styleId="FrListare1">
    <w:name w:val="Fără Listare1"/>
    <w:next w:val="NoList"/>
    <w:uiPriority w:val="99"/>
    <w:semiHidden/>
    <w:unhideWhenUsed/>
    <w:rsid w:val="006B3411"/>
  </w:style>
  <w:style w:type="character" w:styleId="Emphasis">
    <w:name w:val="Emphasis"/>
    <w:basedOn w:val="DefaultParagraphFont"/>
    <w:uiPriority w:val="20"/>
    <w:qFormat/>
    <w:rsid w:val="006B3411"/>
    <w:rPr>
      <w:i/>
      <w:iCs/>
    </w:rPr>
  </w:style>
  <w:style w:type="numbering" w:customStyle="1" w:styleId="FrListare2">
    <w:name w:val="Fără Listare2"/>
    <w:next w:val="NoList"/>
    <w:uiPriority w:val="99"/>
    <w:semiHidden/>
    <w:unhideWhenUsed/>
    <w:rsid w:val="006B3411"/>
  </w:style>
  <w:style w:type="paragraph" w:styleId="Revision">
    <w:name w:val="Revision"/>
    <w:hidden/>
    <w:uiPriority w:val="99"/>
    <w:semiHidden/>
    <w:rsid w:val="006B3411"/>
    <w:pPr>
      <w:spacing w:after="0" w:line="240" w:lineRule="auto"/>
    </w:pPr>
    <w:rPr>
      <w:rFonts w:ascii="Calibri" w:eastAsia="Calibri" w:hAnsi="Calibri" w:cs="Calibri"/>
      <w:kern w:val="2"/>
      <w:lang w:val="en-IE"/>
    </w:rPr>
  </w:style>
  <w:style w:type="paragraph" w:styleId="Header">
    <w:name w:val="header"/>
    <w:basedOn w:val="Normal"/>
    <w:link w:val="HeaderChar"/>
    <w:uiPriority w:val="99"/>
    <w:unhideWhenUsed/>
    <w:rsid w:val="006B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411"/>
    <w:rPr>
      <w:rFonts w:ascii="Calibri" w:eastAsia="Calibri" w:hAnsi="Calibri" w:cs="Calibri"/>
      <w:kern w:val="2"/>
      <w:lang w:val="en-IE"/>
    </w:rPr>
  </w:style>
  <w:style w:type="paragraph" w:styleId="Footer">
    <w:name w:val="footer"/>
    <w:basedOn w:val="Normal"/>
    <w:link w:val="FooterChar"/>
    <w:uiPriority w:val="99"/>
    <w:unhideWhenUsed/>
    <w:rsid w:val="006B3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411"/>
    <w:rPr>
      <w:rFonts w:ascii="Calibri" w:eastAsia="Calibri" w:hAnsi="Calibri" w:cs="Calibri"/>
      <w:kern w:val="2"/>
      <w:lang w:val="en-IE"/>
    </w:rPr>
  </w:style>
  <w:style w:type="paragraph" w:styleId="BalloonText">
    <w:name w:val="Balloon Text"/>
    <w:basedOn w:val="Normal"/>
    <w:link w:val="BalloonTextChar"/>
    <w:uiPriority w:val="99"/>
    <w:semiHidden/>
    <w:unhideWhenUsed/>
    <w:rsid w:val="006B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411"/>
    <w:rPr>
      <w:rFonts w:ascii="Segoe UI" w:eastAsia="Calibri" w:hAnsi="Segoe UI" w:cs="Segoe UI"/>
      <w:kern w:val="2"/>
      <w:sz w:val="18"/>
      <w:szCs w:val="18"/>
      <w:lang w:val="en-IE"/>
    </w:rPr>
  </w:style>
  <w:style w:type="paragraph" w:styleId="CommentSubject">
    <w:name w:val="annotation subject"/>
    <w:basedOn w:val="CommentText"/>
    <w:next w:val="CommentText"/>
    <w:link w:val="CommentSubjectChar"/>
    <w:uiPriority w:val="99"/>
    <w:semiHidden/>
    <w:unhideWhenUsed/>
    <w:rsid w:val="006B3411"/>
    <w:rPr>
      <w:b/>
      <w:bCs/>
    </w:rPr>
  </w:style>
  <w:style w:type="character" w:customStyle="1" w:styleId="CommentSubjectChar">
    <w:name w:val="Comment Subject Char"/>
    <w:basedOn w:val="CommentTextChar"/>
    <w:link w:val="CommentSubject"/>
    <w:uiPriority w:val="99"/>
    <w:semiHidden/>
    <w:rsid w:val="006B3411"/>
    <w:rPr>
      <w:rFonts w:ascii="Calibri" w:eastAsia="Calibri" w:hAnsi="Calibri" w:cs="Calibri"/>
      <w:b/>
      <w:bCs/>
      <w:kern w:val="2"/>
      <w:sz w:val="20"/>
      <w:szCs w:val="20"/>
      <w:lang w:val="en-IE"/>
    </w:rPr>
  </w:style>
  <w:style w:type="paragraph" w:styleId="NoSpacing">
    <w:name w:val="No Spacing"/>
    <w:uiPriority w:val="1"/>
    <w:qFormat/>
    <w:rsid w:val="006B3411"/>
    <w:pPr>
      <w:spacing w:after="0"/>
    </w:pPr>
    <w:rPr>
      <w:rFonts w:ascii="Calibri" w:eastAsia="Calibri" w:hAnsi="Calibri" w:cs="Calibri"/>
      <w:lang w:val="en-IE"/>
    </w:rPr>
  </w:style>
  <w:style w:type="table" w:styleId="TableGrid">
    <w:name w:val="Table Grid"/>
    <w:basedOn w:val="TableNormal"/>
    <w:uiPriority w:val="59"/>
    <w:rsid w:val="006B3411"/>
    <w:pPr>
      <w:spacing w:after="0" w:line="240" w:lineRule="auto"/>
    </w:pPr>
    <w:rPr>
      <w:rFonts w:ascii="Calibri" w:eastAsia="Calibri" w:hAnsi="Calibri" w:cs="Calibri"/>
      <w:lang w:val="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B964DD"/>
    <w:rPr>
      <w:color w:val="605E5C"/>
      <w:shd w:val="clear" w:color="auto" w:fill="E1DFDD"/>
    </w:rPr>
  </w:style>
  <w:style w:type="character" w:styleId="FollowedHyperlink">
    <w:name w:val="FollowedHyperlink"/>
    <w:basedOn w:val="DefaultParagraphFont"/>
    <w:uiPriority w:val="99"/>
    <w:semiHidden/>
    <w:unhideWhenUsed/>
    <w:rsid w:val="00B964DD"/>
    <w:rPr>
      <w:color w:val="954F72" w:themeColor="followedHyperlink"/>
      <w:u w:val="single"/>
    </w:rPr>
  </w:style>
  <w:style w:type="character" w:styleId="Strong">
    <w:name w:val="Strong"/>
    <w:basedOn w:val="DefaultParagraphFont"/>
    <w:uiPriority w:val="22"/>
    <w:qFormat/>
    <w:rsid w:val="00793263"/>
    <w:rPr>
      <w:b/>
      <w:bCs/>
    </w:rPr>
  </w:style>
  <w:style w:type="character" w:customStyle="1" w:styleId="UnresolvedMention">
    <w:name w:val="Unresolved Mention"/>
    <w:basedOn w:val="DefaultParagraphFont"/>
    <w:uiPriority w:val="99"/>
    <w:semiHidden/>
    <w:unhideWhenUsed/>
    <w:rsid w:val="00DF40E2"/>
    <w:rPr>
      <w:color w:val="605E5C"/>
      <w:shd w:val="clear" w:color="auto" w:fill="E1DFDD"/>
    </w:rPr>
  </w:style>
  <w:style w:type="paragraph" w:styleId="NormalWeb">
    <w:name w:val="Normal (Web)"/>
    <w:basedOn w:val="Normal"/>
    <w:uiPriority w:val="99"/>
    <w:unhideWhenUsed/>
    <w:rsid w:val="00DD4F49"/>
    <w:pPr>
      <w:spacing w:before="100" w:beforeAutospacing="1" w:after="100" w:afterAutospacing="1" w:line="240" w:lineRule="auto"/>
    </w:pPr>
    <w:rPr>
      <w:rFonts w:ascii="Times New Roman" w:eastAsia="Times New Roman" w:hAnsi="Times New Roman" w:cs="Times New Roman"/>
      <w:kern w:val="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6438">
      <w:bodyDiv w:val="1"/>
      <w:marLeft w:val="0"/>
      <w:marRight w:val="0"/>
      <w:marTop w:val="0"/>
      <w:marBottom w:val="0"/>
      <w:divBdr>
        <w:top w:val="none" w:sz="0" w:space="0" w:color="auto"/>
        <w:left w:val="none" w:sz="0" w:space="0" w:color="auto"/>
        <w:bottom w:val="none" w:sz="0" w:space="0" w:color="auto"/>
        <w:right w:val="none" w:sz="0" w:space="0" w:color="auto"/>
      </w:divBdr>
    </w:div>
    <w:div w:id="472872432">
      <w:bodyDiv w:val="1"/>
      <w:marLeft w:val="0"/>
      <w:marRight w:val="0"/>
      <w:marTop w:val="0"/>
      <w:marBottom w:val="0"/>
      <w:divBdr>
        <w:top w:val="none" w:sz="0" w:space="0" w:color="auto"/>
        <w:left w:val="none" w:sz="0" w:space="0" w:color="auto"/>
        <w:bottom w:val="none" w:sz="0" w:space="0" w:color="auto"/>
        <w:right w:val="none" w:sz="0" w:space="0" w:color="auto"/>
      </w:divBdr>
      <w:divsChild>
        <w:div w:id="394549649">
          <w:marLeft w:val="0"/>
          <w:marRight w:val="0"/>
          <w:marTop w:val="0"/>
          <w:marBottom w:val="0"/>
          <w:divBdr>
            <w:top w:val="none" w:sz="0" w:space="0" w:color="auto"/>
            <w:left w:val="none" w:sz="0" w:space="0" w:color="auto"/>
            <w:bottom w:val="none" w:sz="0" w:space="0" w:color="auto"/>
            <w:right w:val="none" w:sz="0" w:space="0" w:color="auto"/>
          </w:divBdr>
        </w:div>
        <w:div w:id="966668309">
          <w:marLeft w:val="0"/>
          <w:marRight w:val="0"/>
          <w:marTop w:val="0"/>
          <w:marBottom w:val="0"/>
          <w:divBdr>
            <w:top w:val="none" w:sz="0" w:space="0" w:color="auto"/>
            <w:left w:val="none" w:sz="0" w:space="0" w:color="auto"/>
            <w:bottom w:val="none" w:sz="0" w:space="0" w:color="auto"/>
            <w:right w:val="none" w:sz="0" w:space="0" w:color="auto"/>
          </w:divBdr>
        </w:div>
      </w:divsChild>
    </w:div>
    <w:div w:id="527960164">
      <w:bodyDiv w:val="1"/>
      <w:marLeft w:val="0"/>
      <w:marRight w:val="0"/>
      <w:marTop w:val="0"/>
      <w:marBottom w:val="0"/>
      <w:divBdr>
        <w:top w:val="none" w:sz="0" w:space="0" w:color="auto"/>
        <w:left w:val="none" w:sz="0" w:space="0" w:color="auto"/>
        <w:bottom w:val="none" w:sz="0" w:space="0" w:color="auto"/>
        <w:right w:val="none" w:sz="0" w:space="0" w:color="auto"/>
      </w:divBdr>
    </w:div>
    <w:div w:id="594092640">
      <w:bodyDiv w:val="1"/>
      <w:marLeft w:val="0"/>
      <w:marRight w:val="0"/>
      <w:marTop w:val="0"/>
      <w:marBottom w:val="0"/>
      <w:divBdr>
        <w:top w:val="none" w:sz="0" w:space="0" w:color="auto"/>
        <w:left w:val="none" w:sz="0" w:space="0" w:color="auto"/>
        <w:bottom w:val="none" w:sz="0" w:space="0" w:color="auto"/>
        <w:right w:val="none" w:sz="0" w:space="0" w:color="auto"/>
      </w:divBdr>
    </w:div>
    <w:div w:id="709108265">
      <w:bodyDiv w:val="1"/>
      <w:marLeft w:val="0"/>
      <w:marRight w:val="0"/>
      <w:marTop w:val="0"/>
      <w:marBottom w:val="0"/>
      <w:divBdr>
        <w:top w:val="none" w:sz="0" w:space="0" w:color="auto"/>
        <w:left w:val="none" w:sz="0" w:space="0" w:color="auto"/>
        <w:bottom w:val="none" w:sz="0" w:space="0" w:color="auto"/>
        <w:right w:val="none" w:sz="0" w:space="0" w:color="auto"/>
      </w:divBdr>
    </w:div>
    <w:div w:id="1003360353">
      <w:bodyDiv w:val="1"/>
      <w:marLeft w:val="0"/>
      <w:marRight w:val="0"/>
      <w:marTop w:val="0"/>
      <w:marBottom w:val="0"/>
      <w:divBdr>
        <w:top w:val="none" w:sz="0" w:space="0" w:color="auto"/>
        <w:left w:val="none" w:sz="0" w:space="0" w:color="auto"/>
        <w:bottom w:val="none" w:sz="0" w:space="0" w:color="auto"/>
        <w:right w:val="none" w:sz="0" w:space="0" w:color="auto"/>
      </w:divBdr>
    </w:div>
    <w:div w:id="1030226965">
      <w:bodyDiv w:val="1"/>
      <w:marLeft w:val="0"/>
      <w:marRight w:val="0"/>
      <w:marTop w:val="0"/>
      <w:marBottom w:val="0"/>
      <w:divBdr>
        <w:top w:val="none" w:sz="0" w:space="0" w:color="auto"/>
        <w:left w:val="none" w:sz="0" w:space="0" w:color="auto"/>
        <w:bottom w:val="none" w:sz="0" w:space="0" w:color="auto"/>
        <w:right w:val="none" w:sz="0" w:space="0" w:color="auto"/>
      </w:divBdr>
      <w:divsChild>
        <w:div w:id="1705330068">
          <w:marLeft w:val="0"/>
          <w:marRight w:val="0"/>
          <w:marTop w:val="0"/>
          <w:marBottom w:val="0"/>
          <w:divBdr>
            <w:top w:val="none" w:sz="0" w:space="0" w:color="auto"/>
            <w:left w:val="none" w:sz="0" w:space="0" w:color="auto"/>
            <w:bottom w:val="none" w:sz="0" w:space="0" w:color="auto"/>
            <w:right w:val="none" w:sz="0" w:space="0" w:color="auto"/>
          </w:divBdr>
        </w:div>
        <w:div w:id="1683163871">
          <w:marLeft w:val="0"/>
          <w:marRight w:val="0"/>
          <w:marTop w:val="0"/>
          <w:marBottom w:val="0"/>
          <w:divBdr>
            <w:top w:val="none" w:sz="0" w:space="0" w:color="auto"/>
            <w:left w:val="none" w:sz="0" w:space="0" w:color="auto"/>
            <w:bottom w:val="none" w:sz="0" w:space="0" w:color="auto"/>
            <w:right w:val="none" w:sz="0" w:space="0" w:color="auto"/>
          </w:divBdr>
        </w:div>
        <w:div w:id="90247908">
          <w:marLeft w:val="0"/>
          <w:marRight w:val="0"/>
          <w:marTop w:val="0"/>
          <w:marBottom w:val="0"/>
          <w:divBdr>
            <w:top w:val="none" w:sz="0" w:space="0" w:color="auto"/>
            <w:left w:val="none" w:sz="0" w:space="0" w:color="auto"/>
            <w:bottom w:val="none" w:sz="0" w:space="0" w:color="auto"/>
            <w:right w:val="none" w:sz="0" w:space="0" w:color="auto"/>
          </w:divBdr>
        </w:div>
      </w:divsChild>
    </w:div>
    <w:div w:id="20087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geographics.org/member/agency-for-land-relations-and-cadastre-of-the-republic-of-moldova/" TargetMode="External"/><Relationship Id="rId13" Type="http://schemas.openxmlformats.org/officeDocument/2006/relationships/hyperlink" Target="http://www.legis.md/"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legis.md/"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zilieri.gov.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md/"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legis.md/"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egis.md/"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178DB-B820-4E28-913E-96AB14D1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31637</Words>
  <Characters>180334</Characters>
  <Application>Microsoft Office Word</Application>
  <DocSecurity>0</DocSecurity>
  <Lines>1502</Lines>
  <Paragraphs>423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European Commission</Company>
  <LinksUpToDate>false</LinksUpToDate>
  <CharactersWithSpaces>211548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JANOVSKAIA Alexandra (ENEST)</dc:creator>
  <cp:keywords/>
  <dc:description/>
  <cp:lastModifiedBy>Victoria Bejan</cp:lastModifiedBy>
  <cp:revision>3</cp:revision>
  <dcterms:created xsi:type="dcterms:W3CDTF">2025-03-21T07:21:00Z</dcterms:created>
  <dcterms:modified xsi:type="dcterms:W3CDTF">2025-03-21T07:21:00Z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2025-03-12T21:04:38Z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bc5dedc3-7607-4ee4-b7d3-01bbf34c302b</vt:lpwstr>
  </property>
  <property fmtid="{D5CDD505-2E9C-101B-9397-08002B2CF9AE}" pid="8" name="MSIP_Label_6bd9ddd1-4d20-43f6-abfa-fc3c07406f94_ContentBits">
    <vt:lpwstr>0</vt:lpwstr>
  </property>
</Properties>
</file>