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04C7" w14:textId="77777777" w:rsidR="009E5D0C" w:rsidRPr="0099278F" w:rsidRDefault="009E5D0C" w:rsidP="009E5D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5"/>
          <w:szCs w:val="25"/>
        </w:rPr>
      </w:pPr>
      <w:r w:rsidRPr="0099278F">
        <w:rPr>
          <w:b/>
          <w:sz w:val="25"/>
          <w:szCs w:val="25"/>
        </w:rPr>
        <w:t>SINTEZA</w:t>
      </w:r>
    </w:p>
    <w:p w14:paraId="2D08DC02" w14:textId="201E19C7" w:rsidR="009E5D0C" w:rsidRPr="00FF1C76" w:rsidRDefault="00AE4B0E" w:rsidP="00FF1C7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5"/>
          <w:szCs w:val="25"/>
          <w:u w:val="single"/>
        </w:rPr>
      </w:pPr>
      <w:bookmarkStart w:id="0" w:name="_Hlk186699205"/>
      <w:r w:rsidRPr="0020084A">
        <w:rPr>
          <w:bCs/>
          <w:sz w:val="25"/>
          <w:szCs w:val="25"/>
          <w:u w:val="single"/>
        </w:rPr>
        <w:t xml:space="preserve">la proiectul Hotărârii de Guvern </w:t>
      </w:r>
      <w:r w:rsidR="0020084A" w:rsidRPr="0020084A">
        <w:rPr>
          <w:bCs/>
          <w:sz w:val="25"/>
          <w:szCs w:val="25"/>
          <w:u w:val="single"/>
          <w:lang w:val="ro-RO"/>
        </w:rPr>
        <w:t>cu privire la înființarea Consulatului General în orașul Chicago, Statele Unite ale Americii</w:t>
      </w:r>
      <w:r w:rsidR="0020084A" w:rsidRPr="0020084A">
        <w:rPr>
          <w:b/>
          <w:bCs/>
          <w:sz w:val="25"/>
          <w:szCs w:val="25"/>
          <w:u w:val="single"/>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643"/>
        <w:gridCol w:w="1238"/>
        <w:gridCol w:w="7367"/>
        <w:gridCol w:w="2746"/>
      </w:tblGrid>
      <w:tr w:rsidR="009E5D0C" w14:paraId="0A0476EA" w14:textId="77777777" w:rsidTr="00AE4B0E">
        <w:tc>
          <w:tcPr>
            <w:tcW w:w="2643" w:type="dxa"/>
          </w:tcPr>
          <w:bookmarkEnd w:id="0"/>
          <w:p w14:paraId="1AA8B347" w14:textId="3564844E" w:rsidR="009E5D0C" w:rsidRDefault="00AE4B0E" w:rsidP="00AE4B0E">
            <w:pPr>
              <w:ind w:firstLine="0"/>
              <w:jc w:val="center"/>
            </w:pPr>
            <w:r w:rsidRPr="0099278F">
              <w:rPr>
                <w:b/>
                <w:sz w:val="25"/>
                <w:szCs w:val="25"/>
              </w:rPr>
              <w:t>Participantul la avizare, consultare publică, expertizare</w:t>
            </w:r>
          </w:p>
        </w:tc>
        <w:tc>
          <w:tcPr>
            <w:tcW w:w="1238" w:type="dxa"/>
          </w:tcPr>
          <w:p w14:paraId="54F262B0" w14:textId="6EE9723D" w:rsidR="009E5D0C" w:rsidRDefault="009E5D0C" w:rsidP="00AE4B0E">
            <w:pPr>
              <w:ind w:firstLine="0"/>
              <w:jc w:val="center"/>
            </w:pPr>
            <w:r w:rsidRPr="0099278F">
              <w:rPr>
                <w:b/>
                <w:sz w:val="25"/>
                <w:szCs w:val="25"/>
              </w:rPr>
              <w:t>Nr. crt.</w:t>
            </w:r>
          </w:p>
        </w:tc>
        <w:tc>
          <w:tcPr>
            <w:tcW w:w="7367" w:type="dxa"/>
          </w:tcPr>
          <w:p w14:paraId="77ABFE24" w14:textId="77777777" w:rsidR="009E5D0C" w:rsidRPr="009E5D0C" w:rsidRDefault="009E5D0C" w:rsidP="00AE4B0E">
            <w:pPr>
              <w:ind w:firstLine="0"/>
              <w:jc w:val="center"/>
              <w:rPr>
                <w:sz w:val="25"/>
                <w:szCs w:val="25"/>
              </w:rPr>
            </w:pPr>
            <w:r w:rsidRPr="009E5D0C">
              <w:rPr>
                <w:b/>
                <w:sz w:val="25"/>
                <w:szCs w:val="25"/>
              </w:rPr>
              <w:t>Conținutul obiecției,</w:t>
            </w:r>
          </w:p>
          <w:p w14:paraId="71C0E71B" w14:textId="1C41987A" w:rsidR="009E5D0C" w:rsidRDefault="009E5D0C" w:rsidP="00AE4B0E">
            <w:pPr>
              <w:ind w:firstLine="0"/>
              <w:jc w:val="center"/>
            </w:pPr>
            <w:r w:rsidRPr="009E5D0C">
              <w:rPr>
                <w:b/>
                <w:sz w:val="25"/>
                <w:szCs w:val="25"/>
              </w:rPr>
              <w:t>propunerii, recomandării, concluziei</w:t>
            </w:r>
          </w:p>
        </w:tc>
        <w:tc>
          <w:tcPr>
            <w:tcW w:w="2746" w:type="dxa"/>
          </w:tcPr>
          <w:p w14:paraId="5907745C" w14:textId="77777777" w:rsidR="009E5D0C" w:rsidRPr="009E5D0C" w:rsidRDefault="009E5D0C" w:rsidP="00AE4B0E">
            <w:pPr>
              <w:ind w:firstLine="0"/>
              <w:jc w:val="center"/>
              <w:rPr>
                <w:sz w:val="25"/>
                <w:szCs w:val="25"/>
              </w:rPr>
            </w:pPr>
            <w:r w:rsidRPr="009E5D0C">
              <w:rPr>
                <w:b/>
                <w:sz w:val="25"/>
                <w:szCs w:val="25"/>
              </w:rPr>
              <w:t>Argumentarea</w:t>
            </w:r>
          </w:p>
          <w:p w14:paraId="106EE99A" w14:textId="0E07DEDE" w:rsidR="009E5D0C" w:rsidRDefault="009E5D0C" w:rsidP="00AE4B0E">
            <w:pPr>
              <w:ind w:firstLine="0"/>
              <w:jc w:val="center"/>
            </w:pPr>
            <w:r w:rsidRPr="009E5D0C">
              <w:rPr>
                <w:b/>
                <w:sz w:val="25"/>
                <w:szCs w:val="25"/>
              </w:rPr>
              <w:t>autorului proiectului</w:t>
            </w:r>
          </w:p>
        </w:tc>
      </w:tr>
      <w:tr w:rsidR="009E5D0C" w14:paraId="18683BE5" w14:textId="77777777" w:rsidTr="00AE4B0E">
        <w:trPr>
          <w:trHeight w:val="386"/>
        </w:trPr>
        <w:tc>
          <w:tcPr>
            <w:tcW w:w="13994" w:type="dxa"/>
            <w:gridSpan w:val="4"/>
          </w:tcPr>
          <w:p w14:paraId="19060E88" w14:textId="5528104D" w:rsidR="009E5D0C" w:rsidRDefault="009E5D0C" w:rsidP="00AE4B0E">
            <w:pPr>
              <w:ind w:firstLine="0"/>
              <w:jc w:val="center"/>
            </w:pPr>
            <w:r w:rsidRPr="0099278F">
              <w:rPr>
                <w:sz w:val="25"/>
                <w:szCs w:val="25"/>
              </w:rPr>
              <w:t>Avizare și consultare publică</w:t>
            </w:r>
          </w:p>
        </w:tc>
      </w:tr>
      <w:tr w:rsidR="0062645C" w14:paraId="2F92F3FF" w14:textId="77777777" w:rsidTr="00AE4B0E">
        <w:tc>
          <w:tcPr>
            <w:tcW w:w="2643" w:type="dxa"/>
            <w:vMerge w:val="restart"/>
          </w:tcPr>
          <w:p w14:paraId="0B2EFDA4" w14:textId="4FECC26A" w:rsidR="0062645C" w:rsidRDefault="0062645C" w:rsidP="00AE4B0E">
            <w:pPr>
              <w:ind w:firstLine="0"/>
              <w:jc w:val="center"/>
              <w:rPr>
                <w:b/>
                <w:bCs/>
                <w:sz w:val="25"/>
                <w:szCs w:val="25"/>
              </w:rPr>
            </w:pPr>
            <w:r>
              <w:rPr>
                <w:b/>
                <w:bCs/>
                <w:sz w:val="25"/>
                <w:szCs w:val="25"/>
              </w:rPr>
              <w:t>Ministerul Finanțelor</w:t>
            </w:r>
          </w:p>
          <w:p w14:paraId="56D39D14" w14:textId="75935310" w:rsidR="0062645C" w:rsidRPr="00363E82" w:rsidRDefault="0062645C" w:rsidP="00AE4B0E">
            <w:pPr>
              <w:ind w:firstLine="0"/>
              <w:jc w:val="center"/>
              <w:rPr>
                <w:sz w:val="25"/>
                <w:szCs w:val="25"/>
              </w:rPr>
            </w:pPr>
            <w:r w:rsidRPr="00363E82">
              <w:rPr>
                <w:sz w:val="25"/>
                <w:szCs w:val="25"/>
              </w:rPr>
              <w:t>(aviz nr. 07/3-03-26/215 din 18 februarie 2025)</w:t>
            </w:r>
          </w:p>
          <w:p w14:paraId="24C5214C" w14:textId="0622C1B6" w:rsidR="0062645C" w:rsidRPr="009E5D0C" w:rsidRDefault="0062645C" w:rsidP="0020084A">
            <w:pPr>
              <w:ind w:firstLine="0"/>
              <w:jc w:val="center"/>
              <w:rPr>
                <w:sz w:val="25"/>
                <w:szCs w:val="25"/>
              </w:rPr>
            </w:pPr>
          </w:p>
          <w:p w14:paraId="71CE746A" w14:textId="6CF4820E" w:rsidR="0062645C" w:rsidRPr="009E5D0C" w:rsidRDefault="0062645C" w:rsidP="00AE4B0E">
            <w:pPr>
              <w:ind w:firstLine="0"/>
              <w:jc w:val="center"/>
              <w:rPr>
                <w:sz w:val="25"/>
                <w:szCs w:val="25"/>
              </w:rPr>
            </w:pPr>
          </w:p>
        </w:tc>
        <w:tc>
          <w:tcPr>
            <w:tcW w:w="1238" w:type="dxa"/>
          </w:tcPr>
          <w:p w14:paraId="1854F781" w14:textId="47F9765E" w:rsidR="0062645C" w:rsidRPr="009E5D0C" w:rsidRDefault="0062645C" w:rsidP="00AE4B0E">
            <w:pPr>
              <w:ind w:firstLine="0"/>
              <w:jc w:val="center"/>
              <w:rPr>
                <w:sz w:val="25"/>
                <w:szCs w:val="25"/>
              </w:rPr>
            </w:pPr>
            <w:r w:rsidRPr="009E5D0C">
              <w:rPr>
                <w:sz w:val="25"/>
                <w:szCs w:val="25"/>
              </w:rPr>
              <w:t>1.</w:t>
            </w:r>
          </w:p>
        </w:tc>
        <w:tc>
          <w:tcPr>
            <w:tcW w:w="7367" w:type="dxa"/>
          </w:tcPr>
          <w:p w14:paraId="3B26E327" w14:textId="77777777" w:rsidR="0062645C" w:rsidRDefault="0062645C" w:rsidP="00AE4B0E">
            <w:pPr>
              <w:ind w:firstLine="0"/>
              <w:rPr>
                <w:sz w:val="25"/>
                <w:szCs w:val="25"/>
              </w:rPr>
            </w:pPr>
            <w:r w:rsidRPr="001416E0">
              <w:rPr>
                <w:sz w:val="25"/>
                <w:szCs w:val="25"/>
              </w:rPr>
              <w:t xml:space="preserve">Prin prezenta, cu referire la adresarea Cancelariei de Stat privind examinarea proiectului de hotărâre a Guvernului cu privire la înființarea Consulatului General al Republicii Moldova în orașul Chicago, Statele Unite ale Americii (număr unic 56/MAE/2025), Ministerul Finanțelor comunică următoarele. </w:t>
            </w:r>
          </w:p>
          <w:p w14:paraId="12F3E82B" w14:textId="77777777" w:rsidR="0062645C" w:rsidRDefault="0062645C" w:rsidP="00AE4B0E">
            <w:pPr>
              <w:ind w:firstLine="0"/>
              <w:rPr>
                <w:sz w:val="25"/>
                <w:szCs w:val="25"/>
              </w:rPr>
            </w:pPr>
          </w:p>
          <w:p w14:paraId="0CEABF11" w14:textId="77777777" w:rsidR="0062645C" w:rsidRPr="00786F6F" w:rsidRDefault="0062645C" w:rsidP="00AE4B0E">
            <w:pPr>
              <w:ind w:firstLine="0"/>
              <w:rPr>
                <w:i/>
                <w:iCs/>
                <w:sz w:val="25"/>
                <w:szCs w:val="25"/>
              </w:rPr>
            </w:pPr>
            <w:r w:rsidRPr="00786F6F">
              <w:rPr>
                <w:i/>
                <w:iCs/>
                <w:sz w:val="25"/>
                <w:szCs w:val="25"/>
              </w:rPr>
              <w:t>Referitor la proiectul de hotărâre.</w:t>
            </w:r>
          </w:p>
          <w:p w14:paraId="0BD4E6AD" w14:textId="77777777" w:rsidR="0062645C" w:rsidRDefault="0062645C" w:rsidP="00AE4B0E">
            <w:pPr>
              <w:ind w:firstLine="0"/>
              <w:rPr>
                <w:sz w:val="25"/>
                <w:szCs w:val="25"/>
              </w:rPr>
            </w:pPr>
            <w:r w:rsidRPr="00A62F3C">
              <w:rPr>
                <w:sz w:val="25"/>
                <w:szCs w:val="25"/>
              </w:rPr>
              <w:t xml:space="preserve">Ținând cont de prevederile Legii finanțelor publice și responsabilității bugetar-fiscale nr.181/2014, pct.2 urmează a fi expus în următoarea redacție: </w:t>
            </w:r>
          </w:p>
          <w:p w14:paraId="0EA7C00C" w14:textId="3BFD9F4B" w:rsidR="0062645C" w:rsidRPr="001416E0" w:rsidRDefault="0062645C" w:rsidP="00AE4B0E">
            <w:pPr>
              <w:ind w:firstLine="0"/>
              <w:rPr>
                <w:sz w:val="25"/>
                <w:szCs w:val="25"/>
              </w:rPr>
            </w:pPr>
            <w:r w:rsidRPr="00A62F3C">
              <w:rPr>
                <w:sz w:val="25"/>
                <w:szCs w:val="25"/>
              </w:rPr>
              <w:t>”2. Finanțarea activității Consulatului General al Republicii Moldova în Statele Unite ale Americii, cu sediul la Chicago, va fi realizată din contul și în limita alocațiilor aprobate Ministerului Afacerilor Externe pentru asigurarea activității instituțiilor serviciului diplomatic în legile bugetare anuale și alte surse neinterzise de legislație.”</w:t>
            </w:r>
          </w:p>
        </w:tc>
        <w:tc>
          <w:tcPr>
            <w:tcW w:w="2746" w:type="dxa"/>
          </w:tcPr>
          <w:p w14:paraId="3939BDF5" w14:textId="77777777" w:rsidR="0062645C" w:rsidRPr="007B28CF" w:rsidRDefault="0062645C" w:rsidP="007B28CF">
            <w:pPr>
              <w:ind w:firstLine="0"/>
              <w:jc w:val="left"/>
              <w:rPr>
                <w:b/>
                <w:bCs/>
                <w:sz w:val="25"/>
                <w:szCs w:val="25"/>
              </w:rPr>
            </w:pPr>
            <w:r w:rsidRPr="007B28CF">
              <w:rPr>
                <w:b/>
                <w:bCs/>
                <w:sz w:val="25"/>
                <w:szCs w:val="25"/>
              </w:rPr>
              <w:t>Se acceptă</w:t>
            </w:r>
          </w:p>
          <w:p w14:paraId="547F37F7" w14:textId="20131962" w:rsidR="0062645C" w:rsidRDefault="0062645C" w:rsidP="007B28CF">
            <w:pPr>
              <w:ind w:firstLine="0"/>
            </w:pPr>
            <w:r w:rsidRPr="007B28CF">
              <w:rPr>
                <w:i/>
                <w:iCs/>
                <w:sz w:val="25"/>
                <w:szCs w:val="25"/>
              </w:rPr>
              <w:t>(proiectul a fost ajustat)</w:t>
            </w:r>
          </w:p>
        </w:tc>
      </w:tr>
      <w:tr w:rsidR="0062645C" w14:paraId="4CDB5432" w14:textId="77777777" w:rsidTr="00AE4B0E">
        <w:tc>
          <w:tcPr>
            <w:tcW w:w="2643" w:type="dxa"/>
            <w:vMerge/>
          </w:tcPr>
          <w:p w14:paraId="5F8CCDAF" w14:textId="77777777" w:rsidR="0062645C" w:rsidRDefault="0062645C" w:rsidP="00AE4B0E">
            <w:pPr>
              <w:ind w:firstLine="0"/>
              <w:jc w:val="center"/>
              <w:rPr>
                <w:b/>
                <w:bCs/>
                <w:sz w:val="25"/>
                <w:szCs w:val="25"/>
              </w:rPr>
            </w:pPr>
          </w:p>
        </w:tc>
        <w:tc>
          <w:tcPr>
            <w:tcW w:w="1238" w:type="dxa"/>
          </w:tcPr>
          <w:p w14:paraId="37BB8A64" w14:textId="65AC7CE9" w:rsidR="0062645C" w:rsidRPr="009E5D0C" w:rsidRDefault="0062645C" w:rsidP="00AE4B0E">
            <w:pPr>
              <w:ind w:firstLine="0"/>
              <w:jc w:val="center"/>
              <w:rPr>
                <w:sz w:val="25"/>
                <w:szCs w:val="25"/>
              </w:rPr>
            </w:pPr>
            <w:r>
              <w:rPr>
                <w:sz w:val="25"/>
                <w:szCs w:val="25"/>
              </w:rPr>
              <w:t>2.</w:t>
            </w:r>
          </w:p>
        </w:tc>
        <w:tc>
          <w:tcPr>
            <w:tcW w:w="7367" w:type="dxa"/>
          </w:tcPr>
          <w:p w14:paraId="54438A24" w14:textId="77777777" w:rsidR="0062645C" w:rsidRPr="00786F6F" w:rsidRDefault="0062645C" w:rsidP="00AE4B0E">
            <w:pPr>
              <w:ind w:firstLine="0"/>
              <w:rPr>
                <w:i/>
                <w:iCs/>
                <w:sz w:val="25"/>
                <w:szCs w:val="25"/>
              </w:rPr>
            </w:pPr>
            <w:r w:rsidRPr="00786F6F">
              <w:rPr>
                <w:i/>
                <w:iCs/>
                <w:sz w:val="25"/>
                <w:szCs w:val="25"/>
              </w:rPr>
              <w:t xml:space="preserve">Referitor la Nota de fundamentare. </w:t>
            </w:r>
          </w:p>
          <w:p w14:paraId="30B8F3AC" w14:textId="044D19A6" w:rsidR="0062645C" w:rsidRPr="00E071B4" w:rsidRDefault="0062645C" w:rsidP="00AE4B0E">
            <w:pPr>
              <w:ind w:firstLine="0"/>
              <w:rPr>
                <w:sz w:val="25"/>
                <w:szCs w:val="25"/>
              </w:rPr>
            </w:pPr>
            <w:r w:rsidRPr="00E071B4">
              <w:rPr>
                <w:sz w:val="25"/>
                <w:szCs w:val="25"/>
              </w:rPr>
              <w:t>La pct.4.2 autorul estimează costul anual pentru asigurarea activității misiunii diplomatice la Chicago, în sumă de cca 6,1 mil. lei, inclusiv cheltuieli de personal – 557,0 mii lei. Aceste costuri includ doar cheltuielile de întreținere (salariu, indemnizații, asigurarea medicală, servicii de locațiune, etc), însă, deschiderea misiunii diplomatice necesită și alocații de o singură dată pentru achiziția mijloacelor fixe (autoturism, mobilă, tehnica de calcul etc). Prin urmare, calculele costurilor urmează a fi completate în scopul estimării integrale a acestora. În context, ținem să evidențiem că în Legea bugetului de stat pentru anul 2025 nr.</w:t>
            </w:r>
            <w:r w:rsidR="007B0356">
              <w:rPr>
                <w:sz w:val="25"/>
                <w:szCs w:val="25"/>
              </w:rPr>
              <w:t xml:space="preserve"> </w:t>
            </w:r>
            <w:r w:rsidRPr="00E071B4">
              <w:rPr>
                <w:sz w:val="25"/>
                <w:szCs w:val="25"/>
              </w:rPr>
              <w:t>310/2004, alocațiile bugetate Ministerului Afacerilor Externe pentru înființarea Consulatului General în orașul Chicago constituie suma de 4,2 mil. lei.</w:t>
            </w:r>
          </w:p>
        </w:tc>
        <w:tc>
          <w:tcPr>
            <w:tcW w:w="2746" w:type="dxa"/>
          </w:tcPr>
          <w:p w14:paraId="1EDF390B" w14:textId="77777777" w:rsidR="0062645C" w:rsidRPr="007B28CF" w:rsidRDefault="0062645C" w:rsidP="007D0F6F">
            <w:pPr>
              <w:ind w:firstLine="0"/>
              <w:jc w:val="left"/>
              <w:rPr>
                <w:b/>
                <w:bCs/>
                <w:sz w:val="25"/>
                <w:szCs w:val="25"/>
              </w:rPr>
            </w:pPr>
            <w:r w:rsidRPr="007B28CF">
              <w:rPr>
                <w:b/>
                <w:bCs/>
                <w:sz w:val="25"/>
                <w:szCs w:val="25"/>
              </w:rPr>
              <w:t>Se acceptă</w:t>
            </w:r>
          </w:p>
          <w:p w14:paraId="4268E30D" w14:textId="3A77EE1E" w:rsidR="0062645C" w:rsidRDefault="0062645C" w:rsidP="007D0F6F">
            <w:pPr>
              <w:ind w:firstLine="0"/>
            </w:pPr>
            <w:r w:rsidRPr="007B28CF">
              <w:rPr>
                <w:i/>
                <w:iCs/>
                <w:sz w:val="25"/>
                <w:szCs w:val="25"/>
              </w:rPr>
              <w:t>(</w:t>
            </w:r>
            <w:r>
              <w:rPr>
                <w:i/>
                <w:iCs/>
                <w:sz w:val="25"/>
                <w:szCs w:val="25"/>
              </w:rPr>
              <w:t>Nota de fundamentare</w:t>
            </w:r>
            <w:r w:rsidRPr="007B28CF">
              <w:rPr>
                <w:i/>
                <w:iCs/>
                <w:sz w:val="25"/>
                <w:szCs w:val="25"/>
              </w:rPr>
              <w:t xml:space="preserve"> a fost ajustat</w:t>
            </w:r>
            <w:r>
              <w:rPr>
                <w:i/>
                <w:iCs/>
                <w:sz w:val="25"/>
                <w:szCs w:val="25"/>
              </w:rPr>
              <w:t>ă</w:t>
            </w:r>
            <w:r w:rsidRPr="007B28CF">
              <w:rPr>
                <w:i/>
                <w:iCs/>
                <w:sz w:val="25"/>
                <w:szCs w:val="25"/>
              </w:rPr>
              <w:t>)</w:t>
            </w:r>
          </w:p>
        </w:tc>
      </w:tr>
      <w:tr w:rsidR="0062645C" w14:paraId="27B7FAE6" w14:textId="77777777" w:rsidTr="00AE4B0E">
        <w:tc>
          <w:tcPr>
            <w:tcW w:w="2643" w:type="dxa"/>
            <w:vMerge/>
          </w:tcPr>
          <w:p w14:paraId="4E85469F" w14:textId="77777777" w:rsidR="0062645C" w:rsidRDefault="0062645C" w:rsidP="00AE4B0E">
            <w:pPr>
              <w:ind w:firstLine="0"/>
              <w:jc w:val="center"/>
              <w:rPr>
                <w:b/>
                <w:bCs/>
                <w:sz w:val="25"/>
                <w:szCs w:val="25"/>
              </w:rPr>
            </w:pPr>
          </w:p>
        </w:tc>
        <w:tc>
          <w:tcPr>
            <w:tcW w:w="1238" w:type="dxa"/>
          </w:tcPr>
          <w:p w14:paraId="69F32377" w14:textId="221F1FE9" w:rsidR="0062645C" w:rsidRPr="009E5D0C" w:rsidRDefault="0062645C" w:rsidP="00AE4B0E">
            <w:pPr>
              <w:ind w:firstLine="0"/>
              <w:jc w:val="center"/>
              <w:rPr>
                <w:sz w:val="25"/>
                <w:szCs w:val="25"/>
              </w:rPr>
            </w:pPr>
            <w:r>
              <w:rPr>
                <w:sz w:val="25"/>
                <w:szCs w:val="25"/>
              </w:rPr>
              <w:t>3.</w:t>
            </w:r>
          </w:p>
        </w:tc>
        <w:tc>
          <w:tcPr>
            <w:tcW w:w="7367" w:type="dxa"/>
          </w:tcPr>
          <w:p w14:paraId="2FA4870A" w14:textId="2E1BAD21" w:rsidR="0062645C" w:rsidRPr="00E071B4" w:rsidRDefault="0062645C" w:rsidP="00AE4B0E">
            <w:pPr>
              <w:ind w:firstLine="0"/>
              <w:rPr>
                <w:sz w:val="25"/>
                <w:szCs w:val="25"/>
              </w:rPr>
            </w:pPr>
            <w:r w:rsidRPr="00E071B4">
              <w:rPr>
                <w:sz w:val="25"/>
                <w:szCs w:val="25"/>
              </w:rPr>
              <w:t>Suplimentar, urmează a fi indicat faptul că finanțarea activității Consulatului General al Republicii Moldova în Statele Unite ale Americii, cu sediul la Chicago, va fi realizată din contul și în limita alocațiilor aprobate Ministerului Afacerilor Externe în Legea bugetului de stat pentru anul 2025, fără necesitatea alocării mijloacelor bugetare suplimentare. Or, conform art.17 alin.(2) din Legea finanțelor publice și responsabilității bugetar-fiscale nr.181/2014, pe parcursul anului bugetar în curs nu pot fi puse în aplicare decizii care conduc la majorarea cheltuielilor bugetare dacă impactul financiar al acestora nu este prevăzut în buget.</w:t>
            </w:r>
          </w:p>
        </w:tc>
        <w:tc>
          <w:tcPr>
            <w:tcW w:w="2746" w:type="dxa"/>
          </w:tcPr>
          <w:p w14:paraId="09FE27F9" w14:textId="4F597956" w:rsidR="0062645C" w:rsidRPr="007B28CF" w:rsidRDefault="0062645C" w:rsidP="007D0F6F">
            <w:pPr>
              <w:ind w:firstLine="0"/>
              <w:jc w:val="left"/>
              <w:rPr>
                <w:b/>
                <w:bCs/>
                <w:sz w:val="25"/>
                <w:szCs w:val="25"/>
              </w:rPr>
            </w:pPr>
            <w:r w:rsidRPr="007B28CF">
              <w:rPr>
                <w:b/>
                <w:bCs/>
                <w:sz w:val="25"/>
                <w:szCs w:val="25"/>
              </w:rPr>
              <w:t>Se acceptă</w:t>
            </w:r>
          </w:p>
          <w:p w14:paraId="55DD594E" w14:textId="0A7989AD" w:rsidR="0062645C" w:rsidRDefault="0062645C" w:rsidP="007D0F6F">
            <w:pPr>
              <w:ind w:firstLine="0"/>
            </w:pPr>
            <w:r w:rsidRPr="007B28CF">
              <w:rPr>
                <w:i/>
                <w:iCs/>
                <w:sz w:val="25"/>
                <w:szCs w:val="25"/>
              </w:rPr>
              <w:t>(</w:t>
            </w:r>
            <w:r>
              <w:rPr>
                <w:i/>
                <w:iCs/>
                <w:sz w:val="25"/>
                <w:szCs w:val="25"/>
              </w:rPr>
              <w:t xml:space="preserve">Nota de fundamentare </w:t>
            </w:r>
            <w:r w:rsidRPr="007B28CF">
              <w:rPr>
                <w:i/>
                <w:iCs/>
                <w:sz w:val="25"/>
                <w:szCs w:val="25"/>
              </w:rPr>
              <w:t>a fost ajustat</w:t>
            </w:r>
            <w:r>
              <w:rPr>
                <w:i/>
                <w:iCs/>
                <w:sz w:val="25"/>
                <w:szCs w:val="25"/>
              </w:rPr>
              <w:t>ă</w:t>
            </w:r>
            <w:r w:rsidRPr="007B28CF">
              <w:rPr>
                <w:i/>
                <w:iCs/>
                <w:sz w:val="25"/>
                <w:szCs w:val="25"/>
              </w:rPr>
              <w:t>)</w:t>
            </w:r>
          </w:p>
        </w:tc>
      </w:tr>
      <w:tr w:rsidR="007E0F07" w14:paraId="2234F3EA" w14:textId="77777777" w:rsidTr="00AE4B0E">
        <w:tc>
          <w:tcPr>
            <w:tcW w:w="2643" w:type="dxa"/>
          </w:tcPr>
          <w:p w14:paraId="5AF7C5A6" w14:textId="08AA45CF" w:rsidR="007E0F07" w:rsidRPr="007E0F07" w:rsidRDefault="007E0F07" w:rsidP="00AE4B0E">
            <w:pPr>
              <w:ind w:firstLine="0"/>
              <w:jc w:val="center"/>
              <w:rPr>
                <w:b/>
                <w:bCs/>
                <w:sz w:val="25"/>
                <w:szCs w:val="25"/>
                <w:vertAlign w:val="superscript"/>
              </w:rPr>
            </w:pPr>
            <w:r>
              <w:rPr>
                <w:b/>
                <w:bCs/>
                <w:sz w:val="25"/>
                <w:szCs w:val="25"/>
              </w:rPr>
              <w:t>Comentarii consultare publică</w:t>
            </w:r>
            <w:r>
              <w:rPr>
                <w:rStyle w:val="FootnoteReference"/>
                <w:b/>
                <w:bCs/>
                <w:sz w:val="25"/>
                <w:szCs w:val="25"/>
              </w:rPr>
              <w:footnoteReference w:id="1"/>
            </w:r>
          </w:p>
        </w:tc>
        <w:tc>
          <w:tcPr>
            <w:tcW w:w="1238" w:type="dxa"/>
          </w:tcPr>
          <w:p w14:paraId="6E664E5D" w14:textId="76E41D3A" w:rsidR="007E0F07" w:rsidRDefault="00E071B4" w:rsidP="00AE4B0E">
            <w:pPr>
              <w:ind w:firstLine="0"/>
              <w:jc w:val="center"/>
              <w:rPr>
                <w:sz w:val="25"/>
                <w:szCs w:val="25"/>
              </w:rPr>
            </w:pPr>
            <w:r>
              <w:rPr>
                <w:sz w:val="25"/>
                <w:szCs w:val="25"/>
              </w:rPr>
              <w:t>4</w:t>
            </w:r>
            <w:r w:rsidR="007E0F07">
              <w:rPr>
                <w:sz w:val="25"/>
                <w:szCs w:val="25"/>
              </w:rPr>
              <w:t>.</w:t>
            </w:r>
          </w:p>
        </w:tc>
        <w:tc>
          <w:tcPr>
            <w:tcW w:w="7367" w:type="dxa"/>
          </w:tcPr>
          <w:p w14:paraId="65D9368D" w14:textId="18FB4530" w:rsidR="007E0F07" w:rsidRPr="008B4655" w:rsidRDefault="000D154D" w:rsidP="00AE4B0E">
            <w:pPr>
              <w:ind w:firstLine="0"/>
              <w:rPr>
                <w:sz w:val="25"/>
                <w:szCs w:val="25"/>
              </w:rPr>
            </w:pPr>
            <w:r w:rsidRPr="000D154D">
              <w:rPr>
                <w:i/>
                <w:iCs/>
                <w:sz w:val="25"/>
                <w:szCs w:val="25"/>
              </w:rPr>
              <w:t>nu au parvenit</w:t>
            </w:r>
          </w:p>
        </w:tc>
        <w:tc>
          <w:tcPr>
            <w:tcW w:w="2746" w:type="dxa"/>
          </w:tcPr>
          <w:p w14:paraId="590EA74C" w14:textId="609D32A8" w:rsidR="007E0F07" w:rsidRPr="009827B7" w:rsidRDefault="000D154D" w:rsidP="000D154D">
            <w:pPr>
              <w:pBdr>
                <w:top w:val="none" w:sz="4" w:space="0" w:color="000000"/>
                <w:left w:val="none" w:sz="4" w:space="0" w:color="000000"/>
                <w:bottom w:val="none" w:sz="4" w:space="0" w:color="000000"/>
                <w:right w:val="none" w:sz="4" w:space="0" w:color="000000"/>
              </w:pBdr>
              <w:ind w:firstLine="0"/>
              <w:rPr>
                <w:b/>
                <w:bCs/>
                <w:sz w:val="25"/>
                <w:szCs w:val="25"/>
              </w:rPr>
            </w:pPr>
            <w:r w:rsidRPr="009827B7">
              <w:rPr>
                <w:i/>
                <w:iCs/>
                <w:sz w:val="25"/>
                <w:szCs w:val="25"/>
              </w:rPr>
              <w:t>nu necesită intervenție</w:t>
            </w:r>
          </w:p>
        </w:tc>
      </w:tr>
      <w:tr w:rsidR="00FF1C76" w14:paraId="74F6C411" w14:textId="77777777" w:rsidTr="00B1544D">
        <w:tc>
          <w:tcPr>
            <w:tcW w:w="13994" w:type="dxa"/>
            <w:gridSpan w:val="4"/>
          </w:tcPr>
          <w:p w14:paraId="3042279F" w14:textId="7F0220C3" w:rsidR="00FF1C76" w:rsidRPr="00FF1C76" w:rsidRDefault="00FF1C76" w:rsidP="00FF1C76">
            <w:pPr>
              <w:pBdr>
                <w:top w:val="none" w:sz="4" w:space="0" w:color="000000"/>
                <w:left w:val="none" w:sz="4" w:space="0" w:color="000000"/>
                <w:bottom w:val="none" w:sz="4" w:space="0" w:color="000000"/>
                <w:right w:val="none" w:sz="4" w:space="0" w:color="000000"/>
              </w:pBdr>
              <w:ind w:firstLine="0"/>
              <w:jc w:val="center"/>
              <w:rPr>
                <w:sz w:val="25"/>
                <w:szCs w:val="25"/>
              </w:rPr>
            </w:pPr>
            <w:r w:rsidRPr="00FF1C76">
              <w:rPr>
                <w:sz w:val="25"/>
                <w:szCs w:val="25"/>
              </w:rPr>
              <w:t>Expertizare</w:t>
            </w:r>
          </w:p>
        </w:tc>
      </w:tr>
      <w:tr w:rsidR="00FF1C76" w14:paraId="16EB336D" w14:textId="77777777" w:rsidTr="00AE4B0E">
        <w:tc>
          <w:tcPr>
            <w:tcW w:w="2643" w:type="dxa"/>
          </w:tcPr>
          <w:p w14:paraId="30C9314D" w14:textId="77777777" w:rsidR="00FF1C76" w:rsidRDefault="00FF1C76" w:rsidP="00AE4B0E">
            <w:pPr>
              <w:ind w:firstLine="0"/>
              <w:jc w:val="center"/>
              <w:rPr>
                <w:b/>
                <w:bCs/>
                <w:sz w:val="25"/>
                <w:szCs w:val="25"/>
              </w:rPr>
            </w:pPr>
            <w:r>
              <w:rPr>
                <w:b/>
                <w:bCs/>
                <w:sz w:val="25"/>
                <w:szCs w:val="25"/>
              </w:rPr>
              <w:t>Centrul Național Anticorupție</w:t>
            </w:r>
          </w:p>
          <w:p w14:paraId="4231B6F4" w14:textId="7C792AC6" w:rsidR="00FF1C76" w:rsidRPr="00FF1C76" w:rsidRDefault="00FF1C76" w:rsidP="00AE4B0E">
            <w:pPr>
              <w:ind w:firstLine="0"/>
              <w:jc w:val="center"/>
              <w:rPr>
                <w:sz w:val="25"/>
                <w:szCs w:val="25"/>
              </w:rPr>
            </w:pPr>
            <w:r w:rsidRPr="00FF1C76">
              <w:rPr>
                <w:sz w:val="25"/>
                <w:szCs w:val="25"/>
              </w:rPr>
              <w:t>(</w:t>
            </w:r>
            <w:r>
              <w:rPr>
                <w:sz w:val="25"/>
                <w:szCs w:val="25"/>
              </w:rPr>
              <w:t>n</w:t>
            </w:r>
            <w:r w:rsidRPr="00FF1C76">
              <w:rPr>
                <w:sz w:val="25"/>
                <w:szCs w:val="25"/>
              </w:rPr>
              <w:t>r. EHG25/10370 din 27</w:t>
            </w:r>
            <w:r>
              <w:rPr>
                <w:sz w:val="25"/>
                <w:szCs w:val="25"/>
              </w:rPr>
              <w:t xml:space="preserve"> februarie </w:t>
            </w:r>
            <w:r w:rsidRPr="00FF1C76">
              <w:rPr>
                <w:sz w:val="25"/>
                <w:szCs w:val="25"/>
              </w:rPr>
              <w:t>2025)</w:t>
            </w:r>
          </w:p>
        </w:tc>
        <w:tc>
          <w:tcPr>
            <w:tcW w:w="1238" w:type="dxa"/>
          </w:tcPr>
          <w:p w14:paraId="084478C0" w14:textId="0AA9382F" w:rsidR="00FF1C76" w:rsidRDefault="00FF1C76" w:rsidP="00AE4B0E">
            <w:pPr>
              <w:ind w:firstLine="0"/>
              <w:jc w:val="center"/>
              <w:rPr>
                <w:sz w:val="25"/>
                <w:szCs w:val="25"/>
              </w:rPr>
            </w:pPr>
            <w:r>
              <w:rPr>
                <w:sz w:val="25"/>
                <w:szCs w:val="25"/>
              </w:rPr>
              <w:t>5.</w:t>
            </w:r>
          </w:p>
        </w:tc>
        <w:tc>
          <w:tcPr>
            <w:tcW w:w="7367" w:type="dxa"/>
          </w:tcPr>
          <w:p w14:paraId="03D2CADA" w14:textId="77777777" w:rsidR="00FF1C76" w:rsidRDefault="00FF1C76" w:rsidP="00AE4B0E">
            <w:pPr>
              <w:ind w:firstLine="0"/>
              <w:rPr>
                <w:sz w:val="25"/>
                <w:szCs w:val="25"/>
              </w:rPr>
            </w:pPr>
            <w:r w:rsidRPr="00FF1C76">
              <w:rPr>
                <w:sz w:val="25"/>
                <w:szCs w:val="25"/>
              </w:rPr>
              <w:t xml:space="preserve">Potrivit notei informative, proiectul are drept scop consolidarea capacităților consulare reieșind din analiza efectuată de MAE privind harta și numărul conaționalilor noștri aflați peste hotare și multitudinea sarcinilor de importanță majoră în unele misiuni strategice. În acest sens, autorul propune înființarea Consulatului General în Chicago, SUA. </w:t>
            </w:r>
          </w:p>
          <w:p w14:paraId="0B9D1F25" w14:textId="77777777" w:rsidR="00FF1C76" w:rsidRDefault="00FF1C76" w:rsidP="00AE4B0E">
            <w:pPr>
              <w:ind w:firstLine="0"/>
              <w:rPr>
                <w:sz w:val="25"/>
                <w:szCs w:val="25"/>
              </w:rPr>
            </w:pPr>
            <w:r w:rsidRPr="00FF1C76">
              <w:rPr>
                <w:sz w:val="25"/>
                <w:szCs w:val="25"/>
              </w:rPr>
              <w:t xml:space="preserve">Autorul a prezentat Sinteza avizelor parvenite în cadrul procesului de consultare publică a proiectului de către autoritățile responsabile de implementarea prevederilor conţinute în proiect/instituţiilor interesate, fapt ce denotă aspectul definitivat al acestuia și întrunirea condițiilor stabilite de prevederile art.36 al Legii nr.100/2017, coroborat art.28 al Legii nr.82/2017 - pentru efectuarea expertizei anticorupție. </w:t>
            </w:r>
          </w:p>
          <w:p w14:paraId="10471042" w14:textId="77777777" w:rsidR="00FF1C76" w:rsidRDefault="00FF1C76" w:rsidP="00AE4B0E">
            <w:pPr>
              <w:ind w:firstLine="0"/>
              <w:rPr>
                <w:sz w:val="25"/>
                <w:szCs w:val="25"/>
              </w:rPr>
            </w:pPr>
            <w:r w:rsidRPr="00FF1C76">
              <w:rPr>
                <w:sz w:val="25"/>
                <w:szCs w:val="25"/>
              </w:rPr>
              <w:t xml:space="preserve">În procesul de promovare a proiectului, au fost respectate rigorile de asigurare a transparenţeidecizionale statuate de prevederile art.8 lit.a)-d) al Legii nr. 239-XVI din 13 noiembrie 2008 privind transparenţa în procesul decizional. Nota de fundamentare a proiectului a fost întocmită cu respectarea exigențelor de tehnică legislativă statuate de prevederile art.30 lit.a)-f) al Legii cu privire la actele normative nr.100 din 22 decembrie 2017. </w:t>
            </w:r>
          </w:p>
          <w:p w14:paraId="45D90384" w14:textId="6F5E4D01" w:rsidR="00FF1C76" w:rsidRPr="00FF1C76" w:rsidRDefault="00FF1C76" w:rsidP="00AE4B0E">
            <w:pPr>
              <w:ind w:firstLine="0"/>
              <w:rPr>
                <w:sz w:val="25"/>
                <w:szCs w:val="25"/>
              </w:rPr>
            </w:pPr>
            <w:r w:rsidRPr="00FF1C76">
              <w:rPr>
                <w:sz w:val="25"/>
                <w:szCs w:val="25"/>
              </w:rPr>
              <w:lastRenderedPageBreak/>
              <w:t>Implementarea prevederilor propuse, poate contribui la realizarea interesului public vizat de proiect, fapt care nu este</w:t>
            </w:r>
            <w:r w:rsidR="005C53DA">
              <w:rPr>
                <w:sz w:val="25"/>
                <w:szCs w:val="25"/>
              </w:rPr>
              <w:t xml:space="preserve"> în</w:t>
            </w:r>
            <w:r w:rsidRPr="00FF1C76">
              <w:rPr>
                <w:sz w:val="25"/>
                <w:szCs w:val="25"/>
              </w:rPr>
              <w:t xml:space="preserve"> detrimentul interesului public general (în sensul prevăzut de prevederile Legii integrităţii nr.82 din 25 mai 2017).</w:t>
            </w:r>
          </w:p>
        </w:tc>
        <w:tc>
          <w:tcPr>
            <w:tcW w:w="2746" w:type="dxa"/>
          </w:tcPr>
          <w:p w14:paraId="5D6B2A3E" w14:textId="77777777" w:rsidR="00FF1C76" w:rsidRPr="00FF1C76" w:rsidRDefault="00FF1C76" w:rsidP="000D154D">
            <w:pPr>
              <w:pBdr>
                <w:top w:val="none" w:sz="4" w:space="0" w:color="000000"/>
                <w:left w:val="none" w:sz="4" w:space="0" w:color="000000"/>
                <w:bottom w:val="none" w:sz="4" w:space="0" w:color="000000"/>
                <w:right w:val="none" w:sz="4" w:space="0" w:color="000000"/>
              </w:pBdr>
              <w:ind w:firstLine="0"/>
              <w:rPr>
                <w:b/>
                <w:bCs/>
                <w:sz w:val="25"/>
                <w:szCs w:val="25"/>
              </w:rPr>
            </w:pPr>
            <w:r w:rsidRPr="00FF1C76">
              <w:rPr>
                <w:b/>
                <w:bCs/>
                <w:sz w:val="25"/>
                <w:szCs w:val="25"/>
              </w:rPr>
              <w:lastRenderedPageBreak/>
              <w:t>Se acceptă</w:t>
            </w:r>
          </w:p>
          <w:p w14:paraId="3168A769" w14:textId="318BDB5C" w:rsidR="00FF1C76" w:rsidRPr="009827B7" w:rsidRDefault="00FF1C76" w:rsidP="000D154D">
            <w:pPr>
              <w:pBdr>
                <w:top w:val="none" w:sz="4" w:space="0" w:color="000000"/>
                <w:left w:val="none" w:sz="4" w:space="0" w:color="000000"/>
                <w:bottom w:val="none" w:sz="4" w:space="0" w:color="000000"/>
                <w:right w:val="none" w:sz="4" w:space="0" w:color="000000"/>
              </w:pBdr>
              <w:ind w:firstLine="0"/>
              <w:rPr>
                <w:i/>
                <w:iCs/>
                <w:sz w:val="25"/>
                <w:szCs w:val="25"/>
              </w:rPr>
            </w:pPr>
            <w:r w:rsidRPr="009827B7">
              <w:rPr>
                <w:i/>
                <w:iCs/>
                <w:sz w:val="25"/>
                <w:szCs w:val="25"/>
              </w:rPr>
              <w:t>nu necesită intervenție</w:t>
            </w:r>
          </w:p>
        </w:tc>
      </w:tr>
      <w:tr w:rsidR="00FF1C76" w14:paraId="1F656095" w14:textId="77777777" w:rsidTr="00AE4B0E">
        <w:tc>
          <w:tcPr>
            <w:tcW w:w="2643" w:type="dxa"/>
            <w:vMerge w:val="restart"/>
          </w:tcPr>
          <w:p w14:paraId="2B122222" w14:textId="77777777" w:rsidR="00FF1C76" w:rsidRDefault="00FF1C76" w:rsidP="00AE4B0E">
            <w:pPr>
              <w:ind w:firstLine="0"/>
              <w:jc w:val="center"/>
              <w:rPr>
                <w:b/>
                <w:bCs/>
                <w:sz w:val="25"/>
                <w:szCs w:val="25"/>
              </w:rPr>
            </w:pPr>
            <w:r>
              <w:rPr>
                <w:b/>
                <w:bCs/>
                <w:sz w:val="25"/>
                <w:szCs w:val="25"/>
              </w:rPr>
              <w:t>Ministerul Justiției</w:t>
            </w:r>
          </w:p>
          <w:p w14:paraId="4FDDC01B" w14:textId="6B401F25" w:rsidR="00FF1C76" w:rsidRPr="00FF1C76" w:rsidRDefault="00FF1C76" w:rsidP="00AE4B0E">
            <w:pPr>
              <w:ind w:firstLine="0"/>
              <w:jc w:val="center"/>
              <w:rPr>
                <w:sz w:val="25"/>
                <w:szCs w:val="25"/>
              </w:rPr>
            </w:pPr>
            <w:r w:rsidRPr="00FF1C76">
              <w:rPr>
                <w:sz w:val="25"/>
                <w:szCs w:val="25"/>
              </w:rPr>
              <w:t>(nr. 04/1-2194 din 03 martie 2025)</w:t>
            </w:r>
          </w:p>
        </w:tc>
        <w:tc>
          <w:tcPr>
            <w:tcW w:w="1238" w:type="dxa"/>
          </w:tcPr>
          <w:p w14:paraId="091FAECB" w14:textId="7FEF8724" w:rsidR="00FF1C76" w:rsidRDefault="00FF1C76" w:rsidP="00AE4B0E">
            <w:pPr>
              <w:ind w:firstLine="0"/>
              <w:jc w:val="center"/>
              <w:rPr>
                <w:sz w:val="25"/>
                <w:szCs w:val="25"/>
              </w:rPr>
            </w:pPr>
            <w:r>
              <w:rPr>
                <w:sz w:val="25"/>
                <w:szCs w:val="25"/>
              </w:rPr>
              <w:t xml:space="preserve">6. </w:t>
            </w:r>
          </w:p>
        </w:tc>
        <w:tc>
          <w:tcPr>
            <w:tcW w:w="7367" w:type="dxa"/>
          </w:tcPr>
          <w:p w14:paraId="2DF1168A" w14:textId="77777777" w:rsidR="00FF1C76" w:rsidRDefault="00FF1C76" w:rsidP="00FF1C76">
            <w:pPr>
              <w:ind w:firstLine="0"/>
              <w:rPr>
                <w:sz w:val="25"/>
                <w:szCs w:val="25"/>
              </w:rPr>
            </w:pPr>
            <w:r w:rsidRPr="00FF1C76">
              <w:rPr>
                <w:sz w:val="25"/>
                <w:szCs w:val="25"/>
              </w:rPr>
              <w:t xml:space="preserve">Urmare examinării proiectului hotărârii Guvernului cu privire la înființarea Consulatului General în orașul Chicago, Statele Unite ale Americii (număr unic 56/MAE/2024), comunicăm următoarele. </w:t>
            </w:r>
          </w:p>
          <w:p w14:paraId="65664781" w14:textId="77777777" w:rsidR="00FF1C76" w:rsidRDefault="00FF1C76" w:rsidP="00FF1C76">
            <w:pPr>
              <w:spacing w:before="120"/>
              <w:ind w:firstLine="0"/>
              <w:rPr>
                <w:sz w:val="25"/>
                <w:szCs w:val="25"/>
              </w:rPr>
            </w:pPr>
            <w:r w:rsidRPr="00FF1C76">
              <w:rPr>
                <w:sz w:val="25"/>
                <w:szCs w:val="25"/>
              </w:rPr>
              <w:t xml:space="preserve">Sub aspectul intenției de reglementare, potrivit autorilor, proiectul de act normativ a fost elaborat în vederea implementării Planului Național de Dezvoltare pentru anii 2024-2026 (acțiunea nr. 74 Extinderea rețelei consulare și acțiunea nr. 76 Creșterea accesului la servicii consulare pentru cetățenii Republicii Moldova din străinătate), precum și în scopul adaptării cadrului normativ din domeniul consular la noile realități social-obiective. </w:t>
            </w:r>
          </w:p>
          <w:p w14:paraId="583C7F58" w14:textId="77777777" w:rsidR="00FF1C76" w:rsidRDefault="00FF1C76" w:rsidP="00FF1C76">
            <w:pPr>
              <w:spacing w:before="120"/>
              <w:ind w:firstLine="0"/>
              <w:rPr>
                <w:sz w:val="25"/>
                <w:szCs w:val="25"/>
              </w:rPr>
            </w:pPr>
            <w:r w:rsidRPr="00FF1C76">
              <w:rPr>
                <w:sz w:val="25"/>
                <w:szCs w:val="25"/>
              </w:rPr>
              <w:t xml:space="preserve">În acest sens, enunțăm că potrivit art. 6 alin. (5) din Legea nr. 761/2001 cu privire la serviciul diplomatic, înfiinţarea, desfiinţarea şi schimbarea clasei oficiilor consulare ale Republicii Moldova sunt inițiate de Ministerul Afacerilor Externe şi Integrării Europene şi aprobate de Guvern. </w:t>
            </w:r>
          </w:p>
          <w:p w14:paraId="1F815333" w14:textId="1FD20CA9" w:rsidR="00FF1C76" w:rsidRPr="00FF1C76" w:rsidRDefault="00FF1C76" w:rsidP="00FF1C76">
            <w:pPr>
              <w:spacing w:before="120"/>
              <w:ind w:firstLine="0"/>
              <w:rPr>
                <w:sz w:val="25"/>
                <w:szCs w:val="25"/>
              </w:rPr>
            </w:pPr>
            <w:r w:rsidRPr="00FF1C76">
              <w:rPr>
                <w:sz w:val="25"/>
                <w:szCs w:val="25"/>
              </w:rPr>
              <w:t>Drept urmare, comunicăm lipsa obiecțiilor de ordin conceptual.</w:t>
            </w:r>
          </w:p>
        </w:tc>
        <w:tc>
          <w:tcPr>
            <w:tcW w:w="2746" w:type="dxa"/>
          </w:tcPr>
          <w:p w14:paraId="4CA7CDFC" w14:textId="77777777" w:rsidR="00FF1C76" w:rsidRPr="00FF1C76" w:rsidRDefault="00FF1C76" w:rsidP="00FF1C76">
            <w:pPr>
              <w:pBdr>
                <w:top w:val="none" w:sz="4" w:space="0" w:color="000000"/>
                <w:left w:val="none" w:sz="4" w:space="0" w:color="000000"/>
                <w:bottom w:val="none" w:sz="4" w:space="0" w:color="000000"/>
                <w:right w:val="none" w:sz="4" w:space="0" w:color="000000"/>
              </w:pBdr>
              <w:ind w:firstLine="0"/>
              <w:rPr>
                <w:b/>
                <w:bCs/>
                <w:sz w:val="25"/>
                <w:szCs w:val="25"/>
              </w:rPr>
            </w:pPr>
            <w:r w:rsidRPr="00FF1C76">
              <w:rPr>
                <w:b/>
                <w:bCs/>
                <w:sz w:val="25"/>
                <w:szCs w:val="25"/>
              </w:rPr>
              <w:t>Se acceptă</w:t>
            </w:r>
          </w:p>
          <w:p w14:paraId="3F61A0DF" w14:textId="5C961EB4" w:rsidR="00FF1C76" w:rsidRPr="009827B7" w:rsidRDefault="00FF1C76" w:rsidP="00FF1C76">
            <w:pPr>
              <w:pBdr>
                <w:top w:val="none" w:sz="4" w:space="0" w:color="000000"/>
                <w:left w:val="none" w:sz="4" w:space="0" w:color="000000"/>
                <w:bottom w:val="none" w:sz="4" w:space="0" w:color="000000"/>
                <w:right w:val="none" w:sz="4" w:space="0" w:color="000000"/>
              </w:pBdr>
              <w:ind w:firstLine="0"/>
              <w:rPr>
                <w:i/>
                <w:iCs/>
                <w:sz w:val="25"/>
                <w:szCs w:val="25"/>
              </w:rPr>
            </w:pPr>
            <w:r w:rsidRPr="009827B7">
              <w:rPr>
                <w:i/>
                <w:iCs/>
                <w:sz w:val="25"/>
                <w:szCs w:val="25"/>
              </w:rPr>
              <w:t>nu necesită intervenție</w:t>
            </w:r>
          </w:p>
        </w:tc>
      </w:tr>
      <w:tr w:rsidR="00FF1C76" w14:paraId="65C26286" w14:textId="77777777" w:rsidTr="00AE4B0E">
        <w:tc>
          <w:tcPr>
            <w:tcW w:w="2643" w:type="dxa"/>
            <w:vMerge/>
          </w:tcPr>
          <w:p w14:paraId="0B60656D" w14:textId="77777777" w:rsidR="00FF1C76" w:rsidRDefault="00FF1C76" w:rsidP="00AE4B0E">
            <w:pPr>
              <w:ind w:firstLine="0"/>
              <w:jc w:val="center"/>
              <w:rPr>
                <w:b/>
                <w:bCs/>
                <w:sz w:val="25"/>
                <w:szCs w:val="25"/>
              </w:rPr>
            </w:pPr>
          </w:p>
        </w:tc>
        <w:tc>
          <w:tcPr>
            <w:tcW w:w="1238" w:type="dxa"/>
          </w:tcPr>
          <w:p w14:paraId="0C1FB8CE" w14:textId="36ED3CA5" w:rsidR="00FF1C76" w:rsidRDefault="00FF1C76" w:rsidP="00AE4B0E">
            <w:pPr>
              <w:ind w:firstLine="0"/>
              <w:jc w:val="center"/>
              <w:rPr>
                <w:sz w:val="25"/>
                <w:szCs w:val="25"/>
              </w:rPr>
            </w:pPr>
            <w:r>
              <w:rPr>
                <w:sz w:val="25"/>
                <w:szCs w:val="25"/>
              </w:rPr>
              <w:t>7.</w:t>
            </w:r>
          </w:p>
        </w:tc>
        <w:tc>
          <w:tcPr>
            <w:tcW w:w="7367" w:type="dxa"/>
          </w:tcPr>
          <w:p w14:paraId="38015EC6" w14:textId="4E48A603" w:rsidR="00FF1C76" w:rsidRPr="00FF1C76" w:rsidRDefault="00FF1C76" w:rsidP="00FF1C76">
            <w:pPr>
              <w:ind w:firstLine="0"/>
              <w:rPr>
                <w:sz w:val="25"/>
                <w:szCs w:val="25"/>
              </w:rPr>
            </w:pPr>
            <w:r w:rsidRPr="00FF1C76">
              <w:rPr>
                <w:sz w:val="25"/>
                <w:szCs w:val="25"/>
              </w:rPr>
              <w:t>Totodată, la forma actuală a proiectului de act normativ, la pct. 3, în vedea menținerii terminologiei constante, uniforme și să corespundă celei utilizate în alte acte normative, cuvântul „efectivul” se va substitui cu cuvântul „statul” (art. 9 din Legea nr. 761/2001). Suplimentar se va concretiza evenimentul, data de la care începe să curgă termenul de 30 zile.</w:t>
            </w:r>
          </w:p>
        </w:tc>
        <w:tc>
          <w:tcPr>
            <w:tcW w:w="2746" w:type="dxa"/>
          </w:tcPr>
          <w:p w14:paraId="748499AB" w14:textId="77777777" w:rsidR="00FF1C76" w:rsidRPr="007B28CF" w:rsidRDefault="00FF1C76" w:rsidP="00FF1C76">
            <w:pPr>
              <w:ind w:firstLine="0"/>
              <w:jc w:val="left"/>
              <w:rPr>
                <w:b/>
                <w:bCs/>
                <w:sz w:val="25"/>
                <w:szCs w:val="25"/>
              </w:rPr>
            </w:pPr>
            <w:r w:rsidRPr="007B28CF">
              <w:rPr>
                <w:b/>
                <w:bCs/>
                <w:sz w:val="25"/>
                <w:szCs w:val="25"/>
              </w:rPr>
              <w:t>Se acceptă</w:t>
            </w:r>
          </w:p>
          <w:p w14:paraId="279DA4A7" w14:textId="1E081F72" w:rsidR="00FF1C76" w:rsidRPr="00FF1C76" w:rsidRDefault="00FF1C76" w:rsidP="00FF1C76">
            <w:pPr>
              <w:pBdr>
                <w:top w:val="none" w:sz="4" w:space="0" w:color="000000"/>
                <w:left w:val="none" w:sz="4" w:space="0" w:color="000000"/>
                <w:bottom w:val="none" w:sz="4" w:space="0" w:color="000000"/>
                <w:right w:val="none" w:sz="4" w:space="0" w:color="000000"/>
              </w:pBdr>
              <w:ind w:firstLine="0"/>
              <w:rPr>
                <w:b/>
                <w:bCs/>
                <w:sz w:val="25"/>
                <w:szCs w:val="25"/>
              </w:rPr>
            </w:pPr>
            <w:r w:rsidRPr="007B28CF">
              <w:rPr>
                <w:i/>
                <w:iCs/>
                <w:sz w:val="25"/>
                <w:szCs w:val="25"/>
              </w:rPr>
              <w:t>(proiectul a fost ajustat)</w:t>
            </w:r>
          </w:p>
        </w:tc>
      </w:tr>
    </w:tbl>
    <w:p w14:paraId="74C8889A" w14:textId="496BBE0E" w:rsidR="00D42B97" w:rsidRPr="00AD1AAF" w:rsidRDefault="00D42B97" w:rsidP="00AD1AAF">
      <w:pPr>
        <w:rPr>
          <w:b/>
          <w:bCs/>
          <w:sz w:val="25"/>
          <w:szCs w:val="25"/>
        </w:rPr>
      </w:pPr>
    </w:p>
    <w:sectPr w:rsidR="00D42B97" w:rsidRPr="00AD1AAF" w:rsidSect="002432E4">
      <w:pgSz w:w="16838" w:h="11906" w:orient="landscape"/>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0E91B" w14:textId="77777777" w:rsidR="008212AB" w:rsidRDefault="008212AB" w:rsidP="00C47E00">
      <w:r>
        <w:separator/>
      </w:r>
    </w:p>
  </w:endnote>
  <w:endnote w:type="continuationSeparator" w:id="0">
    <w:p w14:paraId="08DF3BAB" w14:textId="77777777" w:rsidR="008212AB" w:rsidRDefault="008212AB" w:rsidP="00C4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608D" w14:textId="77777777" w:rsidR="008212AB" w:rsidRDefault="008212AB" w:rsidP="00C47E00">
      <w:r>
        <w:separator/>
      </w:r>
    </w:p>
  </w:footnote>
  <w:footnote w:type="continuationSeparator" w:id="0">
    <w:p w14:paraId="311E854E" w14:textId="77777777" w:rsidR="008212AB" w:rsidRDefault="008212AB" w:rsidP="00C47E00">
      <w:r>
        <w:continuationSeparator/>
      </w:r>
    </w:p>
  </w:footnote>
  <w:footnote w:id="1">
    <w:p w14:paraId="0744BE37" w14:textId="4EE01A3D" w:rsidR="007E0F07" w:rsidRDefault="007E0F07">
      <w:pPr>
        <w:pStyle w:val="FootnoteText"/>
      </w:pPr>
      <w:r>
        <w:rPr>
          <w:rStyle w:val="FootnoteReference"/>
        </w:rPr>
        <w:footnoteRef/>
      </w:r>
      <w:r>
        <w:t xml:space="preserve"> </w:t>
      </w:r>
      <w:hyperlink r:id="rId1" w:history="1">
        <w:r w:rsidR="0005526C" w:rsidRPr="0005526C">
          <w:rPr>
            <w:rStyle w:val="Hyperlink"/>
          </w:rPr>
          <w:t>Anunț privind inițierea elaborării proiectului Hotărârii Guvernului cu privire la deschiderea Consulatului General al Republicii Moldova în orașul Chicago, Statele Unite ale Americii | Particip.gov.md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366A8"/>
    <w:multiLevelType w:val="hybridMultilevel"/>
    <w:tmpl w:val="F196B4B6"/>
    <w:lvl w:ilvl="0" w:tplc="505AF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94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0C"/>
    <w:rsid w:val="00031BBE"/>
    <w:rsid w:val="000355CD"/>
    <w:rsid w:val="0005526C"/>
    <w:rsid w:val="000A54BE"/>
    <w:rsid w:val="000D154D"/>
    <w:rsid w:val="00122D4B"/>
    <w:rsid w:val="00141293"/>
    <w:rsid w:val="001416E0"/>
    <w:rsid w:val="001F1A2A"/>
    <w:rsid w:val="0020084A"/>
    <w:rsid w:val="00214DA8"/>
    <w:rsid w:val="0022097C"/>
    <w:rsid w:val="0023471E"/>
    <w:rsid w:val="002432E4"/>
    <w:rsid w:val="002528B5"/>
    <w:rsid w:val="0028672C"/>
    <w:rsid w:val="002A3013"/>
    <w:rsid w:val="002B071C"/>
    <w:rsid w:val="003511AD"/>
    <w:rsid w:val="00363E82"/>
    <w:rsid w:val="003818C2"/>
    <w:rsid w:val="003D145D"/>
    <w:rsid w:val="003D7A82"/>
    <w:rsid w:val="00435212"/>
    <w:rsid w:val="00437E7D"/>
    <w:rsid w:val="00466AFC"/>
    <w:rsid w:val="004D1D67"/>
    <w:rsid w:val="004D5CF7"/>
    <w:rsid w:val="004F6763"/>
    <w:rsid w:val="005A394C"/>
    <w:rsid w:val="005C53DA"/>
    <w:rsid w:val="0062645C"/>
    <w:rsid w:val="00645768"/>
    <w:rsid w:val="00651C16"/>
    <w:rsid w:val="00676A54"/>
    <w:rsid w:val="006E4ACC"/>
    <w:rsid w:val="006E6174"/>
    <w:rsid w:val="006E6561"/>
    <w:rsid w:val="00780591"/>
    <w:rsid w:val="00786D2F"/>
    <w:rsid w:val="00786F6F"/>
    <w:rsid w:val="007A4E26"/>
    <w:rsid w:val="007B0356"/>
    <w:rsid w:val="007B28CF"/>
    <w:rsid w:val="007D0F6F"/>
    <w:rsid w:val="007E0F07"/>
    <w:rsid w:val="007E2B14"/>
    <w:rsid w:val="007E6011"/>
    <w:rsid w:val="008038F7"/>
    <w:rsid w:val="00820133"/>
    <w:rsid w:val="008212AB"/>
    <w:rsid w:val="00831BFD"/>
    <w:rsid w:val="00871DBD"/>
    <w:rsid w:val="00882B5B"/>
    <w:rsid w:val="0089627E"/>
    <w:rsid w:val="008969EC"/>
    <w:rsid w:val="008A1C9B"/>
    <w:rsid w:val="008B4655"/>
    <w:rsid w:val="0092384B"/>
    <w:rsid w:val="009827B7"/>
    <w:rsid w:val="009B094A"/>
    <w:rsid w:val="009E5D0C"/>
    <w:rsid w:val="009F00B4"/>
    <w:rsid w:val="00A62F3C"/>
    <w:rsid w:val="00A8084D"/>
    <w:rsid w:val="00AC3E70"/>
    <w:rsid w:val="00AD1AAF"/>
    <w:rsid w:val="00AE01E8"/>
    <w:rsid w:val="00AE4B0E"/>
    <w:rsid w:val="00AF4BCC"/>
    <w:rsid w:val="00B31B91"/>
    <w:rsid w:val="00B37799"/>
    <w:rsid w:val="00B37E40"/>
    <w:rsid w:val="00BD2AB6"/>
    <w:rsid w:val="00C47E00"/>
    <w:rsid w:val="00C72C20"/>
    <w:rsid w:val="00C90172"/>
    <w:rsid w:val="00C9621A"/>
    <w:rsid w:val="00D04D7E"/>
    <w:rsid w:val="00D408C7"/>
    <w:rsid w:val="00D42B97"/>
    <w:rsid w:val="00D471E5"/>
    <w:rsid w:val="00D641E6"/>
    <w:rsid w:val="00D679F8"/>
    <w:rsid w:val="00D67A75"/>
    <w:rsid w:val="00D82CB1"/>
    <w:rsid w:val="00D92BA2"/>
    <w:rsid w:val="00DA5947"/>
    <w:rsid w:val="00E071B4"/>
    <w:rsid w:val="00EC60E0"/>
    <w:rsid w:val="00ED3487"/>
    <w:rsid w:val="00ED48D2"/>
    <w:rsid w:val="00EF677C"/>
    <w:rsid w:val="00FF1C7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8985"/>
  <w15:chartTrackingRefBased/>
  <w15:docId w15:val="{E7AA7732-A5EF-4325-AAAB-53F081C3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75"/>
    <w:pPr>
      <w:spacing w:after="0" w:line="240" w:lineRule="auto"/>
      <w:ind w:firstLine="709"/>
      <w:jc w:val="both"/>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E5D0C"/>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5D0C"/>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5D0C"/>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5D0C"/>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E5D0C"/>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E5D0C"/>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E5D0C"/>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E5D0C"/>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E5D0C"/>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D0C"/>
    <w:rPr>
      <w:rFonts w:eastAsiaTheme="majorEastAsia" w:cstheme="majorBidi"/>
      <w:color w:val="272727" w:themeColor="text1" w:themeTint="D8"/>
    </w:rPr>
  </w:style>
  <w:style w:type="paragraph" w:styleId="Title">
    <w:name w:val="Title"/>
    <w:basedOn w:val="Normal"/>
    <w:next w:val="Normal"/>
    <w:link w:val="TitleChar"/>
    <w:uiPriority w:val="10"/>
    <w:qFormat/>
    <w:rsid w:val="009E5D0C"/>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5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D0C"/>
    <w:pPr>
      <w:numPr>
        <w:ilvl w:val="1"/>
      </w:numPr>
      <w:spacing w:after="160" w:line="259" w:lineRule="auto"/>
      <w:ind w:firstLine="709"/>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5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D0C"/>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E5D0C"/>
    <w:rPr>
      <w:i/>
      <w:iCs/>
      <w:color w:val="404040" w:themeColor="text1" w:themeTint="BF"/>
    </w:rPr>
  </w:style>
  <w:style w:type="paragraph" w:styleId="ListParagraph">
    <w:name w:val="List Paragraph"/>
    <w:basedOn w:val="Normal"/>
    <w:uiPriority w:val="34"/>
    <w:qFormat/>
    <w:rsid w:val="009E5D0C"/>
    <w:pPr>
      <w:spacing w:after="160" w:line="259" w:lineRule="auto"/>
      <w:ind w:left="720" w:firstLine="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E5D0C"/>
    <w:rPr>
      <w:i/>
      <w:iCs/>
      <w:color w:val="0F4761" w:themeColor="accent1" w:themeShade="BF"/>
    </w:rPr>
  </w:style>
  <w:style w:type="paragraph" w:styleId="IntenseQuote">
    <w:name w:val="Intense Quote"/>
    <w:basedOn w:val="Normal"/>
    <w:next w:val="Normal"/>
    <w:link w:val="IntenseQuoteChar"/>
    <w:uiPriority w:val="30"/>
    <w:qFormat/>
    <w:rsid w:val="009E5D0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E5D0C"/>
    <w:rPr>
      <w:i/>
      <w:iCs/>
      <w:color w:val="0F4761" w:themeColor="accent1" w:themeShade="BF"/>
    </w:rPr>
  </w:style>
  <w:style w:type="character" w:styleId="IntenseReference">
    <w:name w:val="Intense Reference"/>
    <w:basedOn w:val="DefaultParagraphFont"/>
    <w:uiPriority w:val="32"/>
    <w:qFormat/>
    <w:rsid w:val="009E5D0C"/>
    <w:rPr>
      <w:b/>
      <w:bCs/>
      <w:smallCaps/>
      <w:color w:val="0F4761" w:themeColor="accent1" w:themeShade="BF"/>
      <w:spacing w:val="5"/>
    </w:rPr>
  </w:style>
  <w:style w:type="table" w:styleId="TableGrid">
    <w:name w:val="Table Grid"/>
    <w:basedOn w:val="TableNormal"/>
    <w:uiPriority w:val="39"/>
    <w:rsid w:val="009E5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D7E"/>
    <w:pPr>
      <w:spacing w:after="0" w:line="240" w:lineRule="auto"/>
    </w:pPr>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semiHidden/>
    <w:unhideWhenUsed/>
    <w:rsid w:val="00C47E00"/>
  </w:style>
  <w:style w:type="character" w:customStyle="1" w:styleId="FootnoteTextChar">
    <w:name w:val="Footnote Text Char"/>
    <w:basedOn w:val="DefaultParagraphFont"/>
    <w:link w:val="FootnoteText"/>
    <w:uiPriority w:val="99"/>
    <w:semiHidden/>
    <w:rsid w:val="00C47E0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47E00"/>
    <w:rPr>
      <w:vertAlign w:val="superscript"/>
    </w:rPr>
  </w:style>
  <w:style w:type="character" w:styleId="Hyperlink">
    <w:name w:val="Hyperlink"/>
    <w:basedOn w:val="DefaultParagraphFont"/>
    <w:uiPriority w:val="99"/>
    <w:unhideWhenUsed/>
    <w:rsid w:val="00C47E00"/>
    <w:rPr>
      <w:color w:val="467886" w:themeColor="hyperlink"/>
      <w:u w:val="single"/>
    </w:rPr>
  </w:style>
  <w:style w:type="character" w:styleId="UnresolvedMention">
    <w:name w:val="Unresolved Mention"/>
    <w:basedOn w:val="DefaultParagraphFont"/>
    <w:uiPriority w:val="99"/>
    <w:semiHidden/>
    <w:unhideWhenUsed/>
    <w:rsid w:val="00C47E00"/>
    <w:rPr>
      <w:color w:val="605E5C"/>
      <w:shd w:val="clear" w:color="auto" w:fill="E1DFDD"/>
    </w:rPr>
  </w:style>
  <w:style w:type="paragraph" w:styleId="Header">
    <w:name w:val="header"/>
    <w:basedOn w:val="Normal"/>
    <w:link w:val="HeaderChar"/>
    <w:uiPriority w:val="99"/>
    <w:unhideWhenUsed/>
    <w:rsid w:val="002432E4"/>
    <w:pPr>
      <w:tabs>
        <w:tab w:val="center" w:pos="4536"/>
        <w:tab w:val="right" w:pos="9072"/>
      </w:tabs>
    </w:pPr>
  </w:style>
  <w:style w:type="character" w:customStyle="1" w:styleId="HeaderChar">
    <w:name w:val="Header Char"/>
    <w:basedOn w:val="DefaultParagraphFont"/>
    <w:link w:val="Header"/>
    <w:uiPriority w:val="99"/>
    <w:rsid w:val="002432E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432E4"/>
    <w:pPr>
      <w:tabs>
        <w:tab w:val="center" w:pos="4536"/>
        <w:tab w:val="right" w:pos="9072"/>
      </w:tabs>
    </w:pPr>
  </w:style>
  <w:style w:type="character" w:customStyle="1" w:styleId="FooterChar">
    <w:name w:val="Footer Char"/>
    <w:basedOn w:val="DefaultParagraphFont"/>
    <w:link w:val="Footer"/>
    <w:uiPriority w:val="99"/>
    <w:rsid w:val="002432E4"/>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articip.gov.md/ro/document/stages/anunt-privind-consultarea-publica-a-proiectului-hotararii-guvernului-cu-privire-la-infiintarea-consulatului-general-al-republicii-moldova-in-orasul-chicago-statele-unite-ale-americii-numar-unic-56mae2025/13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0B3C2-FE44-423E-810B-903B5011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891</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Badia</dc:creator>
  <cp:keywords/>
  <dc:description/>
  <cp:lastModifiedBy>Elena Echim</cp:lastModifiedBy>
  <cp:revision>54</cp:revision>
  <dcterms:created xsi:type="dcterms:W3CDTF">2024-12-16T11:10:00Z</dcterms:created>
  <dcterms:modified xsi:type="dcterms:W3CDTF">2025-03-04T12:39:00Z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2024-11-18T12:20:49Z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2465e2e8-f395-4082-9f1c-073f57a5db57</vt:lpwstr>
  </property>
  <property fmtid="{D5CDD505-2E9C-101B-9397-08002B2CF9AE}" pid="8" name="MSIP_Label_5c4e35d5-db9c-4c03-801d-f4783407a705_ContentBits">
    <vt:lpwstr>0</vt:lpwstr>
  </property>
</Properties>
</file>