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43" w:rsidRPr="003F0E43" w:rsidRDefault="003F0E43" w:rsidP="003F0E43">
      <w:pPr>
        <w:keepNext/>
        <w:spacing w:after="0" w:line="240" w:lineRule="auto"/>
        <w:jc w:val="right"/>
        <w:outlineLvl w:val="0"/>
        <w:rPr>
          <w:rFonts w:ascii="Times New Roman" w:eastAsia="Times New Roman" w:hAnsi="Times New Roman" w:cs="Times New Roman"/>
          <w:color w:val="000000"/>
          <w:kern w:val="32"/>
          <w:sz w:val="28"/>
          <w:szCs w:val="28"/>
          <w:lang w:val="ro-RO" w:eastAsia="ru-RU"/>
        </w:rPr>
      </w:pPr>
      <w:bookmarkStart w:id="0" w:name="_Toc295653867"/>
      <w:bookmarkStart w:id="1" w:name="_Toc346609559"/>
      <w:r w:rsidRPr="003F0E43">
        <w:rPr>
          <w:rFonts w:ascii="Times New Roman" w:eastAsia="Times New Roman" w:hAnsi="Times New Roman" w:cs="Times New Roman"/>
          <w:color w:val="000000"/>
          <w:kern w:val="32"/>
          <w:sz w:val="28"/>
          <w:szCs w:val="28"/>
          <w:lang w:val="ro-RO" w:eastAsia="ru-RU"/>
        </w:rPr>
        <w:t xml:space="preserve">Aprobat </w:t>
      </w:r>
    </w:p>
    <w:p w:rsidR="003F0E43" w:rsidRPr="003F0E43" w:rsidRDefault="003F0E43" w:rsidP="003F0E43">
      <w:pPr>
        <w:keepNext/>
        <w:spacing w:after="0" w:line="240" w:lineRule="auto"/>
        <w:jc w:val="right"/>
        <w:outlineLvl w:val="0"/>
        <w:rPr>
          <w:rFonts w:ascii="Times New Roman" w:eastAsia="Times New Roman" w:hAnsi="Times New Roman" w:cs="Times New Roman"/>
          <w:color w:val="000000"/>
          <w:kern w:val="32"/>
          <w:sz w:val="28"/>
          <w:szCs w:val="28"/>
          <w:lang w:val="ro-RO" w:eastAsia="ru-RU"/>
        </w:rPr>
      </w:pPr>
      <w:r w:rsidRPr="003F0E43">
        <w:rPr>
          <w:rFonts w:ascii="Times New Roman" w:eastAsia="Times New Roman" w:hAnsi="Times New Roman" w:cs="Times New Roman"/>
          <w:color w:val="000000"/>
          <w:kern w:val="32"/>
          <w:sz w:val="28"/>
          <w:szCs w:val="28"/>
          <w:lang w:val="ro-RO" w:eastAsia="ru-RU"/>
        </w:rPr>
        <w:t xml:space="preserve">prin Hotărîrea Guvernului nr. </w:t>
      </w:r>
      <w:r w:rsidRPr="003F0E43">
        <w:rPr>
          <w:rFonts w:ascii="Times New Roman" w:eastAsia="Times New Roman" w:hAnsi="Times New Roman" w:cs="Times New Roman"/>
          <w:color w:val="FFFFFF" w:themeColor="background1"/>
          <w:kern w:val="32"/>
          <w:sz w:val="28"/>
          <w:szCs w:val="28"/>
          <w:lang w:val="ro-RO" w:eastAsia="ru-RU"/>
        </w:rPr>
        <w:t>221</w:t>
      </w:r>
      <w:r w:rsidRPr="003F0E43">
        <w:rPr>
          <w:rFonts w:ascii="Times New Roman" w:eastAsia="Times New Roman" w:hAnsi="Times New Roman" w:cs="Times New Roman"/>
          <w:color w:val="000000"/>
          <w:kern w:val="32"/>
          <w:sz w:val="28"/>
          <w:szCs w:val="28"/>
          <w:lang w:val="ro-RO" w:eastAsia="ru-RU"/>
        </w:rPr>
        <w:t xml:space="preserve"> </w:t>
      </w:r>
    </w:p>
    <w:p w:rsidR="003F0E43" w:rsidRPr="003F0E43" w:rsidRDefault="003F0E43" w:rsidP="003F0E43">
      <w:pPr>
        <w:keepNext/>
        <w:spacing w:after="0" w:line="240" w:lineRule="auto"/>
        <w:jc w:val="right"/>
        <w:outlineLvl w:val="0"/>
        <w:rPr>
          <w:rFonts w:ascii="Times New Roman" w:eastAsia="Times New Roman" w:hAnsi="Times New Roman" w:cs="Times New Roman"/>
          <w:color w:val="000000"/>
          <w:kern w:val="32"/>
          <w:sz w:val="28"/>
          <w:szCs w:val="28"/>
          <w:lang w:val="ro-RO" w:eastAsia="ru-RU"/>
        </w:rPr>
      </w:pPr>
      <w:r w:rsidRPr="003F0E43">
        <w:rPr>
          <w:rFonts w:ascii="Times New Roman" w:eastAsia="Times New Roman" w:hAnsi="Times New Roman" w:cs="Times New Roman"/>
          <w:color w:val="000000"/>
          <w:kern w:val="32"/>
          <w:sz w:val="28"/>
          <w:szCs w:val="28"/>
          <w:lang w:val="ro-RO" w:eastAsia="ru-RU"/>
        </w:rPr>
        <w:t>din</w:t>
      </w:r>
      <w:r>
        <w:rPr>
          <w:rFonts w:ascii="Times New Roman" w:eastAsia="Times New Roman" w:hAnsi="Times New Roman" w:cs="Times New Roman"/>
          <w:color w:val="000000"/>
          <w:kern w:val="32"/>
          <w:sz w:val="28"/>
          <w:szCs w:val="28"/>
          <w:lang w:val="ro-RO" w:eastAsia="ru-RU"/>
        </w:rPr>
        <w:t xml:space="preserve">    </w:t>
      </w:r>
      <w:r w:rsidRPr="003F0E43">
        <w:rPr>
          <w:rFonts w:ascii="Times New Roman" w:eastAsia="Times New Roman" w:hAnsi="Times New Roman" w:cs="Times New Roman"/>
          <w:color w:val="000000"/>
          <w:kern w:val="32"/>
          <w:sz w:val="28"/>
          <w:szCs w:val="28"/>
          <w:lang w:val="ro-RO" w:eastAsia="ru-RU"/>
        </w:rPr>
        <w:t xml:space="preserve"> </w:t>
      </w:r>
      <w:r w:rsidRPr="003F0E43">
        <w:rPr>
          <w:rFonts w:ascii="Times New Roman" w:eastAsia="Times New Roman" w:hAnsi="Times New Roman" w:cs="Times New Roman"/>
          <w:color w:val="FFFFFF" w:themeColor="background1"/>
          <w:kern w:val="32"/>
          <w:sz w:val="28"/>
          <w:szCs w:val="28"/>
          <w:lang w:val="ro-RO" w:eastAsia="ru-RU"/>
        </w:rPr>
        <w:t>25 martie</w:t>
      </w:r>
      <w:r w:rsidRPr="003F0E43">
        <w:rPr>
          <w:rFonts w:ascii="Times New Roman" w:eastAsia="Times New Roman" w:hAnsi="Times New Roman" w:cs="Times New Roman"/>
          <w:color w:val="000000"/>
          <w:kern w:val="32"/>
          <w:sz w:val="28"/>
          <w:szCs w:val="28"/>
          <w:lang w:val="ro-RO" w:eastAsia="ru-RU"/>
        </w:rPr>
        <w:t xml:space="preserve"> 201</w:t>
      </w:r>
      <w:r>
        <w:rPr>
          <w:rFonts w:ascii="Times New Roman" w:eastAsia="Times New Roman" w:hAnsi="Times New Roman" w:cs="Times New Roman"/>
          <w:color w:val="000000"/>
          <w:kern w:val="32"/>
          <w:sz w:val="28"/>
          <w:szCs w:val="28"/>
          <w:lang w:val="ro-RO" w:eastAsia="ru-RU"/>
        </w:rPr>
        <w:t>4</w:t>
      </w:r>
      <w:r w:rsidRPr="003F0E43">
        <w:rPr>
          <w:rFonts w:ascii="Times New Roman" w:eastAsia="Times New Roman" w:hAnsi="Times New Roman" w:cs="Times New Roman"/>
          <w:color w:val="000000"/>
          <w:kern w:val="32"/>
          <w:sz w:val="28"/>
          <w:szCs w:val="28"/>
          <w:lang w:val="ro-RO" w:eastAsia="ru-RU"/>
        </w:rPr>
        <w:t xml:space="preserve"> </w:t>
      </w:r>
    </w:p>
    <w:p w:rsidR="003F0E43" w:rsidRDefault="003F0E43" w:rsidP="006E6516">
      <w:pPr>
        <w:keepNext/>
        <w:spacing w:after="0" w:line="240" w:lineRule="auto"/>
        <w:jc w:val="center"/>
        <w:outlineLvl w:val="0"/>
        <w:rPr>
          <w:rFonts w:ascii="Times New Roman" w:eastAsia="Times New Roman" w:hAnsi="Times New Roman" w:cs="Times New Roman"/>
          <w:b/>
          <w:color w:val="000000"/>
          <w:kern w:val="32"/>
          <w:sz w:val="28"/>
          <w:szCs w:val="28"/>
          <w:lang w:val="fr-FR" w:eastAsia="ru-RU"/>
        </w:rPr>
      </w:pPr>
    </w:p>
    <w:p w:rsidR="006E6516" w:rsidRPr="006E6516" w:rsidRDefault="006E6516" w:rsidP="006E6516">
      <w:pPr>
        <w:keepNext/>
        <w:spacing w:after="0" w:line="240" w:lineRule="auto"/>
        <w:jc w:val="center"/>
        <w:outlineLvl w:val="0"/>
        <w:rPr>
          <w:rFonts w:ascii="Times New Roman" w:eastAsia="Times New Roman" w:hAnsi="Times New Roman" w:cs="Times New Roman"/>
          <w:b/>
          <w:color w:val="000000"/>
          <w:kern w:val="32"/>
          <w:sz w:val="28"/>
          <w:lang w:val="fr-FR" w:eastAsia="ru-RU"/>
        </w:rPr>
      </w:pPr>
      <w:r w:rsidRPr="006E6516">
        <w:rPr>
          <w:rFonts w:ascii="Times New Roman" w:eastAsia="Times New Roman" w:hAnsi="Times New Roman" w:cs="Times New Roman"/>
          <w:b/>
          <w:color w:val="000000"/>
          <w:kern w:val="32"/>
          <w:sz w:val="28"/>
          <w:szCs w:val="28"/>
          <w:lang w:val="fr-FR" w:eastAsia="ru-RU"/>
        </w:rPr>
        <w:t>PROGRAMUL</w:t>
      </w:r>
    </w:p>
    <w:p w:rsidR="006E6516" w:rsidRPr="006E6516" w:rsidRDefault="006E6516" w:rsidP="006E6516">
      <w:pPr>
        <w:spacing w:after="0" w:line="240" w:lineRule="auto"/>
        <w:jc w:val="center"/>
        <w:rPr>
          <w:rFonts w:ascii="Times New Roman" w:eastAsia="Times New Roman" w:hAnsi="Times New Roman" w:cs="Times New Roman"/>
          <w:b/>
          <w:sz w:val="28"/>
          <w:szCs w:val="28"/>
          <w:lang w:val="ro-RO" w:eastAsia="ru-RU"/>
        </w:rPr>
      </w:pPr>
      <w:r w:rsidRPr="006E6516">
        <w:rPr>
          <w:rFonts w:ascii="Times New Roman" w:eastAsia="Times New Roman" w:hAnsi="Times New Roman" w:cs="Times New Roman"/>
          <w:b/>
          <w:sz w:val="28"/>
          <w:szCs w:val="28"/>
          <w:lang w:val="ro-RO" w:eastAsia="ru-RU"/>
        </w:rPr>
        <w:t>„Managementul datoriei de stat pe termen mediu (201</w:t>
      </w:r>
      <w:r>
        <w:rPr>
          <w:rFonts w:ascii="Times New Roman" w:eastAsia="Times New Roman" w:hAnsi="Times New Roman" w:cs="Times New Roman"/>
          <w:b/>
          <w:sz w:val="28"/>
          <w:szCs w:val="28"/>
          <w:lang w:val="ro-RO" w:eastAsia="ru-RU"/>
        </w:rPr>
        <w:t>4</w:t>
      </w:r>
      <w:r w:rsidRPr="006E6516">
        <w:rPr>
          <w:rFonts w:ascii="Times New Roman" w:eastAsia="Times New Roman" w:hAnsi="Times New Roman" w:cs="Times New Roman"/>
          <w:b/>
          <w:sz w:val="28"/>
          <w:szCs w:val="28"/>
          <w:lang w:val="ro-RO" w:eastAsia="ru-RU"/>
        </w:rPr>
        <w:t>-201</w:t>
      </w:r>
      <w:r>
        <w:rPr>
          <w:rFonts w:ascii="Times New Roman" w:eastAsia="Times New Roman" w:hAnsi="Times New Roman" w:cs="Times New Roman"/>
          <w:b/>
          <w:sz w:val="28"/>
          <w:szCs w:val="28"/>
          <w:lang w:val="ro-RO" w:eastAsia="ru-RU"/>
        </w:rPr>
        <w:t>6</w:t>
      </w:r>
      <w:r w:rsidRPr="006E6516">
        <w:rPr>
          <w:rFonts w:ascii="Times New Roman" w:eastAsia="Times New Roman" w:hAnsi="Times New Roman" w:cs="Times New Roman"/>
          <w:b/>
          <w:sz w:val="28"/>
          <w:szCs w:val="28"/>
          <w:lang w:val="ro-RO" w:eastAsia="ru-RU"/>
        </w:rPr>
        <w:t>)”</w:t>
      </w:r>
    </w:p>
    <w:p w:rsidR="006E6516" w:rsidRPr="006E6516" w:rsidRDefault="006E6516" w:rsidP="006E6516">
      <w:pPr>
        <w:spacing w:after="0" w:line="240" w:lineRule="auto"/>
        <w:jc w:val="center"/>
        <w:rPr>
          <w:rFonts w:ascii="Times New Roman" w:eastAsia="Times New Roman" w:hAnsi="Times New Roman" w:cs="Times New Roman"/>
          <w:b/>
          <w:sz w:val="28"/>
          <w:szCs w:val="28"/>
          <w:lang w:val="ro-RO" w:eastAsia="ru-RU"/>
        </w:rPr>
      </w:pPr>
    </w:p>
    <w:p w:rsidR="006E6516" w:rsidRPr="006F39D4" w:rsidRDefault="006E6516" w:rsidP="006E6516">
      <w:pPr>
        <w:keepNext/>
        <w:spacing w:after="0" w:line="240" w:lineRule="auto"/>
        <w:jc w:val="center"/>
        <w:outlineLvl w:val="0"/>
        <w:rPr>
          <w:rFonts w:ascii="Times New Roman" w:eastAsia="Times New Roman" w:hAnsi="Times New Roman" w:cs="Times New Roman"/>
          <w:b/>
          <w:kern w:val="32"/>
          <w:sz w:val="28"/>
          <w:lang w:val="ro-RO" w:eastAsia="ru-RU"/>
        </w:rPr>
      </w:pPr>
      <w:r w:rsidRPr="006F39D4">
        <w:rPr>
          <w:rFonts w:ascii="Times New Roman" w:eastAsia="Times New Roman" w:hAnsi="Times New Roman" w:cs="Times New Roman"/>
          <w:b/>
          <w:kern w:val="32"/>
          <w:sz w:val="28"/>
          <w:lang w:val="ro-RO" w:eastAsia="ru-RU"/>
        </w:rPr>
        <w:t>Dispoziţii generale</w:t>
      </w:r>
    </w:p>
    <w:p w:rsidR="006E6516" w:rsidRPr="006E6516" w:rsidRDefault="006E6516" w:rsidP="006E6516">
      <w:pPr>
        <w:spacing w:after="0" w:line="240" w:lineRule="auto"/>
        <w:rPr>
          <w:rFonts w:ascii="Times New Roman" w:eastAsia="Times New Roman" w:hAnsi="Times New Roman" w:cs="Times New Roman"/>
          <w:sz w:val="24"/>
          <w:szCs w:val="24"/>
          <w:lang w:val="ro-RO" w:eastAsia="ru-RU"/>
        </w:rPr>
      </w:pPr>
    </w:p>
    <w:p w:rsidR="006E6516" w:rsidRDefault="006E6516" w:rsidP="006E6516">
      <w:pPr>
        <w:spacing w:after="0" w:line="240" w:lineRule="auto"/>
        <w:ind w:firstLine="709"/>
        <w:jc w:val="both"/>
        <w:rPr>
          <w:rFonts w:ascii="Times New Roman" w:eastAsia="Times New Roman" w:hAnsi="Times New Roman" w:cs="Times New Roman"/>
          <w:color w:val="000000"/>
          <w:sz w:val="28"/>
          <w:szCs w:val="28"/>
          <w:lang w:val="ro-RO" w:eastAsia="ru-RU"/>
        </w:rPr>
      </w:pPr>
      <w:r w:rsidRPr="006E6516">
        <w:rPr>
          <w:rFonts w:ascii="Times New Roman" w:eastAsia="Times New Roman" w:hAnsi="Times New Roman" w:cs="Times New Roman"/>
          <w:sz w:val="28"/>
          <w:szCs w:val="28"/>
          <w:lang w:val="ro-RO" w:eastAsia="ru-RU"/>
        </w:rPr>
        <w:t>Programul „Managementul datoriei de stat pe termen mediu (201</w:t>
      </w:r>
      <w:r>
        <w:rPr>
          <w:rFonts w:ascii="Times New Roman" w:eastAsia="Times New Roman" w:hAnsi="Times New Roman" w:cs="Times New Roman"/>
          <w:sz w:val="28"/>
          <w:szCs w:val="28"/>
          <w:lang w:val="ro-RO" w:eastAsia="ru-RU"/>
        </w:rPr>
        <w:t>4-2016</w:t>
      </w:r>
      <w:r w:rsidRPr="006E6516">
        <w:rPr>
          <w:rFonts w:ascii="Times New Roman" w:eastAsia="Times New Roman" w:hAnsi="Times New Roman" w:cs="Times New Roman"/>
          <w:sz w:val="28"/>
          <w:szCs w:val="28"/>
          <w:lang w:val="ro-RO" w:eastAsia="ru-RU"/>
        </w:rPr>
        <w:t xml:space="preserve">)” stabileşte obiectivul fundamental în procesul de gestiune al datoriei de stat, şi anume: </w:t>
      </w:r>
      <w:r w:rsidRPr="006E6516">
        <w:rPr>
          <w:rFonts w:ascii="Times New Roman" w:eastAsia="Times New Roman" w:hAnsi="Times New Roman" w:cs="Times New Roman"/>
          <w:sz w:val="28"/>
          <w:szCs w:val="28"/>
          <w:shd w:val="clear" w:color="auto" w:fill="FFFFFF"/>
          <w:lang w:val="ro-RO"/>
        </w:rPr>
        <w:t xml:space="preserve">asigurarea </w:t>
      </w:r>
      <w:r w:rsidR="00325265" w:rsidRPr="00325265">
        <w:rPr>
          <w:rFonts w:ascii="Times New Roman" w:eastAsia="Times New Roman" w:hAnsi="Times New Roman" w:cs="Times New Roman"/>
          <w:sz w:val="28"/>
          <w:szCs w:val="28"/>
          <w:shd w:val="clear" w:color="auto" w:fill="FFFFFF"/>
          <w:lang w:val="ro-RO"/>
        </w:rPr>
        <w:t>necesităţilor de finanţare ale bugetului de stat la nivel acceptabil de cheltuieli pe termen mediu şi lung în condiţiile limitării riscurilor implicate</w:t>
      </w:r>
      <w:r w:rsidRPr="006E6516">
        <w:rPr>
          <w:rFonts w:ascii="Times New Roman" w:eastAsia="Times New Roman" w:hAnsi="Times New Roman" w:cs="Times New Roman"/>
          <w:color w:val="000000"/>
          <w:sz w:val="28"/>
          <w:szCs w:val="28"/>
          <w:lang w:val="ro-RO" w:eastAsia="ru-RU"/>
        </w:rPr>
        <w:t>.</w:t>
      </w:r>
    </w:p>
    <w:p w:rsidR="00DF6773" w:rsidRDefault="006E6516" w:rsidP="006C6C0E">
      <w:pPr>
        <w:spacing w:after="0" w:line="240" w:lineRule="auto"/>
        <w:ind w:firstLine="709"/>
        <w:jc w:val="both"/>
        <w:rPr>
          <w:rFonts w:ascii="Times New Roman" w:eastAsia="Times New Roman" w:hAnsi="Times New Roman" w:cs="Times New Roman"/>
          <w:sz w:val="28"/>
          <w:szCs w:val="28"/>
          <w:lang w:val="ro-RO" w:eastAsia="ru-RU"/>
        </w:rPr>
      </w:pPr>
      <w:r w:rsidRPr="006E6516">
        <w:rPr>
          <w:rFonts w:ascii="Times New Roman" w:eastAsia="Times New Roman" w:hAnsi="Times New Roman" w:cs="Times New Roman"/>
          <w:color w:val="000000"/>
          <w:sz w:val="28"/>
          <w:szCs w:val="28"/>
          <w:lang w:val="ro-RO" w:eastAsia="ru-RU"/>
        </w:rPr>
        <w:t xml:space="preserve">Un obiectiv </w:t>
      </w:r>
      <w:r w:rsidR="00DF6773" w:rsidRPr="006C6C0E">
        <w:rPr>
          <w:rFonts w:ascii="Times New Roman" w:eastAsia="Times New Roman" w:hAnsi="Times New Roman" w:cs="Times New Roman"/>
          <w:color w:val="000000"/>
          <w:sz w:val="28"/>
          <w:szCs w:val="28"/>
          <w:lang w:val="ro-RO" w:eastAsia="ru-RU"/>
        </w:rPr>
        <w:t>strategic pe termen lung al Ministerului Finanţelor</w:t>
      </w:r>
      <w:r w:rsidRPr="006E6516">
        <w:rPr>
          <w:rFonts w:ascii="Times New Roman" w:eastAsia="Times New Roman" w:hAnsi="Times New Roman" w:cs="Times New Roman"/>
          <w:color w:val="000000"/>
          <w:sz w:val="28"/>
          <w:szCs w:val="28"/>
          <w:lang w:val="ro-RO" w:eastAsia="ru-RU"/>
        </w:rPr>
        <w:t xml:space="preserve"> </w:t>
      </w:r>
      <w:r w:rsidR="00DF6773" w:rsidRPr="006C6C0E">
        <w:rPr>
          <w:rFonts w:ascii="Times New Roman" w:eastAsia="Times New Roman" w:hAnsi="Times New Roman" w:cs="Times New Roman"/>
          <w:color w:val="000000"/>
          <w:sz w:val="28"/>
          <w:szCs w:val="28"/>
          <w:lang w:val="ro-RO" w:eastAsia="ru-RU"/>
        </w:rPr>
        <w:t>rămîne în continuare</w:t>
      </w:r>
      <w:r w:rsidRPr="006E6516">
        <w:rPr>
          <w:rFonts w:ascii="Times New Roman" w:eastAsia="Times New Roman" w:hAnsi="Times New Roman" w:cs="Times New Roman"/>
          <w:color w:val="000000"/>
          <w:sz w:val="28"/>
          <w:szCs w:val="28"/>
          <w:lang w:val="ro-RO" w:eastAsia="ru-RU"/>
        </w:rPr>
        <w:t xml:space="preserve"> </w:t>
      </w:r>
      <w:r w:rsidR="006C6C0E" w:rsidRPr="006C6C0E">
        <w:rPr>
          <w:rFonts w:ascii="Times New Roman" w:eastAsia="Times New Roman" w:hAnsi="Times New Roman" w:cs="Times New Roman"/>
          <w:color w:val="000000"/>
          <w:sz w:val="28"/>
          <w:szCs w:val="28"/>
          <w:lang w:val="ro-RO" w:eastAsia="ru-RU"/>
        </w:rPr>
        <w:t xml:space="preserve">şi </w:t>
      </w:r>
      <w:r w:rsidRPr="006E6516">
        <w:rPr>
          <w:rFonts w:ascii="Times New Roman" w:eastAsia="Times New Roman" w:hAnsi="Times New Roman" w:cs="Times New Roman"/>
          <w:color w:val="000000"/>
          <w:sz w:val="28"/>
          <w:szCs w:val="28"/>
          <w:lang w:val="ro-RO" w:eastAsia="ru-RU"/>
        </w:rPr>
        <w:t>dezvoltarea pieţei</w:t>
      </w:r>
      <w:r w:rsidR="00DF6773" w:rsidRPr="006C6C0E">
        <w:rPr>
          <w:rFonts w:ascii="Times New Roman" w:eastAsia="Times New Roman" w:hAnsi="Times New Roman" w:cs="Times New Roman"/>
          <w:color w:val="000000"/>
          <w:sz w:val="28"/>
          <w:szCs w:val="28"/>
          <w:lang w:val="ro-RO" w:eastAsia="ru-RU"/>
        </w:rPr>
        <w:t xml:space="preserve"> interne a</w:t>
      </w:r>
      <w:r w:rsidRPr="006E6516">
        <w:rPr>
          <w:rFonts w:ascii="Times New Roman" w:eastAsia="Times New Roman" w:hAnsi="Times New Roman" w:cs="Times New Roman"/>
          <w:color w:val="000000"/>
          <w:sz w:val="28"/>
          <w:szCs w:val="28"/>
          <w:lang w:val="ro-RO" w:eastAsia="ru-RU"/>
        </w:rPr>
        <w:t xml:space="preserve"> valorilor mobiliare de stat. </w:t>
      </w:r>
      <w:r w:rsidR="00DF6773" w:rsidRPr="006C6C0E">
        <w:rPr>
          <w:rFonts w:ascii="Times New Roman" w:eastAsia="Calibri" w:hAnsi="Times New Roman" w:cs="Times New Roman"/>
          <w:sz w:val="28"/>
          <w:szCs w:val="28"/>
          <w:lang w:val="ro-RO" w:eastAsia="ru-RU"/>
        </w:rPr>
        <w:t xml:space="preserve">În acest sens, se va acorda o atenţie deosebită </w:t>
      </w:r>
      <w:r w:rsidR="00DF6773" w:rsidRPr="006C6C0E">
        <w:rPr>
          <w:rFonts w:ascii="Times New Roman" w:eastAsia="Times New Roman" w:hAnsi="Times New Roman" w:cs="Times New Roman"/>
          <w:sz w:val="28"/>
          <w:szCs w:val="28"/>
          <w:lang w:val="ro-RO" w:eastAsia="ru-RU"/>
        </w:rPr>
        <w:t>extinderii maturităţii valorilor mobiliare de stat pe piaţa primară, consolidării comunicării cu participanţii pe piaţă, restructurării sistemului de dealeri primari şi asigurării transparenţei şi previzibilităţii pieței valorilor mobiliare de stat.</w:t>
      </w:r>
    </w:p>
    <w:p w:rsidR="00DF6773" w:rsidRPr="00DF6773" w:rsidRDefault="00DF6773" w:rsidP="00DF6773">
      <w:pPr>
        <w:spacing w:after="0" w:line="240" w:lineRule="auto"/>
        <w:ind w:firstLine="709"/>
        <w:jc w:val="both"/>
        <w:rPr>
          <w:rFonts w:ascii="Times New Roman" w:eastAsia="Times New Roman" w:hAnsi="Times New Roman" w:cs="Times New Roman"/>
          <w:color w:val="000000"/>
          <w:sz w:val="28"/>
          <w:szCs w:val="28"/>
          <w:lang w:val="ro-RO" w:eastAsia="ru-RU"/>
        </w:rPr>
      </w:pPr>
      <w:r w:rsidRPr="006E6516">
        <w:rPr>
          <w:rFonts w:ascii="Times New Roman" w:eastAsia="Times New Roman" w:hAnsi="Times New Roman" w:cs="Times New Roman"/>
          <w:color w:val="000000"/>
          <w:sz w:val="28"/>
          <w:szCs w:val="28"/>
          <w:lang w:val="ro-RO" w:eastAsia="ru-RU"/>
        </w:rPr>
        <w:t xml:space="preserve">Întrucît managementul datoriei de stat reprezintă un proces continuu, acest document va fi revizuit şi actualizat </w:t>
      </w:r>
      <w:r w:rsidRPr="00BE5EBF">
        <w:rPr>
          <w:rFonts w:ascii="Times New Roman" w:eastAsia="Times New Roman" w:hAnsi="Times New Roman" w:cs="Times New Roman"/>
          <w:i/>
          <w:color w:val="000000"/>
          <w:sz w:val="28"/>
          <w:szCs w:val="28"/>
          <w:lang w:val="ro-RO" w:eastAsia="ru-RU"/>
        </w:rPr>
        <w:t>anual</w:t>
      </w:r>
      <w:r w:rsidRPr="006E6516">
        <w:rPr>
          <w:rFonts w:ascii="Times New Roman" w:eastAsia="Times New Roman" w:hAnsi="Times New Roman" w:cs="Times New Roman"/>
          <w:color w:val="000000"/>
          <w:sz w:val="28"/>
          <w:szCs w:val="28"/>
          <w:lang w:val="ro-RO" w:eastAsia="ru-RU"/>
        </w:rPr>
        <w:t xml:space="preserve"> în baza noilor tendinţe macroeconomice, dar şi a necesităţilor de finanţare. </w:t>
      </w:r>
    </w:p>
    <w:p w:rsidR="006E6516" w:rsidRDefault="006E6516" w:rsidP="006E6516">
      <w:pPr>
        <w:spacing w:after="0" w:line="240" w:lineRule="auto"/>
        <w:ind w:firstLine="709"/>
        <w:jc w:val="both"/>
        <w:rPr>
          <w:rFonts w:ascii="Times New Roman" w:eastAsia="Times New Roman" w:hAnsi="Times New Roman" w:cs="Times New Roman"/>
          <w:color w:val="000000"/>
          <w:sz w:val="28"/>
          <w:szCs w:val="28"/>
          <w:lang w:val="ro-RO" w:eastAsia="ru-RU"/>
        </w:rPr>
      </w:pPr>
      <w:r w:rsidRPr="006E6516">
        <w:rPr>
          <w:rFonts w:ascii="Times New Roman" w:eastAsia="Times New Roman" w:hAnsi="Times New Roman" w:cs="Times New Roman"/>
          <w:color w:val="000000"/>
          <w:sz w:val="28"/>
          <w:szCs w:val="28"/>
          <w:lang w:val="ro-RO" w:eastAsia="ru-RU"/>
        </w:rPr>
        <w:t>Programul „Managementul datoriei de stat pe termen mediu (201</w:t>
      </w:r>
      <w:r w:rsidR="00BE5EBF">
        <w:rPr>
          <w:rFonts w:ascii="Times New Roman" w:eastAsia="Times New Roman" w:hAnsi="Times New Roman" w:cs="Times New Roman"/>
          <w:color w:val="000000"/>
          <w:sz w:val="28"/>
          <w:szCs w:val="28"/>
          <w:lang w:val="ro-RO" w:eastAsia="ru-RU"/>
        </w:rPr>
        <w:t>4-2016</w:t>
      </w:r>
      <w:r w:rsidRPr="006E6516">
        <w:rPr>
          <w:rFonts w:ascii="Times New Roman" w:eastAsia="Times New Roman" w:hAnsi="Times New Roman" w:cs="Times New Roman"/>
          <w:color w:val="000000"/>
          <w:sz w:val="28"/>
          <w:szCs w:val="28"/>
          <w:lang w:val="ro-RO" w:eastAsia="ru-RU"/>
        </w:rPr>
        <w:t>)” se axează pe descrierea structurii portofoliului datoriei de stat</w:t>
      </w:r>
      <w:r w:rsidR="00F31434">
        <w:rPr>
          <w:rFonts w:ascii="Times New Roman" w:eastAsia="Times New Roman" w:hAnsi="Times New Roman" w:cs="Times New Roman"/>
          <w:color w:val="000000"/>
          <w:sz w:val="28"/>
          <w:szCs w:val="28"/>
          <w:lang w:val="ro-RO" w:eastAsia="ru-RU"/>
        </w:rPr>
        <w:t>, formularea strategii</w:t>
      </w:r>
      <w:r w:rsidR="00BE5EBF">
        <w:rPr>
          <w:rFonts w:ascii="Times New Roman" w:eastAsia="Times New Roman" w:hAnsi="Times New Roman" w:cs="Times New Roman"/>
          <w:color w:val="000000"/>
          <w:sz w:val="28"/>
          <w:szCs w:val="28"/>
          <w:lang w:val="ro-RO" w:eastAsia="ru-RU"/>
        </w:rPr>
        <w:t>lor</w:t>
      </w:r>
      <w:r w:rsidR="00325265">
        <w:rPr>
          <w:rFonts w:ascii="Times New Roman" w:eastAsia="Times New Roman" w:hAnsi="Times New Roman" w:cs="Times New Roman"/>
          <w:color w:val="000000"/>
          <w:sz w:val="28"/>
          <w:szCs w:val="28"/>
          <w:lang w:val="ro-RO" w:eastAsia="ru-RU"/>
        </w:rPr>
        <w:t xml:space="preserve"> alternative</w:t>
      </w:r>
      <w:r w:rsidR="00F31434">
        <w:rPr>
          <w:rFonts w:ascii="Times New Roman" w:eastAsia="Times New Roman" w:hAnsi="Times New Roman" w:cs="Times New Roman"/>
          <w:color w:val="000000"/>
          <w:sz w:val="28"/>
          <w:szCs w:val="28"/>
          <w:lang w:val="ro-RO" w:eastAsia="ru-RU"/>
        </w:rPr>
        <w:t xml:space="preserve"> de asigurare a necesităţilor de finanţare</w:t>
      </w:r>
      <w:r w:rsidRPr="006E6516">
        <w:rPr>
          <w:rFonts w:ascii="Times New Roman" w:eastAsia="Times New Roman" w:hAnsi="Times New Roman" w:cs="Times New Roman"/>
          <w:color w:val="000000"/>
          <w:sz w:val="28"/>
          <w:szCs w:val="28"/>
          <w:lang w:val="ro-RO" w:eastAsia="ru-RU"/>
        </w:rPr>
        <w:t xml:space="preserve"> şi a factorilor de</w:t>
      </w:r>
      <w:r w:rsidR="006C6C0E">
        <w:rPr>
          <w:rFonts w:ascii="Times New Roman" w:eastAsia="Times New Roman" w:hAnsi="Times New Roman" w:cs="Times New Roman"/>
          <w:color w:val="000000"/>
          <w:sz w:val="28"/>
          <w:szCs w:val="28"/>
          <w:lang w:val="ro-RO" w:eastAsia="ru-RU"/>
        </w:rPr>
        <w:t xml:space="preserve"> cost şi</w:t>
      </w:r>
      <w:r w:rsidRPr="006E6516">
        <w:rPr>
          <w:rFonts w:ascii="Times New Roman" w:eastAsia="Times New Roman" w:hAnsi="Times New Roman" w:cs="Times New Roman"/>
          <w:color w:val="000000"/>
          <w:sz w:val="28"/>
          <w:szCs w:val="28"/>
          <w:lang w:val="ro-RO" w:eastAsia="ru-RU"/>
        </w:rPr>
        <w:t xml:space="preserve"> risc </w:t>
      </w:r>
      <w:r w:rsidR="00F31434">
        <w:rPr>
          <w:rFonts w:ascii="Times New Roman" w:eastAsia="Times New Roman" w:hAnsi="Times New Roman" w:cs="Times New Roman"/>
          <w:color w:val="000000"/>
          <w:sz w:val="28"/>
          <w:szCs w:val="28"/>
          <w:lang w:val="ro-RO" w:eastAsia="ru-RU"/>
        </w:rPr>
        <w:t>aferenţi</w:t>
      </w:r>
      <w:r w:rsidRPr="006E6516">
        <w:rPr>
          <w:rFonts w:ascii="Times New Roman" w:eastAsia="Times New Roman" w:hAnsi="Times New Roman" w:cs="Times New Roman"/>
          <w:color w:val="000000"/>
          <w:sz w:val="28"/>
          <w:szCs w:val="28"/>
          <w:lang w:val="ro-RO" w:eastAsia="ru-RU"/>
        </w:rPr>
        <w:t>.</w:t>
      </w:r>
    </w:p>
    <w:p w:rsidR="00C85504" w:rsidRPr="00C85504" w:rsidRDefault="006E6516" w:rsidP="00C85504">
      <w:pPr>
        <w:spacing w:after="0" w:line="240" w:lineRule="auto"/>
        <w:ind w:firstLine="709"/>
        <w:jc w:val="both"/>
        <w:rPr>
          <w:rFonts w:ascii="Times New Roman" w:hAnsi="Times New Roman" w:cs="Times New Roman"/>
          <w:sz w:val="28"/>
          <w:szCs w:val="24"/>
          <w:lang w:val="ro-RO"/>
        </w:rPr>
      </w:pPr>
      <w:r w:rsidRPr="006E6516">
        <w:rPr>
          <w:rFonts w:ascii="Times New Roman" w:eastAsia="Times New Roman" w:hAnsi="Times New Roman" w:cs="Times New Roman"/>
          <w:color w:val="000000"/>
          <w:sz w:val="28"/>
          <w:szCs w:val="28"/>
          <w:lang w:val="ro-RO" w:eastAsia="ru-RU"/>
        </w:rPr>
        <w:t xml:space="preserve">La elaborarea prognozelor datoriei de stat, precum şi a strategiilor alternative </w:t>
      </w:r>
      <w:r w:rsidR="00BE5EBF">
        <w:rPr>
          <w:rFonts w:ascii="Times New Roman" w:eastAsia="Times New Roman" w:hAnsi="Times New Roman" w:cs="Times New Roman"/>
          <w:color w:val="000000"/>
          <w:sz w:val="28"/>
          <w:szCs w:val="28"/>
          <w:lang w:val="ro-RO" w:eastAsia="ru-RU"/>
        </w:rPr>
        <w:t>de asigurare a necesităţilor de finanţare</w:t>
      </w:r>
      <w:r w:rsidRPr="006E6516">
        <w:rPr>
          <w:rFonts w:ascii="Times New Roman" w:eastAsia="Times New Roman" w:hAnsi="Times New Roman" w:cs="Times New Roman"/>
          <w:color w:val="000000"/>
          <w:sz w:val="28"/>
          <w:szCs w:val="28"/>
          <w:lang w:val="ro-RO" w:eastAsia="ru-RU"/>
        </w:rPr>
        <w:t xml:space="preserve">  pe termen mediu, au fost utilizate proiecţiile macroeconomice </w:t>
      </w:r>
      <w:r w:rsidR="008A5208">
        <w:rPr>
          <w:rFonts w:ascii="Times New Roman" w:eastAsia="Times New Roman" w:hAnsi="Times New Roman" w:cs="Times New Roman"/>
          <w:color w:val="000000"/>
          <w:sz w:val="28"/>
          <w:szCs w:val="28"/>
          <w:lang w:val="ro-RO" w:eastAsia="ru-RU"/>
        </w:rPr>
        <w:t>revizuite</w:t>
      </w:r>
      <w:r w:rsidRPr="006E6516">
        <w:rPr>
          <w:rFonts w:ascii="Times New Roman" w:eastAsia="Times New Roman" w:hAnsi="Times New Roman" w:cs="Times New Roman"/>
          <w:color w:val="000000"/>
          <w:sz w:val="28"/>
          <w:szCs w:val="28"/>
          <w:lang w:val="ro-RO" w:eastAsia="ru-RU"/>
        </w:rPr>
        <w:t xml:space="preserve"> furnizate </w:t>
      </w:r>
      <w:r w:rsidR="00AF3451">
        <w:rPr>
          <w:rFonts w:ascii="Times New Roman" w:eastAsia="Times New Roman" w:hAnsi="Times New Roman" w:cs="Times New Roman"/>
          <w:color w:val="000000"/>
          <w:sz w:val="28"/>
          <w:szCs w:val="28"/>
          <w:lang w:val="ro-RO" w:eastAsia="ru-RU"/>
        </w:rPr>
        <w:t>de către Ministerul Economiei</w:t>
      </w:r>
      <w:r w:rsidRPr="006E6516">
        <w:rPr>
          <w:rFonts w:ascii="Times New Roman" w:eastAsia="Times New Roman" w:hAnsi="Times New Roman" w:cs="Times New Roman"/>
          <w:color w:val="000000"/>
          <w:sz w:val="28"/>
          <w:szCs w:val="28"/>
          <w:lang w:val="ro-RO" w:eastAsia="ru-RU"/>
        </w:rPr>
        <w:t xml:space="preserve">. Astfel, </w:t>
      </w:r>
      <w:r w:rsidR="00E5207E">
        <w:rPr>
          <w:rFonts w:ascii="Times New Roman" w:eastAsia="Times New Roman" w:hAnsi="Times New Roman" w:cs="Times New Roman"/>
          <w:color w:val="000000"/>
          <w:sz w:val="28"/>
          <w:szCs w:val="28"/>
          <w:lang w:val="ro-RO" w:eastAsia="ru-RU"/>
        </w:rPr>
        <w:t>pentru</w:t>
      </w:r>
      <w:r w:rsidRPr="006E6516">
        <w:rPr>
          <w:rFonts w:ascii="Times New Roman" w:eastAsia="Times New Roman" w:hAnsi="Times New Roman" w:cs="Times New Roman"/>
          <w:color w:val="000000"/>
          <w:sz w:val="28"/>
          <w:szCs w:val="28"/>
          <w:lang w:val="ro-RO" w:eastAsia="ru-RU"/>
        </w:rPr>
        <w:t xml:space="preserve"> </w:t>
      </w:r>
      <w:r w:rsidR="008A5208">
        <w:rPr>
          <w:rFonts w:ascii="Times New Roman" w:eastAsia="Times New Roman" w:hAnsi="Times New Roman" w:cs="Times New Roman"/>
          <w:color w:val="000000"/>
          <w:sz w:val="28"/>
          <w:szCs w:val="28"/>
          <w:lang w:val="ro-RO" w:eastAsia="ru-RU"/>
        </w:rPr>
        <w:t>perioada anilor 2014-2016</w:t>
      </w:r>
      <w:r w:rsidR="00E5207E" w:rsidRPr="00E5207E">
        <w:rPr>
          <w:rFonts w:ascii="Times New Roman" w:eastAsia="Times New Roman" w:hAnsi="Times New Roman" w:cs="Times New Roman"/>
          <w:sz w:val="28"/>
          <w:szCs w:val="28"/>
          <w:lang w:val="ro-RO" w:eastAsia="ro-RO"/>
        </w:rPr>
        <w:t xml:space="preserve"> </w:t>
      </w:r>
      <w:r w:rsidR="00E5207E" w:rsidRPr="000C1C50">
        <w:rPr>
          <w:rFonts w:ascii="Times New Roman" w:eastAsia="Times New Roman" w:hAnsi="Times New Roman" w:cs="Times New Roman"/>
          <w:sz w:val="28"/>
          <w:szCs w:val="28"/>
          <w:lang w:val="ro-RO" w:eastAsia="ro-RO"/>
        </w:rPr>
        <w:t xml:space="preserve">se prognozează </w:t>
      </w:r>
      <w:r w:rsidR="00E5207E">
        <w:rPr>
          <w:rFonts w:ascii="Times New Roman" w:eastAsia="Times New Roman" w:hAnsi="Times New Roman" w:cs="Times New Roman"/>
          <w:sz w:val="28"/>
          <w:szCs w:val="28"/>
          <w:lang w:val="ro-RO" w:eastAsia="ro-RO"/>
        </w:rPr>
        <w:t>că</w:t>
      </w:r>
      <w:r w:rsidR="00E5207E" w:rsidRPr="000C1C50">
        <w:rPr>
          <w:rFonts w:ascii="Times New Roman" w:eastAsia="Times New Roman" w:hAnsi="Times New Roman" w:cs="Times New Roman"/>
          <w:sz w:val="28"/>
          <w:szCs w:val="28"/>
          <w:lang w:val="ro-RO" w:eastAsia="ro-RO"/>
        </w:rPr>
        <w:t xml:space="preserve"> PIB</w:t>
      </w:r>
      <w:r w:rsidR="00E5207E">
        <w:rPr>
          <w:rFonts w:ascii="Times New Roman" w:eastAsia="Times New Roman" w:hAnsi="Times New Roman" w:cs="Times New Roman"/>
          <w:sz w:val="28"/>
          <w:szCs w:val="28"/>
          <w:lang w:val="ro-RO" w:eastAsia="ro-RO"/>
        </w:rPr>
        <w:t>-ul</w:t>
      </w:r>
      <w:r w:rsidR="00E5207E" w:rsidRPr="000C1C50">
        <w:rPr>
          <w:rFonts w:ascii="Times New Roman" w:eastAsia="Times New Roman" w:hAnsi="Times New Roman" w:cs="Times New Roman"/>
          <w:sz w:val="28"/>
          <w:szCs w:val="28"/>
          <w:lang w:val="ro-RO" w:eastAsia="ro-RO"/>
        </w:rPr>
        <w:t xml:space="preserve"> </w:t>
      </w:r>
      <w:r w:rsidR="00E5207E" w:rsidRPr="00BA760F">
        <w:rPr>
          <w:rFonts w:ascii="Times New Roman" w:eastAsia="Times New Roman" w:hAnsi="Times New Roman" w:cs="Times New Roman"/>
          <w:sz w:val="28"/>
          <w:szCs w:val="28"/>
          <w:lang w:val="ro-RO" w:eastAsia="ro-RO"/>
        </w:rPr>
        <w:t xml:space="preserve">va evolua cu o rată medie </w:t>
      </w:r>
      <w:r w:rsidR="00E5207E" w:rsidRPr="005F58E5">
        <w:rPr>
          <w:rFonts w:ascii="Times New Roman" w:eastAsia="Times New Roman" w:hAnsi="Times New Roman" w:cs="Times New Roman"/>
          <w:sz w:val="28"/>
          <w:szCs w:val="28"/>
          <w:lang w:val="ro-RO" w:eastAsia="ro-RO"/>
        </w:rPr>
        <w:t>de circa 4,5% creştere reală anuală</w:t>
      </w:r>
      <w:r w:rsidRPr="005F58E5">
        <w:rPr>
          <w:rFonts w:ascii="Times New Roman" w:eastAsia="Times New Roman" w:hAnsi="Times New Roman" w:cs="Times New Roman"/>
          <w:color w:val="000000"/>
          <w:sz w:val="28"/>
          <w:szCs w:val="28"/>
          <w:lang w:val="ro-RO" w:eastAsia="ru-RU"/>
        </w:rPr>
        <w:t xml:space="preserve">. </w:t>
      </w:r>
      <w:r w:rsidR="00C85504" w:rsidRPr="005F58E5">
        <w:rPr>
          <w:rFonts w:ascii="Times New Roman" w:hAnsi="Times New Roman" w:cs="Times New Roman"/>
          <w:sz w:val="28"/>
          <w:szCs w:val="24"/>
          <w:lang w:val="ro-RO"/>
        </w:rPr>
        <w:t>La baza acestei creşteri vor sta inclusiv îmbunătăţirea contextului economico-financiar la nivel mondial, continuarea reformelor structurale</w:t>
      </w:r>
      <w:r w:rsidR="00C85504" w:rsidRPr="00C85504">
        <w:rPr>
          <w:rFonts w:ascii="Times New Roman" w:hAnsi="Times New Roman" w:cs="Times New Roman"/>
          <w:sz w:val="28"/>
          <w:szCs w:val="24"/>
          <w:lang w:val="ro-RO"/>
        </w:rPr>
        <w:t>, dezvoltarea sectorului real al economiei, promovarea unei politici fiscale</w:t>
      </w:r>
      <w:r w:rsidR="00680071">
        <w:rPr>
          <w:rFonts w:ascii="Times New Roman" w:hAnsi="Times New Roman" w:cs="Times New Roman"/>
          <w:sz w:val="28"/>
          <w:szCs w:val="24"/>
          <w:lang w:val="ro-RO"/>
        </w:rPr>
        <w:t xml:space="preserve"> prudente</w:t>
      </w:r>
      <w:r w:rsidR="00C85504" w:rsidRPr="00C85504">
        <w:rPr>
          <w:rFonts w:ascii="Times New Roman" w:hAnsi="Times New Roman" w:cs="Times New Roman"/>
          <w:sz w:val="28"/>
          <w:szCs w:val="24"/>
          <w:lang w:val="ro-RO"/>
        </w:rPr>
        <w:t>, asigurarea stabilităţii financiare, etc.</w:t>
      </w:r>
    </w:p>
    <w:p w:rsidR="006E6516" w:rsidRPr="006E6516" w:rsidRDefault="006E6516" w:rsidP="006E6516">
      <w:pPr>
        <w:spacing w:after="0" w:line="240" w:lineRule="auto"/>
        <w:ind w:firstLine="709"/>
        <w:jc w:val="both"/>
        <w:rPr>
          <w:rFonts w:ascii="Times New Roman" w:eastAsia="Times New Roman" w:hAnsi="Times New Roman" w:cs="Times New Roman"/>
          <w:color w:val="000000"/>
          <w:sz w:val="28"/>
          <w:szCs w:val="28"/>
          <w:lang w:val="ro-RO" w:eastAsia="ru-RU"/>
        </w:rPr>
      </w:pPr>
      <w:r w:rsidRPr="00B74702">
        <w:rPr>
          <w:rFonts w:ascii="Times New Roman" w:eastAsia="Times New Roman" w:hAnsi="Times New Roman" w:cs="Times New Roman"/>
          <w:color w:val="000000"/>
          <w:sz w:val="28"/>
          <w:szCs w:val="28"/>
          <w:lang w:val="ro-RO" w:eastAsia="ru-RU"/>
        </w:rPr>
        <w:t xml:space="preserve">Indicatorii bugetar-fiscali relevă o </w:t>
      </w:r>
      <w:r w:rsidR="00325265" w:rsidRPr="00B74702">
        <w:rPr>
          <w:rFonts w:ascii="Times New Roman" w:eastAsia="Times New Roman" w:hAnsi="Times New Roman" w:cs="Times New Roman"/>
          <w:color w:val="000000"/>
          <w:sz w:val="28"/>
          <w:szCs w:val="28"/>
          <w:lang w:val="ro-RO" w:eastAsia="ru-RU"/>
        </w:rPr>
        <w:t>majorare</w:t>
      </w:r>
      <w:r w:rsidRPr="00B74702">
        <w:rPr>
          <w:rFonts w:ascii="Times New Roman" w:eastAsia="Times New Roman" w:hAnsi="Times New Roman" w:cs="Times New Roman"/>
          <w:color w:val="000000"/>
          <w:sz w:val="28"/>
          <w:szCs w:val="28"/>
          <w:lang w:val="ro-RO" w:eastAsia="ru-RU"/>
        </w:rPr>
        <w:t xml:space="preserve"> </w:t>
      </w:r>
      <w:r w:rsidR="00325265" w:rsidRPr="00B74702">
        <w:rPr>
          <w:rFonts w:ascii="Times New Roman" w:eastAsia="Times New Roman" w:hAnsi="Times New Roman" w:cs="Times New Roman"/>
          <w:color w:val="000000"/>
          <w:sz w:val="28"/>
          <w:szCs w:val="28"/>
          <w:lang w:val="ro-RO" w:eastAsia="ru-RU"/>
        </w:rPr>
        <w:t>moderată</w:t>
      </w:r>
      <w:r w:rsidRPr="00B74702">
        <w:rPr>
          <w:rFonts w:ascii="Times New Roman" w:eastAsia="Times New Roman" w:hAnsi="Times New Roman" w:cs="Times New Roman"/>
          <w:color w:val="000000"/>
          <w:sz w:val="28"/>
          <w:szCs w:val="28"/>
          <w:lang w:val="ro-RO" w:eastAsia="ru-RU"/>
        </w:rPr>
        <w:t xml:space="preserve"> a deficitului bugetului de stat</w:t>
      </w:r>
      <w:r w:rsidR="00B4127D" w:rsidRPr="00B74702">
        <w:rPr>
          <w:rFonts w:ascii="Times New Roman" w:eastAsia="Times New Roman" w:hAnsi="Times New Roman" w:cs="Times New Roman"/>
          <w:color w:val="000000"/>
          <w:sz w:val="28"/>
          <w:szCs w:val="28"/>
          <w:lang w:val="ro-RO" w:eastAsia="ru-RU"/>
        </w:rPr>
        <w:t xml:space="preserve"> în valori nom</w:t>
      </w:r>
      <w:r w:rsidR="00B74702" w:rsidRPr="00B74702">
        <w:rPr>
          <w:rFonts w:ascii="Times New Roman" w:eastAsia="Times New Roman" w:hAnsi="Times New Roman" w:cs="Times New Roman"/>
          <w:color w:val="000000"/>
          <w:sz w:val="28"/>
          <w:szCs w:val="28"/>
          <w:lang w:val="ro-RO" w:eastAsia="ru-RU"/>
        </w:rPr>
        <w:t>inale</w:t>
      </w:r>
      <w:r w:rsidRPr="00B74702">
        <w:rPr>
          <w:rFonts w:ascii="Times New Roman" w:eastAsia="Times New Roman" w:hAnsi="Times New Roman" w:cs="Times New Roman"/>
          <w:color w:val="000000"/>
          <w:sz w:val="28"/>
          <w:szCs w:val="28"/>
          <w:lang w:val="ro-RO" w:eastAsia="ru-RU"/>
        </w:rPr>
        <w:t>, care în perioada 201</w:t>
      </w:r>
      <w:r w:rsidR="00B74702" w:rsidRPr="00B74702">
        <w:rPr>
          <w:rFonts w:ascii="Times New Roman" w:eastAsia="Times New Roman" w:hAnsi="Times New Roman" w:cs="Times New Roman"/>
          <w:color w:val="000000"/>
          <w:sz w:val="28"/>
          <w:szCs w:val="28"/>
          <w:lang w:val="ro-RO" w:eastAsia="ru-RU"/>
        </w:rPr>
        <w:t>4</w:t>
      </w:r>
      <w:r w:rsidRPr="00B74702">
        <w:rPr>
          <w:rFonts w:ascii="Times New Roman" w:eastAsia="Times New Roman" w:hAnsi="Times New Roman" w:cs="Times New Roman"/>
          <w:color w:val="000000"/>
          <w:sz w:val="28"/>
          <w:szCs w:val="28"/>
          <w:lang w:val="ro-RO" w:eastAsia="ru-RU"/>
        </w:rPr>
        <w:t>-201</w:t>
      </w:r>
      <w:r w:rsidR="00B74702" w:rsidRPr="00B74702">
        <w:rPr>
          <w:rFonts w:ascii="Times New Roman" w:eastAsia="Times New Roman" w:hAnsi="Times New Roman" w:cs="Times New Roman"/>
          <w:color w:val="000000"/>
          <w:sz w:val="28"/>
          <w:szCs w:val="28"/>
          <w:lang w:val="ro-RO" w:eastAsia="ru-RU"/>
        </w:rPr>
        <w:t>6</w:t>
      </w:r>
      <w:r w:rsidRPr="00B74702">
        <w:rPr>
          <w:rFonts w:ascii="Times New Roman" w:eastAsia="Times New Roman" w:hAnsi="Times New Roman" w:cs="Times New Roman"/>
          <w:color w:val="000000"/>
          <w:sz w:val="28"/>
          <w:szCs w:val="28"/>
          <w:lang w:val="ro-RO" w:eastAsia="ru-RU"/>
        </w:rPr>
        <w:t xml:space="preserve"> se va situa în intervalul </w:t>
      </w:r>
      <w:r w:rsidR="00B74702" w:rsidRPr="00B74702">
        <w:rPr>
          <w:rFonts w:ascii="Times New Roman" w:eastAsia="Times New Roman" w:hAnsi="Times New Roman" w:cs="Times New Roman"/>
          <w:color w:val="000000"/>
          <w:sz w:val="28"/>
          <w:szCs w:val="28"/>
          <w:lang w:val="ro-RO" w:eastAsia="ru-RU"/>
        </w:rPr>
        <w:t>2</w:t>
      </w:r>
      <w:r w:rsidRPr="00B74702">
        <w:rPr>
          <w:rFonts w:ascii="Times New Roman" w:eastAsia="Times New Roman" w:hAnsi="Times New Roman" w:cs="Times New Roman"/>
          <w:color w:val="000000"/>
          <w:sz w:val="28"/>
          <w:szCs w:val="28"/>
          <w:lang w:val="ro-RO" w:eastAsia="ru-RU"/>
        </w:rPr>
        <w:t>,</w:t>
      </w:r>
      <w:r w:rsidR="00B74702" w:rsidRPr="00B74702">
        <w:rPr>
          <w:rFonts w:ascii="Times New Roman" w:eastAsia="Times New Roman" w:hAnsi="Times New Roman" w:cs="Times New Roman"/>
          <w:color w:val="000000"/>
          <w:sz w:val="28"/>
          <w:szCs w:val="28"/>
          <w:lang w:val="ro-RO" w:eastAsia="ru-RU"/>
        </w:rPr>
        <w:t>3</w:t>
      </w:r>
      <w:r w:rsidRPr="00B74702">
        <w:rPr>
          <w:rFonts w:ascii="Times New Roman" w:eastAsia="Times New Roman" w:hAnsi="Times New Roman" w:cs="Times New Roman"/>
          <w:color w:val="000000"/>
          <w:sz w:val="28"/>
          <w:szCs w:val="28"/>
          <w:lang w:val="ro-RO" w:eastAsia="ru-RU"/>
        </w:rPr>
        <w:t>-</w:t>
      </w:r>
      <w:r w:rsidR="00B74702" w:rsidRPr="00B74702">
        <w:rPr>
          <w:rFonts w:ascii="Times New Roman" w:eastAsia="Times New Roman" w:hAnsi="Times New Roman" w:cs="Times New Roman"/>
          <w:color w:val="000000"/>
          <w:sz w:val="28"/>
          <w:szCs w:val="28"/>
          <w:lang w:val="ro-RO" w:eastAsia="ru-RU"/>
        </w:rPr>
        <w:t>2</w:t>
      </w:r>
      <w:r w:rsidRPr="00B74702">
        <w:rPr>
          <w:rFonts w:ascii="Times New Roman" w:eastAsia="Times New Roman" w:hAnsi="Times New Roman" w:cs="Times New Roman"/>
          <w:color w:val="000000"/>
          <w:sz w:val="28"/>
          <w:szCs w:val="28"/>
          <w:lang w:val="ro-RO" w:eastAsia="ru-RU"/>
        </w:rPr>
        <w:t>,</w:t>
      </w:r>
      <w:r w:rsidR="00B74702" w:rsidRPr="00B74702">
        <w:rPr>
          <w:rFonts w:ascii="Times New Roman" w:eastAsia="Times New Roman" w:hAnsi="Times New Roman" w:cs="Times New Roman"/>
          <w:color w:val="000000"/>
          <w:sz w:val="28"/>
          <w:szCs w:val="28"/>
          <w:lang w:val="ro-RO" w:eastAsia="ru-RU"/>
        </w:rPr>
        <w:t>4</w:t>
      </w:r>
      <w:r w:rsidRPr="00B74702">
        <w:rPr>
          <w:rFonts w:ascii="Times New Roman" w:eastAsia="Times New Roman" w:hAnsi="Times New Roman" w:cs="Times New Roman"/>
          <w:color w:val="000000"/>
          <w:sz w:val="28"/>
          <w:szCs w:val="28"/>
          <w:lang w:val="ro-RO" w:eastAsia="ru-RU"/>
        </w:rPr>
        <w:t>% din PIB.</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B74702">
        <w:rPr>
          <w:rFonts w:ascii="Times New Roman" w:eastAsia="Times New Roman" w:hAnsi="Times New Roman" w:cs="Times New Roman"/>
          <w:sz w:val="28"/>
          <w:szCs w:val="28"/>
          <w:shd w:val="clear" w:color="auto" w:fill="FFFFFF"/>
          <w:lang w:val="ro-RO"/>
        </w:rPr>
        <w:t xml:space="preserve">În ceea ce priveşte dinamica datoriei de stat, aceasta se va majora </w:t>
      </w:r>
      <w:r w:rsidR="00911AC9" w:rsidRPr="00B74702">
        <w:rPr>
          <w:rFonts w:ascii="Times New Roman" w:eastAsia="Times New Roman" w:hAnsi="Times New Roman" w:cs="Times New Roman"/>
          <w:sz w:val="28"/>
          <w:szCs w:val="28"/>
          <w:shd w:val="clear" w:color="auto" w:fill="FFFFFF"/>
          <w:lang w:val="ro-RO"/>
        </w:rPr>
        <w:t xml:space="preserve">în medie </w:t>
      </w:r>
      <w:r w:rsidRPr="00B74702">
        <w:rPr>
          <w:rFonts w:ascii="Times New Roman" w:eastAsia="Times New Roman" w:hAnsi="Times New Roman" w:cs="Times New Roman"/>
          <w:sz w:val="28"/>
          <w:szCs w:val="28"/>
          <w:shd w:val="clear" w:color="auto" w:fill="FFFFFF"/>
          <w:lang w:val="ro-RO"/>
        </w:rPr>
        <w:t xml:space="preserve">cu </w:t>
      </w:r>
      <w:r w:rsidR="00B74702" w:rsidRPr="00B74702">
        <w:rPr>
          <w:rFonts w:ascii="Times New Roman" w:eastAsia="Times New Roman" w:hAnsi="Times New Roman" w:cs="Times New Roman"/>
          <w:sz w:val="28"/>
          <w:szCs w:val="28"/>
          <w:shd w:val="clear" w:color="auto" w:fill="FFFFFF"/>
          <w:lang w:val="ro-RO"/>
        </w:rPr>
        <w:t>7</w:t>
      </w:r>
      <w:r w:rsidR="00911AC9" w:rsidRPr="00B74702">
        <w:rPr>
          <w:rFonts w:ascii="Times New Roman" w:eastAsia="Times New Roman" w:hAnsi="Times New Roman" w:cs="Times New Roman"/>
          <w:sz w:val="28"/>
          <w:szCs w:val="28"/>
          <w:shd w:val="clear" w:color="auto" w:fill="FFFFFF"/>
          <w:lang w:val="ro-RO"/>
        </w:rPr>
        <w:t>,</w:t>
      </w:r>
      <w:r w:rsidR="00B74702" w:rsidRPr="00B74702">
        <w:rPr>
          <w:rFonts w:ascii="Times New Roman" w:eastAsia="Times New Roman" w:hAnsi="Times New Roman" w:cs="Times New Roman"/>
          <w:sz w:val="28"/>
          <w:szCs w:val="28"/>
          <w:shd w:val="clear" w:color="auto" w:fill="FFFFFF"/>
          <w:lang w:val="ro-RO"/>
        </w:rPr>
        <w:t>9</w:t>
      </w:r>
      <w:r w:rsidRPr="00B74702">
        <w:rPr>
          <w:rFonts w:ascii="Times New Roman" w:eastAsia="Times New Roman" w:hAnsi="Times New Roman" w:cs="Times New Roman"/>
          <w:sz w:val="28"/>
          <w:szCs w:val="28"/>
          <w:shd w:val="clear" w:color="auto" w:fill="FFFFFF"/>
          <w:lang w:val="ro-RO"/>
        </w:rPr>
        <w:t xml:space="preserve"> la sută anual în perioada anilor 201</w:t>
      </w:r>
      <w:r w:rsidR="00911AC9" w:rsidRPr="00B74702">
        <w:rPr>
          <w:rFonts w:ascii="Times New Roman" w:eastAsia="Times New Roman" w:hAnsi="Times New Roman" w:cs="Times New Roman"/>
          <w:sz w:val="28"/>
          <w:szCs w:val="28"/>
          <w:shd w:val="clear" w:color="auto" w:fill="FFFFFF"/>
          <w:lang w:val="ro-RO"/>
        </w:rPr>
        <w:t>4-2016</w:t>
      </w:r>
      <w:r w:rsidRPr="00B74702">
        <w:rPr>
          <w:rFonts w:ascii="Times New Roman" w:eastAsia="Times New Roman" w:hAnsi="Times New Roman" w:cs="Times New Roman"/>
          <w:sz w:val="28"/>
          <w:szCs w:val="28"/>
          <w:shd w:val="clear" w:color="auto" w:fill="FFFFFF"/>
          <w:lang w:val="ro-RO"/>
        </w:rPr>
        <w:t xml:space="preserve">. În structura datoriei de stat, ponderea datoriei de stat interne </w:t>
      </w:r>
      <w:r w:rsidR="0026457E" w:rsidRPr="00B74702">
        <w:rPr>
          <w:rFonts w:ascii="Times New Roman" w:eastAsia="Times New Roman" w:hAnsi="Times New Roman" w:cs="Times New Roman"/>
          <w:sz w:val="28"/>
          <w:szCs w:val="28"/>
          <w:shd w:val="clear" w:color="auto" w:fill="FFFFFF"/>
          <w:lang w:val="ro-RO"/>
        </w:rPr>
        <w:t>va avea o evoluţie descendentă, ajungînd la valoarea de 2</w:t>
      </w:r>
      <w:r w:rsidR="00B74702" w:rsidRPr="00B74702">
        <w:rPr>
          <w:rFonts w:ascii="Times New Roman" w:eastAsia="Times New Roman" w:hAnsi="Times New Roman" w:cs="Times New Roman"/>
          <w:sz w:val="28"/>
          <w:szCs w:val="28"/>
          <w:shd w:val="clear" w:color="auto" w:fill="FFFFFF"/>
          <w:lang w:val="ro-RO"/>
        </w:rPr>
        <w:t>4</w:t>
      </w:r>
      <w:r w:rsidR="0026457E" w:rsidRPr="00B74702">
        <w:rPr>
          <w:rFonts w:ascii="Times New Roman" w:eastAsia="Times New Roman" w:hAnsi="Times New Roman" w:cs="Times New Roman"/>
          <w:sz w:val="28"/>
          <w:szCs w:val="28"/>
          <w:shd w:val="clear" w:color="auto" w:fill="FFFFFF"/>
          <w:lang w:val="ro-RO"/>
        </w:rPr>
        <w:t>,</w:t>
      </w:r>
      <w:r w:rsidR="00B74702" w:rsidRPr="00B74702">
        <w:rPr>
          <w:rFonts w:ascii="Times New Roman" w:eastAsia="Times New Roman" w:hAnsi="Times New Roman" w:cs="Times New Roman"/>
          <w:sz w:val="28"/>
          <w:szCs w:val="28"/>
          <w:shd w:val="clear" w:color="auto" w:fill="FFFFFF"/>
          <w:lang w:val="ro-RO"/>
        </w:rPr>
        <w:t>8</w:t>
      </w:r>
      <w:r w:rsidR="0026457E" w:rsidRPr="00B74702">
        <w:rPr>
          <w:rFonts w:ascii="Times New Roman" w:eastAsia="Times New Roman" w:hAnsi="Times New Roman" w:cs="Times New Roman"/>
          <w:sz w:val="28"/>
          <w:szCs w:val="28"/>
          <w:shd w:val="clear" w:color="auto" w:fill="FFFFFF"/>
          <w:lang w:val="ro-RO"/>
        </w:rPr>
        <w:t>% la finele anului 2016</w:t>
      </w:r>
      <w:r w:rsidRPr="00B74702">
        <w:rPr>
          <w:rFonts w:ascii="Times New Roman" w:eastAsia="Times New Roman" w:hAnsi="Times New Roman" w:cs="Times New Roman"/>
          <w:sz w:val="28"/>
          <w:szCs w:val="28"/>
          <w:shd w:val="clear" w:color="auto" w:fill="FFFFFF"/>
          <w:lang w:val="ro-RO"/>
        </w:rPr>
        <w:t>.</w:t>
      </w:r>
      <w:r w:rsidRPr="006E6516">
        <w:rPr>
          <w:rFonts w:ascii="Times New Roman" w:eastAsia="Times New Roman" w:hAnsi="Times New Roman" w:cs="Times New Roman"/>
          <w:sz w:val="28"/>
          <w:szCs w:val="28"/>
          <w:shd w:val="clear" w:color="auto" w:fill="FFFFFF"/>
          <w:lang w:val="ro-RO"/>
        </w:rPr>
        <w:t xml:space="preserve"> </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 xml:space="preserve">Deşi pe termen mediu se presupune înăsprirea treptată a </w:t>
      </w:r>
      <w:r w:rsidR="006A788E">
        <w:rPr>
          <w:rFonts w:ascii="Times New Roman" w:eastAsia="Times New Roman" w:hAnsi="Times New Roman" w:cs="Times New Roman"/>
          <w:sz w:val="28"/>
          <w:szCs w:val="28"/>
          <w:shd w:val="clear" w:color="auto" w:fill="FFFFFF"/>
          <w:lang w:val="ro-RO"/>
        </w:rPr>
        <w:t>condiţiilor</w:t>
      </w:r>
      <w:r w:rsidRPr="006E6516">
        <w:rPr>
          <w:rFonts w:ascii="Times New Roman" w:eastAsia="Times New Roman" w:hAnsi="Times New Roman" w:cs="Times New Roman"/>
          <w:sz w:val="28"/>
          <w:szCs w:val="28"/>
          <w:shd w:val="clear" w:color="auto" w:fill="FFFFFF"/>
          <w:lang w:val="ro-RO"/>
        </w:rPr>
        <w:t xml:space="preserve"> de acordare a finanţării externe din partea Băncii Mondiale, în perioada anilor 201</w:t>
      </w:r>
      <w:r w:rsidR="0026457E">
        <w:rPr>
          <w:rFonts w:ascii="Times New Roman" w:eastAsia="Times New Roman" w:hAnsi="Times New Roman" w:cs="Times New Roman"/>
          <w:sz w:val="28"/>
          <w:szCs w:val="28"/>
          <w:shd w:val="clear" w:color="auto" w:fill="FFFFFF"/>
          <w:lang w:val="ro-RO"/>
        </w:rPr>
        <w:t>4</w:t>
      </w:r>
      <w:r w:rsidRPr="006E6516">
        <w:rPr>
          <w:rFonts w:ascii="Times New Roman" w:eastAsia="Times New Roman" w:hAnsi="Times New Roman" w:cs="Times New Roman"/>
          <w:sz w:val="28"/>
          <w:szCs w:val="28"/>
          <w:shd w:val="clear" w:color="auto" w:fill="FFFFFF"/>
          <w:lang w:val="ro-RO"/>
        </w:rPr>
        <w:t>-201</w:t>
      </w:r>
      <w:r w:rsidR="0026457E">
        <w:rPr>
          <w:rFonts w:ascii="Times New Roman" w:eastAsia="Times New Roman" w:hAnsi="Times New Roman" w:cs="Times New Roman"/>
          <w:sz w:val="28"/>
          <w:szCs w:val="28"/>
          <w:shd w:val="clear" w:color="auto" w:fill="FFFFFF"/>
          <w:lang w:val="ro-RO"/>
        </w:rPr>
        <w:t>6</w:t>
      </w:r>
      <w:r w:rsidRPr="006E6516">
        <w:rPr>
          <w:rFonts w:ascii="Times New Roman" w:eastAsia="Times New Roman" w:hAnsi="Times New Roman" w:cs="Times New Roman"/>
          <w:sz w:val="28"/>
          <w:szCs w:val="28"/>
          <w:shd w:val="clear" w:color="auto" w:fill="FFFFFF"/>
          <w:lang w:val="ro-RO"/>
        </w:rPr>
        <w:t xml:space="preserve"> portofoliul datoriei de stat va fi caracterizat prin ponderea majoritară a </w:t>
      </w:r>
      <w:r w:rsidR="0026457E">
        <w:rPr>
          <w:rFonts w:ascii="Times New Roman" w:eastAsia="Times New Roman" w:hAnsi="Times New Roman" w:cs="Times New Roman"/>
          <w:sz w:val="28"/>
          <w:szCs w:val="28"/>
          <w:shd w:val="clear" w:color="auto" w:fill="FFFFFF"/>
          <w:lang w:val="ro-RO"/>
        </w:rPr>
        <w:t>finanţării din surse externe</w:t>
      </w:r>
      <w:r w:rsidRPr="006E6516">
        <w:rPr>
          <w:rFonts w:ascii="Times New Roman" w:eastAsia="Times New Roman" w:hAnsi="Times New Roman" w:cs="Times New Roman"/>
          <w:sz w:val="28"/>
          <w:szCs w:val="28"/>
          <w:shd w:val="clear" w:color="auto" w:fill="FFFFFF"/>
          <w:lang w:val="ro-RO"/>
        </w:rPr>
        <w:t xml:space="preserve">. Cu toate că această situaţie este favorabilă din punct de vedere al costurilor aferente, o asemenea structură a portofoliului implică o expunere majoră faţă de riscul valutar. </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lang w:val="ro-RO" w:eastAsia="ru-RU"/>
        </w:rPr>
      </w:pPr>
      <w:r w:rsidRPr="00434A55">
        <w:rPr>
          <w:rFonts w:ascii="Times New Roman" w:eastAsia="Times New Roman" w:hAnsi="Times New Roman" w:cs="Times New Roman"/>
          <w:sz w:val="28"/>
          <w:szCs w:val="28"/>
          <w:shd w:val="clear" w:color="auto" w:fill="FFFFFF"/>
          <w:lang w:val="ro-RO"/>
        </w:rPr>
        <w:t xml:space="preserve">Ca pondere în PIB datoria de stat urmează să </w:t>
      </w:r>
      <w:r w:rsidR="0026457E" w:rsidRPr="00434A55">
        <w:rPr>
          <w:rFonts w:ascii="Times New Roman" w:eastAsia="Times New Roman" w:hAnsi="Times New Roman" w:cs="Times New Roman"/>
          <w:sz w:val="28"/>
          <w:szCs w:val="28"/>
          <w:shd w:val="clear" w:color="auto" w:fill="FFFFFF"/>
          <w:lang w:val="ro-RO"/>
        </w:rPr>
        <w:t xml:space="preserve">se </w:t>
      </w:r>
      <w:r w:rsidR="00B74702" w:rsidRPr="00434A55">
        <w:rPr>
          <w:rFonts w:ascii="Times New Roman" w:eastAsia="Times New Roman" w:hAnsi="Times New Roman" w:cs="Times New Roman"/>
          <w:sz w:val="28"/>
          <w:szCs w:val="28"/>
          <w:shd w:val="clear" w:color="auto" w:fill="FFFFFF"/>
          <w:lang w:val="ro-RO"/>
        </w:rPr>
        <w:t>diminueze</w:t>
      </w:r>
      <w:r w:rsidRPr="00434A55">
        <w:rPr>
          <w:rFonts w:ascii="Times New Roman" w:eastAsia="Times New Roman" w:hAnsi="Times New Roman" w:cs="Times New Roman"/>
          <w:sz w:val="28"/>
          <w:szCs w:val="28"/>
          <w:shd w:val="clear" w:color="auto" w:fill="FFFFFF"/>
          <w:lang w:val="ro-RO"/>
        </w:rPr>
        <w:t xml:space="preserve"> pînă la</w:t>
      </w:r>
      <w:r w:rsidR="00B74702" w:rsidRPr="00434A55">
        <w:rPr>
          <w:rFonts w:ascii="Times New Roman" w:eastAsia="Times New Roman" w:hAnsi="Times New Roman" w:cs="Times New Roman"/>
          <w:sz w:val="28"/>
          <w:szCs w:val="28"/>
          <w:shd w:val="clear" w:color="auto" w:fill="FFFFFF"/>
          <w:lang w:val="ro-RO"/>
        </w:rPr>
        <w:t xml:space="preserve"> </w:t>
      </w:r>
      <w:r w:rsidRPr="00434A55">
        <w:rPr>
          <w:rFonts w:ascii="Times New Roman" w:eastAsia="Times New Roman" w:hAnsi="Times New Roman" w:cs="Times New Roman"/>
          <w:sz w:val="28"/>
          <w:szCs w:val="28"/>
          <w:shd w:val="clear" w:color="auto" w:fill="FFFFFF"/>
          <w:lang w:val="ro-RO"/>
        </w:rPr>
        <w:t>2</w:t>
      </w:r>
      <w:r w:rsidR="00B74702" w:rsidRPr="00434A55">
        <w:rPr>
          <w:rFonts w:ascii="Times New Roman" w:eastAsia="Times New Roman" w:hAnsi="Times New Roman" w:cs="Times New Roman"/>
          <w:sz w:val="28"/>
          <w:szCs w:val="28"/>
          <w:shd w:val="clear" w:color="auto" w:fill="FFFFFF"/>
          <w:lang w:val="ro-RO"/>
        </w:rPr>
        <w:t>3,5</w:t>
      </w:r>
      <w:r w:rsidRPr="00434A55">
        <w:rPr>
          <w:rFonts w:ascii="Times New Roman" w:eastAsia="Times New Roman" w:hAnsi="Times New Roman" w:cs="Times New Roman"/>
          <w:sz w:val="28"/>
          <w:szCs w:val="28"/>
          <w:shd w:val="clear" w:color="auto" w:fill="FFFFFF"/>
          <w:lang w:val="ro-RO"/>
        </w:rPr>
        <w:t xml:space="preserve"> la sută la sfîtşitul anului 201</w:t>
      </w:r>
      <w:r w:rsidR="0026457E" w:rsidRPr="00434A55">
        <w:rPr>
          <w:rFonts w:ascii="Times New Roman" w:eastAsia="Times New Roman" w:hAnsi="Times New Roman" w:cs="Times New Roman"/>
          <w:sz w:val="28"/>
          <w:szCs w:val="28"/>
          <w:shd w:val="clear" w:color="auto" w:fill="FFFFFF"/>
          <w:lang w:val="ro-RO"/>
        </w:rPr>
        <w:t>6</w:t>
      </w:r>
      <w:r w:rsidRPr="00434A55">
        <w:rPr>
          <w:rFonts w:ascii="Times New Roman" w:eastAsia="Times New Roman" w:hAnsi="Times New Roman" w:cs="Times New Roman"/>
          <w:sz w:val="28"/>
          <w:szCs w:val="28"/>
          <w:shd w:val="clear" w:color="auto" w:fill="FFFFFF"/>
          <w:lang w:val="ro-RO"/>
        </w:rPr>
        <w:t xml:space="preserve">, </w:t>
      </w:r>
      <w:r w:rsidR="0026457E" w:rsidRPr="00434A55">
        <w:rPr>
          <w:rFonts w:ascii="Times New Roman" w:eastAsia="Times New Roman" w:hAnsi="Times New Roman" w:cs="Times New Roman"/>
          <w:sz w:val="28"/>
          <w:szCs w:val="28"/>
          <w:shd w:val="clear" w:color="auto" w:fill="FFFFFF"/>
          <w:lang w:val="ro-RO"/>
        </w:rPr>
        <w:t>fiind</w:t>
      </w:r>
      <w:r w:rsidRPr="00434A55">
        <w:rPr>
          <w:rFonts w:ascii="Times New Roman" w:eastAsia="Times New Roman" w:hAnsi="Times New Roman" w:cs="Times New Roman"/>
          <w:sz w:val="28"/>
          <w:szCs w:val="28"/>
          <w:shd w:val="clear" w:color="auto" w:fill="FFFFFF"/>
          <w:lang w:val="ro-RO"/>
        </w:rPr>
        <w:t xml:space="preserve"> cu </w:t>
      </w:r>
      <w:r w:rsidR="00B74702" w:rsidRPr="00434A55">
        <w:rPr>
          <w:rFonts w:ascii="Times New Roman" w:eastAsia="Times New Roman" w:hAnsi="Times New Roman" w:cs="Times New Roman"/>
          <w:sz w:val="28"/>
          <w:szCs w:val="28"/>
          <w:shd w:val="clear" w:color="auto" w:fill="FFFFFF"/>
          <w:lang w:val="ro-RO"/>
        </w:rPr>
        <w:t>0</w:t>
      </w:r>
      <w:r w:rsidRPr="00434A55">
        <w:rPr>
          <w:rFonts w:ascii="Times New Roman" w:eastAsia="Times New Roman" w:hAnsi="Times New Roman" w:cs="Times New Roman"/>
          <w:sz w:val="28"/>
          <w:szCs w:val="28"/>
          <w:shd w:val="clear" w:color="auto" w:fill="FFFFFF"/>
          <w:lang w:val="ro-RO"/>
        </w:rPr>
        <w:t>,</w:t>
      </w:r>
      <w:r w:rsidR="004C5604">
        <w:rPr>
          <w:rFonts w:ascii="Times New Roman" w:eastAsia="Times New Roman" w:hAnsi="Times New Roman" w:cs="Times New Roman"/>
          <w:sz w:val="28"/>
          <w:szCs w:val="28"/>
          <w:shd w:val="clear" w:color="auto" w:fill="FFFFFF"/>
          <w:lang w:val="ro-RO"/>
        </w:rPr>
        <w:t>6</w:t>
      </w:r>
      <w:r w:rsidRPr="00434A55">
        <w:rPr>
          <w:rFonts w:ascii="Times New Roman" w:eastAsia="Times New Roman" w:hAnsi="Times New Roman" w:cs="Times New Roman"/>
          <w:sz w:val="28"/>
          <w:szCs w:val="28"/>
          <w:shd w:val="clear" w:color="auto" w:fill="FFFFFF"/>
          <w:lang w:val="ro-RO"/>
        </w:rPr>
        <w:t xml:space="preserve"> p.p.</w:t>
      </w:r>
      <w:r w:rsidR="0026457E" w:rsidRPr="00434A55">
        <w:rPr>
          <w:rFonts w:ascii="Times New Roman" w:eastAsia="Times New Roman" w:hAnsi="Times New Roman" w:cs="Times New Roman"/>
          <w:sz w:val="28"/>
          <w:szCs w:val="28"/>
          <w:shd w:val="clear" w:color="auto" w:fill="FFFFFF"/>
          <w:lang w:val="ro-RO"/>
        </w:rPr>
        <w:t xml:space="preserve"> mai </w:t>
      </w:r>
      <w:r w:rsidR="00B74702" w:rsidRPr="00434A55">
        <w:rPr>
          <w:rFonts w:ascii="Times New Roman" w:eastAsia="Times New Roman" w:hAnsi="Times New Roman" w:cs="Times New Roman"/>
          <w:sz w:val="28"/>
          <w:szCs w:val="28"/>
          <w:shd w:val="clear" w:color="auto" w:fill="FFFFFF"/>
          <w:lang w:val="ro-RO"/>
        </w:rPr>
        <w:t>mică</w:t>
      </w:r>
      <w:r w:rsidRPr="00434A55">
        <w:rPr>
          <w:rFonts w:ascii="Times New Roman" w:eastAsia="Times New Roman" w:hAnsi="Times New Roman" w:cs="Times New Roman"/>
          <w:sz w:val="28"/>
          <w:szCs w:val="28"/>
          <w:shd w:val="clear" w:color="auto" w:fill="FFFFFF"/>
          <w:lang w:val="ro-RO"/>
        </w:rPr>
        <w:t xml:space="preserve"> faţă de valoarea înregistrată </w:t>
      </w:r>
      <w:r w:rsidRPr="00434A55">
        <w:rPr>
          <w:rFonts w:ascii="Times New Roman" w:eastAsia="Times New Roman" w:hAnsi="Times New Roman" w:cs="Times New Roman"/>
          <w:sz w:val="28"/>
          <w:szCs w:val="28"/>
          <w:shd w:val="clear" w:color="auto" w:fill="FFFFFF"/>
          <w:lang w:val="ro-RO"/>
        </w:rPr>
        <w:lastRenderedPageBreak/>
        <w:t xml:space="preserve">la </w:t>
      </w:r>
      <w:r w:rsidRPr="004C5604">
        <w:rPr>
          <w:rFonts w:ascii="Times New Roman" w:eastAsia="Times New Roman" w:hAnsi="Times New Roman" w:cs="Times New Roman"/>
          <w:sz w:val="28"/>
          <w:szCs w:val="28"/>
          <w:shd w:val="clear" w:color="auto" w:fill="FFFFFF"/>
          <w:lang w:val="ro-RO"/>
        </w:rPr>
        <w:t>sfîrşitul anului 201</w:t>
      </w:r>
      <w:r w:rsidR="004C5604" w:rsidRPr="004C5604">
        <w:rPr>
          <w:rFonts w:ascii="Times New Roman" w:eastAsia="Times New Roman" w:hAnsi="Times New Roman" w:cs="Times New Roman"/>
          <w:sz w:val="28"/>
          <w:szCs w:val="28"/>
          <w:shd w:val="clear" w:color="auto" w:fill="FFFFFF"/>
          <w:lang w:val="ro-RO"/>
        </w:rPr>
        <w:t>3</w:t>
      </w:r>
      <w:r w:rsidRPr="004C5604">
        <w:rPr>
          <w:rFonts w:ascii="Times New Roman" w:eastAsia="Times New Roman" w:hAnsi="Times New Roman" w:cs="Times New Roman"/>
          <w:sz w:val="28"/>
          <w:szCs w:val="28"/>
          <w:shd w:val="clear" w:color="auto" w:fill="FFFFFF"/>
          <w:lang w:val="ro-RO"/>
        </w:rPr>
        <w:t>.</w:t>
      </w:r>
      <w:r w:rsidRPr="00434A55">
        <w:rPr>
          <w:rFonts w:ascii="Times New Roman" w:eastAsia="Times New Roman" w:hAnsi="Times New Roman" w:cs="Times New Roman"/>
          <w:sz w:val="28"/>
          <w:szCs w:val="28"/>
          <w:shd w:val="clear" w:color="auto" w:fill="FFFFFF"/>
          <w:lang w:val="ro-RO"/>
        </w:rPr>
        <w:t xml:space="preserve"> </w:t>
      </w:r>
      <w:r w:rsidRPr="00AE7810">
        <w:rPr>
          <w:rFonts w:ascii="Times New Roman" w:eastAsia="Times New Roman" w:hAnsi="Times New Roman" w:cs="Times New Roman"/>
          <w:sz w:val="28"/>
          <w:szCs w:val="28"/>
          <w:lang w:val="ro-RO" w:eastAsia="ru-RU"/>
        </w:rPr>
        <w:t xml:space="preserve">Sumele prognozate pentru serviciul datoriei de stat </w:t>
      </w:r>
      <w:r w:rsidR="0026457E" w:rsidRPr="00AE7810">
        <w:rPr>
          <w:rFonts w:ascii="Times New Roman" w:eastAsia="Times New Roman" w:hAnsi="Times New Roman" w:cs="Times New Roman"/>
          <w:sz w:val="28"/>
          <w:szCs w:val="28"/>
          <w:lang w:val="ro-RO" w:eastAsia="ru-RU"/>
        </w:rPr>
        <w:t>vor urma o tendinţ</w:t>
      </w:r>
      <w:r w:rsidR="000F2467">
        <w:rPr>
          <w:rFonts w:ascii="Times New Roman" w:eastAsia="Times New Roman" w:hAnsi="Times New Roman" w:cs="Times New Roman"/>
          <w:sz w:val="28"/>
          <w:szCs w:val="28"/>
          <w:lang w:val="ro-RO" w:eastAsia="ru-RU"/>
        </w:rPr>
        <w:t>ă</w:t>
      </w:r>
      <w:r w:rsidR="0026457E" w:rsidRPr="00AE7810">
        <w:rPr>
          <w:rFonts w:ascii="Times New Roman" w:eastAsia="Times New Roman" w:hAnsi="Times New Roman" w:cs="Times New Roman"/>
          <w:sz w:val="28"/>
          <w:szCs w:val="28"/>
          <w:lang w:val="ro-RO" w:eastAsia="ru-RU"/>
        </w:rPr>
        <w:t xml:space="preserve"> ascendentă în perioada anilor 2014-2016</w:t>
      </w:r>
      <w:r w:rsidRPr="00AE7810">
        <w:rPr>
          <w:rFonts w:ascii="Times New Roman" w:eastAsia="Times New Roman" w:hAnsi="Times New Roman" w:cs="Times New Roman"/>
          <w:sz w:val="28"/>
          <w:szCs w:val="28"/>
          <w:lang w:val="ro-RO" w:eastAsia="ru-RU"/>
        </w:rPr>
        <w:t>.</w:t>
      </w:r>
      <w:r w:rsidRPr="006E6516">
        <w:rPr>
          <w:rFonts w:ascii="Times New Roman" w:eastAsia="Times New Roman" w:hAnsi="Times New Roman" w:cs="Times New Roman"/>
          <w:sz w:val="28"/>
          <w:szCs w:val="28"/>
          <w:lang w:val="ro-RO" w:eastAsia="ru-RU"/>
        </w:rPr>
        <w:t xml:space="preserve"> </w:t>
      </w:r>
    </w:p>
    <w:p w:rsidR="006E6516" w:rsidRPr="006E6516" w:rsidRDefault="00903A83"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903A83">
        <w:rPr>
          <w:rFonts w:ascii="Times New Roman" w:eastAsia="Times New Roman" w:hAnsi="Times New Roman" w:cs="Times New Roman"/>
          <w:sz w:val="28"/>
          <w:szCs w:val="28"/>
          <w:shd w:val="clear" w:color="auto" w:fill="FFFFFF"/>
          <w:lang w:val="ro-RO"/>
        </w:rPr>
        <w:t xml:space="preserve">Necesităţile de finanţare ale </w:t>
      </w:r>
      <w:r w:rsidR="006E6516" w:rsidRPr="00903A83">
        <w:rPr>
          <w:rFonts w:ascii="Times New Roman" w:eastAsia="Times New Roman" w:hAnsi="Times New Roman" w:cs="Times New Roman"/>
          <w:sz w:val="28"/>
          <w:szCs w:val="28"/>
          <w:shd w:val="clear" w:color="auto" w:fill="FFFFFF"/>
          <w:lang w:val="ro-RO"/>
        </w:rPr>
        <w:t>bugetului de stat v</w:t>
      </w:r>
      <w:r w:rsidRPr="00903A83">
        <w:rPr>
          <w:rFonts w:ascii="Times New Roman" w:eastAsia="Times New Roman" w:hAnsi="Times New Roman" w:cs="Times New Roman"/>
          <w:sz w:val="28"/>
          <w:szCs w:val="28"/>
          <w:shd w:val="clear" w:color="auto" w:fill="FFFFFF"/>
          <w:lang w:val="ro-RO"/>
        </w:rPr>
        <w:t>or</w:t>
      </w:r>
      <w:r w:rsidR="006E6516" w:rsidRPr="00903A83">
        <w:rPr>
          <w:rFonts w:ascii="Times New Roman" w:eastAsia="Times New Roman" w:hAnsi="Times New Roman" w:cs="Times New Roman"/>
          <w:sz w:val="28"/>
          <w:szCs w:val="28"/>
          <w:shd w:val="clear" w:color="auto" w:fill="FFFFFF"/>
          <w:lang w:val="ro-RO"/>
        </w:rPr>
        <w:t xml:space="preserve"> fi acoperit</w:t>
      </w:r>
      <w:r w:rsidRPr="00903A83">
        <w:rPr>
          <w:rFonts w:ascii="Times New Roman" w:eastAsia="Times New Roman" w:hAnsi="Times New Roman" w:cs="Times New Roman"/>
          <w:sz w:val="28"/>
          <w:szCs w:val="28"/>
          <w:shd w:val="clear" w:color="auto" w:fill="FFFFFF"/>
          <w:lang w:val="ro-RO"/>
        </w:rPr>
        <w:t>e</w:t>
      </w:r>
      <w:r w:rsidR="006E6516" w:rsidRPr="00903A83">
        <w:rPr>
          <w:rFonts w:ascii="Times New Roman" w:eastAsia="Times New Roman" w:hAnsi="Times New Roman" w:cs="Times New Roman"/>
          <w:sz w:val="28"/>
          <w:szCs w:val="28"/>
          <w:shd w:val="clear" w:color="auto" w:fill="FFFFFF"/>
          <w:lang w:val="ro-RO"/>
        </w:rPr>
        <w:t xml:space="preserve"> în perioada </w:t>
      </w:r>
      <w:r w:rsidRPr="00903A83">
        <w:rPr>
          <w:rFonts w:ascii="Times New Roman" w:eastAsia="Times New Roman" w:hAnsi="Times New Roman" w:cs="Times New Roman"/>
          <w:sz w:val="28"/>
          <w:szCs w:val="28"/>
          <w:shd w:val="clear" w:color="auto" w:fill="FFFFFF"/>
          <w:lang w:val="ro-RO"/>
        </w:rPr>
        <w:t xml:space="preserve">anilor </w:t>
      </w:r>
      <w:r w:rsidR="006E6516" w:rsidRPr="00903A83">
        <w:rPr>
          <w:rFonts w:ascii="Times New Roman" w:eastAsia="Times New Roman" w:hAnsi="Times New Roman" w:cs="Times New Roman"/>
          <w:sz w:val="28"/>
          <w:szCs w:val="28"/>
          <w:shd w:val="clear" w:color="auto" w:fill="FFFFFF"/>
          <w:lang w:val="ro-RO"/>
        </w:rPr>
        <w:t>201</w:t>
      </w:r>
      <w:r w:rsidR="00D5264B" w:rsidRPr="00903A83">
        <w:rPr>
          <w:rFonts w:ascii="Times New Roman" w:eastAsia="Times New Roman" w:hAnsi="Times New Roman" w:cs="Times New Roman"/>
          <w:sz w:val="28"/>
          <w:szCs w:val="28"/>
          <w:shd w:val="clear" w:color="auto" w:fill="FFFFFF"/>
          <w:lang w:val="ro-RO"/>
        </w:rPr>
        <w:t>4</w:t>
      </w:r>
      <w:r w:rsidR="006E6516" w:rsidRPr="00903A83">
        <w:rPr>
          <w:rFonts w:ascii="Times New Roman" w:eastAsia="Times New Roman" w:hAnsi="Times New Roman" w:cs="Times New Roman"/>
          <w:sz w:val="28"/>
          <w:szCs w:val="28"/>
          <w:shd w:val="clear" w:color="auto" w:fill="FFFFFF"/>
          <w:lang w:val="ro-RO"/>
        </w:rPr>
        <w:t>-201</w:t>
      </w:r>
      <w:r w:rsidR="00D5264B" w:rsidRPr="00903A83">
        <w:rPr>
          <w:rFonts w:ascii="Times New Roman" w:eastAsia="Times New Roman" w:hAnsi="Times New Roman" w:cs="Times New Roman"/>
          <w:sz w:val="28"/>
          <w:szCs w:val="28"/>
          <w:shd w:val="clear" w:color="auto" w:fill="FFFFFF"/>
          <w:lang w:val="ro-RO"/>
        </w:rPr>
        <w:t>6</w:t>
      </w:r>
      <w:r w:rsidR="006E6516" w:rsidRPr="00903A83">
        <w:rPr>
          <w:rFonts w:ascii="Times New Roman" w:eastAsia="Times New Roman" w:hAnsi="Times New Roman" w:cs="Times New Roman"/>
          <w:sz w:val="28"/>
          <w:szCs w:val="28"/>
          <w:shd w:val="clear" w:color="auto" w:fill="FFFFFF"/>
          <w:lang w:val="ro-RO"/>
        </w:rPr>
        <w:t xml:space="preserve">, în </w:t>
      </w:r>
      <w:r w:rsidR="00D5264B" w:rsidRPr="00903A83">
        <w:rPr>
          <w:rFonts w:ascii="Times New Roman" w:eastAsia="Times New Roman" w:hAnsi="Times New Roman" w:cs="Times New Roman"/>
          <w:sz w:val="28"/>
          <w:szCs w:val="28"/>
          <w:shd w:val="clear" w:color="auto" w:fill="FFFFFF"/>
          <w:lang w:val="ro-RO"/>
        </w:rPr>
        <w:t>proporţie</w:t>
      </w:r>
      <w:r w:rsidR="006E6516" w:rsidRPr="00903A83">
        <w:rPr>
          <w:rFonts w:ascii="Times New Roman" w:eastAsia="Times New Roman" w:hAnsi="Times New Roman" w:cs="Times New Roman"/>
          <w:sz w:val="28"/>
          <w:szCs w:val="28"/>
          <w:shd w:val="clear" w:color="auto" w:fill="FFFFFF"/>
          <w:lang w:val="ro-RO"/>
        </w:rPr>
        <w:t xml:space="preserve"> </w:t>
      </w:r>
      <w:r w:rsidR="00492E37" w:rsidRPr="00903A83">
        <w:rPr>
          <w:rFonts w:ascii="Times New Roman" w:eastAsia="Times New Roman" w:hAnsi="Times New Roman" w:cs="Times New Roman"/>
          <w:sz w:val="28"/>
          <w:szCs w:val="28"/>
          <w:shd w:val="clear" w:color="auto" w:fill="FFFFFF"/>
          <w:lang w:val="ro-RO"/>
        </w:rPr>
        <w:t xml:space="preserve">de </w:t>
      </w:r>
      <w:r w:rsidRPr="00903A83">
        <w:rPr>
          <w:rFonts w:ascii="Times New Roman" w:eastAsia="Times New Roman" w:hAnsi="Times New Roman" w:cs="Times New Roman"/>
          <w:sz w:val="28"/>
          <w:szCs w:val="28"/>
          <w:shd w:val="clear" w:color="auto" w:fill="FFFFFF"/>
          <w:lang w:val="ro-RO"/>
        </w:rPr>
        <w:t>aproximativ</w:t>
      </w:r>
      <w:r w:rsidR="00492E37" w:rsidRPr="00903A83">
        <w:rPr>
          <w:rFonts w:ascii="Times New Roman" w:eastAsia="Times New Roman" w:hAnsi="Times New Roman" w:cs="Times New Roman"/>
          <w:sz w:val="28"/>
          <w:szCs w:val="28"/>
          <w:shd w:val="clear" w:color="auto" w:fill="FFFFFF"/>
          <w:lang w:val="ro-RO"/>
        </w:rPr>
        <w:t xml:space="preserve"> 8</w:t>
      </w:r>
      <w:r w:rsidRPr="00903A83">
        <w:rPr>
          <w:rFonts w:ascii="Times New Roman" w:eastAsia="Times New Roman" w:hAnsi="Times New Roman" w:cs="Times New Roman"/>
          <w:sz w:val="28"/>
          <w:szCs w:val="28"/>
          <w:shd w:val="clear" w:color="auto" w:fill="FFFFFF"/>
          <w:lang w:val="ro-RO"/>
        </w:rPr>
        <w:t>6,5</w:t>
      </w:r>
      <w:r w:rsidR="00492E37" w:rsidRPr="00903A83">
        <w:rPr>
          <w:rFonts w:ascii="Times New Roman" w:eastAsia="Times New Roman" w:hAnsi="Times New Roman" w:cs="Times New Roman"/>
          <w:sz w:val="28"/>
          <w:szCs w:val="28"/>
          <w:shd w:val="clear" w:color="auto" w:fill="FFFFFF"/>
          <w:lang w:val="ro-RO"/>
        </w:rPr>
        <w:t xml:space="preserve"> la sută anual</w:t>
      </w:r>
      <w:r w:rsidR="006E6516" w:rsidRPr="00903A83">
        <w:rPr>
          <w:rFonts w:ascii="Times New Roman" w:eastAsia="Times New Roman" w:hAnsi="Times New Roman" w:cs="Times New Roman"/>
          <w:sz w:val="28"/>
          <w:szCs w:val="28"/>
          <w:shd w:val="clear" w:color="auto" w:fill="FFFFFF"/>
          <w:lang w:val="ro-RO"/>
        </w:rPr>
        <w:t xml:space="preserve"> din surse externe. </w:t>
      </w:r>
      <w:r w:rsidR="006E6516" w:rsidRPr="000F2467">
        <w:rPr>
          <w:rFonts w:ascii="Times New Roman" w:eastAsia="Times New Roman" w:hAnsi="Times New Roman" w:cs="Times New Roman"/>
          <w:sz w:val="28"/>
          <w:szCs w:val="28"/>
          <w:shd w:val="clear" w:color="auto" w:fill="FFFFFF"/>
          <w:lang w:val="ro-RO"/>
        </w:rPr>
        <w:t>Împrumuturile de stat externe primite vor fi în proporţie de 9</w:t>
      </w:r>
      <w:r w:rsidR="000F2467" w:rsidRPr="000F2467">
        <w:rPr>
          <w:rFonts w:ascii="Times New Roman" w:eastAsia="Times New Roman" w:hAnsi="Times New Roman" w:cs="Times New Roman"/>
          <w:sz w:val="28"/>
          <w:szCs w:val="28"/>
          <w:shd w:val="clear" w:color="auto" w:fill="FFFFFF"/>
          <w:lang w:val="ro-RO"/>
        </w:rPr>
        <w:t>3</w:t>
      </w:r>
      <w:r w:rsidR="006E6516" w:rsidRPr="000F2467">
        <w:rPr>
          <w:rFonts w:ascii="Times New Roman" w:eastAsia="Times New Roman" w:hAnsi="Times New Roman" w:cs="Times New Roman"/>
          <w:sz w:val="28"/>
          <w:szCs w:val="28"/>
          <w:shd w:val="clear" w:color="auto" w:fill="FFFFFF"/>
          <w:lang w:val="ro-RO"/>
        </w:rPr>
        <w:t>,</w:t>
      </w:r>
      <w:r w:rsidR="000F2467" w:rsidRPr="000F2467">
        <w:rPr>
          <w:rFonts w:ascii="Times New Roman" w:eastAsia="Times New Roman" w:hAnsi="Times New Roman" w:cs="Times New Roman"/>
          <w:sz w:val="28"/>
          <w:szCs w:val="28"/>
          <w:shd w:val="clear" w:color="auto" w:fill="FFFFFF"/>
          <w:lang w:val="ro-RO"/>
        </w:rPr>
        <w:t>8</w:t>
      </w:r>
      <w:r w:rsidR="006E6516" w:rsidRPr="000F2467">
        <w:rPr>
          <w:rFonts w:ascii="Times New Roman" w:eastAsia="Times New Roman" w:hAnsi="Times New Roman" w:cs="Times New Roman"/>
          <w:sz w:val="28"/>
          <w:szCs w:val="28"/>
          <w:shd w:val="clear" w:color="auto" w:fill="FFFFFF"/>
          <w:lang w:val="ro-RO"/>
        </w:rPr>
        <w:t xml:space="preserve"> la sută de la instituţiile multilaterale. Finanţarea internă netă va urma o tendinţă </w:t>
      </w:r>
      <w:r w:rsidR="00807D38" w:rsidRPr="000F2467">
        <w:rPr>
          <w:rFonts w:ascii="Times New Roman" w:eastAsia="Times New Roman" w:hAnsi="Times New Roman" w:cs="Times New Roman"/>
          <w:sz w:val="28"/>
          <w:szCs w:val="28"/>
          <w:shd w:val="clear" w:color="auto" w:fill="FFFFFF"/>
          <w:lang w:val="ro-RO"/>
        </w:rPr>
        <w:t xml:space="preserve">în general </w:t>
      </w:r>
      <w:r w:rsidR="006E6516" w:rsidRPr="000F2467">
        <w:rPr>
          <w:rFonts w:ascii="Times New Roman" w:eastAsia="Times New Roman" w:hAnsi="Times New Roman" w:cs="Times New Roman"/>
          <w:sz w:val="28"/>
          <w:szCs w:val="28"/>
          <w:shd w:val="clear" w:color="auto" w:fill="FFFFFF"/>
          <w:lang w:val="ro-RO"/>
        </w:rPr>
        <w:t>descendentă în perioada 201</w:t>
      </w:r>
      <w:r w:rsidR="00807D38" w:rsidRPr="000F2467">
        <w:rPr>
          <w:rFonts w:ascii="Times New Roman" w:eastAsia="Times New Roman" w:hAnsi="Times New Roman" w:cs="Times New Roman"/>
          <w:sz w:val="28"/>
          <w:szCs w:val="28"/>
          <w:shd w:val="clear" w:color="auto" w:fill="FFFFFF"/>
          <w:lang w:val="ro-RO"/>
        </w:rPr>
        <w:t>4</w:t>
      </w:r>
      <w:r w:rsidR="006E6516" w:rsidRPr="000F2467">
        <w:rPr>
          <w:rFonts w:ascii="Times New Roman" w:eastAsia="Times New Roman" w:hAnsi="Times New Roman" w:cs="Times New Roman"/>
          <w:sz w:val="28"/>
          <w:szCs w:val="28"/>
          <w:shd w:val="clear" w:color="auto" w:fill="FFFFFF"/>
          <w:lang w:val="ro-RO"/>
        </w:rPr>
        <w:t>-201</w:t>
      </w:r>
      <w:r w:rsidR="00807D38" w:rsidRPr="000F2467">
        <w:rPr>
          <w:rFonts w:ascii="Times New Roman" w:eastAsia="Times New Roman" w:hAnsi="Times New Roman" w:cs="Times New Roman"/>
          <w:sz w:val="28"/>
          <w:szCs w:val="28"/>
          <w:shd w:val="clear" w:color="auto" w:fill="FFFFFF"/>
          <w:lang w:val="ro-RO"/>
        </w:rPr>
        <w:t>6</w:t>
      </w:r>
      <w:r w:rsidR="006E6516" w:rsidRPr="000F2467">
        <w:rPr>
          <w:rFonts w:ascii="Times New Roman" w:eastAsia="Times New Roman" w:hAnsi="Times New Roman" w:cs="Times New Roman"/>
          <w:sz w:val="28"/>
          <w:szCs w:val="28"/>
          <w:shd w:val="clear" w:color="auto" w:fill="FFFFFF"/>
          <w:lang w:val="ro-RO"/>
        </w:rPr>
        <w:t xml:space="preserve">, principalele instrumente fiind valorile mobiliare de stat emise </w:t>
      </w:r>
      <w:r w:rsidR="000F2467" w:rsidRPr="000F2467">
        <w:rPr>
          <w:rFonts w:ascii="Times New Roman" w:eastAsia="Times New Roman" w:hAnsi="Times New Roman" w:cs="Times New Roman"/>
          <w:sz w:val="28"/>
          <w:szCs w:val="28"/>
          <w:shd w:val="clear" w:color="auto" w:fill="FFFFFF"/>
          <w:lang w:val="ro-RO"/>
        </w:rPr>
        <w:t>prin licitaţii</w:t>
      </w:r>
      <w:r w:rsidR="006E6516" w:rsidRPr="000F2467">
        <w:rPr>
          <w:rFonts w:ascii="Times New Roman" w:eastAsia="Times New Roman" w:hAnsi="Times New Roman" w:cs="Times New Roman"/>
          <w:sz w:val="28"/>
          <w:szCs w:val="28"/>
          <w:lang w:val="ro-RO" w:eastAsia="ru-RU"/>
        </w:rPr>
        <w:t>.</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Privitor la riscurile aferente portofoliului datoriei de stat, cea mai mare expunere este faţă de riscurile de pi</w:t>
      </w:r>
      <w:r w:rsidR="00EC6C53">
        <w:rPr>
          <w:rFonts w:ascii="Times New Roman" w:eastAsia="Times New Roman" w:hAnsi="Times New Roman" w:cs="Times New Roman"/>
          <w:sz w:val="28"/>
          <w:szCs w:val="28"/>
          <w:shd w:val="clear" w:color="auto" w:fill="FFFFFF"/>
          <w:lang w:val="ro-RO"/>
        </w:rPr>
        <w:t xml:space="preserve">aţă, şi anume riscul valutar, </w:t>
      </w:r>
      <w:r w:rsidRPr="006E6516">
        <w:rPr>
          <w:rFonts w:ascii="Times New Roman" w:eastAsia="Times New Roman" w:hAnsi="Times New Roman" w:cs="Times New Roman"/>
          <w:sz w:val="28"/>
          <w:szCs w:val="28"/>
          <w:shd w:val="clear" w:color="auto" w:fill="FFFFFF"/>
          <w:lang w:val="ro-RO"/>
        </w:rPr>
        <w:t>riscul de refinanţare</w:t>
      </w:r>
      <w:r w:rsidR="00EC6C53">
        <w:rPr>
          <w:rFonts w:ascii="Times New Roman" w:eastAsia="Times New Roman" w:hAnsi="Times New Roman" w:cs="Times New Roman"/>
          <w:sz w:val="28"/>
          <w:szCs w:val="28"/>
          <w:shd w:val="clear" w:color="auto" w:fill="FFFFFF"/>
          <w:lang w:val="ro-RO"/>
        </w:rPr>
        <w:t xml:space="preserve"> şi riscul ratei de dobîndă</w:t>
      </w:r>
      <w:r w:rsidRPr="006E6516">
        <w:rPr>
          <w:rFonts w:ascii="Times New Roman" w:eastAsia="Times New Roman" w:hAnsi="Times New Roman" w:cs="Times New Roman"/>
          <w:sz w:val="28"/>
          <w:szCs w:val="28"/>
          <w:shd w:val="clear" w:color="auto" w:fill="FFFFFF"/>
          <w:lang w:val="ro-RO"/>
        </w:rPr>
        <w:t xml:space="preserve">. Expunerea faţă de riscul valutar se datorează faptului că </w:t>
      </w:r>
      <w:r w:rsidR="000B349E">
        <w:rPr>
          <w:rFonts w:ascii="Times New Roman" w:eastAsia="Times New Roman" w:hAnsi="Times New Roman" w:cs="Times New Roman"/>
          <w:sz w:val="28"/>
          <w:szCs w:val="28"/>
          <w:shd w:val="clear" w:color="auto" w:fill="FFFFFF"/>
          <w:lang w:val="ro-RO"/>
        </w:rPr>
        <w:t>peste</w:t>
      </w:r>
      <w:r w:rsidRPr="006E6516">
        <w:rPr>
          <w:rFonts w:ascii="Times New Roman" w:eastAsia="Times New Roman" w:hAnsi="Times New Roman" w:cs="Times New Roman"/>
          <w:sz w:val="28"/>
          <w:szCs w:val="28"/>
          <w:shd w:val="clear" w:color="auto" w:fill="FFFFFF"/>
          <w:lang w:val="ro-RO"/>
        </w:rPr>
        <w:t xml:space="preserve"> 70 la sută din datoria de stat este în valută străină. Cu toate astea, optimizarea riscului valutar se efectuează prin diversificarea valutelor care intră în componenţa datoriei de stat externe. </w:t>
      </w:r>
    </w:p>
    <w:p w:rsid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 xml:space="preserve">Expunerea faţă de riscul de refinanţare se datorează faptului că datoria de stat internă este preponderent pe termen scurt, perioada medie de maturitate a datoriei de stat interne fiind de </w:t>
      </w:r>
      <w:r w:rsidRPr="00EF6840">
        <w:rPr>
          <w:rFonts w:ascii="Times New Roman" w:eastAsia="Times New Roman" w:hAnsi="Times New Roman" w:cs="Times New Roman"/>
          <w:sz w:val="28"/>
          <w:szCs w:val="28"/>
          <w:shd w:val="clear" w:color="auto" w:fill="FFFFFF"/>
          <w:lang w:val="ro-RO"/>
        </w:rPr>
        <w:t>0,</w:t>
      </w:r>
      <w:r w:rsidR="00EF6840" w:rsidRPr="00EF6840">
        <w:rPr>
          <w:rFonts w:ascii="Times New Roman" w:eastAsia="Times New Roman" w:hAnsi="Times New Roman" w:cs="Times New Roman"/>
          <w:sz w:val="28"/>
          <w:szCs w:val="28"/>
          <w:shd w:val="clear" w:color="auto" w:fill="FFFFFF"/>
          <w:lang w:val="ro-RO"/>
        </w:rPr>
        <w:t>5</w:t>
      </w:r>
      <w:r w:rsidRPr="00EF6840">
        <w:rPr>
          <w:rFonts w:ascii="Times New Roman" w:eastAsia="Times New Roman" w:hAnsi="Times New Roman" w:cs="Times New Roman"/>
          <w:sz w:val="28"/>
          <w:szCs w:val="28"/>
          <w:shd w:val="clear" w:color="auto" w:fill="FFFFFF"/>
          <w:lang w:val="ro-RO"/>
        </w:rPr>
        <w:t xml:space="preserve"> ani</w:t>
      </w:r>
      <w:r w:rsidR="000872FC" w:rsidRPr="00EF6840">
        <w:rPr>
          <w:rFonts w:ascii="Times New Roman" w:eastAsia="Times New Roman" w:hAnsi="Times New Roman" w:cs="Times New Roman"/>
          <w:sz w:val="28"/>
          <w:szCs w:val="28"/>
          <w:shd w:val="clear" w:color="auto" w:fill="FFFFFF"/>
          <w:lang w:val="ro-RO"/>
        </w:rPr>
        <w:t xml:space="preserve"> la sfîrşitul anului 201</w:t>
      </w:r>
      <w:r w:rsidR="00EF6840" w:rsidRPr="00EF6840">
        <w:rPr>
          <w:rFonts w:ascii="Times New Roman" w:eastAsia="Times New Roman" w:hAnsi="Times New Roman" w:cs="Times New Roman"/>
          <w:sz w:val="28"/>
          <w:szCs w:val="28"/>
          <w:shd w:val="clear" w:color="auto" w:fill="FFFFFF"/>
          <w:lang w:val="ro-RO"/>
        </w:rPr>
        <w:t>3</w:t>
      </w:r>
      <w:r w:rsidRPr="006E6516">
        <w:rPr>
          <w:rFonts w:ascii="Times New Roman" w:eastAsia="Times New Roman" w:hAnsi="Times New Roman" w:cs="Times New Roman"/>
          <w:sz w:val="28"/>
          <w:szCs w:val="28"/>
          <w:shd w:val="clear" w:color="auto" w:fill="FFFFFF"/>
          <w:lang w:val="ro-RO"/>
        </w:rPr>
        <w:t xml:space="preserve">.  </w:t>
      </w:r>
    </w:p>
    <w:p w:rsidR="00DD5D0F" w:rsidRPr="006E6516" w:rsidRDefault="00DD5D0F"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C30561">
        <w:rPr>
          <w:rFonts w:ascii="Times New Roman" w:eastAsia="Times New Roman" w:hAnsi="Times New Roman" w:cs="Times New Roman"/>
          <w:sz w:val="28"/>
          <w:szCs w:val="28"/>
          <w:shd w:val="clear" w:color="auto" w:fill="FFFFFF"/>
          <w:lang w:val="ro-RO"/>
        </w:rPr>
        <w:t>Expunerea faţă de riscul ratei de dobîndă se datorează îndeosebi</w:t>
      </w:r>
      <w:r w:rsidRPr="00C30561">
        <w:rPr>
          <w:rFonts w:ascii="Times New Roman" w:eastAsia="Times New Roman" w:hAnsi="Times New Roman" w:cs="Times New Roman"/>
          <w:bCs/>
          <w:sz w:val="28"/>
          <w:szCs w:val="28"/>
          <w:lang w:val="ro-RO" w:eastAsia="ru-RU"/>
        </w:rPr>
        <w:t xml:space="preserve"> datoriei de stat interne, care în proporţie de pe</w:t>
      </w:r>
      <w:r w:rsidRPr="00C23A54">
        <w:rPr>
          <w:rFonts w:ascii="Times New Roman" w:eastAsia="Times New Roman" w:hAnsi="Times New Roman" w:cs="Times New Roman"/>
          <w:bCs/>
          <w:sz w:val="28"/>
          <w:szCs w:val="28"/>
          <w:lang w:val="ro-RO" w:eastAsia="ru-RU"/>
        </w:rPr>
        <w:t>ste 9</w:t>
      </w:r>
      <w:r w:rsidR="00E1476B" w:rsidRPr="00C23A54">
        <w:rPr>
          <w:rFonts w:ascii="Times New Roman" w:eastAsia="Times New Roman" w:hAnsi="Times New Roman" w:cs="Times New Roman"/>
          <w:bCs/>
          <w:sz w:val="28"/>
          <w:szCs w:val="28"/>
          <w:lang w:val="ro-RO" w:eastAsia="ru-RU"/>
        </w:rPr>
        <w:t>5</w:t>
      </w:r>
      <w:r w:rsidRPr="00C23A54">
        <w:rPr>
          <w:rFonts w:ascii="Times New Roman" w:eastAsia="Times New Roman" w:hAnsi="Times New Roman" w:cs="Times New Roman"/>
          <w:bCs/>
          <w:sz w:val="28"/>
          <w:szCs w:val="28"/>
          <w:lang w:val="ro-RO" w:eastAsia="ru-RU"/>
        </w:rPr>
        <w:t xml:space="preserve"> la sută urmează să fie refixată la rate noi de dobîndă în decurs de </w:t>
      </w:r>
      <w:r w:rsidR="00030386" w:rsidRPr="00C23A54">
        <w:rPr>
          <w:rFonts w:ascii="Times New Roman" w:eastAsia="Times New Roman" w:hAnsi="Times New Roman" w:cs="Times New Roman"/>
          <w:bCs/>
          <w:sz w:val="28"/>
          <w:szCs w:val="28"/>
          <w:lang w:val="ro-RO" w:eastAsia="ru-RU"/>
        </w:rPr>
        <w:t>un</w:t>
      </w:r>
      <w:r w:rsidRPr="00C23A54">
        <w:rPr>
          <w:rFonts w:ascii="Times New Roman" w:eastAsia="Times New Roman" w:hAnsi="Times New Roman" w:cs="Times New Roman"/>
          <w:bCs/>
          <w:sz w:val="28"/>
          <w:szCs w:val="28"/>
          <w:lang w:val="ro-RO" w:eastAsia="ru-RU"/>
        </w:rPr>
        <w:t xml:space="preserve"> an.</w:t>
      </w:r>
    </w:p>
    <w:p w:rsidR="006E6516" w:rsidRPr="006E6516" w:rsidRDefault="006E6516" w:rsidP="006E6516">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6E6516">
        <w:rPr>
          <w:rFonts w:ascii="Times New Roman" w:eastAsia="Times New Roman" w:hAnsi="Times New Roman" w:cs="Times New Roman"/>
          <w:sz w:val="28"/>
          <w:szCs w:val="28"/>
          <w:shd w:val="clear" w:color="auto" w:fill="FFFFFF"/>
          <w:lang w:val="ro-RO"/>
        </w:rPr>
        <w:t xml:space="preserve">În vederea monitorizării continue a riscurilor </w:t>
      </w:r>
      <w:r w:rsidRPr="006E6516">
        <w:rPr>
          <w:rFonts w:ascii="Times New Roman" w:eastAsia="Times New Roman" w:hAnsi="Times New Roman" w:cs="Times New Roman"/>
          <w:sz w:val="28"/>
          <w:szCs w:val="28"/>
          <w:lang w:val="ro-RO" w:eastAsia="ru-RU"/>
        </w:rPr>
        <w:t xml:space="preserve">şi evitării expunerii majore a portofoliului datoriei de stat faţă de anumite tipuri de risc, au fost stabiliţi </w:t>
      </w:r>
      <w:r w:rsidRPr="000B349E">
        <w:rPr>
          <w:rFonts w:ascii="Times New Roman" w:eastAsia="Times New Roman" w:hAnsi="Times New Roman" w:cs="Times New Roman"/>
          <w:i/>
          <w:sz w:val="28"/>
          <w:szCs w:val="28"/>
          <w:lang w:val="ro-RO" w:eastAsia="ru-RU"/>
        </w:rPr>
        <w:t>parametri de risc</w:t>
      </w:r>
      <w:r w:rsidRPr="006E6516">
        <w:rPr>
          <w:rFonts w:ascii="Times New Roman" w:eastAsia="Times New Roman" w:hAnsi="Times New Roman" w:cs="Times New Roman"/>
          <w:sz w:val="28"/>
          <w:szCs w:val="28"/>
          <w:lang w:val="ro-RO" w:eastAsia="ru-RU"/>
        </w:rPr>
        <w:t xml:space="preserve"> reieşind din structura curentă a portofoliului datoriei de stat. În funcţie de evoluţia acestora, structura portofoliului datoriei de stat urmează a fi ajustată cu ajutorul instrumentelor relevante ale datoriei de stat. Devieri minore de la limitele propuse sînt permise în cazul în care aceste devieri nu cauzează riscuri financiare adiţionale.</w:t>
      </w:r>
    </w:p>
    <w:p w:rsidR="006E6516" w:rsidRPr="006E6516" w:rsidRDefault="006E6516" w:rsidP="006E6516">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0"/>
        <w:gridCol w:w="1276"/>
      </w:tblGrid>
      <w:tr w:rsidR="006E6516" w:rsidRPr="006E6516" w:rsidTr="000B349E">
        <w:trPr>
          <w:trHeight w:val="135"/>
        </w:trPr>
        <w:tc>
          <w:tcPr>
            <w:tcW w:w="8080" w:type="dxa"/>
            <w:tcBorders>
              <w:top w:val="single" w:sz="4" w:space="0" w:color="17365D"/>
              <w:bottom w:val="single" w:sz="4" w:space="0" w:color="17365D"/>
              <w:right w:val="single" w:sz="4" w:space="0" w:color="17365D"/>
            </w:tcBorders>
          </w:tcPr>
          <w:p w:rsidR="006E6516" w:rsidRPr="000B349E" w:rsidRDefault="006E6516" w:rsidP="000B349E">
            <w:pPr>
              <w:spacing w:after="0" w:line="240" w:lineRule="auto"/>
              <w:jc w:val="center"/>
              <w:rPr>
                <w:rFonts w:ascii="Times New Roman" w:eastAsia="Times New Roman" w:hAnsi="Times New Roman" w:cs="Times New Roman"/>
                <w:b/>
                <w:sz w:val="24"/>
                <w:szCs w:val="24"/>
                <w:lang w:val="ro-RO" w:eastAsia="ru-RU"/>
              </w:rPr>
            </w:pPr>
            <w:r w:rsidRPr="000B349E">
              <w:rPr>
                <w:rFonts w:ascii="Times New Roman" w:eastAsia="Times New Roman" w:hAnsi="Times New Roman" w:cs="Times New Roman"/>
                <w:b/>
                <w:sz w:val="24"/>
                <w:szCs w:val="24"/>
                <w:lang w:val="ro-RO" w:eastAsia="ru-RU"/>
              </w:rPr>
              <w:t>Parametrii de risc pentru perioada anilor 201</w:t>
            </w:r>
            <w:r w:rsidR="000B349E">
              <w:rPr>
                <w:rFonts w:ascii="Times New Roman" w:eastAsia="Times New Roman" w:hAnsi="Times New Roman" w:cs="Times New Roman"/>
                <w:b/>
                <w:sz w:val="24"/>
                <w:szCs w:val="24"/>
                <w:lang w:val="ro-RO" w:eastAsia="ru-RU"/>
              </w:rPr>
              <w:t>4</w:t>
            </w:r>
            <w:r w:rsidRPr="000B349E">
              <w:rPr>
                <w:rFonts w:ascii="Times New Roman" w:eastAsia="Times New Roman" w:hAnsi="Times New Roman" w:cs="Times New Roman"/>
                <w:b/>
                <w:sz w:val="24"/>
                <w:szCs w:val="24"/>
                <w:lang w:val="ro-RO" w:eastAsia="ru-RU"/>
              </w:rPr>
              <w:t>-201</w:t>
            </w:r>
            <w:r w:rsidR="000B349E">
              <w:rPr>
                <w:rFonts w:ascii="Times New Roman" w:eastAsia="Times New Roman" w:hAnsi="Times New Roman" w:cs="Times New Roman"/>
                <w:b/>
                <w:sz w:val="24"/>
                <w:szCs w:val="24"/>
                <w:lang w:val="ro-RO" w:eastAsia="ru-RU"/>
              </w:rPr>
              <w:t>6</w:t>
            </w:r>
          </w:p>
        </w:tc>
        <w:tc>
          <w:tcPr>
            <w:tcW w:w="1276" w:type="dxa"/>
            <w:tcBorders>
              <w:top w:val="single" w:sz="4" w:space="0" w:color="17365D"/>
              <w:left w:val="single" w:sz="4" w:space="0" w:color="17365D"/>
              <w:bottom w:val="single" w:sz="4" w:space="0" w:color="17365D"/>
              <w:right w:val="single" w:sz="4" w:space="0" w:color="17365D"/>
            </w:tcBorders>
            <w:vAlign w:val="center"/>
          </w:tcPr>
          <w:p w:rsidR="006E6516" w:rsidRPr="000B349E" w:rsidRDefault="006E6516" w:rsidP="006E6516">
            <w:pPr>
              <w:spacing w:after="0" w:line="240" w:lineRule="auto"/>
              <w:jc w:val="center"/>
              <w:rPr>
                <w:rFonts w:ascii="Times New Roman" w:eastAsia="Times New Roman" w:hAnsi="Times New Roman" w:cs="Times New Roman"/>
                <w:b/>
                <w:sz w:val="24"/>
                <w:szCs w:val="24"/>
                <w:lang w:val="ro-RO" w:eastAsia="ru-RU"/>
              </w:rPr>
            </w:pPr>
            <w:r w:rsidRPr="000B349E">
              <w:rPr>
                <w:rFonts w:ascii="Times New Roman" w:eastAsia="Times New Roman" w:hAnsi="Times New Roman" w:cs="Times New Roman"/>
                <w:b/>
                <w:sz w:val="24"/>
                <w:szCs w:val="24"/>
                <w:lang w:val="ro-RO" w:eastAsia="ru-RU"/>
              </w:rPr>
              <w:t>Valoarea</w:t>
            </w:r>
          </w:p>
        </w:tc>
      </w:tr>
      <w:tr w:rsidR="006E6516" w:rsidRPr="006E6516" w:rsidTr="000B349E">
        <w:trPr>
          <w:trHeight w:val="135"/>
        </w:trPr>
        <w:tc>
          <w:tcPr>
            <w:tcW w:w="8080" w:type="dxa"/>
            <w:tcBorders>
              <w:top w:val="single" w:sz="4" w:space="0" w:color="17365D"/>
              <w:bottom w:val="single" w:sz="4" w:space="0" w:color="17365D"/>
              <w:right w:val="single" w:sz="4" w:space="0" w:color="17365D"/>
            </w:tcBorders>
          </w:tcPr>
          <w:p w:rsidR="006E6516" w:rsidRPr="006E6516" w:rsidRDefault="006E6516" w:rsidP="006E6516">
            <w:pPr>
              <w:spacing w:after="0" w:line="240" w:lineRule="auto"/>
              <w:jc w:val="both"/>
              <w:rPr>
                <w:rFonts w:ascii="Times New Roman" w:eastAsia="Times New Roman" w:hAnsi="Times New Roman" w:cs="Times New Roman"/>
                <w:sz w:val="24"/>
                <w:szCs w:val="24"/>
                <w:lang w:val="ro-RO" w:eastAsia="ru-RU"/>
              </w:rPr>
            </w:pPr>
            <w:r w:rsidRPr="006E6516">
              <w:rPr>
                <w:rFonts w:ascii="Times New Roman" w:eastAsia="Times New Roman" w:hAnsi="Times New Roman" w:cs="Times New Roman"/>
                <w:sz w:val="24"/>
                <w:szCs w:val="24"/>
                <w:lang w:val="ro-RO" w:eastAsia="ru-RU"/>
              </w:rPr>
              <w:t>Ponderea datoriei de stat scadentă în decurs de un an în total datorie de stat</w:t>
            </w:r>
          </w:p>
        </w:tc>
        <w:tc>
          <w:tcPr>
            <w:tcW w:w="1276" w:type="dxa"/>
            <w:tcBorders>
              <w:top w:val="single" w:sz="4" w:space="0" w:color="17365D"/>
              <w:left w:val="single" w:sz="4" w:space="0" w:color="17365D"/>
              <w:bottom w:val="single" w:sz="4" w:space="0" w:color="17365D"/>
              <w:right w:val="single" w:sz="4" w:space="0" w:color="17365D"/>
            </w:tcBorders>
            <w:vAlign w:val="center"/>
          </w:tcPr>
          <w:p w:rsidR="006E6516" w:rsidRPr="006E6516" w:rsidRDefault="006A788E" w:rsidP="000B349E">
            <w:pPr>
              <w:spacing w:after="0" w:line="240" w:lineRule="auto"/>
              <w:jc w:val="center"/>
              <w:rPr>
                <w:rFonts w:ascii="Times New Roman" w:eastAsia="Times New Roman" w:hAnsi="Times New Roman" w:cs="Times New Roman"/>
                <w:sz w:val="24"/>
                <w:szCs w:val="24"/>
                <w:lang w:val="ro-RO" w:eastAsia="ru-RU"/>
              </w:rPr>
            </w:pPr>
            <w:r w:rsidRPr="006A788E">
              <w:rPr>
                <w:rFonts w:ascii="Times New Roman" w:eastAsia="Times New Roman" w:hAnsi="Times New Roman" w:cs="Times New Roman"/>
                <w:sz w:val="24"/>
                <w:szCs w:val="24"/>
                <w:lang w:val="ro-RO" w:eastAsia="ru-RU"/>
              </w:rPr>
              <w:t xml:space="preserve">≤ </w:t>
            </w:r>
            <w:r w:rsidR="006E6516" w:rsidRPr="006A788E">
              <w:rPr>
                <w:rFonts w:ascii="Times New Roman" w:eastAsia="Times New Roman" w:hAnsi="Times New Roman" w:cs="Times New Roman"/>
                <w:sz w:val="24"/>
                <w:szCs w:val="24"/>
                <w:lang w:val="ro-RO" w:eastAsia="ru-RU"/>
              </w:rPr>
              <w:t>35%</w:t>
            </w:r>
          </w:p>
        </w:tc>
      </w:tr>
      <w:tr w:rsidR="006E6516" w:rsidRPr="006E6516" w:rsidTr="00F33A99">
        <w:trPr>
          <w:trHeight w:val="60"/>
        </w:trPr>
        <w:tc>
          <w:tcPr>
            <w:tcW w:w="8080" w:type="dxa"/>
            <w:tcBorders>
              <w:top w:val="single" w:sz="4" w:space="0" w:color="17365D"/>
              <w:bottom w:val="single" w:sz="4" w:space="0" w:color="17365D"/>
              <w:right w:val="single" w:sz="4" w:space="0" w:color="17365D"/>
            </w:tcBorders>
          </w:tcPr>
          <w:p w:rsidR="006E6516" w:rsidRPr="006E6516" w:rsidRDefault="006E6516" w:rsidP="006E6516">
            <w:pPr>
              <w:spacing w:after="0" w:line="240" w:lineRule="auto"/>
              <w:jc w:val="both"/>
              <w:rPr>
                <w:rFonts w:ascii="Times New Roman" w:eastAsia="Times New Roman" w:hAnsi="Times New Roman" w:cs="Times New Roman"/>
                <w:sz w:val="24"/>
                <w:szCs w:val="24"/>
                <w:lang w:val="ro-RO" w:eastAsia="ru-RU"/>
              </w:rPr>
            </w:pPr>
            <w:r w:rsidRPr="006E6516">
              <w:rPr>
                <w:rFonts w:ascii="Times New Roman" w:eastAsia="Times New Roman" w:hAnsi="Times New Roman" w:cs="Times New Roman"/>
                <w:sz w:val="24"/>
                <w:szCs w:val="24"/>
                <w:lang w:val="ro-RO" w:eastAsia="ru-RU"/>
              </w:rPr>
              <w:t>Ponderea datoriei de stat interne în total datorie de stat</w:t>
            </w:r>
          </w:p>
        </w:tc>
        <w:tc>
          <w:tcPr>
            <w:tcW w:w="1276" w:type="dxa"/>
            <w:tcBorders>
              <w:top w:val="single" w:sz="4" w:space="0" w:color="17365D"/>
              <w:left w:val="single" w:sz="4" w:space="0" w:color="17365D"/>
              <w:bottom w:val="single" w:sz="4" w:space="0" w:color="17365D"/>
              <w:right w:val="single" w:sz="4" w:space="0" w:color="17365D"/>
            </w:tcBorders>
            <w:vAlign w:val="center"/>
          </w:tcPr>
          <w:p w:rsidR="006E6516" w:rsidRPr="006E6516" w:rsidRDefault="006E6516" w:rsidP="000B349E">
            <w:pPr>
              <w:spacing w:after="0" w:line="240" w:lineRule="auto"/>
              <w:jc w:val="center"/>
              <w:rPr>
                <w:rFonts w:ascii="Times New Roman" w:eastAsia="Times New Roman" w:hAnsi="Times New Roman" w:cs="Times New Roman"/>
                <w:sz w:val="24"/>
                <w:szCs w:val="24"/>
                <w:lang w:val="ro-RO" w:eastAsia="ru-RU"/>
              </w:rPr>
            </w:pPr>
            <w:r w:rsidRPr="006E6516">
              <w:rPr>
                <w:rFonts w:ascii="Times New Roman" w:eastAsia="Times New Roman" w:hAnsi="Times New Roman" w:cs="Times New Roman"/>
                <w:sz w:val="24"/>
                <w:szCs w:val="24"/>
                <w:lang w:val="ro-RO" w:eastAsia="ru-RU"/>
              </w:rPr>
              <w:t>≥ 20%</w:t>
            </w:r>
          </w:p>
        </w:tc>
      </w:tr>
      <w:tr w:rsidR="006E6516" w:rsidRPr="006E6516" w:rsidTr="000B349E">
        <w:trPr>
          <w:trHeight w:val="250"/>
        </w:trPr>
        <w:tc>
          <w:tcPr>
            <w:tcW w:w="8080" w:type="dxa"/>
            <w:tcBorders>
              <w:top w:val="single" w:sz="4" w:space="0" w:color="17365D"/>
              <w:right w:val="single" w:sz="4" w:space="0" w:color="17365D"/>
            </w:tcBorders>
          </w:tcPr>
          <w:p w:rsidR="006E6516" w:rsidRPr="00F9496F" w:rsidRDefault="006E6516" w:rsidP="006A788E">
            <w:pPr>
              <w:spacing w:after="0" w:line="240" w:lineRule="auto"/>
              <w:jc w:val="both"/>
              <w:rPr>
                <w:rFonts w:ascii="Times New Roman" w:eastAsia="Times New Roman" w:hAnsi="Times New Roman" w:cs="Times New Roman"/>
                <w:sz w:val="24"/>
                <w:szCs w:val="24"/>
                <w:highlight w:val="yellow"/>
                <w:lang w:val="ro-RO" w:eastAsia="ru-RU"/>
              </w:rPr>
            </w:pPr>
            <w:r w:rsidRPr="006A788E">
              <w:rPr>
                <w:rFonts w:ascii="Times New Roman" w:eastAsia="Times New Roman" w:hAnsi="Times New Roman" w:cs="Times New Roman"/>
                <w:sz w:val="24"/>
                <w:szCs w:val="24"/>
                <w:lang w:val="ro-RO" w:eastAsia="ru-RU"/>
              </w:rPr>
              <w:t>Ponderea datoriei de stat într-o anumită valută</w:t>
            </w:r>
            <w:r w:rsidR="006A788E" w:rsidRPr="006A788E">
              <w:rPr>
                <w:rFonts w:ascii="Times New Roman" w:eastAsia="Times New Roman" w:hAnsi="Times New Roman" w:cs="Times New Roman"/>
                <w:sz w:val="24"/>
                <w:szCs w:val="24"/>
                <w:lang w:val="ro-RO" w:eastAsia="ru-RU"/>
              </w:rPr>
              <w:t xml:space="preserve"> străină</w:t>
            </w:r>
            <w:r w:rsidRPr="006A788E">
              <w:rPr>
                <w:rFonts w:ascii="Times New Roman" w:eastAsia="Times New Roman" w:hAnsi="Times New Roman" w:cs="Times New Roman"/>
                <w:sz w:val="24"/>
                <w:szCs w:val="24"/>
                <w:lang w:val="ro-RO" w:eastAsia="ru-RU"/>
              </w:rPr>
              <w:t xml:space="preserve"> în total datorie de stat </w:t>
            </w:r>
          </w:p>
        </w:tc>
        <w:tc>
          <w:tcPr>
            <w:tcW w:w="1276" w:type="dxa"/>
            <w:tcBorders>
              <w:top w:val="single" w:sz="4" w:space="0" w:color="17365D"/>
              <w:left w:val="single" w:sz="4" w:space="0" w:color="17365D"/>
              <w:right w:val="single" w:sz="4" w:space="0" w:color="17365D"/>
            </w:tcBorders>
            <w:vAlign w:val="center"/>
          </w:tcPr>
          <w:p w:rsidR="006E6516" w:rsidRPr="00F9496F" w:rsidRDefault="006E6516" w:rsidP="000B349E">
            <w:pPr>
              <w:spacing w:after="0" w:line="240" w:lineRule="auto"/>
              <w:jc w:val="center"/>
              <w:rPr>
                <w:rFonts w:ascii="Times New Roman" w:eastAsia="Times New Roman" w:hAnsi="Times New Roman" w:cs="Times New Roman"/>
                <w:sz w:val="24"/>
                <w:szCs w:val="24"/>
                <w:highlight w:val="yellow"/>
                <w:lang w:val="ro-RO" w:eastAsia="ru-RU"/>
              </w:rPr>
            </w:pPr>
            <w:r w:rsidRPr="006A788E">
              <w:rPr>
                <w:rFonts w:ascii="Times New Roman" w:eastAsia="Times New Roman" w:hAnsi="Times New Roman" w:cs="Times New Roman"/>
                <w:sz w:val="24"/>
                <w:szCs w:val="24"/>
                <w:lang w:val="ro-RO" w:eastAsia="ru-RU"/>
              </w:rPr>
              <w:t>≤ 50%</w:t>
            </w:r>
          </w:p>
        </w:tc>
      </w:tr>
      <w:tr w:rsidR="006E6516" w:rsidRPr="006E6516" w:rsidTr="006A788E">
        <w:trPr>
          <w:trHeight w:val="60"/>
        </w:trPr>
        <w:tc>
          <w:tcPr>
            <w:tcW w:w="8080" w:type="dxa"/>
            <w:tcBorders>
              <w:right w:val="single" w:sz="4" w:space="0" w:color="17365D"/>
            </w:tcBorders>
          </w:tcPr>
          <w:p w:rsidR="0095718B" w:rsidRPr="006E6516" w:rsidRDefault="006E6516" w:rsidP="006E6516">
            <w:pPr>
              <w:spacing w:after="0" w:line="240" w:lineRule="auto"/>
              <w:jc w:val="both"/>
              <w:rPr>
                <w:rFonts w:ascii="Times New Roman" w:eastAsia="Times New Roman" w:hAnsi="Times New Roman" w:cs="Times New Roman"/>
                <w:sz w:val="24"/>
                <w:szCs w:val="24"/>
                <w:lang w:val="ro-RO" w:eastAsia="ru-RU"/>
              </w:rPr>
            </w:pPr>
            <w:r w:rsidRPr="006E6516">
              <w:rPr>
                <w:rFonts w:ascii="Times New Roman" w:eastAsia="Times New Roman" w:hAnsi="Times New Roman" w:cs="Times New Roman"/>
                <w:sz w:val="24"/>
                <w:szCs w:val="24"/>
                <w:lang w:val="ro-RO" w:eastAsia="ru-RU"/>
              </w:rPr>
              <w:t>Ponderea datoriei de stat cu rata dobînzii fixă în total datorie de stat</w:t>
            </w:r>
          </w:p>
        </w:tc>
        <w:tc>
          <w:tcPr>
            <w:tcW w:w="1276" w:type="dxa"/>
            <w:tcBorders>
              <w:left w:val="single" w:sz="4" w:space="0" w:color="17365D"/>
              <w:right w:val="single" w:sz="4" w:space="0" w:color="17365D"/>
            </w:tcBorders>
            <w:vAlign w:val="center"/>
          </w:tcPr>
          <w:p w:rsidR="0095718B" w:rsidRPr="006E6516" w:rsidRDefault="006E6516" w:rsidP="000B349E">
            <w:pPr>
              <w:spacing w:after="0" w:line="240" w:lineRule="auto"/>
              <w:jc w:val="center"/>
              <w:rPr>
                <w:rFonts w:ascii="Times New Roman" w:eastAsia="Times New Roman" w:hAnsi="Times New Roman" w:cs="Times New Roman"/>
                <w:sz w:val="24"/>
                <w:szCs w:val="24"/>
                <w:lang w:val="ro-RO" w:eastAsia="ru-RU"/>
              </w:rPr>
            </w:pPr>
            <w:r w:rsidRPr="006E6516">
              <w:rPr>
                <w:rFonts w:ascii="Times New Roman" w:eastAsia="Times New Roman" w:hAnsi="Times New Roman" w:cs="Times New Roman"/>
                <w:sz w:val="24"/>
                <w:szCs w:val="24"/>
                <w:lang w:val="ro-RO" w:eastAsia="ru-RU"/>
              </w:rPr>
              <w:t>≥ 50%</w:t>
            </w:r>
          </w:p>
        </w:tc>
      </w:tr>
      <w:tr w:rsidR="0095718B" w:rsidRPr="006E6516" w:rsidTr="0095718B">
        <w:trPr>
          <w:trHeight w:val="135"/>
        </w:trPr>
        <w:tc>
          <w:tcPr>
            <w:tcW w:w="8080" w:type="dxa"/>
            <w:tcBorders>
              <w:right w:val="single" w:sz="4" w:space="0" w:color="17365D"/>
            </w:tcBorders>
          </w:tcPr>
          <w:p w:rsidR="0095718B" w:rsidRPr="006E6516" w:rsidRDefault="0095718B" w:rsidP="00867C06">
            <w:pPr>
              <w:spacing w:after="0" w:line="240" w:lineRule="auto"/>
              <w:jc w:val="center"/>
              <w:rPr>
                <w:rFonts w:ascii="Times New Roman" w:eastAsia="Times New Roman" w:hAnsi="Times New Roman" w:cs="Times New Roman"/>
                <w:sz w:val="24"/>
                <w:szCs w:val="24"/>
                <w:lang w:val="ro-RO" w:eastAsia="ru-RU"/>
              </w:rPr>
            </w:pPr>
            <w:r w:rsidRPr="000B349E">
              <w:rPr>
                <w:rFonts w:ascii="Times New Roman" w:eastAsia="Times New Roman" w:hAnsi="Times New Roman" w:cs="Times New Roman"/>
                <w:b/>
                <w:sz w:val="24"/>
                <w:szCs w:val="24"/>
                <w:lang w:val="ro-RO" w:eastAsia="ru-RU"/>
              </w:rPr>
              <w:t>Parametr</w:t>
            </w:r>
            <w:r w:rsidR="00867C06">
              <w:rPr>
                <w:rFonts w:ascii="Times New Roman" w:eastAsia="Times New Roman" w:hAnsi="Times New Roman" w:cs="Times New Roman"/>
                <w:b/>
                <w:sz w:val="24"/>
                <w:szCs w:val="24"/>
                <w:lang w:val="ro-RO" w:eastAsia="ru-RU"/>
              </w:rPr>
              <w:t>i</w:t>
            </w:r>
            <w:r w:rsidRPr="000B349E">
              <w:rPr>
                <w:rFonts w:ascii="Times New Roman" w:eastAsia="Times New Roman" w:hAnsi="Times New Roman" w:cs="Times New Roman"/>
                <w:b/>
                <w:sz w:val="24"/>
                <w:szCs w:val="24"/>
                <w:lang w:val="ro-RO" w:eastAsia="ru-RU"/>
              </w:rPr>
              <w:t xml:space="preserve"> de </w:t>
            </w:r>
            <w:r>
              <w:rPr>
                <w:rFonts w:ascii="Times New Roman" w:eastAsia="Times New Roman" w:hAnsi="Times New Roman" w:cs="Times New Roman"/>
                <w:b/>
                <w:sz w:val="24"/>
                <w:szCs w:val="24"/>
                <w:lang w:val="ro-RO" w:eastAsia="ru-RU"/>
              </w:rPr>
              <w:t>sustenabilitate</w:t>
            </w:r>
            <w:r w:rsidRPr="000B349E">
              <w:rPr>
                <w:rFonts w:ascii="Times New Roman" w:eastAsia="Times New Roman" w:hAnsi="Times New Roman" w:cs="Times New Roman"/>
                <w:b/>
                <w:sz w:val="24"/>
                <w:szCs w:val="24"/>
                <w:lang w:val="ro-RO" w:eastAsia="ru-RU"/>
              </w:rPr>
              <w:t xml:space="preserve"> pentru perioada anilor 201</w:t>
            </w:r>
            <w:r>
              <w:rPr>
                <w:rFonts w:ascii="Times New Roman" w:eastAsia="Times New Roman" w:hAnsi="Times New Roman" w:cs="Times New Roman"/>
                <w:b/>
                <w:sz w:val="24"/>
                <w:szCs w:val="24"/>
                <w:lang w:val="ro-RO" w:eastAsia="ru-RU"/>
              </w:rPr>
              <w:t>4</w:t>
            </w:r>
            <w:r w:rsidRPr="000B349E">
              <w:rPr>
                <w:rFonts w:ascii="Times New Roman" w:eastAsia="Times New Roman" w:hAnsi="Times New Roman" w:cs="Times New Roman"/>
                <w:b/>
                <w:sz w:val="24"/>
                <w:szCs w:val="24"/>
                <w:lang w:val="ro-RO" w:eastAsia="ru-RU"/>
              </w:rPr>
              <w:t>-201</w:t>
            </w:r>
            <w:r>
              <w:rPr>
                <w:rFonts w:ascii="Times New Roman" w:eastAsia="Times New Roman" w:hAnsi="Times New Roman" w:cs="Times New Roman"/>
                <w:b/>
                <w:sz w:val="24"/>
                <w:szCs w:val="24"/>
                <w:lang w:val="ro-RO" w:eastAsia="ru-RU"/>
              </w:rPr>
              <w:t>6</w:t>
            </w:r>
          </w:p>
        </w:tc>
        <w:tc>
          <w:tcPr>
            <w:tcW w:w="1276" w:type="dxa"/>
            <w:tcBorders>
              <w:left w:val="single" w:sz="4" w:space="0" w:color="17365D"/>
              <w:right w:val="single" w:sz="4" w:space="0" w:color="17365D"/>
            </w:tcBorders>
            <w:vAlign w:val="center"/>
          </w:tcPr>
          <w:p w:rsidR="0095718B" w:rsidRPr="006E6516" w:rsidRDefault="0095718B" w:rsidP="000B349E">
            <w:pPr>
              <w:spacing w:after="0" w:line="240" w:lineRule="auto"/>
              <w:jc w:val="center"/>
              <w:rPr>
                <w:rFonts w:ascii="Times New Roman" w:eastAsia="Times New Roman" w:hAnsi="Times New Roman" w:cs="Times New Roman"/>
                <w:sz w:val="24"/>
                <w:szCs w:val="24"/>
                <w:lang w:val="ro-RO" w:eastAsia="ru-RU"/>
              </w:rPr>
            </w:pPr>
          </w:p>
        </w:tc>
      </w:tr>
      <w:tr w:rsidR="0095718B" w:rsidRPr="006E6516" w:rsidTr="0095718B">
        <w:trPr>
          <w:trHeight w:val="570"/>
        </w:trPr>
        <w:tc>
          <w:tcPr>
            <w:tcW w:w="8080" w:type="dxa"/>
            <w:tcBorders>
              <w:right w:val="single" w:sz="4" w:space="0" w:color="17365D"/>
            </w:tcBorders>
          </w:tcPr>
          <w:p w:rsidR="0095718B" w:rsidRPr="0095718B" w:rsidRDefault="0095718B" w:rsidP="006E6516">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P</w:t>
            </w:r>
            <w:r w:rsidRPr="0095718B">
              <w:rPr>
                <w:rFonts w:ascii="Times New Roman" w:eastAsia="Times New Roman" w:hAnsi="Times New Roman" w:cs="Times New Roman"/>
                <w:sz w:val="24"/>
                <w:szCs w:val="24"/>
                <w:lang w:val="ro-RO" w:eastAsia="ru-RU"/>
              </w:rPr>
              <w:t>onderea serviciului datoriei de stat în veniturile pe componenta de bază a bugetului de stat</w:t>
            </w:r>
          </w:p>
        </w:tc>
        <w:tc>
          <w:tcPr>
            <w:tcW w:w="1276" w:type="dxa"/>
            <w:tcBorders>
              <w:left w:val="single" w:sz="4" w:space="0" w:color="17365D"/>
              <w:right w:val="single" w:sz="4" w:space="0" w:color="17365D"/>
            </w:tcBorders>
            <w:vAlign w:val="center"/>
          </w:tcPr>
          <w:p w:rsidR="0095718B" w:rsidRPr="006E6516" w:rsidRDefault="0095718B" w:rsidP="00DD65CB">
            <w:pPr>
              <w:spacing w:after="0" w:line="240" w:lineRule="auto"/>
              <w:jc w:val="center"/>
              <w:rPr>
                <w:rFonts w:ascii="Times New Roman" w:eastAsia="Times New Roman" w:hAnsi="Times New Roman" w:cs="Times New Roman"/>
                <w:sz w:val="24"/>
                <w:szCs w:val="24"/>
                <w:lang w:val="ro-RO" w:eastAsia="ru-RU"/>
              </w:rPr>
            </w:pPr>
            <w:r w:rsidRPr="006E6516">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2</w:t>
            </w:r>
            <w:r w:rsidR="00DD65CB">
              <w:rPr>
                <w:rFonts w:ascii="Times New Roman" w:eastAsia="Times New Roman" w:hAnsi="Times New Roman" w:cs="Times New Roman"/>
                <w:sz w:val="24"/>
                <w:szCs w:val="24"/>
                <w:lang w:val="ro-RO" w:eastAsia="ru-RU"/>
              </w:rPr>
              <w:t>0</w:t>
            </w:r>
            <w:r>
              <w:rPr>
                <w:rFonts w:ascii="Times New Roman" w:eastAsia="Times New Roman" w:hAnsi="Times New Roman" w:cs="Times New Roman"/>
                <w:sz w:val="24"/>
                <w:szCs w:val="24"/>
                <w:lang w:val="ro-RO" w:eastAsia="ru-RU"/>
              </w:rPr>
              <w:t>%</w:t>
            </w:r>
          </w:p>
        </w:tc>
      </w:tr>
      <w:tr w:rsidR="0095718B" w:rsidRPr="0095718B" w:rsidTr="000B349E">
        <w:trPr>
          <w:trHeight w:val="243"/>
        </w:trPr>
        <w:tc>
          <w:tcPr>
            <w:tcW w:w="8080" w:type="dxa"/>
            <w:tcBorders>
              <w:right w:val="single" w:sz="4" w:space="0" w:color="17365D"/>
            </w:tcBorders>
          </w:tcPr>
          <w:p w:rsidR="0095718B" w:rsidRPr="00CF0274" w:rsidRDefault="0095718B" w:rsidP="002457A2">
            <w:pPr>
              <w:spacing w:after="0" w:line="240" w:lineRule="auto"/>
              <w:jc w:val="both"/>
              <w:rPr>
                <w:rFonts w:ascii="Times New Roman" w:eastAsia="Times New Roman" w:hAnsi="Times New Roman" w:cs="Times New Roman"/>
                <w:sz w:val="24"/>
                <w:szCs w:val="24"/>
                <w:highlight w:val="yellow"/>
                <w:lang w:val="ro-RO" w:eastAsia="ru-RU"/>
              </w:rPr>
            </w:pPr>
            <w:r w:rsidRPr="002457A2">
              <w:rPr>
                <w:rFonts w:ascii="Times New Roman" w:eastAsia="Times New Roman" w:hAnsi="Times New Roman" w:cs="Times New Roman"/>
                <w:sz w:val="24"/>
                <w:szCs w:val="24"/>
                <w:lang w:val="ro-RO" w:eastAsia="ru-RU"/>
              </w:rPr>
              <w:t>Ponderea datoriei de stat</w:t>
            </w:r>
            <w:r w:rsidR="00CF0274" w:rsidRPr="002457A2">
              <w:rPr>
                <w:rFonts w:ascii="Times New Roman" w:eastAsia="Times New Roman" w:hAnsi="Times New Roman" w:cs="Times New Roman"/>
                <w:sz w:val="24"/>
                <w:szCs w:val="24"/>
                <w:lang w:val="ro-RO" w:eastAsia="ru-RU"/>
              </w:rPr>
              <w:t xml:space="preserve"> şi a unităţilor administrativ-teritoriale</w:t>
            </w:r>
            <w:r w:rsidRPr="002457A2">
              <w:rPr>
                <w:rFonts w:ascii="Times New Roman" w:eastAsia="Times New Roman" w:hAnsi="Times New Roman" w:cs="Times New Roman"/>
                <w:sz w:val="24"/>
                <w:szCs w:val="24"/>
                <w:lang w:val="ro-RO" w:eastAsia="ru-RU"/>
              </w:rPr>
              <w:t xml:space="preserve"> în PIB </w:t>
            </w:r>
          </w:p>
        </w:tc>
        <w:tc>
          <w:tcPr>
            <w:tcW w:w="1276" w:type="dxa"/>
            <w:tcBorders>
              <w:left w:val="single" w:sz="4" w:space="0" w:color="17365D"/>
              <w:bottom w:val="single" w:sz="4" w:space="0" w:color="17365D"/>
              <w:right w:val="single" w:sz="4" w:space="0" w:color="17365D"/>
            </w:tcBorders>
            <w:vAlign w:val="center"/>
          </w:tcPr>
          <w:p w:rsidR="0095718B" w:rsidRPr="00236403" w:rsidRDefault="0095718B" w:rsidP="0095718B">
            <w:pPr>
              <w:spacing w:after="0" w:line="240" w:lineRule="auto"/>
              <w:jc w:val="center"/>
              <w:rPr>
                <w:rFonts w:ascii="Times New Roman" w:eastAsia="Times New Roman" w:hAnsi="Times New Roman" w:cs="Times New Roman"/>
                <w:sz w:val="24"/>
                <w:szCs w:val="24"/>
                <w:highlight w:val="yellow"/>
                <w:lang w:val="de-DE" w:eastAsia="ru-RU"/>
              </w:rPr>
            </w:pPr>
            <w:r w:rsidRPr="00CF0274">
              <w:rPr>
                <w:rFonts w:ascii="Times New Roman" w:eastAsia="Times New Roman" w:hAnsi="Times New Roman" w:cs="Times New Roman"/>
                <w:sz w:val="24"/>
                <w:szCs w:val="24"/>
                <w:lang w:val="ro-RO" w:eastAsia="ru-RU"/>
              </w:rPr>
              <w:t>≤ 60%</w:t>
            </w:r>
          </w:p>
        </w:tc>
      </w:tr>
    </w:tbl>
    <w:p w:rsidR="006E6516" w:rsidRPr="006E6516" w:rsidRDefault="006E6516" w:rsidP="006E6516">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p>
    <w:p w:rsidR="00CF0274" w:rsidRDefault="006E6516" w:rsidP="006E6516">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6E6516">
        <w:rPr>
          <w:rFonts w:ascii="Times New Roman" w:eastAsia="Times New Roman" w:hAnsi="Times New Roman" w:cs="Times New Roman"/>
          <w:sz w:val="28"/>
          <w:szCs w:val="28"/>
          <w:lang w:val="ro-RO" w:eastAsia="ru-RU"/>
        </w:rPr>
        <w:t>Pe lîngă parametrii de risc aferenţi structurii datoriei de stat, urmează a fi monitoriza</w:t>
      </w:r>
      <w:r w:rsidR="002457A2">
        <w:rPr>
          <w:rFonts w:ascii="Times New Roman" w:eastAsia="Times New Roman" w:hAnsi="Times New Roman" w:cs="Times New Roman"/>
          <w:sz w:val="28"/>
          <w:szCs w:val="28"/>
          <w:lang w:val="ro-RO" w:eastAsia="ru-RU"/>
        </w:rPr>
        <w:t>ţi</w:t>
      </w:r>
      <w:r w:rsidRPr="006E6516">
        <w:rPr>
          <w:rFonts w:ascii="Times New Roman" w:eastAsia="Times New Roman" w:hAnsi="Times New Roman" w:cs="Times New Roman"/>
          <w:sz w:val="28"/>
          <w:szCs w:val="28"/>
          <w:lang w:val="ro-RO" w:eastAsia="ru-RU"/>
        </w:rPr>
        <w:t xml:space="preserve"> şi </w:t>
      </w:r>
      <w:r w:rsidR="00CF0274" w:rsidRPr="002457A2">
        <w:rPr>
          <w:rFonts w:ascii="Times New Roman" w:eastAsia="Times New Roman" w:hAnsi="Times New Roman" w:cs="Times New Roman"/>
          <w:sz w:val="28"/>
          <w:szCs w:val="28"/>
          <w:lang w:val="ro-RO" w:eastAsia="ru-RU"/>
        </w:rPr>
        <w:t>doi</w:t>
      </w:r>
      <w:r w:rsidRPr="002457A2">
        <w:rPr>
          <w:rFonts w:ascii="Times New Roman" w:eastAsia="Times New Roman" w:hAnsi="Times New Roman" w:cs="Times New Roman"/>
          <w:sz w:val="28"/>
          <w:szCs w:val="28"/>
          <w:lang w:val="ro-RO" w:eastAsia="ru-RU"/>
        </w:rPr>
        <w:t xml:space="preserve"> indicator</w:t>
      </w:r>
      <w:r w:rsidR="00CF0274" w:rsidRPr="002457A2">
        <w:rPr>
          <w:rFonts w:ascii="Times New Roman" w:eastAsia="Times New Roman" w:hAnsi="Times New Roman" w:cs="Times New Roman"/>
          <w:sz w:val="28"/>
          <w:szCs w:val="28"/>
          <w:lang w:val="ro-RO" w:eastAsia="ru-RU"/>
        </w:rPr>
        <w:t>i</w:t>
      </w:r>
      <w:r w:rsidRPr="002457A2">
        <w:rPr>
          <w:rFonts w:ascii="Times New Roman" w:eastAsia="Times New Roman" w:hAnsi="Times New Roman" w:cs="Times New Roman"/>
          <w:sz w:val="28"/>
          <w:szCs w:val="28"/>
          <w:lang w:val="ro-RO" w:eastAsia="ru-RU"/>
        </w:rPr>
        <w:t xml:space="preserve"> de sustenabilitate</w:t>
      </w:r>
      <w:r w:rsidRPr="006E6516">
        <w:rPr>
          <w:rFonts w:ascii="Times New Roman" w:eastAsia="Times New Roman" w:hAnsi="Times New Roman" w:cs="Times New Roman"/>
          <w:sz w:val="28"/>
          <w:szCs w:val="28"/>
          <w:lang w:val="ro-RO" w:eastAsia="ru-RU"/>
        </w:rPr>
        <w:t xml:space="preserve"> a</w:t>
      </w:r>
      <w:r w:rsidR="00CF0274">
        <w:rPr>
          <w:rFonts w:ascii="Times New Roman" w:eastAsia="Times New Roman" w:hAnsi="Times New Roman" w:cs="Times New Roman"/>
          <w:sz w:val="28"/>
          <w:szCs w:val="28"/>
          <w:lang w:val="ro-RO" w:eastAsia="ru-RU"/>
        </w:rPr>
        <w:t>i datoriei de stat, şi anume:</w:t>
      </w:r>
    </w:p>
    <w:p w:rsidR="006E6516" w:rsidRDefault="006E6516" w:rsidP="00CF0274">
      <w:pPr>
        <w:pStyle w:val="ListParagraph"/>
        <w:numPr>
          <w:ilvl w:val="0"/>
          <w:numId w:val="19"/>
        </w:numPr>
        <w:tabs>
          <w:tab w:val="left" w:pos="993"/>
        </w:tabs>
        <w:autoSpaceDE w:val="0"/>
        <w:autoSpaceDN w:val="0"/>
        <w:adjustRightInd w:val="0"/>
        <w:ind w:left="0" w:firstLine="709"/>
        <w:jc w:val="both"/>
      </w:pPr>
      <w:r w:rsidRPr="002457A2">
        <w:rPr>
          <w:sz w:val="28"/>
          <w:szCs w:val="28"/>
        </w:rPr>
        <w:t>ponderea serviciului datoriei de stat în veniturile pe componenta de bază a bugetului de stat</w:t>
      </w:r>
      <w:r w:rsidR="002457A2">
        <w:rPr>
          <w:sz w:val="28"/>
          <w:szCs w:val="28"/>
        </w:rPr>
        <w:t xml:space="preserve">. </w:t>
      </w:r>
      <w:r w:rsidR="00236403" w:rsidRPr="00CF0274">
        <w:rPr>
          <w:sz w:val="28"/>
          <w:szCs w:val="28"/>
        </w:rPr>
        <w:t xml:space="preserve">Acest indicator este stabilit în baza metodologiei </w:t>
      </w:r>
      <w:r w:rsidR="006F39D4" w:rsidRPr="00CF0274">
        <w:rPr>
          <w:sz w:val="28"/>
          <w:szCs w:val="28"/>
        </w:rPr>
        <w:t>propuse în Cadrul</w:t>
      </w:r>
      <w:r w:rsidRPr="00CF0274">
        <w:rPr>
          <w:sz w:val="28"/>
          <w:szCs w:val="28"/>
        </w:rPr>
        <w:t xml:space="preserve"> </w:t>
      </w:r>
      <w:r w:rsidR="006F39D4" w:rsidRPr="00CF0274">
        <w:rPr>
          <w:sz w:val="28"/>
          <w:szCs w:val="28"/>
        </w:rPr>
        <w:t>sustenabilităţii</w:t>
      </w:r>
      <w:r w:rsidRPr="00CF0274">
        <w:rPr>
          <w:sz w:val="28"/>
          <w:szCs w:val="28"/>
        </w:rPr>
        <w:t xml:space="preserve"> datoriei pentru ţările cu venituri mici </w:t>
      </w:r>
      <w:r w:rsidR="006F39D4" w:rsidRPr="00CF0274">
        <w:rPr>
          <w:sz w:val="28"/>
          <w:szCs w:val="28"/>
        </w:rPr>
        <w:t>(</w:t>
      </w:r>
      <w:r w:rsidRPr="00CF0274">
        <w:rPr>
          <w:sz w:val="28"/>
          <w:szCs w:val="28"/>
        </w:rPr>
        <w:t>Banca Mondială – Fondul Monetar Internaţional</w:t>
      </w:r>
      <w:r w:rsidR="006F39D4" w:rsidRPr="00CF0274">
        <w:rPr>
          <w:sz w:val="28"/>
          <w:szCs w:val="28"/>
        </w:rPr>
        <w:t xml:space="preserve">, </w:t>
      </w:r>
      <w:r w:rsidR="00DD65CB" w:rsidRPr="00CF0274">
        <w:rPr>
          <w:sz w:val="28"/>
          <w:szCs w:val="28"/>
        </w:rPr>
        <w:t>septembrie 2013</w:t>
      </w:r>
      <w:r w:rsidR="000B349E" w:rsidRPr="00CF0274">
        <w:rPr>
          <w:sz w:val="28"/>
          <w:szCs w:val="28"/>
        </w:rPr>
        <w:t>)</w:t>
      </w:r>
      <w:r w:rsidRPr="00CF0274">
        <w:rPr>
          <w:sz w:val="28"/>
          <w:szCs w:val="28"/>
        </w:rPr>
        <w:t>.</w:t>
      </w:r>
      <w:r w:rsidRPr="00CF0274">
        <w:t xml:space="preserve"> </w:t>
      </w:r>
    </w:p>
    <w:p w:rsidR="00CB70A7" w:rsidRPr="00CB70A7" w:rsidRDefault="00CB70A7" w:rsidP="00CB70A7">
      <w:pPr>
        <w:pStyle w:val="ListParagraph"/>
        <w:numPr>
          <w:ilvl w:val="0"/>
          <w:numId w:val="19"/>
        </w:numPr>
        <w:tabs>
          <w:tab w:val="left" w:pos="567"/>
          <w:tab w:val="left" w:pos="993"/>
        </w:tabs>
        <w:autoSpaceDE w:val="0"/>
        <w:autoSpaceDN w:val="0"/>
        <w:adjustRightInd w:val="0"/>
        <w:ind w:left="0" w:firstLine="709"/>
        <w:jc w:val="both"/>
        <w:rPr>
          <w:sz w:val="28"/>
          <w:szCs w:val="28"/>
        </w:rPr>
      </w:pPr>
      <w:r w:rsidRPr="00CB70A7">
        <w:rPr>
          <w:sz w:val="28"/>
        </w:rPr>
        <w:t>p</w:t>
      </w:r>
      <w:r w:rsidR="002457A2" w:rsidRPr="00CB70A7">
        <w:rPr>
          <w:sz w:val="28"/>
        </w:rPr>
        <w:t>onderea datoriei de stat şi a unităţilor administrativ-teritoriale în PIB</w:t>
      </w:r>
      <w:r w:rsidRPr="00CB70A7">
        <w:rPr>
          <w:sz w:val="28"/>
        </w:rPr>
        <w:t xml:space="preserve">. Nivelul acestui indicator este stabilit în </w:t>
      </w:r>
      <w:r w:rsidRPr="00CB70A7">
        <w:rPr>
          <w:bCs/>
          <w:sz w:val="28"/>
          <w:szCs w:val="28"/>
        </w:rPr>
        <w:t>Tratatul</w:t>
      </w:r>
      <w:r w:rsidRPr="00CB70A7">
        <w:rPr>
          <w:sz w:val="28"/>
          <w:szCs w:val="28"/>
        </w:rPr>
        <w:t> de la </w:t>
      </w:r>
      <w:r w:rsidRPr="00CB70A7">
        <w:rPr>
          <w:bCs/>
          <w:sz w:val="28"/>
          <w:szCs w:val="28"/>
        </w:rPr>
        <w:t>Maastricht</w:t>
      </w:r>
      <w:r w:rsidRPr="00CB70A7">
        <w:rPr>
          <w:sz w:val="28"/>
        </w:rPr>
        <w:t xml:space="preserve">, </w:t>
      </w:r>
      <w:r w:rsidR="00867C06">
        <w:rPr>
          <w:sz w:val="28"/>
        </w:rPr>
        <w:t>drept unul dintre</w:t>
      </w:r>
      <w:r w:rsidRPr="00CB70A7">
        <w:rPr>
          <w:sz w:val="28"/>
        </w:rPr>
        <w:t xml:space="preserve"> </w:t>
      </w:r>
      <w:r w:rsidRPr="00CB70A7">
        <w:rPr>
          <w:bCs/>
          <w:sz w:val="28"/>
        </w:rPr>
        <w:lastRenderedPageBreak/>
        <w:t xml:space="preserve">criteriile </w:t>
      </w:r>
      <w:r w:rsidR="00867C06">
        <w:rPr>
          <w:bCs/>
          <w:sz w:val="28"/>
        </w:rPr>
        <w:t>pe care trebuie sa le respecte statele-membre ale Uniunii Europene</w:t>
      </w:r>
      <w:r w:rsidRPr="00CB70A7">
        <w:rPr>
          <w:sz w:val="28"/>
        </w:rPr>
        <w:t>.</w:t>
      </w:r>
      <w:r w:rsidR="00867C06">
        <w:rPr>
          <w:sz w:val="28"/>
        </w:rPr>
        <w:t xml:space="preserve"> </w:t>
      </w:r>
      <w:r w:rsidR="000872FC" w:rsidRPr="000872FC">
        <w:rPr>
          <w:i/>
          <w:sz w:val="28"/>
        </w:rPr>
        <w:t>Notă:</w:t>
      </w:r>
      <w:r w:rsidR="000872FC">
        <w:rPr>
          <w:sz w:val="28"/>
        </w:rPr>
        <w:t xml:space="preserve"> deşi acest indicator include pe lîngă datoria de stat, datoria unităţilor administrativ-teritoriale, în contextul Programului va fi analizată doar datoria de stat, iar valoarea acestui indicator va fi inclusă în Rapoartele trimestriale privind situaţia în domeniul datoriei publice, garanţiilor de stat şi recreditării de stat publicate pe pagina web a Ministerului Finanţelor.</w:t>
      </w:r>
    </w:p>
    <w:p w:rsidR="006E6516" w:rsidRDefault="00CB70A7" w:rsidP="00CB70A7">
      <w:pPr>
        <w:tabs>
          <w:tab w:val="left" w:pos="567"/>
          <w:tab w:val="left" w:pos="993"/>
        </w:tabs>
        <w:autoSpaceDE w:val="0"/>
        <w:autoSpaceDN w:val="0"/>
        <w:adjustRightInd w:val="0"/>
        <w:spacing w:after="0" w:line="240" w:lineRule="auto"/>
        <w:jc w:val="both"/>
        <w:rPr>
          <w:rFonts w:ascii="Times New Roman" w:hAnsi="Times New Roman" w:cs="Times New Roman"/>
          <w:sz w:val="28"/>
          <w:szCs w:val="28"/>
          <w:lang w:val="ro-RO"/>
        </w:rPr>
      </w:pPr>
      <w:r>
        <w:rPr>
          <w:sz w:val="28"/>
          <w:szCs w:val="28"/>
          <w:lang w:val="ro-RO"/>
        </w:rPr>
        <w:tab/>
      </w:r>
      <w:r w:rsidR="00DD65CB" w:rsidRPr="00CB70A7">
        <w:rPr>
          <w:rFonts w:ascii="Times New Roman" w:hAnsi="Times New Roman" w:cs="Times New Roman"/>
          <w:sz w:val="28"/>
          <w:szCs w:val="28"/>
          <w:lang w:val="ro-RO"/>
        </w:rPr>
        <w:t>Valoarea a</w:t>
      </w:r>
      <w:r w:rsidR="006E6516" w:rsidRPr="00CB70A7">
        <w:rPr>
          <w:rFonts w:ascii="Times New Roman" w:hAnsi="Times New Roman" w:cs="Times New Roman"/>
          <w:sz w:val="28"/>
          <w:szCs w:val="28"/>
          <w:lang w:val="ro-RO"/>
        </w:rPr>
        <w:t>cest</w:t>
      </w:r>
      <w:r w:rsidR="00867C06">
        <w:rPr>
          <w:rFonts w:ascii="Times New Roman" w:hAnsi="Times New Roman" w:cs="Times New Roman"/>
          <w:sz w:val="28"/>
          <w:szCs w:val="28"/>
          <w:lang w:val="ro-RO"/>
        </w:rPr>
        <w:t>or</w:t>
      </w:r>
      <w:r w:rsidR="006E6516" w:rsidRPr="00CB70A7">
        <w:rPr>
          <w:rFonts w:ascii="Times New Roman" w:hAnsi="Times New Roman" w:cs="Times New Roman"/>
          <w:sz w:val="28"/>
          <w:szCs w:val="28"/>
          <w:lang w:val="ro-RO"/>
        </w:rPr>
        <w:t xml:space="preserve"> indicator</w:t>
      </w:r>
      <w:r w:rsidR="00867C06">
        <w:rPr>
          <w:rFonts w:ascii="Times New Roman" w:hAnsi="Times New Roman" w:cs="Times New Roman"/>
          <w:sz w:val="28"/>
          <w:szCs w:val="28"/>
          <w:lang w:val="ro-RO"/>
        </w:rPr>
        <w:t>i</w:t>
      </w:r>
      <w:r w:rsidR="006E6516" w:rsidRPr="00CB70A7">
        <w:rPr>
          <w:rFonts w:ascii="Times New Roman" w:hAnsi="Times New Roman" w:cs="Times New Roman"/>
          <w:sz w:val="28"/>
          <w:szCs w:val="28"/>
          <w:lang w:val="ro-RO"/>
        </w:rPr>
        <w:t xml:space="preserve"> nu poate fi influenţat</w:t>
      </w:r>
      <w:r w:rsidR="00DD65CB" w:rsidRPr="00CB70A7">
        <w:rPr>
          <w:rFonts w:ascii="Times New Roman" w:hAnsi="Times New Roman" w:cs="Times New Roman"/>
          <w:sz w:val="28"/>
          <w:szCs w:val="28"/>
          <w:lang w:val="ro-RO"/>
        </w:rPr>
        <w:t>ă</w:t>
      </w:r>
      <w:r w:rsidR="006E6516" w:rsidRPr="00CB70A7">
        <w:rPr>
          <w:rFonts w:ascii="Times New Roman" w:hAnsi="Times New Roman" w:cs="Times New Roman"/>
          <w:sz w:val="28"/>
          <w:szCs w:val="28"/>
          <w:lang w:val="ro-RO"/>
        </w:rPr>
        <w:t xml:space="preserve"> direct în procesul de management al datoriei de stat</w:t>
      </w:r>
      <w:r w:rsidR="00DD65CB" w:rsidRPr="00CB70A7">
        <w:rPr>
          <w:rFonts w:ascii="Times New Roman" w:hAnsi="Times New Roman" w:cs="Times New Roman"/>
          <w:sz w:val="28"/>
          <w:szCs w:val="28"/>
          <w:lang w:val="ro-RO"/>
        </w:rPr>
        <w:t>. Cu toate astea</w:t>
      </w:r>
      <w:r w:rsidR="006E6516" w:rsidRPr="00CB70A7">
        <w:rPr>
          <w:rFonts w:ascii="Times New Roman" w:hAnsi="Times New Roman" w:cs="Times New Roman"/>
          <w:sz w:val="28"/>
          <w:szCs w:val="28"/>
          <w:lang w:val="ro-RO"/>
        </w:rPr>
        <w:t xml:space="preserve"> este important de a fi monitoriza</w:t>
      </w:r>
      <w:r w:rsidR="00867C06">
        <w:rPr>
          <w:rFonts w:ascii="Times New Roman" w:hAnsi="Times New Roman" w:cs="Times New Roman"/>
          <w:sz w:val="28"/>
          <w:szCs w:val="28"/>
          <w:lang w:val="ro-RO"/>
        </w:rPr>
        <w:t>ţi</w:t>
      </w:r>
      <w:r w:rsidR="006E6516" w:rsidRPr="00CB70A7">
        <w:rPr>
          <w:rFonts w:ascii="Times New Roman" w:hAnsi="Times New Roman" w:cs="Times New Roman"/>
          <w:sz w:val="28"/>
          <w:szCs w:val="28"/>
          <w:lang w:val="ro-RO"/>
        </w:rPr>
        <w:t xml:space="preserve"> întrucît </w:t>
      </w:r>
      <w:r w:rsidR="00867C06">
        <w:rPr>
          <w:rFonts w:ascii="Times New Roman" w:hAnsi="Times New Roman" w:cs="Times New Roman"/>
          <w:sz w:val="28"/>
          <w:szCs w:val="28"/>
          <w:lang w:val="ro-RO"/>
        </w:rPr>
        <w:t>oferă o</w:t>
      </w:r>
      <w:r w:rsidR="005073BB">
        <w:rPr>
          <w:rFonts w:ascii="Times New Roman" w:hAnsi="Times New Roman" w:cs="Times New Roman"/>
          <w:sz w:val="28"/>
          <w:szCs w:val="28"/>
          <w:lang w:val="ro-RO"/>
        </w:rPr>
        <w:t xml:space="preserve"> viziune de ansamblu asupra gradului de îndatorare al ţării şi servesc</w:t>
      </w:r>
      <w:r w:rsidR="00867C06">
        <w:rPr>
          <w:rFonts w:ascii="Times New Roman" w:hAnsi="Times New Roman" w:cs="Times New Roman"/>
          <w:sz w:val="28"/>
          <w:szCs w:val="28"/>
          <w:lang w:val="ro-RO"/>
        </w:rPr>
        <w:t xml:space="preserve"> </w:t>
      </w:r>
      <w:r w:rsidR="006E6516" w:rsidRPr="00CB70A7">
        <w:rPr>
          <w:rFonts w:ascii="Times New Roman" w:hAnsi="Times New Roman" w:cs="Times New Roman"/>
          <w:sz w:val="28"/>
          <w:szCs w:val="28"/>
          <w:lang w:val="ro-RO"/>
        </w:rPr>
        <w:t>drept punct de reper în deciziile de finanţare.</w:t>
      </w:r>
    </w:p>
    <w:p w:rsidR="006E6516" w:rsidRPr="006E6516" w:rsidRDefault="006E6516" w:rsidP="00B8240E">
      <w:pPr>
        <w:spacing w:after="0" w:line="240" w:lineRule="auto"/>
        <w:ind w:firstLine="709"/>
        <w:jc w:val="both"/>
        <w:rPr>
          <w:rFonts w:ascii="Times New Roman" w:eastAsia="Times New Roman" w:hAnsi="Times New Roman" w:cs="Times New Roman"/>
          <w:bCs/>
          <w:sz w:val="28"/>
          <w:szCs w:val="28"/>
          <w:lang w:val="ro-RO" w:eastAsia="ru-RU"/>
        </w:rPr>
      </w:pPr>
      <w:r w:rsidRPr="0000031B">
        <w:rPr>
          <w:rFonts w:ascii="Times New Roman" w:eastAsia="Times New Roman" w:hAnsi="Times New Roman" w:cs="Times New Roman"/>
          <w:bCs/>
          <w:sz w:val="28"/>
          <w:szCs w:val="28"/>
          <w:lang w:val="ro-RO" w:eastAsia="ru-RU"/>
        </w:rPr>
        <w:t>De asemenea, a fost analizată influenţa modificărilor ratelor de dobîndă şi a</w:t>
      </w:r>
      <w:r w:rsidRPr="006E6516">
        <w:rPr>
          <w:rFonts w:ascii="Times New Roman" w:eastAsia="Times New Roman" w:hAnsi="Times New Roman" w:cs="Times New Roman"/>
          <w:bCs/>
          <w:sz w:val="28"/>
          <w:szCs w:val="28"/>
          <w:lang w:val="ro-RO" w:eastAsia="ru-RU"/>
        </w:rPr>
        <w:t xml:space="preserve"> cursurilor de schimb asupra costurilor aferente datoriei de stat</w:t>
      </w:r>
      <w:r w:rsidR="006F39D4">
        <w:rPr>
          <w:rFonts w:ascii="Times New Roman" w:eastAsia="Times New Roman" w:hAnsi="Times New Roman" w:cs="Times New Roman"/>
          <w:bCs/>
          <w:sz w:val="28"/>
          <w:szCs w:val="28"/>
          <w:lang w:val="ro-RO" w:eastAsia="ru-RU"/>
        </w:rPr>
        <w:t xml:space="preserve"> pe termen mediu</w:t>
      </w:r>
      <w:r w:rsidRPr="006E6516">
        <w:rPr>
          <w:rFonts w:ascii="Times New Roman" w:eastAsia="Times New Roman" w:hAnsi="Times New Roman" w:cs="Times New Roman"/>
          <w:bCs/>
          <w:sz w:val="28"/>
          <w:szCs w:val="28"/>
          <w:lang w:val="ro-RO" w:eastAsia="ru-RU"/>
        </w:rPr>
        <w:t>, cu scopul de a examina volatilitatea portofoliului datoriei de stat la expunerea faţă de riscul ratei de dobîndă şi c</w:t>
      </w:r>
      <w:r w:rsidR="00B8240E">
        <w:rPr>
          <w:rFonts w:ascii="Times New Roman" w:eastAsia="Times New Roman" w:hAnsi="Times New Roman" w:cs="Times New Roman"/>
          <w:bCs/>
          <w:sz w:val="28"/>
          <w:szCs w:val="28"/>
          <w:lang w:val="ro-RO" w:eastAsia="ru-RU"/>
        </w:rPr>
        <w:t>el valutar. În acest context</w:t>
      </w:r>
      <w:r w:rsidRPr="006E6516">
        <w:rPr>
          <w:rFonts w:ascii="Times New Roman" w:eastAsia="Times New Roman" w:hAnsi="Times New Roman" w:cs="Times New Roman"/>
          <w:bCs/>
          <w:sz w:val="28"/>
          <w:szCs w:val="28"/>
          <w:lang w:val="ro-RO" w:eastAsia="ru-RU"/>
        </w:rPr>
        <w:t xml:space="preserve">, au fost elaborate patru scenarii de şoc care vizează deprecierea </w:t>
      </w:r>
      <w:r w:rsidR="00030386">
        <w:rPr>
          <w:rFonts w:ascii="Times New Roman" w:eastAsia="Times New Roman" w:hAnsi="Times New Roman" w:cs="Times New Roman"/>
          <w:bCs/>
          <w:sz w:val="28"/>
          <w:szCs w:val="28"/>
          <w:lang w:val="ro-RO" w:eastAsia="ru-RU"/>
        </w:rPr>
        <w:t>leului moldovenesc</w:t>
      </w:r>
      <w:r w:rsidR="0000031B">
        <w:rPr>
          <w:rFonts w:ascii="Times New Roman" w:eastAsia="Times New Roman" w:hAnsi="Times New Roman" w:cs="Times New Roman"/>
          <w:bCs/>
          <w:sz w:val="28"/>
          <w:szCs w:val="28"/>
          <w:lang w:val="ro-RO" w:eastAsia="ru-RU"/>
        </w:rPr>
        <w:t xml:space="preserve"> faţă de dolarul SUA, Euro şi Yenul japonez</w:t>
      </w:r>
      <w:r w:rsidRPr="006E6516">
        <w:rPr>
          <w:rFonts w:ascii="Times New Roman" w:eastAsia="Times New Roman" w:hAnsi="Times New Roman" w:cs="Times New Roman"/>
          <w:bCs/>
          <w:sz w:val="28"/>
          <w:szCs w:val="28"/>
          <w:lang w:val="ro-RO" w:eastAsia="ru-RU"/>
        </w:rPr>
        <w:t xml:space="preserve"> şi majorarea ratelor de dobîndă atît pe piaţa externă, cît şi pe cea internă. Raţionamentul care s-a aflat la baza selectării acestor şocuri a fost evoluţia cursurilor de schimb şi a ratelor de dobîndă din ultimii </w:t>
      </w:r>
      <w:r w:rsidR="006F39D4">
        <w:rPr>
          <w:rFonts w:ascii="Times New Roman" w:eastAsia="Times New Roman" w:hAnsi="Times New Roman" w:cs="Times New Roman"/>
          <w:bCs/>
          <w:sz w:val="28"/>
          <w:szCs w:val="28"/>
          <w:lang w:val="ro-RO" w:eastAsia="ru-RU"/>
        </w:rPr>
        <w:t>trei</w:t>
      </w:r>
      <w:r w:rsidRPr="006E6516">
        <w:rPr>
          <w:rFonts w:ascii="Times New Roman" w:eastAsia="Times New Roman" w:hAnsi="Times New Roman" w:cs="Times New Roman"/>
          <w:bCs/>
          <w:sz w:val="28"/>
          <w:szCs w:val="28"/>
          <w:lang w:val="ro-RO" w:eastAsia="ru-RU"/>
        </w:rPr>
        <w:t xml:space="preserve"> ani, inclusiv evoluţia acestora în anul de criză 2009.</w:t>
      </w:r>
    </w:p>
    <w:p w:rsidR="006E6516" w:rsidRPr="006E6516" w:rsidRDefault="006E6516" w:rsidP="006E6516">
      <w:pPr>
        <w:spacing w:after="0" w:line="240" w:lineRule="auto"/>
        <w:ind w:firstLine="709"/>
        <w:jc w:val="both"/>
        <w:rPr>
          <w:rFonts w:ascii="Times New Roman" w:eastAsia="Times New Roman" w:hAnsi="Times New Roman" w:cs="Times New Roman"/>
          <w:bCs/>
          <w:sz w:val="28"/>
          <w:szCs w:val="28"/>
          <w:lang w:val="ro-RO" w:eastAsia="ru-RU"/>
        </w:rPr>
      </w:pPr>
      <w:r w:rsidRPr="006E6516">
        <w:rPr>
          <w:rFonts w:ascii="Times New Roman" w:eastAsia="Times New Roman" w:hAnsi="Times New Roman" w:cs="Times New Roman"/>
          <w:bCs/>
          <w:sz w:val="28"/>
          <w:szCs w:val="28"/>
          <w:lang w:val="ro-RO" w:eastAsia="ru-RU"/>
        </w:rPr>
        <w:t>Pentru a urmări efectele şocurilor stabilite asupra portofoliului datoriei de stat, au fo</w:t>
      </w:r>
      <w:r w:rsidR="006F39D4">
        <w:rPr>
          <w:rFonts w:ascii="Times New Roman" w:eastAsia="Times New Roman" w:hAnsi="Times New Roman" w:cs="Times New Roman"/>
          <w:bCs/>
          <w:sz w:val="28"/>
          <w:szCs w:val="28"/>
          <w:lang w:val="ro-RO" w:eastAsia="ru-RU"/>
        </w:rPr>
        <w:t>st analizaţi indicatorii</w:t>
      </w:r>
      <w:r w:rsidR="008E1591">
        <w:rPr>
          <w:rFonts w:ascii="Times New Roman" w:eastAsia="Times New Roman" w:hAnsi="Times New Roman" w:cs="Times New Roman"/>
          <w:bCs/>
          <w:sz w:val="28"/>
          <w:szCs w:val="28"/>
          <w:lang w:val="ro-RO" w:eastAsia="ru-RU"/>
        </w:rPr>
        <w:t>:</w:t>
      </w:r>
      <w:r w:rsidR="006F39D4">
        <w:rPr>
          <w:rFonts w:ascii="Times New Roman" w:eastAsia="Times New Roman" w:hAnsi="Times New Roman" w:cs="Times New Roman"/>
          <w:bCs/>
          <w:sz w:val="28"/>
          <w:szCs w:val="28"/>
          <w:lang w:val="ro-RO" w:eastAsia="ru-RU"/>
        </w:rPr>
        <w:t xml:space="preserve"> ponderea</w:t>
      </w:r>
      <w:r w:rsidRPr="006E6516">
        <w:rPr>
          <w:rFonts w:ascii="Times New Roman" w:eastAsia="Times New Roman" w:hAnsi="Times New Roman" w:cs="Times New Roman"/>
          <w:bCs/>
          <w:sz w:val="28"/>
          <w:szCs w:val="28"/>
          <w:lang w:val="ro-RO" w:eastAsia="ru-RU"/>
        </w:rPr>
        <w:t xml:space="preserve"> dator</w:t>
      </w:r>
      <w:r w:rsidR="001C2768">
        <w:rPr>
          <w:rFonts w:ascii="Times New Roman" w:eastAsia="Times New Roman" w:hAnsi="Times New Roman" w:cs="Times New Roman"/>
          <w:bCs/>
          <w:sz w:val="28"/>
          <w:szCs w:val="28"/>
          <w:lang w:val="ro-RO" w:eastAsia="ru-RU"/>
        </w:rPr>
        <w:t xml:space="preserve">iei de stat în PIB, </w:t>
      </w:r>
      <w:r w:rsidR="006F39D4">
        <w:rPr>
          <w:rFonts w:ascii="Times New Roman" w:eastAsia="Times New Roman" w:hAnsi="Times New Roman" w:cs="Times New Roman"/>
          <w:bCs/>
          <w:sz w:val="28"/>
          <w:szCs w:val="28"/>
          <w:lang w:val="ro-RO" w:eastAsia="ru-RU"/>
        </w:rPr>
        <w:t>serviciul</w:t>
      </w:r>
      <w:r w:rsidR="001C2768">
        <w:rPr>
          <w:rFonts w:ascii="Times New Roman" w:eastAsia="Times New Roman" w:hAnsi="Times New Roman" w:cs="Times New Roman"/>
          <w:bCs/>
          <w:sz w:val="28"/>
          <w:szCs w:val="28"/>
          <w:lang w:val="ro-RO" w:eastAsia="ru-RU"/>
        </w:rPr>
        <w:t>ui</w:t>
      </w:r>
      <w:r w:rsidR="008E1591">
        <w:rPr>
          <w:rFonts w:ascii="Times New Roman" w:eastAsia="Times New Roman" w:hAnsi="Times New Roman" w:cs="Times New Roman"/>
          <w:bCs/>
          <w:sz w:val="28"/>
          <w:szCs w:val="28"/>
          <w:lang w:val="ro-RO" w:eastAsia="ru-RU"/>
        </w:rPr>
        <w:t xml:space="preserve"> datoriei de stat în PIB </w:t>
      </w:r>
      <w:r w:rsidRPr="006E6516">
        <w:rPr>
          <w:rFonts w:ascii="Times New Roman" w:eastAsia="Times New Roman" w:hAnsi="Times New Roman" w:cs="Times New Roman"/>
          <w:bCs/>
          <w:sz w:val="28"/>
          <w:szCs w:val="28"/>
          <w:lang w:val="ro-RO" w:eastAsia="ru-RU"/>
        </w:rPr>
        <w:t xml:space="preserve">şi </w:t>
      </w:r>
      <w:r w:rsidR="001C2768">
        <w:rPr>
          <w:rFonts w:ascii="Times New Roman" w:eastAsia="Times New Roman" w:hAnsi="Times New Roman" w:cs="Times New Roman"/>
          <w:bCs/>
          <w:sz w:val="28"/>
          <w:szCs w:val="28"/>
          <w:lang w:val="ro-RO" w:eastAsia="ru-RU"/>
        </w:rPr>
        <w:t xml:space="preserve">serviciului datoriei de stat </w:t>
      </w:r>
      <w:r w:rsidR="0000031B">
        <w:rPr>
          <w:rFonts w:ascii="Times New Roman" w:eastAsia="Times New Roman" w:hAnsi="Times New Roman" w:cs="Times New Roman"/>
          <w:bCs/>
          <w:sz w:val="28"/>
          <w:szCs w:val="28"/>
          <w:lang w:val="ro-RO" w:eastAsia="ru-RU"/>
        </w:rPr>
        <w:t xml:space="preserve">în veniturile </w:t>
      </w:r>
      <w:r w:rsidR="008E1591">
        <w:rPr>
          <w:rFonts w:ascii="Times New Roman" w:eastAsia="Times New Roman" w:hAnsi="Times New Roman" w:cs="Times New Roman"/>
          <w:bCs/>
          <w:sz w:val="28"/>
          <w:szCs w:val="28"/>
          <w:lang w:val="ro-RO" w:eastAsia="ru-RU"/>
        </w:rPr>
        <w:t>pe componenta de bază</w:t>
      </w:r>
      <w:r w:rsidR="00134C9D">
        <w:rPr>
          <w:rFonts w:ascii="Times New Roman" w:eastAsia="Times New Roman" w:hAnsi="Times New Roman" w:cs="Times New Roman"/>
          <w:bCs/>
          <w:sz w:val="28"/>
          <w:szCs w:val="28"/>
          <w:lang w:val="ro-RO" w:eastAsia="ru-RU"/>
        </w:rPr>
        <w:t xml:space="preserve"> a </w:t>
      </w:r>
      <w:r w:rsidR="00134C9D" w:rsidRPr="006E6516">
        <w:rPr>
          <w:rFonts w:ascii="Times New Roman" w:eastAsia="Times New Roman" w:hAnsi="Times New Roman" w:cs="Times New Roman"/>
          <w:bCs/>
          <w:sz w:val="28"/>
          <w:szCs w:val="28"/>
          <w:lang w:val="ro-RO" w:eastAsia="ru-RU"/>
        </w:rPr>
        <w:t>bugetului de stat</w:t>
      </w:r>
      <w:r w:rsidRPr="006E6516">
        <w:rPr>
          <w:rFonts w:ascii="Times New Roman" w:eastAsia="Times New Roman" w:hAnsi="Times New Roman" w:cs="Times New Roman"/>
          <w:bCs/>
          <w:sz w:val="28"/>
          <w:szCs w:val="28"/>
          <w:lang w:val="ro-RO" w:eastAsia="ru-RU"/>
        </w:rPr>
        <w:t>.</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lang w:val="ro-RO" w:eastAsia="ru-RU"/>
        </w:rPr>
      </w:pPr>
      <w:r w:rsidRPr="006E6516">
        <w:rPr>
          <w:rFonts w:ascii="Times New Roman" w:eastAsia="Times New Roman" w:hAnsi="Times New Roman" w:cs="Times New Roman"/>
          <w:sz w:val="28"/>
          <w:szCs w:val="28"/>
          <w:lang w:val="ro-RO" w:eastAsia="ru-RU"/>
        </w:rPr>
        <w:t>Principalele concluzii care au fost stabilite în baza datelor prezentate constau în faptul că</w:t>
      </w:r>
      <w:r w:rsidRPr="006E6516">
        <w:rPr>
          <w:rFonts w:ascii="Times New Roman" w:eastAsia="Times New Roman" w:hAnsi="Times New Roman" w:cs="Times New Roman"/>
          <w:bCs/>
          <w:sz w:val="28"/>
          <w:szCs w:val="28"/>
          <w:lang w:val="ro-RO" w:eastAsia="ru-RU"/>
        </w:rPr>
        <w:t xml:space="preserve"> </w:t>
      </w:r>
      <w:r w:rsidRPr="006E6516">
        <w:rPr>
          <w:rFonts w:ascii="Times New Roman" w:eastAsia="Times New Roman" w:hAnsi="Times New Roman" w:cs="Times New Roman"/>
          <w:sz w:val="28"/>
          <w:szCs w:val="28"/>
          <w:lang w:val="ro-RO" w:eastAsia="ru-RU"/>
        </w:rPr>
        <w:t xml:space="preserve">volumul datoriei de stat prezintă cea mai mare expunere faţă de riscul valutar, iar serviciul datoriei de stat, adică costul asociat acesteia este expus în cea mai mare măsură riscului ratei de dobîndă. </w:t>
      </w:r>
    </w:p>
    <w:p w:rsidR="006E6516" w:rsidRPr="006E6516" w:rsidRDefault="006E6516" w:rsidP="006E6516">
      <w:pPr>
        <w:spacing w:after="0" w:line="240" w:lineRule="auto"/>
        <w:ind w:firstLine="709"/>
        <w:jc w:val="both"/>
        <w:rPr>
          <w:rFonts w:ascii="Times New Roman" w:eastAsia="Times New Roman" w:hAnsi="Times New Roman" w:cs="Times New Roman"/>
          <w:bCs/>
          <w:sz w:val="28"/>
          <w:szCs w:val="28"/>
          <w:lang w:val="ro-RO" w:eastAsia="ru-RU"/>
        </w:rPr>
      </w:pPr>
    </w:p>
    <w:p w:rsidR="006E6516" w:rsidRPr="006E6516" w:rsidRDefault="006E6516" w:rsidP="006E6516">
      <w:pPr>
        <w:tabs>
          <w:tab w:val="left" w:pos="540"/>
          <w:tab w:val="left" w:pos="993"/>
        </w:tabs>
        <w:spacing w:after="0" w:line="240" w:lineRule="auto"/>
        <w:jc w:val="center"/>
        <w:rPr>
          <w:rFonts w:ascii="Times New Roman" w:eastAsia="Times New Roman" w:hAnsi="Times New Roman" w:cs="Times New Roman"/>
          <w:b/>
          <w:sz w:val="28"/>
          <w:lang w:val="ro-RO" w:eastAsia="ru-RU"/>
        </w:rPr>
      </w:pPr>
      <w:bookmarkStart w:id="2" w:name="_Toc346609558"/>
      <w:r w:rsidRPr="006E6516">
        <w:rPr>
          <w:rFonts w:ascii="Times New Roman" w:eastAsia="Times New Roman" w:hAnsi="Times New Roman" w:cs="Times New Roman"/>
          <w:b/>
          <w:bCs/>
          <w:sz w:val="28"/>
          <w:lang w:val="ro-RO" w:eastAsia="ru-RU"/>
        </w:rPr>
        <w:t>Introducere</w:t>
      </w:r>
      <w:bookmarkEnd w:id="2"/>
    </w:p>
    <w:p w:rsidR="006E6516" w:rsidRPr="006E6516" w:rsidRDefault="006E6516" w:rsidP="006E6516">
      <w:pPr>
        <w:spacing w:after="0" w:line="240" w:lineRule="auto"/>
        <w:rPr>
          <w:rFonts w:ascii="Times New Roman" w:eastAsia="Times New Roman" w:hAnsi="Times New Roman" w:cs="Times New Roman"/>
          <w:sz w:val="24"/>
          <w:szCs w:val="24"/>
          <w:lang w:val="ro-RO" w:eastAsia="ru-RU"/>
        </w:rPr>
      </w:pP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 xml:space="preserve">În conformitate cu prevederile </w:t>
      </w:r>
      <w:r w:rsidRPr="006F39D4">
        <w:rPr>
          <w:rFonts w:ascii="Times New Roman" w:eastAsia="Times New Roman" w:hAnsi="Times New Roman" w:cs="Times New Roman"/>
          <w:i/>
          <w:sz w:val="28"/>
          <w:szCs w:val="28"/>
          <w:shd w:val="clear" w:color="auto" w:fill="FFFFFF"/>
          <w:lang w:val="ro-RO"/>
        </w:rPr>
        <w:t>Legii nr.419-XVI din 22 decembrie 2006 cu privire la datoria publică, garanţiile de stat şi recreditarea de stat</w:t>
      </w:r>
      <w:r w:rsidRPr="006E6516">
        <w:rPr>
          <w:rFonts w:ascii="Times New Roman" w:eastAsia="Times New Roman" w:hAnsi="Times New Roman" w:cs="Times New Roman"/>
          <w:sz w:val="28"/>
          <w:szCs w:val="28"/>
          <w:shd w:val="clear" w:color="auto" w:fill="FFFFFF"/>
          <w:lang w:val="ro-RO"/>
        </w:rPr>
        <w:t xml:space="preserve">, Ministerul Finanţelor administrează datoria de stat şi garanţiile de stat. În acest sens a fost elaborat </w:t>
      </w:r>
      <w:r w:rsidRPr="006F39D4">
        <w:rPr>
          <w:rFonts w:ascii="Times New Roman" w:eastAsia="Times New Roman" w:hAnsi="Times New Roman" w:cs="Times New Roman"/>
          <w:i/>
          <w:sz w:val="28"/>
          <w:szCs w:val="28"/>
          <w:shd w:val="clear" w:color="auto" w:fill="FFFFFF"/>
          <w:lang w:val="ro-RO"/>
        </w:rPr>
        <w:t>Programul „Managementul datoriei de stat pe termen mediu pentru anii 201</w:t>
      </w:r>
      <w:r w:rsidR="006F39D4" w:rsidRPr="006F39D4">
        <w:rPr>
          <w:rFonts w:ascii="Times New Roman" w:eastAsia="Times New Roman" w:hAnsi="Times New Roman" w:cs="Times New Roman"/>
          <w:i/>
          <w:sz w:val="28"/>
          <w:szCs w:val="28"/>
          <w:shd w:val="clear" w:color="auto" w:fill="FFFFFF"/>
          <w:lang w:val="ro-RO"/>
        </w:rPr>
        <w:t>4</w:t>
      </w:r>
      <w:r w:rsidRPr="006F39D4">
        <w:rPr>
          <w:rFonts w:ascii="Times New Roman" w:eastAsia="Times New Roman" w:hAnsi="Times New Roman" w:cs="Times New Roman"/>
          <w:i/>
          <w:sz w:val="28"/>
          <w:szCs w:val="28"/>
          <w:shd w:val="clear" w:color="auto" w:fill="FFFFFF"/>
          <w:lang w:val="ro-RO"/>
        </w:rPr>
        <w:t>-201</w:t>
      </w:r>
      <w:r w:rsidR="006F39D4" w:rsidRPr="006F39D4">
        <w:rPr>
          <w:rFonts w:ascii="Times New Roman" w:eastAsia="Times New Roman" w:hAnsi="Times New Roman" w:cs="Times New Roman"/>
          <w:i/>
          <w:sz w:val="28"/>
          <w:szCs w:val="28"/>
          <w:shd w:val="clear" w:color="auto" w:fill="FFFFFF"/>
          <w:lang w:val="ro-RO"/>
        </w:rPr>
        <w:t>6</w:t>
      </w:r>
      <w:r w:rsidRPr="006F39D4">
        <w:rPr>
          <w:rFonts w:ascii="Times New Roman" w:eastAsia="Times New Roman" w:hAnsi="Times New Roman" w:cs="Times New Roman"/>
          <w:i/>
          <w:sz w:val="28"/>
          <w:szCs w:val="28"/>
          <w:shd w:val="clear" w:color="auto" w:fill="FFFFFF"/>
          <w:lang w:val="ro-RO"/>
        </w:rPr>
        <w:t>”</w:t>
      </w:r>
      <w:r w:rsidRPr="006E6516">
        <w:rPr>
          <w:rFonts w:ascii="Times New Roman" w:eastAsia="Times New Roman" w:hAnsi="Times New Roman" w:cs="Times New Roman"/>
          <w:sz w:val="28"/>
          <w:szCs w:val="28"/>
          <w:shd w:val="clear" w:color="auto" w:fill="FFFFFF"/>
          <w:lang w:val="ro-RO"/>
        </w:rPr>
        <w:t xml:space="preserve">(în continuare </w:t>
      </w:r>
      <w:r w:rsidRPr="006E6516">
        <w:rPr>
          <w:rFonts w:ascii="Times New Roman" w:eastAsia="Times New Roman" w:hAnsi="Times New Roman" w:cs="Times New Roman"/>
          <w:sz w:val="28"/>
          <w:szCs w:val="28"/>
          <w:lang w:val="it-IT" w:eastAsia="ru-RU"/>
        </w:rPr>
        <w:t>–</w:t>
      </w:r>
      <w:r w:rsidRPr="006E6516">
        <w:rPr>
          <w:rFonts w:ascii="Times New Roman" w:eastAsia="Times New Roman" w:hAnsi="Times New Roman" w:cs="Times New Roman"/>
          <w:sz w:val="28"/>
          <w:szCs w:val="28"/>
          <w:shd w:val="clear" w:color="auto" w:fill="FFFFFF"/>
          <w:lang w:val="ro-RO"/>
        </w:rPr>
        <w:t xml:space="preserve"> </w:t>
      </w:r>
      <w:r w:rsidRPr="006F39D4">
        <w:rPr>
          <w:rFonts w:ascii="Times New Roman" w:eastAsia="Times New Roman" w:hAnsi="Times New Roman" w:cs="Times New Roman"/>
          <w:i/>
          <w:sz w:val="28"/>
          <w:szCs w:val="28"/>
          <w:shd w:val="clear" w:color="auto" w:fill="FFFFFF"/>
          <w:lang w:val="ro-RO"/>
        </w:rPr>
        <w:t>Program</w:t>
      </w:r>
      <w:r w:rsidRPr="006E6516">
        <w:rPr>
          <w:rFonts w:ascii="Times New Roman" w:eastAsia="Times New Roman" w:hAnsi="Times New Roman" w:cs="Times New Roman"/>
          <w:sz w:val="28"/>
          <w:szCs w:val="28"/>
          <w:shd w:val="clear" w:color="auto" w:fill="FFFFFF"/>
          <w:lang w:val="ro-RO"/>
        </w:rPr>
        <w:t>).</w:t>
      </w:r>
      <w:r w:rsidRPr="006E6516">
        <w:rPr>
          <w:rFonts w:ascii="Times New Roman" w:eastAsia="Times New Roman" w:hAnsi="Times New Roman" w:cs="Times New Roman"/>
          <w:b/>
          <w:sz w:val="28"/>
          <w:szCs w:val="28"/>
          <w:shd w:val="clear" w:color="auto" w:fill="FFFFFF"/>
          <w:lang w:val="ro-RO"/>
        </w:rPr>
        <w:t xml:space="preserve"> </w:t>
      </w:r>
      <w:r w:rsidRPr="006E6516">
        <w:rPr>
          <w:rFonts w:ascii="Times New Roman" w:eastAsia="Times New Roman" w:hAnsi="Times New Roman" w:cs="Times New Roman"/>
          <w:sz w:val="28"/>
          <w:szCs w:val="28"/>
          <w:shd w:val="clear" w:color="auto" w:fill="FFFFFF"/>
          <w:lang w:val="ro-RO"/>
        </w:rPr>
        <w:t>Elaborarea Program</w:t>
      </w:r>
      <w:r w:rsidR="004108FD">
        <w:rPr>
          <w:rFonts w:ascii="Times New Roman" w:eastAsia="Times New Roman" w:hAnsi="Times New Roman" w:cs="Times New Roman"/>
          <w:sz w:val="28"/>
          <w:szCs w:val="28"/>
          <w:shd w:val="clear" w:color="auto" w:fill="FFFFFF"/>
          <w:lang w:val="ro-RO"/>
        </w:rPr>
        <w:t>ului</w:t>
      </w:r>
      <w:r w:rsidRPr="006E6516">
        <w:rPr>
          <w:rFonts w:ascii="Times New Roman" w:eastAsia="Times New Roman" w:hAnsi="Times New Roman" w:cs="Times New Roman"/>
          <w:sz w:val="28"/>
          <w:szCs w:val="28"/>
          <w:shd w:val="clear" w:color="auto" w:fill="FFFFFF"/>
          <w:lang w:val="ro-RO"/>
        </w:rPr>
        <w:t xml:space="preserve"> este actuală</w:t>
      </w:r>
      <w:r w:rsidRPr="006E6516">
        <w:rPr>
          <w:rFonts w:ascii="Times New Roman" w:eastAsia="Times New Roman" w:hAnsi="Times New Roman" w:cs="Times New Roman"/>
          <w:i/>
          <w:sz w:val="28"/>
          <w:szCs w:val="28"/>
          <w:shd w:val="clear" w:color="auto" w:fill="FFFFFF"/>
          <w:lang w:val="ro-RO"/>
        </w:rPr>
        <w:t>,</w:t>
      </w:r>
      <w:r w:rsidRPr="006E6516">
        <w:rPr>
          <w:rFonts w:ascii="Times New Roman" w:eastAsia="Times New Roman" w:hAnsi="Times New Roman" w:cs="Times New Roman"/>
          <w:sz w:val="28"/>
          <w:szCs w:val="28"/>
          <w:shd w:val="clear" w:color="auto" w:fill="FFFFFF"/>
          <w:lang w:val="ro-RO"/>
        </w:rPr>
        <w:t xml:space="preserve"> întrucît pe termen mediu Republica Moldova va obţine finanţare la costuri mai înalte, precum şi va explora noi oportunităţi de finanţare. Acest proces ar putea fi însoţit de apariţia a noi riscuri sau acutizarea celor existente, </w:t>
      </w:r>
      <w:r w:rsidR="004108FD">
        <w:rPr>
          <w:rFonts w:ascii="Times New Roman" w:eastAsia="Times New Roman" w:hAnsi="Times New Roman" w:cs="Times New Roman"/>
          <w:sz w:val="28"/>
          <w:szCs w:val="28"/>
          <w:shd w:val="clear" w:color="auto" w:fill="FFFFFF"/>
          <w:lang w:val="ro-RO"/>
        </w:rPr>
        <w:t>fapt care ar trebui să fie luat</w:t>
      </w:r>
      <w:r w:rsidRPr="006E6516">
        <w:rPr>
          <w:rFonts w:ascii="Times New Roman" w:eastAsia="Times New Roman" w:hAnsi="Times New Roman" w:cs="Times New Roman"/>
          <w:sz w:val="28"/>
          <w:szCs w:val="28"/>
          <w:shd w:val="clear" w:color="auto" w:fill="FFFFFF"/>
          <w:lang w:val="ro-RO"/>
        </w:rPr>
        <w:t xml:space="preserve"> în considerare în </w:t>
      </w:r>
      <w:r w:rsidR="004108FD">
        <w:rPr>
          <w:rFonts w:ascii="Times New Roman" w:eastAsia="Times New Roman" w:hAnsi="Times New Roman" w:cs="Times New Roman"/>
          <w:sz w:val="28"/>
          <w:szCs w:val="28"/>
          <w:shd w:val="clear" w:color="auto" w:fill="FFFFFF"/>
          <w:lang w:val="ro-RO"/>
        </w:rPr>
        <w:t xml:space="preserve">procesul de </w:t>
      </w:r>
      <w:r w:rsidRPr="006E6516">
        <w:rPr>
          <w:rFonts w:ascii="Times New Roman" w:eastAsia="Times New Roman" w:hAnsi="Times New Roman" w:cs="Times New Roman"/>
          <w:sz w:val="28"/>
          <w:szCs w:val="28"/>
          <w:shd w:val="clear" w:color="auto" w:fill="FFFFFF"/>
          <w:lang w:val="ro-RO"/>
        </w:rPr>
        <w:t>gestiune</w:t>
      </w:r>
      <w:r w:rsidR="004108FD">
        <w:rPr>
          <w:rFonts w:ascii="Times New Roman" w:eastAsia="Times New Roman" w:hAnsi="Times New Roman" w:cs="Times New Roman"/>
          <w:sz w:val="28"/>
          <w:szCs w:val="28"/>
          <w:shd w:val="clear" w:color="auto" w:fill="FFFFFF"/>
          <w:lang w:val="ro-RO"/>
        </w:rPr>
        <w:t xml:space="preserve"> </w:t>
      </w:r>
      <w:r w:rsidRPr="006E6516">
        <w:rPr>
          <w:rFonts w:ascii="Times New Roman" w:eastAsia="Times New Roman" w:hAnsi="Times New Roman" w:cs="Times New Roman"/>
          <w:sz w:val="28"/>
          <w:szCs w:val="28"/>
          <w:shd w:val="clear" w:color="auto" w:fill="FFFFFF"/>
          <w:lang w:val="ro-RO"/>
        </w:rPr>
        <w:t xml:space="preserve">a datoriei de stat. </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Program</w:t>
      </w:r>
      <w:r w:rsidR="004108FD">
        <w:rPr>
          <w:rFonts w:ascii="Times New Roman" w:eastAsia="Times New Roman" w:hAnsi="Times New Roman" w:cs="Times New Roman"/>
          <w:sz w:val="28"/>
          <w:szCs w:val="28"/>
          <w:shd w:val="clear" w:color="auto" w:fill="FFFFFF"/>
          <w:lang w:val="ro-RO"/>
        </w:rPr>
        <w:t>ul</w:t>
      </w:r>
      <w:r w:rsidRPr="006E6516">
        <w:rPr>
          <w:rFonts w:ascii="Times New Roman" w:eastAsia="Times New Roman" w:hAnsi="Times New Roman" w:cs="Times New Roman"/>
          <w:sz w:val="28"/>
          <w:szCs w:val="28"/>
          <w:shd w:val="clear" w:color="auto" w:fill="FFFFFF"/>
          <w:lang w:val="ro-RO"/>
        </w:rPr>
        <w:t xml:space="preserve"> stabileşte direcţiile prioritare de activitate ale Ministerului Finanţelor, orientate spre atingerea obiectivului fundamental. Acesta se referă la portofoliul datoriei de stat, inclusiv garanţiile de stat. </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Perioada de analiză a datoriei de stat şi a situaţiei macroeconomice aferente este de doi ani precedenţi (201</w:t>
      </w:r>
      <w:r w:rsidR="004108FD">
        <w:rPr>
          <w:rFonts w:ascii="Times New Roman" w:eastAsia="Times New Roman" w:hAnsi="Times New Roman" w:cs="Times New Roman"/>
          <w:sz w:val="28"/>
          <w:szCs w:val="28"/>
          <w:shd w:val="clear" w:color="auto" w:fill="FFFFFF"/>
          <w:lang w:val="ro-RO"/>
        </w:rPr>
        <w:t>1</w:t>
      </w:r>
      <w:r w:rsidRPr="006E6516">
        <w:rPr>
          <w:rFonts w:ascii="Times New Roman" w:eastAsia="Times New Roman" w:hAnsi="Times New Roman" w:cs="Times New Roman"/>
          <w:sz w:val="28"/>
          <w:szCs w:val="28"/>
          <w:shd w:val="clear" w:color="auto" w:fill="FFFFFF"/>
          <w:lang w:val="ro-RO"/>
        </w:rPr>
        <w:t>-201</w:t>
      </w:r>
      <w:r w:rsidR="004108FD">
        <w:rPr>
          <w:rFonts w:ascii="Times New Roman" w:eastAsia="Times New Roman" w:hAnsi="Times New Roman" w:cs="Times New Roman"/>
          <w:sz w:val="28"/>
          <w:szCs w:val="28"/>
          <w:shd w:val="clear" w:color="auto" w:fill="FFFFFF"/>
          <w:lang w:val="ro-RO"/>
        </w:rPr>
        <w:t>2</w:t>
      </w:r>
      <w:r w:rsidRPr="006E6516">
        <w:rPr>
          <w:rFonts w:ascii="Times New Roman" w:eastAsia="Times New Roman" w:hAnsi="Times New Roman" w:cs="Times New Roman"/>
          <w:sz w:val="28"/>
          <w:szCs w:val="28"/>
          <w:shd w:val="clear" w:color="auto" w:fill="FFFFFF"/>
          <w:lang w:val="ro-RO"/>
        </w:rPr>
        <w:t>), anul curent (201</w:t>
      </w:r>
      <w:r w:rsidR="004108FD">
        <w:rPr>
          <w:rFonts w:ascii="Times New Roman" w:eastAsia="Times New Roman" w:hAnsi="Times New Roman" w:cs="Times New Roman"/>
          <w:sz w:val="28"/>
          <w:szCs w:val="28"/>
          <w:shd w:val="clear" w:color="auto" w:fill="FFFFFF"/>
          <w:lang w:val="ro-RO"/>
        </w:rPr>
        <w:t>3</w:t>
      </w:r>
      <w:r w:rsidRPr="006E6516">
        <w:rPr>
          <w:rFonts w:ascii="Times New Roman" w:eastAsia="Times New Roman" w:hAnsi="Times New Roman" w:cs="Times New Roman"/>
          <w:sz w:val="28"/>
          <w:szCs w:val="28"/>
          <w:shd w:val="clear" w:color="auto" w:fill="FFFFFF"/>
          <w:lang w:val="ro-RO"/>
        </w:rPr>
        <w:t>) şi trei ani viitori (201</w:t>
      </w:r>
      <w:r w:rsidR="004108FD">
        <w:rPr>
          <w:rFonts w:ascii="Times New Roman" w:eastAsia="Times New Roman" w:hAnsi="Times New Roman" w:cs="Times New Roman"/>
          <w:sz w:val="28"/>
          <w:szCs w:val="28"/>
          <w:shd w:val="clear" w:color="auto" w:fill="FFFFFF"/>
          <w:lang w:val="ro-RO"/>
        </w:rPr>
        <w:t>4-2016</w:t>
      </w:r>
      <w:r w:rsidRPr="006E6516">
        <w:rPr>
          <w:rFonts w:ascii="Times New Roman" w:eastAsia="Times New Roman" w:hAnsi="Times New Roman" w:cs="Times New Roman"/>
          <w:sz w:val="28"/>
          <w:szCs w:val="28"/>
          <w:shd w:val="clear" w:color="auto" w:fill="FFFFFF"/>
          <w:lang w:val="ro-RO"/>
        </w:rPr>
        <w:t xml:space="preserve">). </w:t>
      </w:r>
    </w:p>
    <w:p w:rsidR="006E6516" w:rsidRPr="006E6516" w:rsidRDefault="00536BDA"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536BDA">
        <w:rPr>
          <w:rFonts w:ascii="Times New Roman" w:eastAsia="Times New Roman" w:hAnsi="Times New Roman" w:cs="Times New Roman"/>
          <w:sz w:val="28"/>
          <w:szCs w:val="28"/>
          <w:shd w:val="clear" w:color="auto" w:fill="FFFFFF"/>
          <w:lang w:val="ro-RO"/>
        </w:rPr>
        <w:lastRenderedPageBreak/>
        <w:t>P</w:t>
      </w:r>
      <w:r w:rsidR="006E6516" w:rsidRPr="00536BDA">
        <w:rPr>
          <w:rFonts w:ascii="Times New Roman" w:eastAsia="Times New Roman" w:hAnsi="Times New Roman" w:cs="Times New Roman"/>
          <w:sz w:val="28"/>
          <w:szCs w:val="28"/>
          <w:shd w:val="clear" w:color="auto" w:fill="FFFFFF"/>
          <w:lang w:val="ro-RO"/>
        </w:rPr>
        <w:t xml:space="preserve">rezentul Program este versiunea actualizată a </w:t>
      </w:r>
      <w:r w:rsidR="004108FD" w:rsidRPr="00536BDA">
        <w:rPr>
          <w:rFonts w:ascii="Times New Roman" w:eastAsia="Times New Roman" w:hAnsi="Times New Roman" w:cs="Times New Roman"/>
          <w:sz w:val="28"/>
          <w:szCs w:val="28"/>
          <w:shd w:val="clear" w:color="auto" w:fill="FFFFFF"/>
          <w:lang w:val="ro-RO"/>
        </w:rPr>
        <w:t xml:space="preserve">Programului </w:t>
      </w:r>
      <w:r w:rsidR="006E6516" w:rsidRPr="00536BDA">
        <w:rPr>
          <w:rFonts w:ascii="Times New Roman" w:eastAsia="Times New Roman" w:hAnsi="Times New Roman" w:cs="Times New Roman"/>
          <w:sz w:val="28"/>
          <w:szCs w:val="28"/>
          <w:shd w:val="clear" w:color="auto" w:fill="FFFFFF"/>
          <w:lang w:val="ro-RO"/>
        </w:rPr>
        <w:t>„Managementul datoriei de stat pe termen mediu (201</w:t>
      </w:r>
      <w:r w:rsidR="004108FD" w:rsidRPr="00536BDA">
        <w:rPr>
          <w:rFonts w:ascii="Times New Roman" w:eastAsia="Times New Roman" w:hAnsi="Times New Roman" w:cs="Times New Roman"/>
          <w:sz w:val="28"/>
          <w:szCs w:val="28"/>
          <w:shd w:val="clear" w:color="auto" w:fill="FFFFFF"/>
          <w:lang w:val="ro-RO"/>
        </w:rPr>
        <w:t>3</w:t>
      </w:r>
      <w:r w:rsidR="006E6516" w:rsidRPr="00536BDA">
        <w:rPr>
          <w:rFonts w:ascii="Times New Roman" w:eastAsia="Times New Roman" w:hAnsi="Times New Roman" w:cs="Times New Roman"/>
          <w:sz w:val="28"/>
          <w:szCs w:val="28"/>
          <w:shd w:val="clear" w:color="auto" w:fill="FFFFFF"/>
          <w:lang w:val="ro-RO"/>
        </w:rPr>
        <w:t>-201</w:t>
      </w:r>
      <w:r w:rsidR="004108FD" w:rsidRPr="00536BDA">
        <w:rPr>
          <w:rFonts w:ascii="Times New Roman" w:eastAsia="Times New Roman" w:hAnsi="Times New Roman" w:cs="Times New Roman"/>
          <w:sz w:val="28"/>
          <w:szCs w:val="28"/>
          <w:shd w:val="clear" w:color="auto" w:fill="FFFFFF"/>
          <w:lang w:val="ro-RO"/>
        </w:rPr>
        <w:t>5</w:t>
      </w:r>
      <w:r w:rsidR="006E6516" w:rsidRPr="00536BDA">
        <w:rPr>
          <w:rFonts w:ascii="Times New Roman" w:eastAsia="Times New Roman" w:hAnsi="Times New Roman" w:cs="Times New Roman"/>
          <w:sz w:val="28"/>
          <w:szCs w:val="28"/>
          <w:shd w:val="clear" w:color="auto" w:fill="FFFFFF"/>
          <w:lang w:val="ro-RO"/>
        </w:rPr>
        <w:t xml:space="preserve">)”. </w:t>
      </w:r>
      <w:r w:rsidRPr="00536BDA">
        <w:rPr>
          <w:rFonts w:ascii="Times New Roman" w:eastAsia="Times New Roman" w:hAnsi="Times New Roman" w:cs="Times New Roman"/>
          <w:sz w:val="28"/>
          <w:szCs w:val="28"/>
          <w:shd w:val="clear" w:color="auto" w:fill="FFFFFF"/>
          <w:lang w:val="ro-RO"/>
        </w:rPr>
        <w:t xml:space="preserve">Astfel, în vederea continuării gestiunii eficiente a datoriei de stat, va continua implementarea obiectivului fundamental, a obiectivelor specifice, precum şi a acţiunilor îndreptate spre realizarea acestora stabilite în Programul precedent. </w:t>
      </w:r>
      <w:r w:rsidR="006E6516" w:rsidRPr="00536BDA">
        <w:rPr>
          <w:rFonts w:ascii="Times New Roman" w:eastAsia="Times New Roman" w:hAnsi="Times New Roman" w:cs="Times New Roman"/>
          <w:sz w:val="28"/>
          <w:szCs w:val="28"/>
          <w:shd w:val="clear" w:color="auto" w:fill="FFFFFF"/>
          <w:lang w:val="ro-RO"/>
        </w:rPr>
        <w:t xml:space="preserve">Au fost actualizate prognozele macroeconomice, cele bugetar-fiscale, şi respectiv cele ce ţin de </w:t>
      </w:r>
      <w:r w:rsidR="004108FD" w:rsidRPr="00536BDA">
        <w:rPr>
          <w:rFonts w:ascii="Times New Roman" w:eastAsia="Times New Roman" w:hAnsi="Times New Roman" w:cs="Times New Roman"/>
          <w:sz w:val="28"/>
          <w:szCs w:val="28"/>
          <w:shd w:val="clear" w:color="auto" w:fill="FFFFFF"/>
          <w:lang w:val="ro-RO"/>
        </w:rPr>
        <w:t>evoluţia</w:t>
      </w:r>
      <w:r w:rsidR="006E6516" w:rsidRPr="00536BDA">
        <w:rPr>
          <w:rFonts w:ascii="Times New Roman" w:eastAsia="Times New Roman" w:hAnsi="Times New Roman" w:cs="Times New Roman"/>
          <w:sz w:val="28"/>
          <w:szCs w:val="28"/>
          <w:shd w:val="clear" w:color="auto" w:fill="FFFFFF"/>
          <w:lang w:val="ro-RO"/>
        </w:rPr>
        <w:t xml:space="preserve"> datoriei de stat. </w:t>
      </w:r>
      <w:r w:rsidR="00C74EDA" w:rsidRPr="00536BDA">
        <w:rPr>
          <w:rFonts w:ascii="Times New Roman" w:eastAsia="Times New Roman" w:hAnsi="Times New Roman" w:cs="Times New Roman"/>
          <w:sz w:val="28"/>
          <w:szCs w:val="28"/>
          <w:shd w:val="clear" w:color="auto" w:fill="FFFFFF"/>
          <w:lang w:val="ro-RO"/>
        </w:rPr>
        <w:t xml:space="preserve">De asemenea, a fost introdus un nou capitol privind implementarea </w:t>
      </w:r>
      <w:r w:rsidR="00030386" w:rsidRPr="00536BDA">
        <w:rPr>
          <w:rFonts w:ascii="Times New Roman" w:eastAsia="Times New Roman" w:hAnsi="Times New Roman" w:cs="Times New Roman"/>
          <w:sz w:val="28"/>
          <w:szCs w:val="28"/>
          <w:shd w:val="clear" w:color="auto" w:fill="FFFFFF"/>
          <w:lang w:val="ro-RO"/>
        </w:rPr>
        <w:t>Programului</w:t>
      </w:r>
      <w:r w:rsidR="00C74EDA" w:rsidRPr="00536BDA">
        <w:rPr>
          <w:rFonts w:ascii="Times New Roman" w:eastAsia="Times New Roman" w:hAnsi="Times New Roman" w:cs="Times New Roman"/>
          <w:sz w:val="28"/>
          <w:szCs w:val="28"/>
          <w:shd w:val="clear" w:color="auto" w:fill="FFFFFF"/>
          <w:lang w:val="ro-RO"/>
        </w:rPr>
        <w:t xml:space="preserve"> „Managementul datoriei de stat pe termen mediu (201</w:t>
      </w:r>
      <w:r w:rsidR="008E1591" w:rsidRPr="00536BDA">
        <w:rPr>
          <w:rFonts w:ascii="Times New Roman" w:eastAsia="Times New Roman" w:hAnsi="Times New Roman" w:cs="Times New Roman"/>
          <w:sz w:val="28"/>
          <w:szCs w:val="28"/>
          <w:shd w:val="clear" w:color="auto" w:fill="FFFFFF"/>
          <w:lang w:val="ro-RO"/>
        </w:rPr>
        <w:t>3</w:t>
      </w:r>
      <w:r w:rsidR="00C74EDA" w:rsidRPr="00536BDA">
        <w:rPr>
          <w:rFonts w:ascii="Times New Roman" w:eastAsia="Times New Roman" w:hAnsi="Times New Roman" w:cs="Times New Roman"/>
          <w:sz w:val="28"/>
          <w:szCs w:val="28"/>
          <w:shd w:val="clear" w:color="auto" w:fill="FFFFFF"/>
          <w:lang w:val="ro-RO"/>
        </w:rPr>
        <w:t>-201</w:t>
      </w:r>
      <w:r w:rsidR="008E1591" w:rsidRPr="00536BDA">
        <w:rPr>
          <w:rFonts w:ascii="Times New Roman" w:eastAsia="Times New Roman" w:hAnsi="Times New Roman" w:cs="Times New Roman"/>
          <w:sz w:val="28"/>
          <w:szCs w:val="28"/>
          <w:shd w:val="clear" w:color="auto" w:fill="FFFFFF"/>
          <w:lang w:val="ro-RO"/>
        </w:rPr>
        <w:t>5</w:t>
      </w:r>
      <w:r w:rsidR="00C74EDA" w:rsidRPr="00536BDA">
        <w:rPr>
          <w:rFonts w:ascii="Times New Roman" w:eastAsia="Times New Roman" w:hAnsi="Times New Roman" w:cs="Times New Roman"/>
          <w:sz w:val="28"/>
          <w:szCs w:val="28"/>
          <w:shd w:val="clear" w:color="auto" w:fill="FFFFFF"/>
          <w:lang w:val="ro-RO"/>
        </w:rPr>
        <w:t>)”.</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În rezul</w:t>
      </w:r>
      <w:r w:rsidR="004108FD">
        <w:rPr>
          <w:rFonts w:ascii="Times New Roman" w:eastAsia="Times New Roman" w:hAnsi="Times New Roman" w:cs="Times New Roman"/>
          <w:sz w:val="28"/>
          <w:szCs w:val="28"/>
          <w:shd w:val="clear" w:color="auto" w:fill="FFFFFF"/>
          <w:lang w:val="ro-RO"/>
        </w:rPr>
        <w:t>tatul implementării Programului</w:t>
      </w:r>
      <w:r w:rsidRPr="006E6516">
        <w:rPr>
          <w:rFonts w:ascii="Times New Roman" w:eastAsia="Times New Roman" w:hAnsi="Times New Roman" w:cs="Times New Roman"/>
          <w:sz w:val="28"/>
          <w:szCs w:val="28"/>
          <w:shd w:val="clear" w:color="auto" w:fill="FFFFFF"/>
          <w:lang w:val="ro-RO"/>
        </w:rPr>
        <w:t xml:space="preserve"> se urmăreşte limitarea cheltuielilor aferente datoriei de stat, reieşind din condiţiile pieţelor financiare, precum şi menţinerea riscurilor aferente datoriei de stat în limite rezonabile.</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 xml:space="preserve">Pentru un management activ al datoriei de stat, Ministerul Finanţelor decide asupra structurii datoriei de stat, stabilind parametrii care permit menţinerea riscurilor în limite sigure. Parametrii respectivi vor fi calculaţi şi publicaţi lunar în buletinele statistice privind datoria de stat. </w:t>
      </w:r>
      <w:r w:rsidR="00732AD3">
        <w:rPr>
          <w:rFonts w:ascii="Times New Roman" w:eastAsia="Times New Roman" w:hAnsi="Times New Roman" w:cs="Times New Roman"/>
          <w:sz w:val="28"/>
          <w:szCs w:val="28"/>
          <w:shd w:val="clear" w:color="auto" w:fill="FFFFFF"/>
          <w:lang w:val="ro-RO"/>
        </w:rPr>
        <w:t>În acest mod,</w:t>
      </w:r>
      <w:r w:rsidRPr="006E6516">
        <w:rPr>
          <w:rFonts w:ascii="Times New Roman" w:eastAsia="Times New Roman" w:hAnsi="Times New Roman" w:cs="Times New Roman"/>
          <w:sz w:val="28"/>
          <w:szCs w:val="28"/>
          <w:shd w:val="clear" w:color="auto" w:fill="FFFFFF"/>
          <w:lang w:val="ro-RO"/>
        </w:rPr>
        <w:t xml:space="preserve"> disponibilitatea informaţiei operative şi calitative este</w:t>
      </w:r>
      <w:r w:rsidR="00732AD3" w:rsidRPr="00732AD3">
        <w:rPr>
          <w:rFonts w:ascii="Times New Roman" w:eastAsia="Times New Roman" w:hAnsi="Times New Roman" w:cs="Times New Roman"/>
          <w:sz w:val="28"/>
          <w:szCs w:val="28"/>
          <w:shd w:val="clear" w:color="auto" w:fill="FFFFFF"/>
          <w:lang w:val="ro-RO"/>
        </w:rPr>
        <w:t xml:space="preserve"> </w:t>
      </w:r>
      <w:r w:rsidR="00732AD3" w:rsidRPr="006E6516">
        <w:rPr>
          <w:rFonts w:ascii="Times New Roman" w:eastAsia="Times New Roman" w:hAnsi="Times New Roman" w:cs="Times New Roman"/>
          <w:sz w:val="28"/>
          <w:szCs w:val="28"/>
          <w:shd w:val="clear" w:color="auto" w:fill="FFFFFF"/>
          <w:lang w:val="ro-RO"/>
        </w:rPr>
        <w:t>o necesitate pentru un management calitativ al datoriei de stat</w:t>
      </w:r>
      <w:r w:rsidR="00732AD3">
        <w:rPr>
          <w:rFonts w:ascii="Times New Roman" w:eastAsia="Times New Roman" w:hAnsi="Times New Roman" w:cs="Times New Roman"/>
          <w:sz w:val="28"/>
          <w:szCs w:val="28"/>
          <w:shd w:val="clear" w:color="auto" w:fill="FFFFFF"/>
          <w:lang w:val="ro-RO"/>
        </w:rPr>
        <w:t xml:space="preserve"> și</w:t>
      </w:r>
      <w:r w:rsidRPr="006E6516">
        <w:rPr>
          <w:rFonts w:ascii="Times New Roman" w:eastAsia="Times New Roman" w:hAnsi="Times New Roman" w:cs="Times New Roman"/>
          <w:sz w:val="28"/>
          <w:szCs w:val="28"/>
          <w:shd w:val="clear" w:color="auto" w:fill="FFFFFF"/>
          <w:lang w:val="ro-RO"/>
        </w:rPr>
        <w:t xml:space="preserve"> un factor important în evaluarea riscurilor aferente datoriei de stat şi implicit a costurilor.</w:t>
      </w:r>
    </w:p>
    <w:p w:rsidR="006E6516" w:rsidRPr="006E6516" w:rsidRDefault="006E6516" w:rsidP="006E6516">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 xml:space="preserve">Prezentul Program este elaborat cu utilizarea instrumentului analitic </w:t>
      </w:r>
      <w:r w:rsidRPr="004108FD">
        <w:rPr>
          <w:rFonts w:ascii="Times New Roman" w:eastAsia="Times New Roman" w:hAnsi="Times New Roman" w:cs="Times New Roman"/>
          <w:i/>
          <w:sz w:val="28"/>
          <w:szCs w:val="28"/>
          <w:shd w:val="clear" w:color="auto" w:fill="FFFFFF"/>
          <w:lang w:val="ro-RO"/>
        </w:rPr>
        <w:t>Medium Term Debt Management Strategy (MTDS)</w:t>
      </w:r>
      <w:r w:rsidRPr="006E6516">
        <w:rPr>
          <w:rFonts w:ascii="Times New Roman" w:eastAsia="Times New Roman" w:hAnsi="Times New Roman" w:cs="Times New Roman"/>
          <w:sz w:val="28"/>
          <w:szCs w:val="28"/>
          <w:shd w:val="clear" w:color="auto" w:fill="FFFFFF"/>
          <w:lang w:val="ro-RO"/>
        </w:rPr>
        <w:t xml:space="preserve">, elaborat de către grupul Banca Mondială/ Fondul Monetar Internaţional în scopul susţinerii guvernelor în procesul de adoptare a deciziilor privind modalităţile de asigurare a necesităţilor de finanţare, luînd în considerare constrîngerile macroeconomice şi posibilele surse de finanţare. Instrumentul oferă estimări cantitative aferente frontierei cost/risc asociate cu strategii </w:t>
      </w:r>
      <w:r w:rsidR="00732AD3">
        <w:rPr>
          <w:rFonts w:ascii="Times New Roman" w:eastAsia="Times New Roman" w:hAnsi="Times New Roman" w:cs="Times New Roman"/>
          <w:sz w:val="28"/>
          <w:szCs w:val="28"/>
          <w:shd w:val="clear" w:color="auto" w:fill="FFFFFF"/>
          <w:lang w:val="ro-RO"/>
        </w:rPr>
        <w:t xml:space="preserve">alternative </w:t>
      </w:r>
      <w:r w:rsidRPr="006E6516">
        <w:rPr>
          <w:rFonts w:ascii="Times New Roman" w:eastAsia="Times New Roman" w:hAnsi="Times New Roman" w:cs="Times New Roman"/>
          <w:sz w:val="28"/>
          <w:szCs w:val="28"/>
          <w:shd w:val="clear" w:color="auto" w:fill="FFFFFF"/>
          <w:lang w:val="ro-RO"/>
        </w:rPr>
        <w:t xml:space="preserve">de </w:t>
      </w:r>
      <w:r w:rsidR="004108FD">
        <w:rPr>
          <w:rFonts w:ascii="Times New Roman" w:eastAsia="Times New Roman" w:hAnsi="Times New Roman" w:cs="Times New Roman"/>
          <w:sz w:val="28"/>
          <w:szCs w:val="28"/>
          <w:shd w:val="clear" w:color="auto" w:fill="FFFFFF"/>
          <w:lang w:val="ro-RO"/>
        </w:rPr>
        <w:t>asigurare a necesităţilor de finanţare</w:t>
      </w:r>
      <w:r w:rsidRPr="006E6516">
        <w:rPr>
          <w:rFonts w:ascii="Times New Roman" w:eastAsia="Times New Roman" w:hAnsi="Times New Roman" w:cs="Times New Roman"/>
          <w:sz w:val="28"/>
          <w:szCs w:val="28"/>
          <w:shd w:val="clear" w:color="auto" w:fill="FFFFFF"/>
          <w:lang w:val="ro-RO"/>
        </w:rPr>
        <w:t>.</w:t>
      </w:r>
    </w:p>
    <w:p w:rsidR="004108FD" w:rsidRDefault="006E6516" w:rsidP="004108FD">
      <w:pPr>
        <w:spacing w:after="0" w:line="240" w:lineRule="auto"/>
        <w:ind w:firstLine="709"/>
        <w:jc w:val="both"/>
        <w:rPr>
          <w:rFonts w:ascii="Times New Roman" w:eastAsia="Times New Roman" w:hAnsi="Times New Roman" w:cs="Times New Roman"/>
          <w:sz w:val="28"/>
          <w:szCs w:val="28"/>
          <w:shd w:val="clear" w:color="auto" w:fill="FFFFFF"/>
          <w:lang w:val="ro-RO"/>
        </w:rPr>
      </w:pPr>
      <w:r w:rsidRPr="006E6516">
        <w:rPr>
          <w:rFonts w:ascii="Times New Roman" w:eastAsia="Times New Roman" w:hAnsi="Times New Roman" w:cs="Times New Roman"/>
          <w:sz w:val="28"/>
          <w:szCs w:val="28"/>
          <w:shd w:val="clear" w:color="auto" w:fill="FFFFFF"/>
          <w:lang w:val="ro-RO"/>
        </w:rPr>
        <w:t xml:space="preserve">De asemenea, Programul este întocmit în conformitate cu bunele practici stabilite în cadrul </w:t>
      </w:r>
      <w:r w:rsidRPr="004108FD">
        <w:rPr>
          <w:rFonts w:ascii="Times New Roman" w:eastAsia="Times New Roman" w:hAnsi="Times New Roman" w:cs="Times New Roman"/>
          <w:i/>
          <w:sz w:val="28"/>
          <w:szCs w:val="28"/>
          <w:shd w:val="clear" w:color="auto" w:fill="FFFFFF"/>
          <w:lang w:val="ro-RO"/>
        </w:rPr>
        <w:t>Instrumentului de evaluare a performanţei managementului datoriei (DeMPA)</w:t>
      </w:r>
      <w:r w:rsidRPr="006E6516">
        <w:rPr>
          <w:rFonts w:ascii="Times New Roman" w:eastAsia="Times New Roman" w:hAnsi="Times New Roman" w:cs="Times New Roman"/>
          <w:sz w:val="28"/>
          <w:szCs w:val="28"/>
          <w:shd w:val="clear" w:color="auto" w:fill="FFFFFF"/>
          <w:lang w:val="ro-RO"/>
        </w:rPr>
        <w:t>, elaborat de către Banca Mondială în scopul asistării ţărilor în curs de dezvoltare în procesul de eficientizare a managementului datoriei. Astfel, elaborarea unui document de management al datoriei de stat pe termen mediu este unul din cei 15 indicatori incluşi în DeMPA, care pun accent pe realizarea practicilor durabile de gestionare a datoriei.</w:t>
      </w:r>
    </w:p>
    <w:p w:rsidR="006E6516" w:rsidRDefault="006E6516" w:rsidP="004108FD">
      <w:pPr>
        <w:spacing w:after="0" w:line="240" w:lineRule="auto"/>
        <w:ind w:firstLine="709"/>
        <w:jc w:val="both"/>
        <w:rPr>
          <w:rFonts w:ascii="Times New Roman" w:eastAsia="Times New Roman" w:hAnsi="Times New Roman" w:cs="Times New Roman"/>
          <w:sz w:val="28"/>
          <w:szCs w:val="28"/>
          <w:shd w:val="clear" w:color="auto" w:fill="FFFFFF"/>
          <w:lang w:val="ro-RO"/>
        </w:rPr>
      </w:pPr>
      <w:r w:rsidRPr="005F58E5">
        <w:rPr>
          <w:rFonts w:ascii="Times New Roman" w:eastAsia="Times New Roman" w:hAnsi="Times New Roman" w:cs="Times New Roman"/>
          <w:sz w:val="28"/>
          <w:szCs w:val="28"/>
          <w:shd w:val="clear" w:color="auto" w:fill="FFFFFF"/>
          <w:lang w:val="ro-RO"/>
        </w:rPr>
        <w:t xml:space="preserve">Programul </w:t>
      </w:r>
      <w:r w:rsidR="004108FD" w:rsidRPr="005F58E5">
        <w:rPr>
          <w:rFonts w:ascii="Times New Roman" w:eastAsia="Times New Roman" w:hAnsi="Times New Roman" w:cs="Times New Roman"/>
          <w:sz w:val="28"/>
          <w:szCs w:val="28"/>
          <w:shd w:val="clear" w:color="auto" w:fill="FFFFFF"/>
          <w:lang w:val="ro-RO"/>
        </w:rPr>
        <w:t>urmează a</w:t>
      </w:r>
      <w:r w:rsidRPr="005F58E5">
        <w:rPr>
          <w:rFonts w:ascii="Times New Roman" w:eastAsia="Times New Roman" w:hAnsi="Times New Roman" w:cs="Times New Roman"/>
          <w:sz w:val="28"/>
          <w:szCs w:val="28"/>
          <w:shd w:val="clear" w:color="auto" w:fill="FFFFFF"/>
          <w:lang w:val="ro-RO"/>
        </w:rPr>
        <w:t xml:space="preserve"> fi actualizat anual, concomitent cu actualizarea prognozelor macroeconomice. Acest lucru va permite în timp util redefinirea adecvată a obiectivelor şi acţiunilor stabilite, în funcţie de dezvoltarea economică, evoluţia pieţei şi rezultatele obţinute pe parcursul implementării Programului.</w:t>
      </w:r>
    </w:p>
    <w:p w:rsidR="006E6516" w:rsidRDefault="006E6516" w:rsidP="006E6516">
      <w:pPr>
        <w:keepNext/>
        <w:spacing w:after="0" w:line="240" w:lineRule="auto"/>
        <w:jc w:val="center"/>
        <w:outlineLvl w:val="0"/>
        <w:rPr>
          <w:rFonts w:ascii="Times New Roman" w:eastAsia="Times New Roman" w:hAnsi="Times New Roman" w:cs="Times New Roman"/>
          <w:b/>
          <w:bCs/>
          <w:kern w:val="32"/>
          <w:sz w:val="28"/>
          <w:lang w:val="fr-FR" w:eastAsia="ru-RU"/>
        </w:rPr>
      </w:pPr>
    </w:p>
    <w:p w:rsidR="004108FD" w:rsidRDefault="004108FD" w:rsidP="000F4647">
      <w:pPr>
        <w:keepNext/>
        <w:spacing w:after="0" w:line="240" w:lineRule="auto"/>
        <w:jc w:val="center"/>
        <w:outlineLvl w:val="0"/>
        <w:rPr>
          <w:rFonts w:ascii="Times New Roman" w:eastAsia="Times New Roman" w:hAnsi="Times New Roman" w:cs="Times New Roman"/>
          <w:b/>
          <w:bCs/>
          <w:kern w:val="32"/>
          <w:sz w:val="28"/>
          <w:lang w:val="ro-RO" w:eastAsia="ru-RU"/>
        </w:rPr>
      </w:pPr>
      <w:r w:rsidRPr="004108FD">
        <w:rPr>
          <w:rFonts w:ascii="Times New Roman" w:eastAsia="Times New Roman" w:hAnsi="Times New Roman" w:cs="Times New Roman"/>
          <w:b/>
          <w:bCs/>
          <w:kern w:val="32"/>
          <w:sz w:val="28"/>
          <w:lang w:val="ro-RO" w:eastAsia="ru-RU"/>
        </w:rPr>
        <w:t xml:space="preserve">Capitolul I. </w:t>
      </w:r>
      <w:r w:rsidR="00F9496F" w:rsidRPr="004108FD">
        <w:rPr>
          <w:rFonts w:ascii="Times New Roman" w:eastAsia="Times New Roman" w:hAnsi="Times New Roman" w:cs="Times New Roman"/>
          <w:b/>
          <w:bCs/>
          <w:kern w:val="32"/>
          <w:sz w:val="28"/>
          <w:lang w:val="ro-RO" w:eastAsia="ru-RU"/>
        </w:rPr>
        <w:t xml:space="preserve">Implementarea </w:t>
      </w:r>
      <w:r w:rsidR="0027180F">
        <w:rPr>
          <w:rFonts w:ascii="Times New Roman" w:eastAsia="Times New Roman" w:hAnsi="Times New Roman" w:cs="Times New Roman"/>
          <w:b/>
          <w:bCs/>
          <w:kern w:val="32"/>
          <w:sz w:val="28"/>
          <w:lang w:val="ro-RO" w:eastAsia="ru-RU"/>
        </w:rPr>
        <w:t>Programului</w:t>
      </w:r>
      <w:r>
        <w:rPr>
          <w:rFonts w:ascii="Times New Roman" w:eastAsia="Times New Roman" w:hAnsi="Times New Roman" w:cs="Times New Roman"/>
          <w:b/>
          <w:bCs/>
          <w:kern w:val="32"/>
          <w:sz w:val="28"/>
          <w:lang w:val="ro-RO" w:eastAsia="ru-RU"/>
        </w:rPr>
        <w:t xml:space="preserve"> „Managementul datoriei de stat pe termen mediu (201</w:t>
      </w:r>
      <w:r w:rsidR="00732AD3">
        <w:rPr>
          <w:rFonts w:ascii="Times New Roman" w:eastAsia="Times New Roman" w:hAnsi="Times New Roman" w:cs="Times New Roman"/>
          <w:b/>
          <w:bCs/>
          <w:kern w:val="32"/>
          <w:sz w:val="28"/>
          <w:lang w:val="ro-RO" w:eastAsia="ru-RU"/>
        </w:rPr>
        <w:t>3</w:t>
      </w:r>
      <w:r>
        <w:rPr>
          <w:rFonts w:ascii="Times New Roman" w:eastAsia="Times New Roman" w:hAnsi="Times New Roman" w:cs="Times New Roman"/>
          <w:b/>
          <w:bCs/>
          <w:kern w:val="32"/>
          <w:sz w:val="28"/>
          <w:lang w:val="ro-RO" w:eastAsia="ru-RU"/>
        </w:rPr>
        <w:t>-201</w:t>
      </w:r>
      <w:r w:rsidR="00732AD3">
        <w:rPr>
          <w:rFonts w:ascii="Times New Roman" w:eastAsia="Times New Roman" w:hAnsi="Times New Roman" w:cs="Times New Roman"/>
          <w:b/>
          <w:bCs/>
          <w:kern w:val="32"/>
          <w:sz w:val="28"/>
          <w:lang w:val="ro-RO" w:eastAsia="ru-RU"/>
        </w:rPr>
        <w:t>5</w:t>
      </w:r>
      <w:r>
        <w:rPr>
          <w:rFonts w:ascii="Times New Roman" w:eastAsia="Times New Roman" w:hAnsi="Times New Roman" w:cs="Times New Roman"/>
          <w:b/>
          <w:bCs/>
          <w:kern w:val="32"/>
          <w:sz w:val="28"/>
          <w:lang w:val="ro-RO" w:eastAsia="ru-RU"/>
        </w:rPr>
        <w:t>)”</w:t>
      </w:r>
    </w:p>
    <w:p w:rsidR="004108FD" w:rsidRDefault="004108FD" w:rsidP="004108FD">
      <w:pPr>
        <w:spacing w:after="0" w:line="240" w:lineRule="auto"/>
        <w:ind w:firstLine="567"/>
        <w:jc w:val="both"/>
        <w:rPr>
          <w:rFonts w:ascii="Times New Roman" w:eastAsia="Times New Roman" w:hAnsi="Times New Roman" w:cs="Times New Roman"/>
          <w:sz w:val="28"/>
          <w:szCs w:val="28"/>
          <w:lang w:val="ro-RO" w:eastAsia="ru-RU"/>
        </w:rPr>
      </w:pPr>
    </w:p>
    <w:p w:rsidR="004108FD" w:rsidRDefault="004108FD" w:rsidP="004108FD">
      <w:pPr>
        <w:spacing w:after="0" w:line="240" w:lineRule="auto"/>
        <w:ind w:firstLine="709"/>
        <w:jc w:val="both"/>
        <w:rPr>
          <w:rFonts w:ascii="Times New Roman" w:eastAsia="Times New Roman" w:hAnsi="Times New Roman" w:cs="Times New Roman"/>
          <w:sz w:val="28"/>
          <w:szCs w:val="28"/>
          <w:lang w:val="ro-RO" w:eastAsia="ru-RU"/>
        </w:rPr>
      </w:pPr>
      <w:r w:rsidRPr="007A4F1C">
        <w:rPr>
          <w:rFonts w:ascii="Times New Roman" w:eastAsia="Times New Roman" w:hAnsi="Times New Roman" w:cs="Times New Roman"/>
          <w:sz w:val="28"/>
          <w:szCs w:val="28"/>
          <w:lang w:val="ro-RO" w:eastAsia="ru-RU"/>
        </w:rPr>
        <w:t>Pe parcursul</w:t>
      </w:r>
      <w:r w:rsidRPr="004108FD">
        <w:rPr>
          <w:rFonts w:ascii="Times New Roman" w:eastAsia="Times New Roman" w:hAnsi="Times New Roman" w:cs="Times New Roman"/>
          <w:sz w:val="28"/>
          <w:szCs w:val="28"/>
          <w:lang w:val="ro-RO" w:eastAsia="ru-RU"/>
        </w:rPr>
        <w:t xml:space="preserve"> anului 201</w:t>
      </w:r>
      <w:r w:rsidR="006E721D">
        <w:rPr>
          <w:rFonts w:ascii="Times New Roman" w:eastAsia="Times New Roman" w:hAnsi="Times New Roman" w:cs="Times New Roman"/>
          <w:sz w:val="28"/>
          <w:szCs w:val="28"/>
          <w:lang w:val="ro-RO" w:eastAsia="ru-RU"/>
        </w:rPr>
        <w:t>3</w:t>
      </w:r>
      <w:r w:rsidRPr="004108FD">
        <w:rPr>
          <w:rFonts w:ascii="Times New Roman" w:eastAsia="Times New Roman" w:hAnsi="Times New Roman" w:cs="Times New Roman"/>
          <w:sz w:val="28"/>
          <w:szCs w:val="28"/>
          <w:lang w:val="ro-RO" w:eastAsia="ru-RU"/>
        </w:rPr>
        <w:t xml:space="preserve">, politica în domeniul managementului datoriei de stat a fost orientată spre atingerea </w:t>
      </w:r>
      <w:r w:rsidRPr="008D2A86">
        <w:rPr>
          <w:rFonts w:ascii="Times New Roman" w:eastAsia="Times New Roman" w:hAnsi="Times New Roman" w:cs="Times New Roman"/>
          <w:i/>
          <w:sz w:val="28"/>
          <w:szCs w:val="28"/>
          <w:lang w:val="ro-RO" w:eastAsia="ru-RU"/>
        </w:rPr>
        <w:t>obiectivului fundamental</w:t>
      </w:r>
      <w:r w:rsidRPr="004108FD">
        <w:rPr>
          <w:rFonts w:ascii="Times New Roman" w:eastAsia="Times New Roman" w:hAnsi="Times New Roman" w:cs="Times New Roman"/>
          <w:sz w:val="28"/>
          <w:szCs w:val="28"/>
          <w:lang w:val="ro-RO" w:eastAsia="ru-RU"/>
        </w:rPr>
        <w:t xml:space="preserve"> de a asigura finanţarea măsurilor prevăzute în bugetul de stat cu minimum de cheltuieli pe termen mediu şi lung şi la un nivel optim de risc.</w:t>
      </w:r>
    </w:p>
    <w:p w:rsidR="004108FD" w:rsidRPr="008B3D4E" w:rsidRDefault="004108FD" w:rsidP="004108FD">
      <w:pPr>
        <w:spacing w:after="0" w:line="240" w:lineRule="auto"/>
        <w:ind w:firstLine="709"/>
        <w:jc w:val="both"/>
        <w:rPr>
          <w:rFonts w:ascii="Times New Roman" w:eastAsia="Times New Roman" w:hAnsi="Times New Roman" w:cs="Times New Roman"/>
          <w:sz w:val="28"/>
          <w:szCs w:val="28"/>
          <w:lang w:val="ro-RO" w:eastAsia="ru-RU"/>
        </w:rPr>
      </w:pPr>
      <w:r w:rsidRPr="008B3D4E">
        <w:rPr>
          <w:rFonts w:ascii="Times New Roman" w:eastAsia="Times New Roman" w:hAnsi="Times New Roman" w:cs="Times New Roman"/>
          <w:sz w:val="28"/>
          <w:szCs w:val="28"/>
          <w:lang w:val="ro-RO" w:eastAsia="ru-RU"/>
        </w:rPr>
        <w:t>De asemenea, în anul 201</w:t>
      </w:r>
      <w:r w:rsidR="006E721D">
        <w:rPr>
          <w:rFonts w:ascii="Times New Roman" w:eastAsia="Times New Roman" w:hAnsi="Times New Roman" w:cs="Times New Roman"/>
          <w:sz w:val="28"/>
          <w:szCs w:val="28"/>
          <w:lang w:val="ro-RO" w:eastAsia="ru-RU"/>
        </w:rPr>
        <w:t>3</w:t>
      </w:r>
      <w:r w:rsidRPr="008B3D4E">
        <w:rPr>
          <w:rFonts w:ascii="Times New Roman" w:eastAsia="Times New Roman" w:hAnsi="Times New Roman" w:cs="Times New Roman"/>
          <w:sz w:val="28"/>
          <w:szCs w:val="28"/>
          <w:lang w:val="ro-RO" w:eastAsia="ru-RU"/>
        </w:rPr>
        <w:t xml:space="preserve"> au fost întreprinse acţiuni pentru atingerea </w:t>
      </w:r>
      <w:r w:rsidRPr="008D2A86">
        <w:rPr>
          <w:rFonts w:ascii="Times New Roman" w:eastAsia="Times New Roman" w:hAnsi="Times New Roman" w:cs="Times New Roman"/>
          <w:i/>
          <w:sz w:val="28"/>
          <w:szCs w:val="28"/>
          <w:lang w:val="ro-RO" w:eastAsia="ru-RU"/>
        </w:rPr>
        <w:t>obiectivelor specifice</w:t>
      </w:r>
      <w:r w:rsidRPr="008B3D4E">
        <w:rPr>
          <w:rFonts w:ascii="Times New Roman" w:eastAsia="Times New Roman" w:hAnsi="Times New Roman" w:cs="Times New Roman"/>
          <w:sz w:val="28"/>
          <w:szCs w:val="28"/>
          <w:lang w:val="ro-RO" w:eastAsia="ru-RU"/>
        </w:rPr>
        <w:t xml:space="preserve"> de gestionare a datoriei de stat, şi anume:</w:t>
      </w:r>
    </w:p>
    <w:p w:rsidR="004108FD" w:rsidRPr="008B3D4E" w:rsidRDefault="004108FD" w:rsidP="004C5604">
      <w:pPr>
        <w:tabs>
          <w:tab w:val="left" w:pos="851"/>
          <w:tab w:val="left" w:pos="993"/>
        </w:tabs>
        <w:spacing w:after="0" w:line="240" w:lineRule="auto"/>
        <w:ind w:firstLine="709"/>
        <w:jc w:val="both"/>
        <w:rPr>
          <w:rFonts w:ascii="Times New Roman" w:eastAsia="Times New Roman" w:hAnsi="Times New Roman" w:cs="Times New Roman"/>
          <w:bCs/>
          <w:sz w:val="28"/>
          <w:szCs w:val="28"/>
          <w:lang w:val="ro-RO" w:eastAsia="ru-RU"/>
        </w:rPr>
      </w:pPr>
      <w:r w:rsidRPr="008B3D4E">
        <w:rPr>
          <w:rFonts w:ascii="Times New Roman" w:eastAsia="Times New Roman" w:hAnsi="Times New Roman" w:cs="Times New Roman"/>
          <w:bCs/>
          <w:sz w:val="28"/>
          <w:szCs w:val="28"/>
          <w:lang w:val="ro-RO" w:eastAsia="ru-RU"/>
        </w:rPr>
        <w:t>1) Limitarea extinderii garanţiilor de stat la cazurile care promovează proiectele prioritare pentru economia naţională, cu condiţia că toate cerinţele legii sunt realizate.</w:t>
      </w:r>
    </w:p>
    <w:p w:rsidR="004108FD" w:rsidRDefault="004108FD" w:rsidP="004108FD">
      <w:pPr>
        <w:tabs>
          <w:tab w:val="left" w:pos="851"/>
        </w:tabs>
        <w:spacing w:after="0" w:line="240" w:lineRule="auto"/>
        <w:ind w:firstLine="709"/>
        <w:contextualSpacing/>
        <w:jc w:val="both"/>
        <w:rPr>
          <w:rFonts w:ascii="Times New Roman" w:eastAsia="Times New Roman" w:hAnsi="Times New Roman" w:cs="Times New Roman"/>
          <w:bCs/>
          <w:sz w:val="28"/>
          <w:szCs w:val="28"/>
          <w:lang w:val="ro-RO" w:eastAsia="ru-RU"/>
        </w:rPr>
      </w:pPr>
      <w:r w:rsidRPr="004108FD">
        <w:rPr>
          <w:rFonts w:ascii="Times New Roman" w:eastAsia="Times New Roman" w:hAnsi="Times New Roman" w:cs="Times New Roman"/>
          <w:bCs/>
          <w:sz w:val="28"/>
          <w:szCs w:val="28"/>
          <w:lang w:val="ro-RO" w:eastAsia="ru-RU"/>
        </w:rPr>
        <w:t>Astfel, în anul 201</w:t>
      </w:r>
      <w:r w:rsidR="00076D88">
        <w:rPr>
          <w:rFonts w:ascii="Times New Roman" w:eastAsia="Times New Roman" w:hAnsi="Times New Roman" w:cs="Times New Roman"/>
          <w:bCs/>
          <w:sz w:val="28"/>
          <w:szCs w:val="28"/>
          <w:lang w:val="ro-RO" w:eastAsia="ru-RU"/>
        </w:rPr>
        <w:t>3</w:t>
      </w:r>
      <w:r w:rsidRPr="004108FD">
        <w:rPr>
          <w:rFonts w:ascii="Times New Roman" w:eastAsia="Times New Roman" w:hAnsi="Times New Roman" w:cs="Times New Roman"/>
          <w:bCs/>
          <w:sz w:val="28"/>
          <w:szCs w:val="28"/>
          <w:lang w:val="ro-RO" w:eastAsia="ru-RU"/>
        </w:rPr>
        <w:t xml:space="preserve"> nu au fost emise garanţii de stat.</w:t>
      </w:r>
    </w:p>
    <w:p w:rsidR="001F08C7" w:rsidRDefault="001F08C7" w:rsidP="001F08C7">
      <w:pPr>
        <w:tabs>
          <w:tab w:val="left" w:pos="851"/>
        </w:tabs>
        <w:spacing w:after="0" w:line="240" w:lineRule="auto"/>
        <w:ind w:firstLine="709"/>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2) C</w:t>
      </w:r>
      <w:r w:rsidRPr="000919EF">
        <w:rPr>
          <w:rFonts w:ascii="Times New Roman" w:eastAsia="Times New Roman" w:hAnsi="Times New Roman" w:cs="Times New Roman"/>
          <w:bCs/>
          <w:sz w:val="28"/>
          <w:szCs w:val="28"/>
          <w:lang w:val="ro-RO" w:eastAsia="ru-RU"/>
        </w:rPr>
        <w:t xml:space="preserve">ontinuarea diminuării treptate a datoriei Guvernului faţă de Banca Naţională a Moldovei pe împrumuturile contractate anterior; </w:t>
      </w:r>
    </w:p>
    <w:p w:rsidR="001F08C7" w:rsidRDefault="001F08C7" w:rsidP="001F08C7">
      <w:pPr>
        <w:tabs>
          <w:tab w:val="left" w:pos="851"/>
        </w:tabs>
        <w:spacing w:after="0" w:line="240" w:lineRule="auto"/>
        <w:ind w:firstLine="709"/>
        <w:jc w:val="both"/>
        <w:rPr>
          <w:rFonts w:ascii="Times New Roman" w:eastAsia="Times New Roman" w:hAnsi="Times New Roman" w:cs="Times New Roman"/>
          <w:bCs/>
          <w:sz w:val="28"/>
          <w:szCs w:val="28"/>
          <w:lang w:val="ro-RO" w:eastAsia="ru-RU"/>
        </w:rPr>
      </w:pPr>
      <w:r w:rsidRPr="000919EF">
        <w:rPr>
          <w:rFonts w:ascii="Times New Roman" w:eastAsia="Times New Roman" w:hAnsi="Times New Roman" w:cs="Times New Roman"/>
          <w:bCs/>
          <w:sz w:val="28"/>
          <w:szCs w:val="28"/>
          <w:lang w:val="ro-RO" w:eastAsia="ru-RU"/>
        </w:rPr>
        <w:t xml:space="preserve">Ţinînd cont de mersul executării bugetului </w:t>
      </w:r>
      <w:r>
        <w:rPr>
          <w:rFonts w:ascii="Times New Roman" w:eastAsia="Times New Roman" w:hAnsi="Times New Roman" w:cs="Times New Roman"/>
          <w:bCs/>
          <w:sz w:val="28"/>
          <w:szCs w:val="28"/>
          <w:lang w:val="ro-RO" w:eastAsia="ru-RU"/>
        </w:rPr>
        <w:t xml:space="preserve">pe parcursul anului </w:t>
      </w:r>
      <w:r w:rsidRPr="000919EF">
        <w:rPr>
          <w:rFonts w:ascii="Times New Roman" w:eastAsia="Times New Roman" w:hAnsi="Times New Roman" w:cs="Times New Roman"/>
          <w:bCs/>
          <w:sz w:val="28"/>
          <w:szCs w:val="28"/>
          <w:lang w:val="ro-RO" w:eastAsia="ru-RU"/>
        </w:rPr>
        <w:t>şi necesităţile prioritizării programelor de cheltuieli</w:t>
      </w:r>
      <w:r>
        <w:rPr>
          <w:rFonts w:ascii="Times New Roman" w:eastAsia="Times New Roman" w:hAnsi="Times New Roman" w:cs="Times New Roman"/>
          <w:bCs/>
          <w:sz w:val="28"/>
          <w:szCs w:val="28"/>
          <w:lang w:val="ro-RO" w:eastAsia="ru-RU"/>
        </w:rPr>
        <w:t>,</w:t>
      </w:r>
      <w:r w:rsidRPr="000919EF">
        <w:rPr>
          <w:rFonts w:ascii="Times New Roman" w:eastAsia="Times New Roman" w:hAnsi="Times New Roman" w:cs="Times New Roman"/>
          <w:bCs/>
          <w:sz w:val="28"/>
          <w:szCs w:val="28"/>
          <w:lang w:val="ro-RO" w:eastAsia="ru-RU"/>
        </w:rPr>
        <w:t xml:space="preserve"> </w:t>
      </w:r>
      <w:r>
        <w:rPr>
          <w:rFonts w:ascii="Times New Roman" w:eastAsia="Times New Roman" w:hAnsi="Times New Roman" w:cs="Times New Roman"/>
          <w:bCs/>
          <w:sz w:val="28"/>
          <w:szCs w:val="28"/>
          <w:lang w:val="ro-RO" w:eastAsia="ru-RU"/>
        </w:rPr>
        <w:t>în anul 2013</w:t>
      </w:r>
      <w:r w:rsidRPr="000919EF">
        <w:rPr>
          <w:rFonts w:ascii="Times New Roman" w:eastAsia="Times New Roman" w:hAnsi="Times New Roman" w:cs="Times New Roman"/>
          <w:bCs/>
          <w:sz w:val="28"/>
          <w:szCs w:val="28"/>
          <w:lang w:val="ro-RO" w:eastAsia="ru-RU"/>
        </w:rPr>
        <w:t xml:space="preserve"> nu a</w:t>
      </w:r>
      <w:r>
        <w:rPr>
          <w:rFonts w:ascii="Times New Roman" w:eastAsia="Times New Roman" w:hAnsi="Times New Roman" w:cs="Times New Roman"/>
          <w:bCs/>
          <w:sz w:val="28"/>
          <w:szCs w:val="28"/>
          <w:lang w:val="ro-RO" w:eastAsia="ru-RU"/>
        </w:rPr>
        <w:t xml:space="preserve">u </w:t>
      </w:r>
      <w:r w:rsidRPr="000919EF">
        <w:rPr>
          <w:rFonts w:ascii="Times New Roman" w:eastAsia="Times New Roman" w:hAnsi="Times New Roman" w:cs="Times New Roman"/>
          <w:bCs/>
          <w:sz w:val="28"/>
          <w:szCs w:val="28"/>
          <w:lang w:val="ro-RO" w:eastAsia="ru-RU"/>
        </w:rPr>
        <w:t>fost răscumpăra</w:t>
      </w:r>
      <w:r>
        <w:rPr>
          <w:rFonts w:ascii="Times New Roman" w:eastAsia="Times New Roman" w:hAnsi="Times New Roman" w:cs="Times New Roman"/>
          <w:bCs/>
          <w:sz w:val="28"/>
          <w:szCs w:val="28"/>
          <w:lang w:val="ro-RO" w:eastAsia="ru-RU"/>
        </w:rPr>
        <w:t>te</w:t>
      </w:r>
      <w:r w:rsidRPr="000919EF">
        <w:rPr>
          <w:rFonts w:ascii="Times New Roman" w:eastAsia="Times New Roman" w:hAnsi="Times New Roman" w:cs="Times New Roman"/>
          <w:bCs/>
          <w:sz w:val="28"/>
          <w:szCs w:val="28"/>
          <w:lang w:val="ro-RO" w:eastAsia="ru-RU"/>
        </w:rPr>
        <w:t xml:space="preserve"> din portofoliu</w:t>
      </w:r>
      <w:r>
        <w:rPr>
          <w:rFonts w:ascii="Times New Roman" w:eastAsia="Times New Roman" w:hAnsi="Times New Roman" w:cs="Times New Roman"/>
          <w:bCs/>
          <w:sz w:val="28"/>
          <w:szCs w:val="28"/>
          <w:lang w:val="ro-RO" w:eastAsia="ru-RU"/>
        </w:rPr>
        <w:t>l</w:t>
      </w:r>
      <w:r w:rsidRPr="000919EF">
        <w:rPr>
          <w:rFonts w:ascii="Times New Roman" w:eastAsia="Times New Roman" w:hAnsi="Times New Roman" w:cs="Times New Roman"/>
          <w:bCs/>
          <w:sz w:val="28"/>
          <w:szCs w:val="28"/>
          <w:lang w:val="ro-RO" w:eastAsia="ru-RU"/>
        </w:rPr>
        <w:t xml:space="preserve"> B</w:t>
      </w:r>
      <w:r>
        <w:rPr>
          <w:rFonts w:ascii="Times New Roman" w:eastAsia="Times New Roman" w:hAnsi="Times New Roman" w:cs="Times New Roman"/>
          <w:bCs/>
          <w:sz w:val="28"/>
          <w:szCs w:val="28"/>
          <w:lang w:val="ro-RO" w:eastAsia="ru-RU"/>
        </w:rPr>
        <w:t xml:space="preserve">ăncii </w:t>
      </w:r>
      <w:r w:rsidRPr="000919EF">
        <w:rPr>
          <w:rFonts w:ascii="Times New Roman" w:eastAsia="Times New Roman" w:hAnsi="Times New Roman" w:cs="Times New Roman"/>
          <w:bCs/>
          <w:sz w:val="28"/>
          <w:szCs w:val="28"/>
          <w:lang w:val="ro-RO" w:eastAsia="ru-RU"/>
        </w:rPr>
        <w:t>N</w:t>
      </w:r>
      <w:r>
        <w:rPr>
          <w:rFonts w:ascii="Times New Roman" w:eastAsia="Times New Roman" w:hAnsi="Times New Roman" w:cs="Times New Roman"/>
          <w:bCs/>
          <w:sz w:val="28"/>
          <w:szCs w:val="28"/>
          <w:lang w:val="ro-RO" w:eastAsia="ru-RU"/>
        </w:rPr>
        <w:t xml:space="preserve">aționale a </w:t>
      </w:r>
      <w:r w:rsidRPr="000919EF">
        <w:rPr>
          <w:rFonts w:ascii="Times New Roman" w:eastAsia="Times New Roman" w:hAnsi="Times New Roman" w:cs="Times New Roman"/>
          <w:bCs/>
          <w:sz w:val="28"/>
          <w:szCs w:val="28"/>
          <w:lang w:val="ro-RO" w:eastAsia="ru-RU"/>
        </w:rPr>
        <w:t>M</w:t>
      </w:r>
      <w:r>
        <w:rPr>
          <w:rFonts w:ascii="Times New Roman" w:eastAsia="Times New Roman" w:hAnsi="Times New Roman" w:cs="Times New Roman"/>
          <w:bCs/>
          <w:sz w:val="28"/>
          <w:szCs w:val="28"/>
          <w:lang w:val="ro-RO" w:eastAsia="ru-RU"/>
        </w:rPr>
        <w:t>oldovei</w:t>
      </w:r>
      <w:r w:rsidRPr="000919EF">
        <w:rPr>
          <w:rFonts w:ascii="Times New Roman" w:eastAsia="Times New Roman" w:hAnsi="Times New Roman" w:cs="Times New Roman"/>
          <w:bCs/>
          <w:sz w:val="28"/>
          <w:szCs w:val="28"/>
          <w:lang w:val="ro-RO" w:eastAsia="ru-RU"/>
        </w:rPr>
        <w:t xml:space="preserve"> valoril</w:t>
      </w:r>
      <w:r>
        <w:rPr>
          <w:rFonts w:ascii="Times New Roman" w:eastAsia="Times New Roman" w:hAnsi="Times New Roman" w:cs="Times New Roman"/>
          <w:bCs/>
          <w:sz w:val="28"/>
          <w:szCs w:val="28"/>
          <w:lang w:val="ro-RO" w:eastAsia="ru-RU"/>
        </w:rPr>
        <w:t>e</w:t>
      </w:r>
      <w:r w:rsidRPr="000919EF">
        <w:rPr>
          <w:rFonts w:ascii="Times New Roman" w:eastAsia="Times New Roman" w:hAnsi="Times New Roman" w:cs="Times New Roman"/>
          <w:bCs/>
          <w:sz w:val="28"/>
          <w:szCs w:val="28"/>
          <w:lang w:val="ro-RO" w:eastAsia="ru-RU"/>
        </w:rPr>
        <w:t xml:space="preserve"> mobiliare de stat convertite în sumă de 200,0 mil. lei aprobate inițial în buget</w:t>
      </w:r>
      <w:r>
        <w:rPr>
          <w:rFonts w:ascii="Times New Roman" w:eastAsia="Times New Roman" w:hAnsi="Times New Roman" w:cs="Times New Roman"/>
          <w:bCs/>
          <w:sz w:val="28"/>
          <w:szCs w:val="28"/>
          <w:lang w:val="ro-RO" w:eastAsia="ru-RU"/>
        </w:rPr>
        <w:t xml:space="preserve">. Astfel, soldul valorilor mobiliare de stat convertite a rămas la nivelul de la începutul anului și la situația din 31 decembrie 2013 a constituit 2 063,4 mil. lei. </w:t>
      </w:r>
    </w:p>
    <w:p w:rsidR="004108FD" w:rsidRPr="00A07C64" w:rsidRDefault="001F08C7" w:rsidP="004108FD">
      <w:pPr>
        <w:tabs>
          <w:tab w:val="left" w:pos="851"/>
        </w:tabs>
        <w:spacing w:after="0" w:line="240" w:lineRule="auto"/>
        <w:ind w:firstLine="709"/>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3</w:t>
      </w:r>
      <w:r w:rsidR="004108FD" w:rsidRPr="00A07C64">
        <w:rPr>
          <w:rFonts w:ascii="Times New Roman" w:eastAsia="Times New Roman" w:hAnsi="Times New Roman" w:cs="Times New Roman"/>
          <w:bCs/>
          <w:sz w:val="28"/>
          <w:szCs w:val="28"/>
          <w:lang w:val="ro-RO" w:eastAsia="ru-RU"/>
        </w:rPr>
        <w:t xml:space="preserve">) Întreprinderea eforturilor </w:t>
      </w:r>
      <w:r w:rsidR="007A4F1C">
        <w:rPr>
          <w:rFonts w:ascii="Times New Roman" w:eastAsia="Times New Roman" w:hAnsi="Times New Roman" w:cs="Times New Roman"/>
          <w:bCs/>
          <w:sz w:val="28"/>
          <w:szCs w:val="28"/>
          <w:lang w:val="ro-RO" w:eastAsia="ru-RU"/>
        </w:rPr>
        <w:t>în vederea</w:t>
      </w:r>
      <w:r w:rsidR="004108FD" w:rsidRPr="00A07C64">
        <w:rPr>
          <w:rFonts w:ascii="Times New Roman" w:eastAsia="Times New Roman" w:hAnsi="Times New Roman" w:cs="Times New Roman"/>
          <w:bCs/>
          <w:sz w:val="28"/>
          <w:szCs w:val="28"/>
          <w:lang w:val="ro-RO" w:eastAsia="ru-RU"/>
        </w:rPr>
        <w:t xml:space="preserve"> sporir</w:t>
      </w:r>
      <w:r w:rsidR="007A4F1C">
        <w:rPr>
          <w:rFonts w:ascii="Times New Roman" w:eastAsia="Times New Roman" w:hAnsi="Times New Roman" w:cs="Times New Roman"/>
          <w:bCs/>
          <w:sz w:val="28"/>
          <w:szCs w:val="28"/>
          <w:lang w:val="ro-RO" w:eastAsia="ru-RU"/>
        </w:rPr>
        <w:t>ii</w:t>
      </w:r>
      <w:r w:rsidR="004108FD" w:rsidRPr="00A07C64">
        <w:rPr>
          <w:rFonts w:ascii="Times New Roman" w:eastAsia="Times New Roman" w:hAnsi="Times New Roman" w:cs="Times New Roman"/>
          <w:bCs/>
          <w:sz w:val="28"/>
          <w:szCs w:val="28"/>
          <w:lang w:val="ro-RO" w:eastAsia="ru-RU"/>
        </w:rPr>
        <w:t xml:space="preserve"> maturităţii valorilor mobiliare de stat </w:t>
      </w:r>
      <w:r w:rsidR="009672D3">
        <w:rPr>
          <w:rFonts w:ascii="Times New Roman" w:eastAsia="Times New Roman" w:hAnsi="Times New Roman" w:cs="Times New Roman"/>
          <w:bCs/>
          <w:sz w:val="28"/>
          <w:szCs w:val="28"/>
          <w:lang w:val="ro-RO" w:eastAsia="ru-RU"/>
        </w:rPr>
        <w:t xml:space="preserve">(VMS) </w:t>
      </w:r>
      <w:r w:rsidR="004108FD" w:rsidRPr="00A07C64">
        <w:rPr>
          <w:rFonts w:ascii="Times New Roman" w:eastAsia="Times New Roman" w:hAnsi="Times New Roman" w:cs="Times New Roman"/>
          <w:bCs/>
          <w:sz w:val="28"/>
          <w:szCs w:val="28"/>
          <w:lang w:val="ro-RO" w:eastAsia="ru-RU"/>
        </w:rPr>
        <w:t>prin emisiuni pe termen mai lung de circulaţie, cu scopul susţinerii creării unei curbe de randament şi dezvoltarea pieţei primare interne.</w:t>
      </w:r>
    </w:p>
    <w:p w:rsidR="00076D88" w:rsidRPr="00ED5C6F" w:rsidRDefault="00076D88" w:rsidP="00076D88">
      <w:pPr>
        <w:tabs>
          <w:tab w:val="left" w:pos="851"/>
        </w:tabs>
        <w:spacing w:after="0" w:line="240" w:lineRule="auto"/>
        <w:ind w:firstLine="709"/>
        <w:jc w:val="both"/>
        <w:rPr>
          <w:rFonts w:ascii="Times New Roman" w:eastAsia="Times New Roman" w:hAnsi="Times New Roman" w:cs="Times New Roman"/>
          <w:bCs/>
          <w:sz w:val="28"/>
          <w:szCs w:val="28"/>
          <w:lang w:val="ro-RO" w:eastAsia="ru-RU"/>
        </w:rPr>
      </w:pPr>
      <w:r w:rsidRPr="00ED5C6F">
        <w:rPr>
          <w:rFonts w:ascii="Times New Roman" w:eastAsia="Times New Roman" w:hAnsi="Times New Roman" w:cs="Times New Roman"/>
          <w:bCs/>
          <w:sz w:val="28"/>
          <w:szCs w:val="28"/>
          <w:lang w:val="ro-RO" w:eastAsia="ru-RU"/>
        </w:rPr>
        <w:t xml:space="preserve">În vederea realizării acestui obiectiv, </w:t>
      </w:r>
      <w:r>
        <w:rPr>
          <w:rFonts w:ascii="Times New Roman" w:eastAsia="Times New Roman" w:hAnsi="Times New Roman" w:cs="Times New Roman"/>
          <w:bCs/>
          <w:sz w:val="28"/>
          <w:szCs w:val="28"/>
          <w:lang w:val="ro-RO" w:eastAsia="ru-RU"/>
        </w:rPr>
        <w:t xml:space="preserve">precum și conform </w:t>
      </w:r>
      <w:r w:rsidRPr="00FF212B">
        <w:rPr>
          <w:rFonts w:ascii="Times New Roman" w:eastAsia="Times New Roman" w:hAnsi="Times New Roman" w:cs="Times New Roman"/>
          <w:bCs/>
          <w:sz w:val="28"/>
          <w:szCs w:val="28"/>
          <w:lang w:val="ro-RO" w:eastAsia="ru-RU"/>
        </w:rPr>
        <w:t>propuner</w:t>
      </w:r>
      <w:r>
        <w:rPr>
          <w:rFonts w:ascii="Times New Roman" w:eastAsia="Times New Roman" w:hAnsi="Times New Roman" w:cs="Times New Roman"/>
          <w:bCs/>
          <w:sz w:val="28"/>
          <w:szCs w:val="28"/>
          <w:lang w:val="ro-RO" w:eastAsia="ru-RU"/>
        </w:rPr>
        <w:t>ii</w:t>
      </w:r>
      <w:r w:rsidRPr="00FF212B">
        <w:rPr>
          <w:rFonts w:ascii="Times New Roman" w:eastAsia="Times New Roman" w:hAnsi="Times New Roman" w:cs="Times New Roman"/>
          <w:bCs/>
          <w:sz w:val="28"/>
          <w:szCs w:val="28"/>
          <w:lang w:val="ro-RO" w:eastAsia="ru-RU"/>
        </w:rPr>
        <w:t xml:space="preserve"> de politic</w:t>
      </w:r>
      <w:r>
        <w:rPr>
          <w:rFonts w:ascii="Times New Roman" w:eastAsia="Times New Roman" w:hAnsi="Times New Roman" w:cs="Times New Roman"/>
          <w:bCs/>
          <w:sz w:val="28"/>
          <w:szCs w:val="28"/>
          <w:lang w:val="ro-RO" w:eastAsia="ru-RU"/>
        </w:rPr>
        <w:t>ă</w:t>
      </w:r>
      <w:r w:rsidRPr="00FF212B">
        <w:rPr>
          <w:rFonts w:ascii="Times New Roman" w:eastAsia="Times New Roman" w:hAnsi="Times New Roman" w:cs="Times New Roman"/>
          <w:bCs/>
          <w:sz w:val="28"/>
          <w:szCs w:val="28"/>
          <w:lang w:val="ro-RO" w:eastAsia="ru-RU"/>
        </w:rPr>
        <w:t xml:space="preserve"> public</w:t>
      </w:r>
      <w:r>
        <w:rPr>
          <w:rFonts w:ascii="Times New Roman" w:eastAsia="Times New Roman" w:hAnsi="Times New Roman" w:cs="Times New Roman"/>
          <w:bCs/>
          <w:sz w:val="28"/>
          <w:szCs w:val="28"/>
          <w:lang w:val="ro-RO" w:eastAsia="ru-RU"/>
        </w:rPr>
        <w:t>ă</w:t>
      </w:r>
      <w:r w:rsidRPr="00FF212B">
        <w:rPr>
          <w:rFonts w:ascii="Times New Roman" w:eastAsia="Times New Roman" w:hAnsi="Times New Roman" w:cs="Times New Roman"/>
          <w:bCs/>
          <w:sz w:val="28"/>
          <w:szCs w:val="28"/>
          <w:lang w:val="ro-RO" w:eastAsia="ru-RU"/>
        </w:rPr>
        <w:t xml:space="preserve"> „Majorarea termen</w:t>
      </w:r>
      <w:r>
        <w:rPr>
          <w:rFonts w:ascii="Times New Roman" w:eastAsia="Times New Roman" w:hAnsi="Times New Roman" w:cs="Times New Roman"/>
          <w:bCs/>
          <w:sz w:val="28"/>
          <w:szCs w:val="28"/>
          <w:lang w:val="ro-RO" w:eastAsia="ru-RU"/>
        </w:rPr>
        <w:t>elor</w:t>
      </w:r>
      <w:r w:rsidRPr="00FF212B">
        <w:rPr>
          <w:rFonts w:ascii="Times New Roman" w:eastAsia="Times New Roman" w:hAnsi="Times New Roman" w:cs="Times New Roman"/>
          <w:bCs/>
          <w:sz w:val="28"/>
          <w:szCs w:val="28"/>
          <w:lang w:val="ro-RO" w:eastAsia="ru-RU"/>
        </w:rPr>
        <w:t xml:space="preserve"> de scadență a valorilor mobiliare de stat și extinderea categoriilor de </w:t>
      </w:r>
      <w:r>
        <w:rPr>
          <w:rFonts w:ascii="Times New Roman" w:eastAsia="Times New Roman" w:hAnsi="Times New Roman" w:cs="Times New Roman"/>
          <w:bCs/>
          <w:sz w:val="28"/>
          <w:szCs w:val="28"/>
          <w:lang w:val="ro-RO" w:eastAsia="ru-RU"/>
        </w:rPr>
        <w:t>investitori</w:t>
      </w:r>
      <w:r w:rsidRPr="00FF212B">
        <w:rPr>
          <w:rFonts w:ascii="Times New Roman" w:eastAsia="Times New Roman" w:hAnsi="Times New Roman" w:cs="Times New Roman"/>
          <w:bCs/>
          <w:sz w:val="28"/>
          <w:szCs w:val="28"/>
          <w:lang w:val="ro-RO" w:eastAsia="ru-RU"/>
        </w:rPr>
        <w:t xml:space="preserve"> la piața valorilor mobiliare de stat”</w:t>
      </w:r>
      <w:r>
        <w:rPr>
          <w:rFonts w:ascii="Times New Roman" w:eastAsia="Times New Roman" w:hAnsi="Times New Roman" w:cs="Times New Roman"/>
          <w:bCs/>
          <w:sz w:val="28"/>
          <w:szCs w:val="28"/>
          <w:lang w:val="ro-RO" w:eastAsia="ru-RU"/>
        </w:rPr>
        <w:t>, aprobată la 01 iulie 2013 de Comitetul Interministerial pentru Planificare Strategică, pe parcursul</w:t>
      </w:r>
      <w:r w:rsidRPr="00ED5C6F">
        <w:rPr>
          <w:rFonts w:ascii="Times New Roman" w:eastAsia="Times New Roman" w:hAnsi="Times New Roman" w:cs="Times New Roman"/>
          <w:bCs/>
          <w:sz w:val="28"/>
          <w:szCs w:val="28"/>
          <w:lang w:val="ro-RO" w:eastAsia="ru-RU"/>
        </w:rPr>
        <w:t xml:space="preserve"> anului 2013</w:t>
      </w:r>
      <w:r w:rsidR="009672D3">
        <w:rPr>
          <w:rFonts w:ascii="Times New Roman" w:eastAsia="Times New Roman" w:hAnsi="Times New Roman" w:cs="Times New Roman"/>
          <w:bCs/>
          <w:sz w:val="28"/>
          <w:szCs w:val="28"/>
          <w:lang w:val="ro-RO" w:eastAsia="ru-RU"/>
        </w:rPr>
        <w:t>,</w:t>
      </w:r>
      <w:r w:rsidRPr="00ED5C6F">
        <w:rPr>
          <w:rFonts w:ascii="Times New Roman" w:eastAsia="Times New Roman" w:hAnsi="Times New Roman" w:cs="Times New Roman"/>
          <w:bCs/>
          <w:sz w:val="28"/>
          <w:szCs w:val="28"/>
          <w:lang w:val="ro-RO" w:eastAsia="ru-RU"/>
        </w:rPr>
        <w:t xml:space="preserve"> a continuat modificarea treptată a structurii emisiunii VMS pe piața primară, preferinţ</w:t>
      </w:r>
      <w:r w:rsidR="009672D3">
        <w:rPr>
          <w:rFonts w:ascii="Times New Roman" w:eastAsia="Times New Roman" w:hAnsi="Times New Roman" w:cs="Times New Roman"/>
          <w:bCs/>
          <w:sz w:val="28"/>
          <w:szCs w:val="28"/>
          <w:lang w:val="ro-RO" w:eastAsia="ru-RU"/>
        </w:rPr>
        <w:t>ă</w:t>
      </w:r>
      <w:r w:rsidRPr="00ED5C6F">
        <w:rPr>
          <w:rFonts w:ascii="Times New Roman" w:eastAsia="Times New Roman" w:hAnsi="Times New Roman" w:cs="Times New Roman"/>
          <w:bCs/>
          <w:sz w:val="28"/>
          <w:szCs w:val="28"/>
          <w:lang w:val="ro-RO" w:eastAsia="ru-RU"/>
        </w:rPr>
        <w:t xml:space="preserve"> fiind acordată instrumentelor cu termen mai lung de circulaţie. Astfel, Minister</w:t>
      </w:r>
      <w:r w:rsidR="009672D3">
        <w:rPr>
          <w:rFonts w:ascii="Times New Roman" w:eastAsia="Times New Roman" w:hAnsi="Times New Roman" w:cs="Times New Roman"/>
          <w:bCs/>
          <w:sz w:val="28"/>
          <w:szCs w:val="28"/>
          <w:lang w:val="ro-RO" w:eastAsia="ru-RU"/>
        </w:rPr>
        <w:t>ul Finanțelor a majorat volumul</w:t>
      </w:r>
      <w:r w:rsidRPr="00ED5C6F">
        <w:rPr>
          <w:rFonts w:ascii="Times New Roman" w:eastAsia="Times New Roman" w:hAnsi="Times New Roman" w:cs="Times New Roman"/>
          <w:bCs/>
          <w:sz w:val="28"/>
          <w:szCs w:val="28"/>
          <w:lang w:val="ro-RO" w:eastAsia="ru-RU"/>
        </w:rPr>
        <w:t xml:space="preserve"> ofertei de bonuri de trezorerie</w:t>
      </w:r>
      <w:r w:rsidR="009672D3">
        <w:rPr>
          <w:rFonts w:ascii="Times New Roman" w:eastAsia="Times New Roman" w:hAnsi="Times New Roman" w:cs="Times New Roman"/>
          <w:bCs/>
          <w:sz w:val="28"/>
          <w:szCs w:val="28"/>
          <w:lang w:val="ro-RO" w:eastAsia="ru-RU"/>
        </w:rPr>
        <w:t xml:space="preserve"> (BT)</w:t>
      </w:r>
      <w:r w:rsidRPr="00ED5C6F">
        <w:rPr>
          <w:rFonts w:ascii="Times New Roman" w:eastAsia="Times New Roman" w:hAnsi="Times New Roman" w:cs="Times New Roman"/>
          <w:bCs/>
          <w:sz w:val="28"/>
          <w:szCs w:val="28"/>
          <w:lang w:val="ro-RO" w:eastAsia="ru-RU"/>
        </w:rPr>
        <w:t xml:space="preserve"> cu scadenţa 182 și 364 zile, de la 60,0 mil. lei pînă la 6</w:t>
      </w:r>
      <w:r>
        <w:rPr>
          <w:rFonts w:ascii="Times New Roman" w:eastAsia="Times New Roman" w:hAnsi="Times New Roman" w:cs="Times New Roman"/>
          <w:bCs/>
          <w:sz w:val="28"/>
          <w:szCs w:val="28"/>
          <w:lang w:val="ro-RO" w:eastAsia="ru-RU"/>
        </w:rPr>
        <w:t>7</w:t>
      </w:r>
      <w:r w:rsidRPr="00ED5C6F">
        <w:rPr>
          <w:rFonts w:ascii="Times New Roman" w:eastAsia="Times New Roman" w:hAnsi="Times New Roman" w:cs="Times New Roman"/>
          <w:bCs/>
          <w:sz w:val="28"/>
          <w:szCs w:val="28"/>
          <w:lang w:val="ro-RO" w:eastAsia="ru-RU"/>
        </w:rPr>
        <w:t>,0 mil. lei și de la 3</w:t>
      </w:r>
      <w:r>
        <w:rPr>
          <w:rFonts w:ascii="Times New Roman" w:eastAsia="Times New Roman" w:hAnsi="Times New Roman" w:cs="Times New Roman"/>
          <w:bCs/>
          <w:sz w:val="28"/>
          <w:szCs w:val="28"/>
          <w:lang w:val="ro-RO" w:eastAsia="ru-RU"/>
        </w:rPr>
        <w:t>7</w:t>
      </w:r>
      <w:r w:rsidRPr="00ED5C6F">
        <w:rPr>
          <w:rFonts w:ascii="Times New Roman" w:eastAsia="Times New Roman" w:hAnsi="Times New Roman" w:cs="Times New Roman"/>
          <w:bCs/>
          <w:sz w:val="28"/>
          <w:szCs w:val="28"/>
          <w:lang w:val="ro-RO" w:eastAsia="ru-RU"/>
        </w:rPr>
        <w:t>,0 mil. lei pînă la 4</w:t>
      </w:r>
      <w:r>
        <w:rPr>
          <w:rFonts w:ascii="Times New Roman" w:eastAsia="Times New Roman" w:hAnsi="Times New Roman" w:cs="Times New Roman"/>
          <w:bCs/>
          <w:sz w:val="28"/>
          <w:szCs w:val="28"/>
          <w:lang w:val="ro-RO" w:eastAsia="ru-RU"/>
        </w:rPr>
        <w:t>5</w:t>
      </w:r>
      <w:r w:rsidRPr="00ED5C6F">
        <w:rPr>
          <w:rFonts w:ascii="Times New Roman" w:eastAsia="Times New Roman" w:hAnsi="Times New Roman" w:cs="Times New Roman"/>
          <w:bCs/>
          <w:sz w:val="28"/>
          <w:szCs w:val="28"/>
          <w:lang w:val="ro-RO" w:eastAsia="ru-RU"/>
        </w:rPr>
        <w:t>,0 mil. lei respectiv.</w:t>
      </w:r>
      <w:r w:rsidRPr="00B56251">
        <w:rPr>
          <w:rFonts w:ascii="Times New Roman" w:eastAsia="Times New Roman" w:hAnsi="Times New Roman" w:cs="Times New Roman"/>
          <w:bCs/>
          <w:sz w:val="28"/>
          <w:szCs w:val="28"/>
          <w:lang w:val="ro-RO" w:eastAsia="ru-RU"/>
        </w:rPr>
        <w:t xml:space="preserve"> </w:t>
      </w:r>
      <w:r>
        <w:rPr>
          <w:rFonts w:ascii="Times New Roman" w:eastAsia="Times New Roman" w:hAnsi="Times New Roman" w:cs="Times New Roman"/>
          <w:bCs/>
          <w:sz w:val="28"/>
          <w:szCs w:val="28"/>
          <w:lang w:val="ro-RO" w:eastAsia="ru-RU"/>
        </w:rPr>
        <w:t>Concomitent</w:t>
      </w:r>
      <w:r w:rsidRPr="00ED5C6F">
        <w:rPr>
          <w:rFonts w:ascii="Times New Roman" w:eastAsia="Times New Roman" w:hAnsi="Times New Roman" w:cs="Times New Roman"/>
          <w:bCs/>
          <w:sz w:val="28"/>
          <w:szCs w:val="28"/>
          <w:lang w:val="ro-RO" w:eastAsia="ru-RU"/>
        </w:rPr>
        <w:t xml:space="preserve">, a fost micșorat volumul </w:t>
      </w:r>
      <w:r>
        <w:rPr>
          <w:rFonts w:ascii="Times New Roman" w:eastAsia="Times New Roman" w:hAnsi="Times New Roman" w:cs="Times New Roman"/>
          <w:bCs/>
          <w:sz w:val="28"/>
          <w:szCs w:val="28"/>
          <w:lang w:val="ro-RO" w:eastAsia="ru-RU"/>
        </w:rPr>
        <w:t>ofertei</w:t>
      </w:r>
      <w:r w:rsidRPr="00ED5C6F">
        <w:rPr>
          <w:rFonts w:ascii="Times New Roman" w:eastAsia="Times New Roman" w:hAnsi="Times New Roman" w:cs="Times New Roman"/>
          <w:bCs/>
          <w:sz w:val="28"/>
          <w:szCs w:val="28"/>
          <w:lang w:val="ro-RO" w:eastAsia="ru-RU"/>
        </w:rPr>
        <w:t xml:space="preserve"> </w:t>
      </w:r>
      <w:r>
        <w:rPr>
          <w:rFonts w:ascii="Times New Roman" w:eastAsia="Times New Roman" w:hAnsi="Times New Roman" w:cs="Times New Roman"/>
          <w:bCs/>
          <w:sz w:val="28"/>
          <w:szCs w:val="28"/>
          <w:lang w:val="ro-RO" w:eastAsia="ru-RU"/>
        </w:rPr>
        <w:t>de</w:t>
      </w:r>
      <w:r w:rsidRPr="00ED5C6F">
        <w:rPr>
          <w:rFonts w:ascii="Times New Roman" w:eastAsia="Times New Roman" w:hAnsi="Times New Roman" w:cs="Times New Roman"/>
          <w:bCs/>
          <w:sz w:val="28"/>
          <w:szCs w:val="28"/>
          <w:lang w:val="ro-RO" w:eastAsia="ru-RU"/>
        </w:rPr>
        <w:t xml:space="preserve"> BT cu scadenţa 91 zile, de la 43,0 mil. lei pînă la 40,0 mil. lei. </w:t>
      </w:r>
    </w:p>
    <w:p w:rsidR="00076D88" w:rsidRPr="000A6CC2" w:rsidRDefault="00076D88" w:rsidP="00076D88">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ED5C6F">
        <w:rPr>
          <w:rFonts w:ascii="Times New Roman" w:eastAsia="Times New Roman" w:hAnsi="Times New Roman" w:cs="Times New Roman"/>
          <w:bCs/>
          <w:sz w:val="28"/>
          <w:szCs w:val="28"/>
          <w:lang w:val="ro-RO" w:eastAsia="ru-RU"/>
        </w:rPr>
        <w:t xml:space="preserve">Ca rezultat al acțiunilor întreprinse, ponderea cea mai mare în totalul VMS aflate în circulaţie pe piaţa primară, la situaţia din 31 decembrie 2013, au înregistrat-o BT cu scadenţa 364 zile (47,1%), BT cu scadenţa 182 zile (36,6%) şi 91 zile (11,6%). Comparativ cu situaţia de la finele anului 2012, </w:t>
      </w:r>
      <w:r w:rsidR="00411543">
        <w:rPr>
          <w:rFonts w:ascii="Times New Roman" w:eastAsia="Times New Roman" w:hAnsi="Times New Roman" w:cs="Times New Roman"/>
          <w:bCs/>
          <w:sz w:val="28"/>
          <w:szCs w:val="28"/>
          <w:lang w:val="ro-RO" w:eastAsia="ru-RU"/>
        </w:rPr>
        <w:t xml:space="preserve">ponderea </w:t>
      </w:r>
      <w:r w:rsidRPr="00ED5C6F">
        <w:rPr>
          <w:rFonts w:ascii="Times New Roman" w:eastAsia="Times New Roman" w:hAnsi="Times New Roman" w:cs="Times New Roman"/>
          <w:bCs/>
          <w:sz w:val="28"/>
          <w:szCs w:val="28"/>
          <w:lang w:val="ro-RO" w:eastAsia="ru-RU"/>
        </w:rPr>
        <w:t>BT cu scadenţa 364 zile în circulație s-</w:t>
      </w:r>
      <w:r w:rsidR="00411543">
        <w:rPr>
          <w:rFonts w:ascii="Times New Roman" w:eastAsia="Times New Roman" w:hAnsi="Times New Roman" w:cs="Times New Roman"/>
          <w:bCs/>
          <w:sz w:val="28"/>
          <w:szCs w:val="28"/>
          <w:lang w:val="ro-RO" w:eastAsia="ru-RU"/>
        </w:rPr>
        <w:t>a majorat cu 7,1 p.</w:t>
      </w:r>
      <w:r w:rsidRPr="00ED5C6F">
        <w:rPr>
          <w:rFonts w:ascii="Times New Roman" w:eastAsia="Times New Roman" w:hAnsi="Times New Roman" w:cs="Times New Roman"/>
          <w:bCs/>
          <w:sz w:val="28"/>
          <w:szCs w:val="28"/>
          <w:lang w:val="ro-RO" w:eastAsia="ru-RU"/>
        </w:rPr>
        <w:t xml:space="preserve">p., iar </w:t>
      </w:r>
      <w:r w:rsidR="00411543">
        <w:rPr>
          <w:rFonts w:ascii="Times New Roman" w:eastAsia="Times New Roman" w:hAnsi="Times New Roman" w:cs="Times New Roman"/>
          <w:bCs/>
          <w:sz w:val="28"/>
          <w:szCs w:val="28"/>
          <w:lang w:val="ro-RO" w:eastAsia="ru-RU"/>
        </w:rPr>
        <w:t xml:space="preserve">ponderea </w:t>
      </w:r>
      <w:r w:rsidR="00411543" w:rsidRPr="00ED5C6F">
        <w:rPr>
          <w:rFonts w:ascii="Times New Roman" w:eastAsia="Times New Roman" w:hAnsi="Times New Roman" w:cs="Times New Roman"/>
          <w:bCs/>
          <w:sz w:val="28"/>
          <w:szCs w:val="28"/>
          <w:lang w:val="ro-RO" w:eastAsia="ru-RU"/>
        </w:rPr>
        <w:t xml:space="preserve">BT </w:t>
      </w:r>
      <w:r w:rsidRPr="00ED5C6F">
        <w:rPr>
          <w:rFonts w:ascii="Times New Roman" w:eastAsia="Times New Roman" w:hAnsi="Times New Roman" w:cs="Times New Roman"/>
          <w:bCs/>
          <w:sz w:val="28"/>
          <w:szCs w:val="28"/>
          <w:lang w:val="ro-RO" w:eastAsia="ru-RU"/>
        </w:rPr>
        <w:t>cu s</w:t>
      </w:r>
      <w:r w:rsidR="00411543">
        <w:rPr>
          <w:rFonts w:ascii="Times New Roman" w:eastAsia="Times New Roman" w:hAnsi="Times New Roman" w:cs="Times New Roman"/>
          <w:bCs/>
          <w:sz w:val="28"/>
          <w:szCs w:val="28"/>
          <w:lang w:val="ro-RO" w:eastAsia="ru-RU"/>
        </w:rPr>
        <w:t>cadenţa 182 zile și 91 zile s-a</w:t>
      </w:r>
      <w:r w:rsidRPr="00ED5C6F">
        <w:rPr>
          <w:rFonts w:ascii="Times New Roman" w:eastAsia="Times New Roman" w:hAnsi="Times New Roman" w:cs="Times New Roman"/>
          <w:bCs/>
          <w:sz w:val="28"/>
          <w:szCs w:val="28"/>
          <w:lang w:val="ro-RO" w:eastAsia="ru-RU"/>
        </w:rPr>
        <w:t xml:space="preserve"> micşorat cu 2,4 p.p. şi 2,9 p.p. respectiv. Astfel, scadenţa medie ponderată anuală a VMS aflate în circulaţie la situaţia din 31 decembrie 2013 s-a majorat cu 5 zile faţă de situaţia de la începutul anului şi a constituit 212 zile</w:t>
      </w:r>
      <w:r>
        <w:rPr>
          <w:rFonts w:ascii="Times New Roman" w:eastAsia="Times New Roman" w:hAnsi="Times New Roman" w:cs="Times New Roman"/>
          <w:bCs/>
          <w:sz w:val="28"/>
          <w:szCs w:val="28"/>
          <w:lang w:val="ro-RO" w:eastAsia="ru-RU"/>
        </w:rPr>
        <w:t>.</w:t>
      </w:r>
    </w:p>
    <w:p w:rsidR="004108FD" w:rsidRPr="000A6CC2" w:rsidRDefault="004108FD" w:rsidP="004108FD">
      <w:pPr>
        <w:shd w:val="clear" w:color="auto" w:fill="FFFFFF"/>
        <w:spacing w:after="0" w:line="240" w:lineRule="auto"/>
        <w:ind w:firstLine="709"/>
        <w:jc w:val="both"/>
        <w:rPr>
          <w:rFonts w:ascii="Times New Roman" w:eastAsia="Times New Roman" w:hAnsi="Times New Roman" w:cs="Times New Roman"/>
          <w:bCs/>
          <w:sz w:val="28"/>
          <w:szCs w:val="28"/>
          <w:lang w:val="ro-RO" w:eastAsia="ru-RU"/>
        </w:rPr>
      </w:pPr>
      <w:r w:rsidRPr="000A6CC2">
        <w:rPr>
          <w:rFonts w:ascii="Times New Roman" w:eastAsia="Times New Roman" w:hAnsi="Times New Roman" w:cs="Times New Roman"/>
          <w:bCs/>
          <w:sz w:val="28"/>
          <w:szCs w:val="28"/>
          <w:lang w:val="ro-RO" w:eastAsia="ru-RU"/>
        </w:rPr>
        <w:t xml:space="preserve">În scopul realizării obiectivelor propuse, Ministerul Finanţelor a întreprins şi următoarele </w:t>
      </w:r>
      <w:r w:rsidRPr="000A6CC2">
        <w:rPr>
          <w:rFonts w:ascii="Times New Roman" w:eastAsia="Times New Roman" w:hAnsi="Times New Roman" w:cs="Times New Roman"/>
          <w:bCs/>
          <w:i/>
          <w:sz w:val="28"/>
          <w:szCs w:val="28"/>
          <w:lang w:val="ro-RO" w:eastAsia="ru-RU"/>
        </w:rPr>
        <w:t>acţiuni</w:t>
      </w:r>
      <w:r w:rsidRPr="000A6CC2">
        <w:rPr>
          <w:rFonts w:ascii="Times New Roman" w:eastAsia="Times New Roman" w:hAnsi="Times New Roman" w:cs="Times New Roman"/>
          <w:bCs/>
          <w:sz w:val="28"/>
          <w:szCs w:val="28"/>
          <w:lang w:val="ro-RO" w:eastAsia="ru-RU"/>
        </w:rPr>
        <w:t>:</w:t>
      </w:r>
    </w:p>
    <w:p w:rsidR="004108FD" w:rsidRPr="000A6CC2" w:rsidRDefault="004108FD" w:rsidP="004108FD">
      <w:pPr>
        <w:shd w:val="clear" w:color="auto" w:fill="FFFFFF"/>
        <w:tabs>
          <w:tab w:val="left" w:pos="851"/>
        </w:tabs>
        <w:spacing w:after="0" w:line="240" w:lineRule="auto"/>
        <w:ind w:firstLine="709"/>
        <w:jc w:val="both"/>
        <w:rPr>
          <w:rFonts w:ascii="Times New Roman" w:eastAsia="Times New Roman" w:hAnsi="Times New Roman" w:cs="Times New Roman"/>
          <w:bCs/>
          <w:sz w:val="28"/>
          <w:szCs w:val="28"/>
          <w:lang w:val="ro-RO" w:eastAsia="ru-RU"/>
        </w:rPr>
      </w:pPr>
      <w:r w:rsidRPr="000A6CC2">
        <w:rPr>
          <w:rFonts w:ascii="Times New Roman" w:eastAsia="Times New Roman" w:hAnsi="Times New Roman" w:cs="Times New Roman"/>
          <w:bCs/>
          <w:sz w:val="28"/>
          <w:szCs w:val="28"/>
          <w:lang w:val="ro-RO" w:eastAsia="ru-RU"/>
        </w:rPr>
        <w:t>1) A fost monitorizată sustenabilitatea datoriei de stat. În acest context, trimestrial au fost calculaţi indicatorii sustenabilităţii datoriei de stat</w:t>
      </w:r>
      <w:r w:rsidR="00565E38" w:rsidRPr="000A6CC2">
        <w:rPr>
          <w:rFonts w:ascii="Times New Roman" w:eastAsia="Times New Roman" w:hAnsi="Times New Roman" w:cs="Times New Roman"/>
          <w:bCs/>
          <w:sz w:val="28"/>
          <w:szCs w:val="28"/>
          <w:lang w:val="ro-RO" w:eastAsia="ru-RU"/>
        </w:rPr>
        <w:t xml:space="preserve"> și publicați în Rapoartele privind situația în domeniul datoriei  publice, garanțiilor de stat și recreditării de stat</w:t>
      </w:r>
      <w:r w:rsidRPr="000A6CC2">
        <w:rPr>
          <w:rFonts w:ascii="Times New Roman" w:eastAsia="Times New Roman" w:hAnsi="Times New Roman" w:cs="Times New Roman"/>
          <w:bCs/>
          <w:sz w:val="28"/>
          <w:szCs w:val="28"/>
          <w:lang w:val="ro-RO" w:eastAsia="ru-RU"/>
        </w:rPr>
        <w:t>.</w:t>
      </w:r>
    </w:p>
    <w:p w:rsidR="00235C48" w:rsidRPr="00565E38" w:rsidRDefault="004108FD" w:rsidP="00235C48">
      <w:pPr>
        <w:shd w:val="clear" w:color="auto" w:fill="FFFFFF"/>
        <w:tabs>
          <w:tab w:val="left" w:pos="851"/>
        </w:tabs>
        <w:spacing w:after="0" w:line="240" w:lineRule="auto"/>
        <w:ind w:firstLine="709"/>
        <w:jc w:val="both"/>
        <w:rPr>
          <w:rFonts w:ascii="Times New Roman" w:eastAsia="Times New Roman" w:hAnsi="Times New Roman" w:cs="Times New Roman"/>
          <w:bCs/>
          <w:sz w:val="28"/>
          <w:szCs w:val="28"/>
          <w:lang w:val="ro-RO" w:eastAsia="ru-RU"/>
        </w:rPr>
      </w:pPr>
      <w:r w:rsidRPr="000A6CC2">
        <w:rPr>
          <w:rFonts w:ascii="Times New Roman" w:eastAsia="Times New Roman" w:hAnsi="Times New Roman" w:cs="Times New Roman"/>
          <w:bCs/>
          <w:sz w:val="28"/>
          <w:szCs w:val="28"/>
          <w:lang w:val="ro-RO" w:eastAsia="ru-RU"/>
        </w:rPr>
        <w:t>2) Au fost întreprinse eforturi întru menţinerea costurilor datoriei de stat pe termen me</w:t>
      </w:r>
      <w:r w:rsidR="001F08C7">
        <w:rPr>
          <w:rFonts w:ascii="Times New Roman" w:eastAsia="Times New Roman" w:hAnsi="Times New Roman" w:cs="Times New Roman"/>
          <w:bCs/>
          <w:sz w:val="28"/>
          <w:szCs w:val="28"/>
          <w:lang w:val="ro-RO" w:eastAsia="ru-RU"/>
        </w:rPr>
        <w:t>diu şi lung la nivel acceptabil</w:t>
      </w:r>
      <w:r w:rsidRPr="000A6CC2">
        <w:rPr>
          <w:rFonts w:ascii="Times New Roman" w:eastAsia="Times New Roman" w:hAnsi="Times New Roman" w:cs="Times New Roman"/>
          <w:bCs/>
          <w:sz w:val="28"/>
          <w:szCs w:val="28"/>
          <w:lang w:val="ro-RO" w:eastAsia="ru-RU"/>
        </w:rPr>
        <w:t xml:space="preserve">. </w:t>
      </w:r>
      <w:r w:rsidR="00235C48" w:rsidRPr="000A6CC2">
        <w:rPr>
          <w:rFonts w:ascii="Times New Roman" w:eastAsia="Times New Roman" w:hAnsi="Times New Roman" w:cs="Times New Roman"/>
          <w:bCs/>
          <w:sz w:val="28"/>
          <w:szCs w:val="28"/>
          <w:lang w:val="ro-RO" w:eastAsia="ru-RU"/>
        </w:rPr>
        <w:t>În acest context, s-a urmărit contractarea împrumuturilor de stat externe pe termen mediu şi lung, ţinînd cont de frontiera cost/risc. Astfel, pe parcursul</w:t>
      </w:r>
      <w:r w:rsidR="00235C48" w:rsidRPr="00565E38">
        <w:rPr>
          <w:rFonts w:ascii="Times New Roman" w:eastAsia="Times New Roman" w:hAnsi="Times New Roman" w:cs="Times New Roman"/>
          <w:bCs/>
          <w:sz w:val="28"/>
          <w:szCs w:val="28"/>
          <w:lang w:val="ro-RO" w:eastAsia="ru-RU"/>
        </w:rPr>
        <w:t xml:space="preserve"> anului 2013 au fost negociate 8 acorduri de împrumut în valoare totală de aproximativ 580,7 mil. dolari SUA,</w:t>
      </w:r>
      <w:r w:rsidR="00235C48" w:rsidRPr="00565E38">
        <w:rPr>
          <w:rFonts w:ascii="Times New Roman" w:eastAsia="Times New Roman" w:hAnsi="Times New Roman" w:cs="Times New Roman"/>
          <w:b/>
          <w:bCs/>
          <w:sz w:val="28"/>
          <w:szCs w:val="28"/>
          <w:lang w:val="ro-RO" w:eastAsia="ru-RU"/>
        </w:rPr>
        <w:t xml:space="preserve"> </w:t>
      </w:r>
      <w:r w:rsidR="00235C48" w:rsidRPr="00565E38">
        <w:rPr>
          <w:rFonts w:ascii="Times New Roman" w:eastAsia="Times New Roman" w:hAnsi="Times New Roman" w:cs="Times New Roman"/>
          <w:bCs/>
          <w:sz w:val="28"/>
          <w:szCs w:val="28"/>
          <w:lang w:val="ro-RO" w:eastAsia="ru-RU"/>
        </w:rPr>
        <w:t>inclusiv, au fost semnate 7 acorduri de finanțare. Din acestea, şase acorduri au fost negociate, inclusiv cinci acorduri de finanţare au fost semnate cu instituţii multilaterale şi două dintre ele au fost semnate cu instituţii bilaterale. Maturitatea împrumuturilor variază de la 15 ani pînă la 40 de ani, iar rata dobînzii este preponderent fixă variind de la 0% pînă la 2,0%.</w:t>
      </w:r>
    </w:p>
    <w:p w:rsidR="004108FD" w:rsidRPr="00565E38" w:rsidRDefault="004108FD" w:rsidP="004108FD">
      <w:pPr>
        <w:shd w:val="clear" w:color="auto" w:fill="FFFFFF"/>
        <w:tabs>
          <w:tab w:val="left" w:pos="851"/>
        </w:tabs>
        <w:spacing w:after="0" w:line="240" w:lineRule="auto"/>
        <w:ind w:firstLine="709"/>
        <w:contextualSpacing/>
        <w:jc w:val="both"/>
        <w:rPr>
          <w:rFonts w:ascii="Times New Roman" w:eastAsia="Times New Roman" w:hAnsi="Times New Roman" w:cs="Times New Roman"/>
          <w:bCs/>
          <w:sz w:val="28"/>
          <w:szCs w:val="28"/>
          <w:lang w:val="ro-RO" w:eastAsia="ru-RU"/>
        </w:rPr>
      </w:pPr>
      <w:r w:rsidRPr="00565E38">
        <w:rPr>
          <w:rFonts w:ascii="Times New Roman" w:eastAsia="Times New Roman" w:hAnsi="Times New Roman" w:cs="Times New Roman"/>
          <w:bCs/>
          <w:sz w:val="28"/>
          <w:szCs w:val="28"/>
          <w:lang w:val="ro-RO" w:eastAsia="ru-RU"/>
        </w:rPr>
        <w:t xml:space="preserve">În ce priveşte </w:t>
      </w:r>
      <w:r w:rsidRPr="00565E38">
        <w:rPr>
          <w:rFonts w:ascii="Times New Roman" w:eastAsia="Times New Roman" w:hAnsi="Times New Roman" w:cs="Times New Roman"/>
          <w:bCs/>
          <w:i/>
          <w:sz w:val="28"/>
          <w:szCs w:val="28"/>
          <w:lang w:val="ro-RO" w:eastAsia="ru-RU"/>
        </w:rPr>
        <w:t>costurile</w:t>
      </w:r>
      <w:r w:rsidRPr="00565E38">
        <w:rPr>
          <w:rFonts w:ascii="Times New Roman" w:eastAsia="Times New Roman" w:hAnsi="Times New Roman" w:cs="Times New Roman"/>
          <w:bCs/>
          <w:sz w:val="28"/>
          <w:szCs w:val="28"/>
          <w:lang w:val="ro-RO" w:eastAsia="ru-RU"/>
        </w:rPr>
        <w:t xml:space="preserve"> </w:t>
      </w:r>
      <w:r w:rsidR="00565E38">
        <w:rPr>
          <w:rFonts w:ascii="Times New Roman" w:eastAsia="Times New Roman" w:hAnsi="Times New Roman" w:cs="Times New Roman"/>
          <w:bCs/>
          <w:sz w:val="28"/>
          <w:szCs w:val="28"/>
          <w:lang w:val="ro-RO" w:eastAsia="ru-RU"/>
        </w:rPr>
        <w:t>asociate</w:t>
      </w:r>
      <w:r w:rsidRPr="00565E38">
        <w:rPr>
          <w:rFonts w:ascii="Times New Roman" w:eastAsia="Times New Roman" w:hAnsi="Times New Roman" w:cs="Times New Roman"/>
          <w:bCs/>
          <w:sz w:val="28"/>
          <w:szCs w:val="28"/>
          <w:lang w:val="ro-RO" w:eastAsia="ru-RU"/>
        </w:rPr>
        <w:t xml:space="preserve"> datoriei de stat, la sfîrşitul anului 201</w:t>
      </w:r>
      <w:r w:rsidR="0027180F">
        <w:rPr>
          <w:rFonts w:ascii="Times New Roman" w:eastAsia="Times New Roman" w:hAnsi="Times New Roman" w:cs="Times New Roman"/>
          <w:bCs/>
          <w:sz w:val="28"/>
          <w:szCs w:val="28"/>
          <w:lang w:val="ro-RO" w:eastAsia="ru-RU"/>
        </w:rPr>
        <w:t>3</w:t>
      </w:r>
      <w:r w:rsidRPr="00565E38">
        <w:rPr>
          <w:rFonts w:ascii="Times New Roman" w:eastAsia="Times New Roman" w:hAnsi="Times New Roman" w:cs="Times New Roman"/>
          <w:bCs/>
          <w:sz w:val="28"/>
          <w:szCs w:val="28"/>
          <w:lang w:val="ro-RO" w:eastAsia="ru-RU"/>
        </w:rPr>
        <w:t xml:space="preserve">, conform </w:t>
      </w:r>
      <w:r w:rsidRPr="005F58E5">
        <w:rPr>
          <w:rFonts w:ascii="Times New Roman" w:eastAsia="Times New Roman" w:hAnsi="Times New Roman" w:cs="Times New Roman"/>
          <w:bCs/>
          <w:sz w:val="28"/>
          <w:szCs w:val="28"/>
          <w:lang w:val="ro-RO" w:eastAsia="ru-RU"/>
        </w:rPr>
        <w:t xml:space="preserve">datelor </w:t>
      </w:r>
      <w:r w:rsidR="00565E38" w:rsidRPr="005F58E5">
        <w:rPr>
          <w:rFonts w:ascii="Times New Roman" w:eastAsia="Times New Roman" w:hAnsi="Times New Roman" w:cs="Times New Roman"/>
          <w:bCs/>
          <w:sz w:val="28"/>
          <w:szCs w:val="28"/>
          <w:lang w:val="ro-RO" w:eastAsia="ru-RU"/>
        </w:rPr>
        <w:t>estimate</w:t>
      </w:r>
      <w:r w:rsidRPr="005F58E5">
        <w:rPr>
          <w:rFonts w:ascii="Times New Roman" w:eastAsia="Times New Roman" w:hAnsi="Times New Roman" w:cs="Times New Roman"/>
          <w:bCs/>
          <w:sz w:val="28"/>
          <w:szCs w:val="28"/>
          <w:lang w:val="ro-RO" w:eastAsia="ru-RU"/>
        </w:rPr>
        <w:t>, ponderea serviciului datoriei de stat în veniturile pe componenta de bază a bugetului de</w:t>
      </w:r>
      <w:r w:rsidRPr="00565E38">
        <w:rPr>
          <w:rFonts w:ascii="Times New Roman" w:eastAsia="Times New Roman" w:hAnsi="Times New Roman" w:cs="Times New Roman"/>
          <w:bCs/>
          <w:sz w:val="28"/>
          <w:szCs w:val="28"/>
          <w:lang w:val="ro-RO" w:eastAsia="ru-RU"/>
        </w:rPr>
        <w:t xml:space="preserve"> stat a </w:t>
      </w:r>
      <w:r w:rsidRPr="000948D8">
        <w:rPr>
          <w:rFonts w:ascii="Times New Roman" w:eastAsia="Times New Roman" w:hAnsi="Times New Roman" w:cs="Times New Roman"/>
          <w:bCs/>
          <w:sz w:val="28"/>
          <w:szCs w:val="28"/>
          <w:lang w:val="ro-RO" w:eastAsia="ru-RU"/>
        </w:rPr>
        <w:t xml:space="preserve">înregistrat </w:t>
      </w:r>
      <w:r w:rsidR="00134C9D" w:rsidRPr="000948D8">
        <w:rPr>
          <w:rFonts w:ascii="Times New Roman" w:eastAsia="Times New Roman" w:hAnsi="Times New Roman" w:cs="Times New Roman"/>
          <w:bCs/>
          <w:sz w:val="28"/>
          <w:szCs w:val="28"/>
          <w:lang w:val="ro-RO" w:eastAsia="ru-RU"/>
        </w:rPr>
        <w:t>2</w:t>
      </w:r>
      <w:r w:rsidRPr="000948D8">
        <w:rPr>
          <w:rFonts w:ascii="Times New Roman" w:eastAsia="Times New Roman" w:hAnsi="Times New Roman" w:cs="Times New Roman"/>
          <w:bCs/>
          <w:sz w:val="28"/>
          <w:szCs w:val="28"/>
          <w:lang w:val="ro-RO" w:eastAsia="ru-RU"/>
        </w:rPr>
        <w:t>,</w:t>
      </w:r>
      <w:r w:rsidR="000948D8" w:rsidRPr="000948D8">
        <w:rPr>
          <w:rFonts w:ascii="Times New Roman" w:eastAsia="Times New Roman" w:hAnsi="Times New Roman" w:cs="Times New Roman"/>
          <w:bCs/>
          <w:sz w:val="28"/>
          <w:szCs w:val="28"/>
          <w:lang w:val="ro-RO" w:eastAsia="ru-RU"/>
        </w:rPr>
        <w:t>4</w:t>
      </w:r>
      <w:r w:rsidRPr="000948D8">
        <w:rPr>
          <w:rFonts w:ascii="Times New Roman" w:eastAsia="Times New Roman" w:hAnsi="Times New Roman" w:cs="Times New Roman"/>
          <w:bCs/>
          <w:sz w:val="28"/>
          <w:szCs w:val="28"/>
          <w:lang w:val="ro-RO" w:eastAsia="ru-RU"/>
        </w:rPr>
        <w:t xml:space="preserve">%, cu </w:t>
      </w:r>
      <w:r w:rsidR="00134C9D" w:rsidRPr="000948D8">
        <w:rPr>
          <w:rFonts w:ascii="Times New Roman" w:eastAsia="Times New Roman" w:hAnsi="Times New Roman" w:cs="Times New Roman"/>
          <w:bCs/>
          <w:sz w:val="28"/>
          <w:szCs w:val="28"/>
          <w:lang w:val="ro-RO" w:eastAsia="ru-RU"/>
        </w:rPr>
        <w:t>1</w:t>
      </w:r>
      <w:r w:rsidRPr="000948D8">
        <w:rPr>
          <w:rFonts w:ascii="Times New Roman" w:eastAsia="Times New Roman" w:hAnsi="Times New Roman" w:cs="Times New Roman"/>
          <w:bCs/>
          <w:sz w:val="28"/>
          <w:szCs w:val="28"/>
          <w:lang w:val="ro-RO" w:eastAsia="ru-RU"/>
        </w:rPr>
        <w:t>,</w:t>
      </w:r>
      <w:r w:rsidR="000948D8" w:rsidRPr="000948D8">
        <w:rPr>
          <w:rFonts w:ascii="Times New Roman" w:eastAsia="Times New Roman" w:hAnsi="Times New Roman" w:cs="Times New Roman"/>
          <w:bCs/>
          <w:sz w:val="28"/>
          <w:szCs w:val="28"/>
          <w:lang w:val="ro-RO" w:eastAsia="ru-RU"/>
        </w:rPr>
        <w:t>3</w:t>
      </w:r>
      <w:r w:rsidRPr="000948D8">
        <w:rPr>
          <w:rFonts w:ascii="Times New Roman" w:eastAsia="Times New Roman" w:hAnsi="Times New Roman" w:cs="Times New Roman"/>
          <w:bCs/>
          <w:sz w:val="28"/>
          <w:szCs w:val="28"/>
          <w:lang w:val="ro-RO" w:eastAsia="ru-RU"/>
        </w:rPr>
        <w:t xml:space="preserve"> p.p.</w:t>
      </w:r>
      <w:r w:rsidRPr="00565E38">
        <w:rPr>
          <w:rFonts w:ascii="Times New Roman" w:eastAsia="Times New Roman" w:hAnsi="Times New Roman" w:cs="Times New Roman"/>
          <w:bCs/>
          <w:sz w:val="28"/>
          <w:szCs w:val="28"/>
          <w:lang w:val="ro-RO" w:eastAsia="ru-RU"/>
        </w:rPr>
        <w:t xml:space="preserve"> mai puţin decît la finele anului 201</w:t>
      </w:r>
      <w:r w:rsidR="00134C9D">
        <w:rPr>
          <w:rFonts w:ascii="Times New Roman" w:eastAsia="Times New Roman" w:hAnsi="Times New Roman" w:cs="Times New Roman"/>
          <w:bCs/>
          <w:sz w:val="28"/>
          <w:szCs w:val="28"/>
          <w:lang w:val="ro-RO" w:eastAsia="ru-RU"/>
        </w:rPr>
        <w:t>2</w:t>
      </w:r>
      <w:r w:rsidRPr="00565E38">
        <w:rPr>
          <w:rFonts w:ascii="Times New Roman" w:eastAsia="Times New Roman" w:hAnsi="Times New Roman" w:cs="Times New Roman"/>
          <w:bCs/>
          <w:sz w:val="28"/>
          <w:szCs w:val="28"/>
          <w:lang w:val="ro-RO" w:eastAsia="ru-RU"/>
        </w:rPr>
        <w:t>.</w:t>
      </w:r>
    </w:p>
    <w:p w:rsidR="004108FD" w:rsidRPr="00565E38" w:rsidRDefault="001F08C7" w:rsidP="004108FD">
      <w:pPr>
        <w:shd w:val="clear" w:color="auto" w:fill="FFFFFF"/>
        <w:tabs>
          <w:tab w:val="left" w:pos="851"/>
        </w:tabs>
        <w:spacing w:after="0" w:line="240" w:lineRule="auto"/>
        <w:ind w:firstLine="709"/>
        <w:contextualSpacing/>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3) </w:t>
      </w:r>
      <w:r w:rsidR="000A635C">
        <w:rPr>
          <w:rFonts w:ascii="Times New Roman" w:eastAsia="Times New Roman" w:hAnsi="Times New Roman" w:cs="Times New Roman"/>
          <w:bCs/>
          <w:sz w:val="28"/>
          <w:szCs w:val="28"/>
          <w:lang w:val="ro-RO" w:eastAsia="ru-RU"/>
        </w:rPr>
        <w:t>L</w:t>
      </w:r>
      <w:r w:rsidR="004108FD" w:rsidRPr="00565E38">
        <w:rPr>
          <w:rFonts w:ascii="Times New Roman" w:eastAsia="Times New Roman" w:hAnsi="Times New Roman" w:cs="Times New Roman"/>
          <w:bCs/>
          <w:sz w:val="28"/>
          <w:szCs w:val="28"/>
          <w:lang w:val="ro-RO" w:eastAsia="ru-RU"/>
        </w:rPr>
        <w:t xml:space="preserve">a capitolul optimizării riscurilor financiare (riscul de refinanţare, valutar, de rată de dobînzii), au fost monitorizaţi parametrii de risc asociaţi datoriei de stat, care la </w:t>
      </w:r>
      <w:r w:rsidR="00780A34">
        <w:rPr>
          <w:rFonts w:ascii="Times New Roman" w:eastAsia="Times New Roman" w:hAnsi="Times New Roman" w:cs="Times New Roman"/>
          <w:bCs/>
          <w:sz w:val="28"/>
          <w:szCs w:val="28"/>
          <w:lang w:val="ro-RO" w:eastAsia="ru-RU"/>
        </w:rPr>
        <w:t xml:space="preserve">situația din </w:t>
      </w:r>
      <w:r w:rsidR="00780A34" w:rsidRPr="00266450">
        <w:rPr>
          <w:rFonts w:ascii="Times New Roman" w:eastAsia="Times New Roman" w:hAnsi="Times New Roman" w:cs="Times New Roman"/>
          <w:bCs/>
          <w:sz w:val="28"/>
          <w:szCs w:val="28"/>
          <w:lang w:val="ro-RO" w:eastAsia="ru-RU"/>
        </w:rPr>
        <w:t>3</w:t>
      </w:r>
      <w:r w:rsidR="00266450" w:rsidRPr="00266450">
        <w:rPr>
          <w:rFonts w:ascii="Times New Roman" w:eastAsia="Times New Roman" w:hAnsi="Times New Roman" w:cs="Times New Roman"/>
          <w:bCs/>
          <w:sz w:val="28"/>
          <w:szCs w:val="28"/>
          <w:lang w:val="ro-RO" w:eastAsia="ru-RU"/>
        </w:rPr>
        <w:t>1</w:t>
      </w:r>
      <w:r w:rsidR="00780A34" w:rsidRPr="00266450">
        <w:rPr>
          <w:rFonts w:ascii="Times New Roman" w:eastAsia="Times New Roman" w:hAnsi="Times New Roman" w:cs="Times New Roman"/>
          <w:bCs/>
          <w:sz w:val="28"/>
          <w:szCs w:val="28"/>
          <w:lang w:val="ro-RO" w:eastAsia="ru-RU"/>
        </w:rPr>
        <w:t xml:space="preserve"> </w:t>
      </w:r>
      <w:r w:rsidR="00266450" w:rsidRPr="00266450">
        <w:rPr>
          <w:rFonts w:ascii="Times New Roman" w:eastAsia="Times New Roman" w:hAnsi="Times New Roman" w:cs="Times New Roman"/>
          <w:bCs/>
          <w:sz w:val="28"/>
          <w:szCs w:val="28"/>
          <w:lang w:val="ro-RO" w:eastAsia="ru-RU"/>
        </w:rPr>
        <w:t>decembrie</w:t>
      </w:r>
      <w:r w:rsidR="004108FD" w:rsidRPr="00266450">
        <w:rPr>
          <w:rFonts w:ascii="Times New Roman" w:eastAsia="Times New Roman" w:hAnsi="Times New Roman" w:cs="Times New Roman"/>
          <w:bCs/>
          <w:sz w:val="28"/>
          <w:szCs w:val="28"/>
          <w:lang w:val="ro-RO" w:eastAsia="ru-RU"/>
        </w:rPr>
        <w:t xml:space="preserve"> 201</w:t>
      </w:r>
      <w:r w:rsidR="000A635C" w:rsidRPr="00266450">
        <w:rPr>
          <w:rFonts w:ascii="Times New Roman" w:eastAsia="Times New Roman" w:hAnsi="Times New Roman" w:cs="Times New Roman"/>
          <w:bCs/>
          <w:sz w:val="28"/>
          <w:szCs w:val="28"/>
          <w:lang w:val="ro-RO" w:eastAsia="ru-RU"/>
        </w:rPr>
        <w:t>3</w:t>
      </w:r>
      <w:r w:rsidR="004108FD" w:rsidRPr="00565E38">
        <w:rPr>
          <w:rFonts w:ascii="Times New Roman" w:eastAsia="Times New Roman" w:hAnsi="Times New Roman" w:cs="Times New Roman"/>
          <w:bCs/>
          <w:sz w:val="28"/>
          <w:szCs w:val="28"/>
          <w:lang w:val="ro-RO" w:eastAsia="ru-RU"/>
        </w:rPr>
        <w:t xml:space="preserve"> au înregistrat următoarele valori:</w:t>
      </w:r>
    </w:p>
    <w:p w:rsidR="004108FD" w:rsidRPr="00780A34" w:rsidRDefault="00356D1B" w:rsidP="004108FD">
      <w:pPr>
        <w:tabs>
          <w:tab w:val="left" w:pos="306"/>
        </w:tabs>
        <w:spacing w:after="0" w:line="240" w:lineRule="auto"/>
        <w:ind w:firstLine="709"/>
        <w:contextualSpacing/>
        <w:jc w:val="both"/>
        <w:rPr>
          <w:rFonts w:ascii="Times New Roman" w:eastAsia="Times New Roman" w:hAnsi="Times New Roman" w:cs="Times New Roman"/>
          <w:sz w:val="28"/>
          <w:szCs w:val="28"/>
          <w:lang w:val="ro-RO" w:eastAsia="ru-RU"/>
        </w:rPr>
      </w:pPr>
      <w:r w:rsidRPr="00565E38">
        <w:rPr>
          <w:rFonts w:ascii="Times New Roman" w:eastAsia="Times New Roman" w:hAnsi="Times New Roman" w:cs="Times New Roman"/>
          <w:sz w:val="28"/>
          <w:szCs w:val="28"/>
          <w:lang w:val="ro-RO" w:eastAsia="ru-RU"/>
        </w:rPr>
        <w:t>a</w:t>
      </w:r>
      <w:r w:rsidR="004108FD" w:rsidRPr="00780A34">
        <w:rPr>
          <w:rFonts w:ascii="Times New Roman" w:eastAsia="Times New Roman" w:hAnsi="Times New Roman" w:cs="Times New Roman"/>
          <w:sz w:val="28"/>
          <w:szCs w:val="28"/>
          <w:lang w:val="ro-RO" w:eastAsia="ru-RU"/>
        </w:rPr>
        <w:t xml:space="preserve">) maturitatea rămasă, exprimată prin ponderea datoriei de stat care ajunge la scadenţă în decurs de un an în totalul datoriei de stat: </w:t>
      </w:r>
      <w:r w:rsidR="00780A34" w:rsidRPr="00796289">
        <w:rPr>
          <w:rFonts w:ascii="Times New Roman" w:eastAsia="Times New Roman" w:hAnsi="Times New Roman" w:cs="Times New Roman"/>
          <w:sz w:val="28"/>
          <w:szCs w:val="28"/>
          <w:lang w:val="ro-RO" w:eastAsia="ru-RU"/>
        </w:rPr>
        <w:t>26</w:t>
      </w:r>
      <w:r w:rsidR="004108FD" w:rsidRPr="00796289">
        <w:rPr>
          <w:rFonts w:ascii="Times New Roman" w:eastAsia="Times New Roman" w:hAnsi="Times New Roman" w:cs="Times New Roman"/>
          <w:sz w:val="28"/>
          <w:szCs w:val="28"/>
          <w:lang w:val="ro-RO" w:eastAsia="ru-RU"/>
        </w:rPr>
        <w:t>,</w:t>
      </w:r>
      <w:r w:rsidR="00780A34" w:rsidRPr="00796289">
        <w:rPr>
          <w:rFonts w:ascii="Times New Roman" w:eastAsia="Times New Roman" w:hAnsi="Times New Roman" w:cs="Times New Roman"/>
          <w:sz w:val="28"/>
          <w:szCs w:val="28"/>
          <w:lang w:val="ro-RO" w:eastAsia="ru-RU"/>
        </w:rPr>
        <w:t>5</w:t>
      </w:r>
      <w:r w:rsidR="004108FD" w:rsidRPr="00796289">
        <w:rPr>
          <w:rFonts w:ascii="Times New Roman" w:eastAsia="Times New Roman" w:hAnsi="Times New Roman" w:cs="Times New Roman"/>
          <w:sz w:val="28"/>
          <w:szCs w:val="28"/>
          <w:lang w:val="ro-RO" w:eastAsia="ru-RU"/>
        </w:rPr>
        <w:t>%;</w:t>
      </w:r>
    </w:p>
    <w:p w:rsidR="00356D1B" w:rsidRPr="00780A34" w:rsidRDefault="00356D1B" w:rsidP="00356D1B">
      <w:pPr>
        <w:tabs>
          <w:tab w:val="left" w:pos="306"/>
        </w:tabs>
        <w:spacing w:after="0" w:line="240" w:lineRule="auto"/>
        <w:ind w:firstLine="709"/>
        <w:contextualSpacing/>
        <w:jc w:val="both"/>
        <w:rPr>
          <w:rFonts w:ascii="Times New Roman" w:eastAsia="Times New Roman" w:hAnsi="Times New Roman" w:cs="Times New Roman"/>
          <w:sz w:val="28"/>
          <w:szCs w:val="28"/>
          <w:lang w:val="ro-RO" w:eastAsia="ru-RU"/>
        </w:rPr>
      </w:pPr>
      <w:r w:rsidRPr="00780A34">
        <w:rPr>
          <w:rFonts w:ascii="Times New Roman" w:eastAsia="Times New Roman" w:hAnsi="Times New Roman" w:cs="Times New Roman"/>
          <w:sz w:val="28"/>
          <w:szCs w:val="28"/>
          <w:lang w:val="ro-RO" w:eastAsia="ru-RU"/>
        </w:rPr>
        <w:t>b) ponderea datoriei de stat interne în portofoliul datoriei de stat: 2</w:t>
      </w:r>
      <w:r w:rsidR="00780A34" w:rsidRPr="00780A34">
        <w:rPr>
          <w:rFonts w:ascii="Times New Roman" w:eastAsia="Times New Roman" w:hAnsi="Times New Roman" w:cs="Times New Roman"/>
          <w:sz w:val="28"/>
          <w:szCs w:val="28"/>
          <w:lang w:val="ro-RO" w:eastAsia="ru-RU"/>
        </w:rPr>
        <w:t>8</w:t>
      </w:r>
      <w:r w:rsidRPr="00780A34">
        <w:rPr>
          <w:rFonts w:ascii="Times New Roman" w:eastAsia="Times New Roman" w:hAnsi="Times New Roman" w:cs="Times New Roman"/>
          <w:sz w:val="28"/>
          <w:szCs w:val="28"/>
          <w:lang w:val="ro-RO" w:eastAsia="ru-RU"/>
        </w:rPr>
        <w:t>,</w:t>
      </w:r>
      <w:r w:rsidR="000948D8">
        <w:rPr>
          <w:rFonts w:ascii="Times New Roman" w:eastAsia="Times New Roman" w:hAnsi="Times New Roman" w:cs="Times New Roman"/>
          <w:sz w:val="28"/>
          <w:szCs w:val="28"/>
          <w:lang w:val="ro-RO" w:eastAsia="ru-RU"/>
        </w:rPr>
        <w:t>4</w:t>
      </w:r>
      <w:r w:rsidRPr="00780A34">
        <w:rPr>
          <w:rFonts w:ascii="Times New Roman" w:eastAsia="Times New Roman" w:hAnsi="Times New Roman" w:cs="Times New Roman"/>
          <w:sz w:val="28"/>
          <w:szCs w:val="28"/>
          <w:lang w:val="ro-RO" w:eastAsia="ru-RU"/>
        </w:rPr>
        <w:t>%;</w:t>
      </w:r>
    </w:p>
    <w:p w:rsidR="004108FD" w:rsidRPr="00780A34" w:rsidRDefault="00356D1B" w:rsidP="004108FD">
      <w:pPr>
        <w:tabs>
          <w:tab w:val="left" w:pos="306"/>
        </w:tabs>
        <w:spacing w:after="0" w:line="240" w:lineRule="auto"/>
        <w:ind w:firstLine="709"/>
        <w:contextualSpacing/>
        <w:jc w:val="both"/>
        <w:rPr>
          <w:rFonts w:ascii="Times New Roman" w:eastAsia="Times New Roman" w:hAnsi="Times New Roman" w:cs="Times New Roman"/>
          <w:bCs/>
          <w:sz w:val="28"/>
          <w:szCs w:val="28"/>
          <w:lang w:val="ro-RO" w:eastAsia="ru-RU"/>
        </w:rPr>
      </w:pPr>
      <w:r w:rsidRPr="00780A34">
        <w:rPr>
          <w:rFonts w:ascii="Times New Roman" w:eastAsia="Times New Roman" w:hAnsi="Times New Roman" w:cs="Times New Roman"/>
          <w:sz w:val="28"/>
          <w:szCs w:val="28"/>
          <w:lang w:val="ro-RO" w:eastAsia="ru-RU"/>
        </w:rPr>
        <w:t>c</w:t>
      </w:r>
      <w:r w:rsidR="004108FD" w:rsidRPr="00780A34">
        <w:rPr>
          <w:rFonts w:ascii="Times New Roman" w:eastAsia="Times New Roman" w:hAnsi="Times New Roman" w:cs="Times New Roman"/>
          <w:sz w:val="28"/>
          <w:szCs w:val="28"/>
          <w:lang w:val="ro-RO" w:eastAsia="ru-RU"/>
        </w:rPr>
        <w:t xml:space="preserve">) </w:t>
      </w:r>
      <w:r w:rsidR="004108FD" w:rsidRPr="00780A34">
        <w:rPr>
          <w:rFonts w:ascii="Times New Roman" w:eastAsia="Times New Roman" w:hAnsi="Times New Roman" w:cs="Times New Roman"/>
          <w:bCs/>
          <w:sz w:val="28"/>
          <w:szCs w:val="28"/>
          <w:lang w:val="ro-RO" w:eastAsia="ru-RU"/>
        </w:rPr>
        <w:t xml:space="preserve">ponderea datoriei de stat externe într-o anumită valută în totalul </w:t>
      </w:r>
      <w:r w:rsidRPr="00780A34">
        <w:rPr>
          <w:rFonts w:ascii="Times New Roman" w:eastAsia="Times New Roman" w:hAnsi="Times New Roman" w:cs="Times New Roman"/>
          <w:bCs/>
          <w:sz w:val="28"/>
          <w:szCs w:val="28"/>
          <w:lang w:val="ro-RO" w:eastAsia="ru-RU"/>
        </w:rPr>
        <w:t xml:space="preserve">datoriei de stat externe: </w:t>
      </w:r>
      <w:r w:rsidRPr="00266450">
        <w:rPr>
          <w:rFonts w:ascii="Times New Roman" w:eastAsia="Times New Roman" w:hAnsi="Times New Roman" w:cs="Times New Roman"/>
          <w:bCs/>
          <w:sz w:val="28"/>
          <w:szCs w:val="28"/>
          <w:lang w:val="ro-RO" w:eastAsia="ru-RU"/>
        </w:rPr>
        <w:t>4</w:t>
      </w:r>
      <w:r w:rsidR="00780A34" w:rsidRPr="00266450">
        <w:rPr>
          <w:rFonts w:ascii="Times New Roman" w:eastAsia="Times New Roman" w:hAnsi="Times New Roman" w:cs="Times New Roman"/>
          <w:bCs/>
          <w:sz w:val="28"/>
          <w:szCs w:val="28"/>
          <w:lang w:val="ro-RO" w:eastAsia="ru-RU"/>
        </w:rPr>
        <w:t>2</w:t>
      </w:r>
      <w:r w:rsidRPr="00266450">
        <w:rPr>
          <w:rFonts w:ascii="Times New Roman" w:eastAsia="Times New Roman" w:hAnsi="Times New Roman" w:cs="Times New Roman"/>
          <w:bCs/>
          <w:sz w:val="28"/>
          <w:szCs w:val="28"/>
          <w:lang w:val="ro-RO" w:eastAsia="ru-RU"/>
        </w:rPr>
        <w:t>,</w:t>
      </w:r>
      <w:r w:rsidR="00266450" w:rsidRPr="00266450">
        <w:rPr>
          <w:rFonts w:ascii="Times New Roman" w:eastAsia="Times New Roman" w:hAnsi="Times New Roman" w:cs="Times New Roman"/>
          <w:bCs/>
          <w:sz w:val="28"/>
          <w:szCs w:val="28"/>
          <w:lang w:val="ro-RO" w:eastAsia="ru-RU"/>
        </w:rPr>
        <w:t>3</w:t>
      </w:r>
      <w:r w:rsidRPr="00266450">
        <w:rPr>
          <w:rFonts w:ascii="Times New Roman" w:eastAsia="Times New Roman" w:hAnsi="Times New Roman" w:cs="Times New Roman"/>
          <w:bCs/>
          <w:sz w:val="28"/>
          <w:szCs w:val="28"/>
          <w:lang w:val="ro-RO" w:eastAsia="ru-RU"/>
        </w:rPr>
        <w:t>%;</w:t>
      </w:r>
    </w:p>
    <w:p w:rsidR="00356D1B" w:rsidRDefault="00356D1B" w:rsidP="00356D1B">
      <w:pPr>
        <w:tabs>
          <w:tab w:val="left" w:pos="306"/>
        </w:tabs>
        <w:spacing w:after="0" w:line="240" w:lineRule="auto"/>
        <w:ind w:firstLine="709"/>
        <w:contextualSpacing/>
        <w:jc w:val="both"/>
        <w:rPr>
          <w:rFonts w:ascii="Times New Roman" w:eastAsia="Times New Roman" w:hAnsi="Times New Roman" w:cs="Times New Roman"/>
          <w:sz w:val="28"/>
          <w:szCs w:val="28"/>
          <w:lang w:val="ro-RO" w:eastAsia="ru-RU"/>
        </w:rPr>
      </w:pPr>
      <w:r w:rsidRPr="00780A34">
        <w:rPr>
          <w:rFonts w:ascii="Times New Roman" w:eastAsia="Times New Roman" w:hAnsi="Times New Roman" w:cs="Times New Roman"/>
          <w:sz w:val="28"/>
          <w:szCs w:val="28"/>
          <w:lang w:val="ro-RO" w:eastAsia="ru-RU"/>
        </w:rPr>
        <w:t xml:space="preserve">d) ponderea datoriei cu rata dobînzii fixă în portofoliul datoriei de stat: </w:t>
      </w:r>
      <w:r w:rsidRPr="00266450">
        <w:rPr>
          <w:rFonts w:ascii="Times New Roman" w:eastAsia="Times New Roman" w:hAnsi="Times New Roman" w:cs="Times New Roman"/>
          <w:sz w:val="28"/>
          <w:szCs w:val="28"/>
          <w:lang w:val="ro-RO" w:eastAsia="ru-RU"/>
        </w:rPr>
        <w:t>52,</w:t>
      </w:r>
      <w:r w:rsidR="00266450" w:rsidRPr="00266450">
        <w:rPr>
          <w:rFonts w:ascii="Times New Roman" w:eastAsia="Times New Roman" w:hAnsi="Times New Roman" w:cs="Times New Roman"/>
          <w:sz w:val="28"/>
          <w:szCs w:val="28"/>
          <w:lang w:val="ro-RO" w:eastAsia="ru-RU"/>
        </w:rPr>
        <w:t>5</w:t>
      </w:r>
      <w:r w:rsidRPr="00266450">
        <w:rPr>
          <w:rFonts w:ascii="Times New Roman" w:eastAsia="Times New Roman" w:hAnsi="Times New Roman" w:cs="Times New Roman"/>
          <w:sz w:val="28"/>
          <w:szCs w:val="28"/>
          <w:lang w:val="ro-RO" w:eastAsia="ru-RU"/>
        </w:rPr>
        <w:t>%.</w:t>
      </w:r>
    </w:p>
    <w:p w:rsidR="004108FD" w:rsidRDefault="00780A34" w:rsidP="004108FD">
      <w:pPr>
        <w:tabs>
          <w:tab w:val="left" w:pos="306"/>
        </w:tabs>
        <w:spacing w:after="0" w:line="240" w:lineRule="auto"/>
        <w:ind w:firstLine="709"/>
        <w:contextualSpacing/>
        <w:jc w:val="both"/>
        <w:rPr>
          <w:rFonts w:ascii="Times New Roman" w:eastAsia="Times New Roman" w:hAnsi="Times New Roman" w:cs="Times New Roman"/>
          <w:bCs/>
          <w:sz w:val="28"/>
          <w:szCs w:val="28"/>
          <w:lang w:val="ro-RO" w:eastAsia="ru-RU"/>
        </w:rPr>
      </w:pPr>
      <w:r w:rsidRPr="003F018B">
        <w:rPr>
          <w:rFonts w:ascii="Times New Roman" w:eastAsia="Times New Roman" w:hAnsi="Times New Roman" w:cs="Times New Roman"/>
          <w:bCs/>
          <w:sz w:val="28"/>
          <w:szCs w:val="28"/>
          <w:lang w:val="ro-RO" w:eastAsia="ru-RU"/>
        </w:rPr>
        <w:t>Astfel</w:t>
      </w:r>
      <w:r w:rsidR="004108FD" w:rsidRPr="003F018B">
        <w:rPr>
          <w:rFonts w:ascii="Times New Roman" w:eastAsia="Times New Roman" w:hAnsi="Times New Roman" w:cs="Times New Roman"/>
          <w:bCs/>
          <w:sz w:val="28"/>
          <w:szCs w:val="28"/>
          <w:lang w:val="ro-RO" w:eastAsia="ru-RU"/>
        </w:rPr>
        <w:t xml:space="preserve">, toţi indicatorii s-au încadrat în limitele stabilite. Comparativ cu situaţia </w:t>
      </w:r>
      <w:r w:rsidRPr="003F018B">
        <w:rPr>
          <w:rFonts w:ascii="Times New Roman" w:eastAsia="Times New Roman" w:hAnsi="Times New Roman" w:cs="Times New Roman"/>
          <w:bCs/>
          <w:sz w:val="28"/>
          <w:szCs w:val="28"/>
          <w:lang w:val="ro-RO" w:eastAsia="ru-RU"/>
        </w:rPr>
        <w:t>similară a</w:t>
      </w:r>
      <w:r w:rsidR="004108FD" w:rsidRPr="003F018B">
        <w:rPr>
          <w:rFonts w:ascii="Times New Roman" w:eastAsia="Times New Roman" w:hAnsi="Times New Roman" w:cs="Times New Roman"/>
          <w:bCs/>
          <w:sz w:val="28"/>
          <w:szCs w:val="28"/>
          <w:lang w:val="ro-RO" w:eastAsia="ru-RU"/>
        </w:rPr>
        <w:t xml:space="preserve"> anului 201</w:t>
      </w:r>
      <w:r w:rsidR="000A635C" w:rsidRPr="003F018B">
        <w:rPr>
          <w:rFonts w:ascii="Times New Roman" w:eastAsia="Times New Roman" w:hAnsi="Times New Roman" w:cs="Times New Roman"/>
          <w:bCs/>
          <w:sz w:val="28"/>
          <w:szCs w:val="28"/>
          <w:lang w:val="ro-RO" w:eastAsia="ru-RU"/>
        </w:rPr>
        <w:t>2</w:t>
      </w:r>
      <w:r w:rsidR="004108FD" w:rsidRPr="003F018B">
        <w:rPr>
          <w:rFonts w:ascii="Times New Roman" w:eastAsia="Times New Roman" w:hAnsi="Times New Roman" w:cs="Times New Roman"/>
          <w:bCs/>
          <w:sz w:val="28"/>
          <w:szCs w:val="28"/>
          <w:lang w:val="ro-RO" w:eastAsia="ru-RU"/>
        </w:rPr>
        <w:t xml:space="preserve">, indicatorii </w:t>
      </w:r>
      <w:r w:rsidRPr="003F018B">
        <w:rPr>
          <w:rFonts w:ascii="Times New Roman" w:eastAsia="Times New Roman" w:hAnsi="Times New Roman" w:cs="Times New Roman"/>
          <w:bCs/>
          <w:sz w:val="28"/>
          <w:szCs w:val="28"/>
          <w:lang w:val="ro-RO" w:eastAsia="ru-RU"/>
        </w:rPr>
        <w:t xml:space="preserve">riscului de refinanțare și ai </w:t>
      </w:r>
      <w:r w:rsidR="004108FD" w:rsidRPr="003F018B">
        <w:rPr>
          <w:rFonts w:ascii="Times New Roman" w:eastAsia="Times New Roman" w:hAnsi="Times New Roman" w:cs="Times New Roman"/>
          <w:bCs/>
          <w:sz w:val="28"/>
          <w:szCs w:val="28"/>
          <w:lang w:val="ro-RO" w:eastAsia="ru-RU"/>
        </w:rPr>
        <w:t>riscului ratei de dobîndă demonstrează diminuarea expunerii portofoliului datoriei de stat faţă de aceste riscuri.</w:t>
      </w:r>
      <w:r w:rsidR="004108FD" w:rsidRPr="004108FD">
        <w:rPr>
          <w:rFonts w:ascii="Times New Roman" w:eastAsia="Times New Roman" w:hAnsi="Times New Roman" w:cs="Times New Roman"/>
          <w:bCs/>
          <w:sz w:val="28"/>
          <w:szCs w:val="28"/>
          <w:lang w:val="ro-RO" w:eastAsia="ru-RU"/>
        </w:rPr>
        <w:t xml:space="preserve"> </w:t>
      </w:r>
    </w:p>
    <w:p w:rsidR="009A3042" w:rsidRDefault="009A3042" w:rsidP="004108FD">
      <w:pPr>
        <w:tabs>
          <w:tab w:val="left" w:pos="306"/>
        </w:tabs>
        <w:spacing w:after="0" w:line="240" w:lineRule="auto"/>
        <w:ind w:firstLine="709"/>
        <w:contextualSpacing/>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Alţi indicatori ai riscurilor de piaţă aferenţi datoriei de stat sunt prezentaţi în tabelul 1.1.</w:t>
      </w:r>
    </w:p>
    <w:p w:rsidR="009A3042" w:rsidRPr="00F9496F" w:rsidRDefault="009A3042" w:rsidP="009A3042">
      <w:pPr>
        <w:autoSpaceDE w:val="0"/>
        <w:autoSpaceDN w:val="0"/>
        <w:adjustRightInd w:val="0"/>
        <w:spacing w:after="0" w:line="240" w:lineRule="auto"/>
        <w:ind w:firstLine="709"/>
        <w:jc w:val="right"/>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 xml:space="preserve">Tabelul </w:t>
      </w:r>
      <w:r>
        <w:rPr>
          <w:rFonts w:ascii="Times New Roman" w:eastAsia="Times New Roman" w:hAnsi="Times New Roman" w:cs="Times New Roman"/>
          <w:sz w:val="28"/>
          <w:szCs w:val="28"/>
          <w:lang w:val="ro-RO" w:eastAsia="ru-RU"/>
        </w:rPr>
        <w:t>1</w:t>
      </w:r>
      <w:r w:rsidRPr="00F9496F">
        <w:rPr>
          <w:rFonts w:ascii="Times New Roman" w:eastAsia="Times New Roman" w:hAnsi="Times New Roman" w:cs="Times New Roman"/>
          <w:sz w:val="28"/>
          <w:szCs w:val="28"/>
          <w:lang w:val="ro-RO" w:eastAsia="ru-RU"/>
        </w:rPr>
        <w:t>.1.</w:t>
      </w:r>
    </w:p>
    <w:p w:rsidR="009A3042" w:rsidRPr="00F9496F" w:rsidRDefault="009A3042" w:rsidP="009A3042">
      <w:pPr>
        <w:autoSpaceDE w:val="0"/>
        <w:autoSpaceDN w:val="0"/>
        <w:adjustRightInd w:val="0"/>
        <w:spacing w:after="0" w:line="240" w:lineRule="auto"/>
        <w:ind w:firstLine="709"/>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8"/>
          <w:szCs w:val="28"/>
          <w:lang w:val="ro-RO" w:eastAsia="ru-RU"/>
        </w:rPr>
        <w:t>Indicatorii riscurilor de piaţă aferenţi datoriei de stat</w:t>
      </w:r>
      <w:r w:rsidRPr="00F9496F">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sfîrşitul anului </w:t>
      </w:r>
      <w:r w:rsidRPr="00F9496F">
        <w:rPr>
          <w:rFonts w:ascii="Times New Roman" w:eastAsia="Times New Roman" w:hAnsi="Times New Roman" w:cs="Times New Roman"/>
          <w:sz w:val="28"/>
          <w:szCs w:val="28"/>
          <w:lang w:val="ro-RO" w:eastAsia="ru-RU"/>
        </w:rPr>
        <w:t>201</w:t>
      </w:r>
      <w:r>
        <w:rPr>
          <w:rFonts w:ascii="Times New Roman" w:eastAsia="Times New Roman" w:hAnsi="Times New Roman" w:cs="Times New Roman"/>
          <w:sz w:val="28"/>
          <w:szCs w:val="28"/>
          <w:lang w:val="ro-RO" w:eastAsia="ru-RU"/>
        </w:rPr>
        <w:t>3</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gridCol w:w="1276"/>
        <w:gridCol w:w="1418"/>
        <w:gridCol w:w="1559"/>
      </w:tblGrid>
      <w:tr w:rsidR="005D3CDB" w:rsidRPr="004A294E" w:rsidTr="005D3CDB">
        <w:trPr>
          <w:trHeight w:val="252"/>
        </w:trPr>
        <w:tc>
          <w:tcPr>
            <w:tcW w:w="2727" w:type="pct"/>
            <w:tcBorders>
              <w:top w:val="single" w:sz="4" w:space="0" w:color="17365D"/>
              <w:bottom w:val="single" w:sz="4" w:space="0" w:color="17365D"/>
              <w:right w:val="single" w:sz="4" w:space="0" w:color="17365D"/>
            </w:tcBorders>
          </w:tcPr>
          <w:p w:rsidR="009A3042" w:rsidRPr="004A294E" w:rsidRDefault="009A3042" w:rsidP="009A3042">
            <w:pPr>
              <w:spacing w:after="0" w:line="240" w:lineRule="auto"/>
              <w:jc w:val="both"/>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Indicator</w:t>
            </w:r>
          </w:p>
        </w:tc>
        <w:tc>
          <w:tcPr>
            <w:tcW w:w="682" w:type="pct"/>
            <w:tcBorders>
              <w:top w:val="single" w:sz="4" w:space="0" w:color="17365D"/>
              <w:left w:val="single" w:sz="4" w:space="0" w:color="17365D"/>
              <w:bottom w:val="single" w:sz="4" w:space="0" w:color="17365D"/>
              <w:right w:val="single" w:sz="4" w:space="0" w:color="17365D"/>
            </w:tcBorders>
          </w:tcPr>
          <w:p w:rsidR="009A3042" w:rsidRPr="004A294E" w:rsidRDefault="009A3042" w:rsidP="009A304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Datoria de stat internă</w:t>
            </w:r>
          </w:p>
        </w:tc>
        <w:tc>
          <w:tcPr>
            <w:tcW w:w="758" w:type="pct"/>
            <w:tcBorders>
              <w:top w:val="single" w:sz="4" w:space="0" w:color="17365D"/>
              <w:left w:val="single" w:sz="4" w:space="0" w:color="17365D"/>
              <w:bottom w:val="single" w:sz="4" w:space="0" w:color="17365D"/>
              <w:right w:val="single" w:sz="4" w:space="0" w:color="17365D"/>
            </w:tcBorders>
          </w:tcPr>
          <w:p w:rsidR="009A3042" w:rsidRPr="004A294E" w:rsidRDefault="009A3042" w:rsidP="009A304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Datoria de stat externă</w:t>
            </w:r>
          </w:p>
        </w:tc>
        <w:tc>
          <w:tcPr>
            <w:tcW w:w="833" w:type="pct"/>
            <w:tcBorders>
              <w:top w:val="single" w:sz="4" w:space="0" w:color="17365D"/>
              <w:left w:val="single" w:sz="4" w:space="0" w:color="17365D"/>
              <w:bottom w:val="single" w:sz="4" w:space="0" w:color="17365D"/>
              <w:right w:val="single" w:sz="4" w:space="0" w:color="17365D"/>
            </w:tcBorders>
          </w:tcPr>
          <w:p w:rsidR="009A3042" w:rsidRPr="004A294E" w:rsidRDefault="009A3042" w:rsidP="009A304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Total datoria de stat</w:t>
            </w:r>
          </w:p>
        </w:tc>
      </w:tr>
      <w:tr w:rsidR="009A3042" w:rsidRPr="004A294E" w:rsidTr="009A3042">
        <w:trPr>
          <w:trHeight w:val="216"/>
        </w:trPr>
        <w:tc>
          <w:tcPr>
            <w:tcW w:w="5000" w:type="pct"/>
            <w:gridSpan w:val="4"/>
            <w:tcBorders>
              <w:top w:val="single" w:sz="4" w:space="0" w:color="17365D"/>
              <w:bottom w:val="single" w:sz="4" w:space="0" w:color="17365D"/>
              <w:right w:val="single" w:sz="4" w:space="0" w:color="17365D"/>
            </w:tcBorders>
          </w:tcPr>
          <w:p w:rsidR="009A3042" w:rsidRPr="005D3CDB" w:rsidRDefault="009A3042" w:rsidP="009A3042">
            <w:pPr>
              <w:spacing w:after="0" w:line="240" w:lineRule="auto"/>
              <w:ind w:right="-108"/>
              <w:rPr>
                <w:rFonts w:ascii="Times New Roman" w:eastAsia="Times New Roman" w:hAnsi="Times New Roman" w:cs="Times New Roman"/>
                <w:b/>
                <w:sz w:val="24"/>
                <w:szCs w:val="24"/>
                <w:lang w:val="ro-RO" w:eastAsia="ru-RU"/>
              </w:rPr>
            </w:pPr>
            <w:r w:rsidRPr="005D3CDB">
              <w:rPr>
                <w:rFonts w:ascii="Times New Roman" w:eastAsia="Times New Roman" w:hAnsi="Times New Roman" w:cs="Times New Roman"/>
                <w:b/>
                <w:sz w:val="24"/>
                <w:szCs w:val="24"/>
                <w:lang w:val="ro-RO" w:eastAsia="ru-RU"/>
              </w:rPr>
              <w:t>1. Riscul de refinanţare</w:t>
            </w:r>
          </w:p>
        </w:tc>
      </w:tr>
      <w:tr w:rsidR="005D3CDB" w:rsidRPr="004A294E" w:rsidTr="005D3CDB">
        <w:trPr>
          <w:trHeight w:val="287"/>
        </w:trPr>
        <w:tc>
          <w:tcPr>
            <w:tcW w:w="2727" w:type="pct"/>
            <w:tcBorders>
              <w:top w:val="single" w:sz="4" w:space="0" w:color="17365D"/>
              <w:bottom w:val="single" w:sz="4" w:space="0" w:color="17365D"/>
              <w:right w:val="single" w:sz="4" w:space="0" w:color="17365D"/>
            </w:tcBorders>
          </w:tcPr>
          <w:p w:rsidR="009A3042" w:rsidRPr="004A294E" w:rsidRDefault="009A3042" w:rsidP="009A3042">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 </w:t>
            </w:r>
            <w:r w:rsidRPr="004F1B6D">
              <w:rPr>
                <w:rFonts w:ascii="Times New Roman" w:eastAsia="Times New Roman" w:hAnsi="Times New Roman" w:cs="Times New Roman"/>
                <w:bCs/>
                <w:color w:val="000000"/>
                <w:sz w:val="24"/>
                <w:szCs w:val="28"/>
                <w:lang w:val="ro-RO"/>
              </w:rPr>
              <w:t>Perioada medie de maturitate a datoriei de stat (ATM), ani</w:t>
            </w:r>
          </w:p>
        </w:tc>
        <w:tc>
          <w:tcPr>
            <w:tcW w:w="682" w:type="pct"/>
            <w:tcBorders>
              <w:top w:val="single" w:sz="4" w:space="0" w:color="17365D"/>
              <w:left w:val="single" w:sz="4" w:space="0" w:color="17365D"/>
              <w:bottom w:val="single" w:sz="4" w:space="0" w:color="17365D"/>
              <w:right w:val="single" w:sz="4" w:space="0" w:color="17365D"/>
            </w:tcBorders>
            <w:vAlign w:val="center"/>
          </w:tcPr>
          <w:p w:rsidR="009A3042" w:rsidRPr="004F1B6D" w:rsidRDefault="009A3042" w:rsidP="00C23A54">
            <w:pPr>
              <w:spacing w:after="0" w:line="240" w:lineRule="auto"/>
              <w:jc w:val="center"/>
              <w:rPr>
                <w:rFonts w:ascii="Times New Roman" w:eastAsia="Times New Roman" w:hAnsi="Times New Roman" w:cs="Times New Roman"/>
                <w:color w:val="000000"/>
                <w:sz w:val="24"/>
                <w:szCs w:val="28"/>
                <w:lang w:val="ro-RO"/>
              </w:rPr>
            </w:pPr>
            <w:r w:rsidRPr="004F1B6D">
              <w:rPr>
                <w:rFonts w:ascii="Times New Roman" w:eastAsia="Times New Roman" w:hAnsi="Times New Roman" w:cs="Times New Roman"/>
                <w:color w:val="000000"/>
                <w:sz w:val="24"/>
                <w:szCs w:val="28"/>
                <w:lang w:val="ro-RO"/>
              </w:rPr>
              <w:t>0,</w:t>
            </w:r>
            <w:r w:rsidR="00C23A54">
              <w:rPr>
                <w:rFonts w:ascii="Times New Roman" w:eastAsia="Times New Roman" w:hAnsi="Times New Roman" w:cs="Times New Roman"/>
                <w:color w:val="000000"/>
                <w:sz w:val="24"/>
                <w:szCs w:val="28"/>
                <w:lang w:val="ro-RO"/>
              </w:rPr>
              <w:t>5</w:t>
            </w:r>
          </w:p>
        </w:tc>
        <w:tc>
          <w:tcPr>
            <w:tcW w:w="758" w:type="pct"/>
            <w:tcBorders>
              <w:top w:val="single" w:sz="4" w:space="0" w:color="17365D"/>
              <w:left w:val="single" w:sz="4" w:space="0" w:color="17365D"/>
              <w:bottom w:val="single" w:sz="4" w:space="0" w:color="17365D"/>
              <w:right w:val="single" w:sz="4" w:space="0" w:color="17365D"/>
            </w:tcBorders>
            <w:vAlign w:val="center"/>
          </w:tcPr>
          <w:p w:rsidR="009A3042" w:rsidRPr="004F1B6D" w:rsidRDefault="009A3042" w:rsidP="00271BDD">
            <w:pPr>
              <w:spacing w:after="0" w:line="240" w:lineRule="auto"/>
              <w:jc w:val="center"/>
              <w:rPr>
                <w:rFonts w:ascii="Times New Roman" w:eastAsia="Times New Roman" w:hAnsi="Times New Roman" w:cs="Times New Roman"/>
                <w:color w:val="000000"/>
                <w:sz w:val="24"/>
                <w:szCs w:val="28"/>
                <w:lang w:val="ro-RO"/>
              </w:rPr>
            </w:pPr>
            <w:r w:rsidRPr="004F1B6D">
              <w:rPr>
                <w:rFonts w:ascii="Times New Roman" w:eastAsia="Times New Roman" w:hAnsi="Times New Roman" w:cs="Times New Roman"/>
                <w:color w:val="000000"/>
                <w:sz w:val="24"/>
                <w:szCs w:val="28"/>
                <w:lang w:val="ro-RO"/>
              </w:rPr>
              <w:t>11,</w:t>
            </w:r>
            <w:r w:rsidR="00271BDD">
              <w:rPr>
                <w:rFonts w:ascii="Times New Roman" w:eastAsia="Times New Roman" w:hAnsi="Times New Roman" w:cs="Times New Roman"/>
                <w:color w:val="000000"/>
                <w:sz w:val="24"/>
                <w:szCs w:val="28"/>
                <w:lang w:val="ro-RO"/>
              </w:rPr>
              <w:t>1</w:t>
            </w:r>
          </w:p>
        </w:tc>
        <w:tc>
          <w:tcPr>
            <w:tcW w:w="833" w:type="pct"/>
            <w:tcBorders>
              <w:top w:val="single" w:sz="4" w:space="0" w:color="17365D"/>
              <w:left w:val="single" w:sz="4" w:space="0" w:color="17365D"/>
              <w:bottom w:val="single" w:sz="4" w:space="0" w:color="17365D"/>
              <w:right w:val="single" w:sz="4" w:space="0" w:color="17365D"/>
            </w:tcBorders>
            <w:vAlign w:val="center"/>
          </w:tcPr>
          <w:p w:rsidR="009A3042" w:rsidRPr="004F1B6D" w:rsidRDefault="009A3042" w:rsidP="00271BDD">
            <w:pPr>
              <w:spacing w:after="0" w:line="240" w:lineRule="auto"/>
              <w:jc w:val="center"/>
              <w:rPr>
                <w:rFonts w:ascii="Times New Roman" w:eastAsia="Times New Roman" w:hAnsi="Times New Roman" w:cs="Times New Roman"/>
                <w:color w:val="000000"/>
                <w:sz w:val="24"/>
                <w:szCs w:val="28"/>
                <w:lang w:val="ro-RO"/>
              </w:rPr>
            </w:pPr>
            <w:r>
              <w:rPr>
                <w:rFonts w:ascii="Times New Roman" w:eastAsia="Times New Roman" w:hAnsi="Times New Roman" w:cs="Times New Roman"/>
                <w:color w:val="000000"/>
                <w:sz w:val="24"/>
                <w:szCs w:val="28"/>
                <w:lang w:val="ro-RO"/>
              </w:rPr>
              <w:t>8</w:t>
            </w:r>
            <w:r w:rsidR="00271BDD">
              <w:rPr>
                <w:rFonts w:ascii="Times New Roman" w:eastAsia="Times New Roman" w:hAnsi="Times New Roman" w:cs="Times New Roman"/>
                <w:color w:val="000000"/>
                <w:sz w:val="24"/>
                <w:szCs w:val="28"/>
                <w:lang w:val="ro-RO"/>
              </w:rPr>
              <w:t>,5</w:t>
            </w:r>
          </w:p>
        </w:tc>
      </w:tr>
      <w:tr w:rsidR="00C23A54" w:rsidRPr="004A294E" w:rsidTr="005D3CDB">
        <w:trPr>
          <w:trHeight w:val="287"/>
        </w:trPr>
        <w:tc>
          <w:tcPr>
            <w:tcW w:w="2727" w:type="pct"/>
            <w:tcBorders>
              <w:top w:val="single" w:sz="4" w:space="0" w:color="17365D"/>
              <w:bottom w:val="single" w:sz="4" w:space="0" w:color="17365D"/>
              <w:right w:val="single" w:sz="4" w:space="0" w:color="17365D"/>
            </w:tcBorders>
          </w:tcPr>
          <w:p w:rsidR="00C23A54" w:rsidRPr="004F1B6D" w:rsidRDefault="00C23A54" w:rsidP="001F08C7">
            <w:pPr>
              <w:spacing w:after="0" w:line="240" w:lineRule="auto"/>
              <w:jc w:val="both"/>
              <w:rPr>
                <w:rFonts w:ascii="Times New Roman" w:eastAsia="Times New Roman" w:hAnsi="Times New Roman" w:cs="Times New Roman"/>
                <w:bCs/>
                <w:color w:val="000000"/>
                <w:sz w:val="24"/>
                <w:szCs w:val="28"/>
                <w:lang w:val="ro-RO"/>
              </w:rPr>
            </w:pPr>
            <w:r>
              <w:rPr>
                <w:rFonts w:ascii="Times New Roman" w:eastAsia="Times New Roman" w:hAnsi="Times New Roman" w:cs="Times New Roman"/>
                <w:bCs/>
                <w:color w:val="000000"/>
                <w:sz w:val="24"/>
                <w:szCs w:val="28"/>
                <w:lang w:val="ro-RO"/>
              </w:rPr>
              <w:t xml:space="preserve">b) </w:t>
            </w:r>
            <w:r w:rsidRPr="004F1B6D">
              <w:rPr>
                <w:rFonts w:ascii="Times New Roman" w:eastAsia="Times New Roman" w:hAnsi="Times New Roman" w:cs="Times New Roman"/>
                <w:bCs/>
                <w:color w:val="000000"/>
                <w:sz w:val="24"/>
                <w:szCs w:val="28"/>
                <w:lang w:val="ro-RO"/>
              </w:rPr>
              <w:t>Datoria scadentă în decurs de 1 an, %</w:t>
            </w:r>
          </w:p>
        </w:tc>
        <w:tc>
          <w:tcPr>
            <w:tcW w:w="682" w:type="pct"/>
            <w:tcBorders>
              <w:top w:val="single" w:sz="4" w:space="0" w:color="17365D"/>
              <w:left w:val="single" w:sz="4" w:space="0" w:color="17365D"/>
              <w:bottom w:val="single" w:sz="4" w:space="0" w:color="17365D"/>
              <w:right w:val="single" w:sz="4" w:space="0" w:color="17365D"/>
            </w:tcBorders>
          </w:tcPr>
          <w:p w:rsidR="00C23A54" w:rsidRPr="004F1B6D" w:rsidRDefault="00C23A54" w:rsidP="00271BDD">
            <w:pPr>
              <w:spacing w:after="0" w:line="240" w:lineRule="auto"/>
              <w:jc w:val="center"/>
              <w:rPr>
                <w:rFonts w:ascii="Times New Roman" w:eastAsia="Times New Roman" w:hAnsi="Times New Roman" w:cs="Times New Roman"/>
                <w:color w:val="000000"/>
                <w:sz w:val="24"/>
                <w:szCs w:val="28"/>
                <w:lang w:val="ro-RO"/>
              </w:rPr>
            </w:pPr>
            <w:r w:rsidRPr="004F1B6D">
              <w:rPr>
                <w:rFonts w:ascii="Times New Roman" w:eastAsia="Times New Roman" w:hAnsi="Times New Roman" w:cs="Times New Roman"/>
                <w:color w:val="000000"/>
                <w:sz w:val="24"/>
                <w:szCs w:val="28"/>
                <w:lang w:val="ro-RO"/>
              </w:rPr>
              <w:t>9</w:t>
            </w:r>
            <w:r w:rsidR="00271BDD">
              <w:rPr>
                <w:rFonts w:ascii="Times New Roman" w:eastAsia="Times New Roman" w:hAnsi="Times New Roman" w:cs="Times New Roman"/>
                <w:color w:val="000000"/>
                <w:sz w:val="24"/>
                <w:szCs w:val="28"/>
                <w:lang w:val="ro-RO"/>
              </w:rPr>
              <w:t>5</w:t>
            </w:r>
            <w:r w:rsidRPr="004F1B6D">
              <w:rPr>
                <w:rFonts w:ascii="Times New Roman" w:eastAsia="Times New Roman" w:hAnsi="Times New Roman" w:cs="Times New Roman"/>
                <w:color w:val="000000"/>
                <w:sz w:val="24"/>
                <w:szCs w:val="28"/>
                <w:lang w:val="ro-RO"/>
              </w:rPr>
              <w:t>,</w:t>
            </w:r>
            <w:r w:rsidR="00271BDD">
              <w:rPr>
                <w:rFonts w:ascii="Times New Roman" w:eastAsia="Times New Roman" w:hAnsi="Times New Roman" w:cs="Times New Roman"/>
                <w:color w:val="000000"/>
                <w:sz w:val="24"/>
                <w:szCs w:val="28"/>
                <w:lang w:val="ro-RO"/>
              </w:rPr>
              <w:t>7</w:t>
            </w:r>
          </w:p>
        </w:tc>
        <w:tc>
          <w:tcPr>
            <w:tcW w:w="758" w:type="pct"/>
            <w:tcBorders>
              <w:top w:val="single" w:sz="4" w:space="0" w:color="17365D"/>
              <w:left w:val="single" w:sz="4" w:space="0" w:color="17365D"/>
              <w:bottom w:val="single" w:sz="4" w:space="0" w:color="17365D"/>
              <w:right w:val="single" w:sz="4" w:space="0" w:color="17365D"/>
            </w:tcBorders>
          </w:tcPr>
          <w:p w:rsidR="00C23A54" w:rsidRPr="004F1B6D" w:rsidRDefault="00271BDD" w:rsidP="00271BDD">
            <w:pPr>
              <w:spacing w:after="0" w:line="240" w:lineRule="auto"/>
              <w:jc w:val="center"/>
              <w:rPr>
                <w:rFonts w:ascii="Times New Roman" w:eastAsia="Times New Roman" w:hAnsi="Times New Roman" w:cs="Times New Roman"/>
                <w:color w:val="000000"/>
                <w:sz w:val="24"/>
                <w:szCs w:val="28"/>
                <w:lang w:val="ro-RO"/>
              </w:rPr>
            </w:pPr>
            <w:r>
              <w:rPr>
                <w:rFonts w:ascii="Times New Roman" w:eastAsia="Times New Roman" w:hAnsi="Times New Roman" w:cs="Times New Roman"/>
                <w:color w:val="000000"/>
                <w:sz w:val="24"/>
                <w:szCs w:val="28"/>
                <w:lang w:val="ro-RO"/>
              </w:rPr>
              <w:t>4</w:t>
            </w:r>
            <w:r w:rsidR="00C23A54" w:rsidRPr="004F1B6D">
              <w:rPr>
                <w:rFonts w:ascii="Times New Roman" w:eastAsia="Times New Roman" w:hAnsi="Times New Roman" w:cs="Times New Roman"/>
                <w:color w:val="000000"/>
                <w:sz w:val="24"/>
                <w:szCs w:val="28"/>
                <w:lang w:val="ro-RO"/>
              </w:rPr>
              <w:t>,</w:t>
            </w:r>
            <w:r>
              <w:rPr>
                <w:rFonts w:ascii="Times New Roman" w:eastAsia="Times New Roman" w:hAnsi="Times New Roman" w:cs="Times New Roman"/>
                <w:color w:val="000000"/>
                <w:sz w:val="24"/>
                <w:szCs w:val="28"/>
                <w:lang w:val="ro-RO"/>
              </w:rPr>
              <w:t>5</w:t>
            </w:r>
          </w:p>
        </w:tc>
        <w:tc>
          <w:tcPr>
            <w:tcW w:w="833" w:type="pct"/>
            <w:tcBorders>
              <w:top w:val="single" w:sz="4" w:space="0" w:color="17365D"/>
              <w:left w:val="single" w:sz="4" w:space="0" w:color="17365D"/>
              <w:bottom w:val="single" w:sz="4" w:space="0" w:color="17365D"/>
              <w:right w:val="single" w:sz="4" w:space="0" w:color="17365D"/>
            </w:tcBorders>
          </w:tcPr>
          <w:p w:rsidR="00C23A54" w:rsidRPr="004F1B6D" w:rsidRDefault="00C23A54" w:rsidP="00C23A54">
            <w:pPr>
              <w:spacing w:after="0" w:line="240" w:lineRule="auto"/>
              <w:jc w:val="center"/>
              <w:rPr>
                <w:rFonts w:ascii="Times New Roman" w:eastAsia="Times New Roman" w:hAnsi="Times New Roman" w:cs="Times New Roman"/>
                <w:color w:val="000000"/>
                <w:sz w:val="24"/>
                <w:szCs w:val="28"/>
                <w:lang w:val="ro-RO"/>
              </w:rPr>
            </w:pPr>
            <w:r>
              <w:rPr>
                <w:rFonts w:ascii="Times New Roman" w:eastAsia="Times New Roman" w:hAnsi="Times New Roman" w:cs="Times New Roman"/>
                <w:color w:val="000000"/>
                <w:sz w:val="24"/>
                <w:szCs w:val="28"/>
                <w:lang w:val="ro-RO"/>
              </w:rPr>
              <w:t>26</w:t>
            </w:r>
            <w:r w:rsidRPr="004F1B6D">
              <w:rPr>
                <w:rFonts w:ascii="Times New Roman" w:eastAsia="Times New Roman" w:hAnsi="Times New Roman" w:cs="Times New Roman"/>
                <w:color w:val="000000"/>
                <w:sz w:val="24"/>
                <w:szCs w:val="28"/>
                <w:lang w:val="ro-RO"/>
              </w:rPr>
              <w:t>,</w:t>
            </w:r>
            <w:r>
              <w:rPr>
                <w:rFonts w:ascii="Times New Roman" w:eastAsia="Times New Roman" w:hAnsi="Times New Roman" w:cs="Times New Roman"/>
                <w:color w:val="000000"/>
                <w:sz w:val="24"/>
                <w:szCs w:val="28"/>
                <w:lang w:val="ro-RO"/>
              </w:rPr>
              <w:t>5</w:t>
            </w:r>
          </w:p>
        </w:tc>
      </w:tr>
      <w:tr w:rsidR="00C23A54" w:rsidRPr="004A294E" w:rsidTr="00C23A54">
        <w:trPr>
          <w:trHeight w:val="287"/>
        </w:trPr>
        <w:tc>
          <w:tcPr>
            <w:tcW w:w="5000" w:type="pct"/>
            <w:gridSpan w:val="4"/>
            <w:tcBorders>
              <w:top w:val="single" w:sz="4" w:space="0" w:color="17365D"/>
              <w:bottom w:val="single" w:sz="4" w:space="0" w:color="17365D"/>
              <w:right w:val="single" w:sz="4" w:space="0" w:color="17365D"/>
            </w:tcBorders>
          </w:tcPr>
          <w:p w:rsidR="00C23A54" w:rsidRPr="005D3CDB" w:rsidRDefault="00C23A54" w:rsidP="00C23A54">
            <w:pPr>
              <w:spacing w:after="0" w:line="240" w:lineRule="auto"/>
              <w:rPr>
                <w:rFonts w:ascii="Times New Roman" w:eastAsia="Times New Roman" w:hAnsi="Times New Roman" w:cs="Times New Roman"/>
                <w:b/>
                <w:color w:val="000000"/>
                <w:sz w:val="24"/>
                <w:szCs w:val="28"/>
                <w:lang w:val="ro-RO"/>
              </w:rPr>
            </w:pPr>
            <w:r w:rsidRPr="005D3CDB">
              <w:rPr>
                <w:rFonts w:ascii="Times New Roman" w:eastAsia="Times New Roman" w:hAnsi="Times New Roman" w:cs="Times New Roman"/>
                <w:b/>
                <w:bCs/>
                <w:color w:val="000000"/>
                <w:sz w:val="24"/>
                <w:szCs w:val="28"/>
                <w:lang w:val="ro-RO"/>
              </w:rPr>
              <w:t>2. Riscul valutar</w:t>
            </w:r>
          </w:p>
        </w:tc>
      </w:tr>
      <w:tr w:rsidR="005D3CDB" w:rsidRPr="004A294E" w:rsidTr="005D3CDB">
        <w:trPr>
          <w:trHeight w:val="64"/>
        </w:trPr>
        <w:tc>
          <w:tcPr>
            <w:tcW w:w="2727" w:type="pct"/>
            <w:tcBorders>
              <w:top w:val="single" w:sz="4" w:space="0" w:color="17365D"/>
              <w:bottom w:val="single" w:sz="4" w:space="0" w:color="17365D"/>
              <w:right w:val="single" w:sz="4" w:space="0" w:color="17365D"/>
            </w:tcBorders>
          </w:tcPr>
          <w:p w:rsidR="00C23A54" w:rsidRPr="004A294E" w:rsidRDefault="00C23A54" w:rsidP="00C23A54">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 Structura datoriei de stat, pe componente, %</w:t>
            </w:r>
          </w:p>
        </w:tc>
        <w:tc>
          <w:tcPr>
            <w:tcW w:w="682" w:type="pct"/>
            <w:tcBorders>
              <w:top w:val="single" w:sz="4" w:space="0" w:color="17365D"/>
              <w:left w:val="single" w:sz="4" w:space="0" w:color="17365D"/>
              <w:bottom w:val="single" w:sz="4" w:space="0" w:color="17365D"/>
              <w:right w:val="single" w:sz="4" w:space="0" w:color="17365D"/>
            </w:tcBorders>
            <w:vAlign w:val="center"/>
          </w:tcPr>
          <w:p w:rsidR="00C23A54" w:rsidRPr="004A294E" w:rsidRDefault="00C23A54" w:rsidP="009A304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28,4</w:t>
            </w:r>
          </w:p>
        </w:tc>
        <w:tc>
          <w:tcPr>
            <w:tcW w:w="758" w:type="pct"/>
            <w:tcBorders>
              <w:top w:val="single" w:sz="4" w:space="0" w:color="17365D"/>
              <w:left w:val="single" w:sz="4" w:space="0" w:color="17365D"/>
              <w:bottom w:val="single" w:sz="4" w:space="0" w:color="17365D"/>
              <w:right w:val="single" w:sz="4" w:space="0" w:color="17365D"/>
            </w:tcBorders>
            <w:vAlign w:val="center"/>
          </w:tcPr>
          <w:p w:rsidR="00C23A54" w:rsidRPr="004A294E" w:rsidRDefault="00C23A54" w:rsidP="009A304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71,6</w:t>
            </w:r>
          </w:p>
        </w:tc>
        <w:tc>
          <w:tcPr>
            <w:tcW w:w="833" w:type="pct"/>
            <w:tcBorders>
              <w:top w:val="single" w:sz="4" w:space="0" w:color="17365D"/>
              <w:left w:val="single" w:sz="4" w:space="0" w:color="17365D"/>
              <w:bottom w:val="single" w:sz="4" w:space="0" w:color="17365D"/>
              <w:right w:val="single" w:sz="4" w:space="0" w:color="17365D"/>
            </w:tcBorders>
            <w:vAlign w:val="center"/>
          </w:tcPr>
          <w:p w:rsidR="00C23A54" w:rsidRPr="004A294E" w:rsidRDefault="00C23A54" w:rsidP="00C23A5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100,0</w:t>
            </w:r>
          </w:p>
        </w:tc>
      </w:tr>
      <w:tr w:rsidR="00C23A54" w:rsidRPr="004A294E" w:rsidTr="00C23A54">
        <w:trPr>
          <w:trHeight w:val="64"/>
        </w:trPr>
        <w:tc>
          <w:tcPr>
            <w:tcW w:w="5000" w:type="pct"/>
            <w:gridSpan w:val="4"/>
            <w:tcBorders>
              <w:top w:val="single" w:sz="4" w:space="0" w:color="17365D"/>
              <w:bottom w:val="single" w:sz="4" w:space="0" w:color="17365D"/>
              <w:right w:val="single" w:sz="4" w:space="0" w:color="17365D"/>
            </w:tcBorders>
          </w:tcPr>
          <w:p w:rsidR="00C23A54" w:rsidRPr="005D3CDB" w:rsidRDefault="00C23A54" w:rsidP="00C23A54">
            <w:pPr>
              <w:spacing w:after="0" w:line="240" w:lineRule="auto"/>
              <w:rPr>
                <w:rFonts w:ascii="Times New Roman" w:eastAsia="Times New Roman" w:hAnsi="Times New Roman" w:cs="Times New Roman"/>
                <w:b/>
                <w:sz w:val="24"/>
                <w:szCs w:val="24"/>
                <w:lang w:val="ro-RO" w:eastAsia="ru-RU"/>
              </w:rPr>
            </w:pPr>
            <w:r w:rsidRPr="005D3CDB">
              <w:rPr>
                <w:rFonts w:ascii="Times New Roman" w:eastAsia="Times New Roman" w:hAnsi="Times New Roman" w:cs="Times New Roman"/>
                <w:b/>
                <w:bCs/>
                <w:color w:val="000000"/>
                <w:sz w:val="24"/>
                <w:szCs w:val="28"/>
                <w:lang w:val="ro-RO"/>
              </w:rPr>
              <w:t>3. Riscul ratei de dobîndă</w:t>
            </w:r>
          </w:p>
        </w:tc>
      </w:tr>
      <w:tr w:rsidR="005D3CDB" w:rsidRPr="004A294E" w:rsidTr="005D3CDB">
        <w:trPr>
          <w:trHeight w:val="252"/>
        </w:trPr>
        <w:tc>
          <w:tcPr>
            <w:tcW w:w="2727" w:type="pct"/>
            <w:tcBorders>
              <w:top w:val="single" w:sz="4" w:space="0" w:color="17365D"/>
              <w:bottom w:val="single" w:sz="4" w:space="0" w:color="17365D"/>
              <w:right w:val="single" w:sz="4" w:space="0" w:color="17365D"/>
            </w:tcBorders>
          </w:tcPr>
          <w:p w:rsidR="00C23A54" w:rsidRPr="004A294E" w:rsidRDefault="00C23A54" w:rsidP="00C23A54">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 Ponderea datoriei cu rata dobînzii flotantă în total, %</w:t>
            </w:r>
          </w:p>
        </w:tc>
        <w:tc>
          <w:tcPr>
            <w:tcW w:w="682" w:type="pct"/>
            <w:tcBorders>
              <w:top w:val="single" w:sz="4" w:space="0" w:color="17365D"/>
              <w:left w:val="single" w:sz="4" w:space="0" w:color="17365D"/>
              <w:bottom w:val="single" w:sz="4" w:space="0" w:color="17365D"/>
              <w:right w:val="single" w:sz="4" w:space="0" w:color="17365D"/>
            </w:tcBorders>
            <w:vAlign w:val="center"/>
          </w:tcPr>
          <w:p w:rsidR="00C23A54" w:rsidRPr="004A294E" w:rsidRDefault="00C23A54" w:rsidP="00C23A5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97,2</w:t>
            </w:r>
          </w:p>
        </w:tc>
        <w:tc>
          <w:tcPr>
            <w:tcW w:w="758" w:type="pct"/>
            <w:tcBorders>
              <w:top w:val="single" w:sz="4" w:space="0" w:color="17365D"/>
              <w:left w:val="single" w:sz="4" w:space="0" w:color="17365D"/>
              <w:bottom w:val="single" w:sz="4" w:space="0" w:color="17365D"/>
              <w:right w:val="single" w:sz="4" w:space="0" w:color="17365D"/>
            </w:tcBorders>
            <w:vAlign w:val="center"/>
          </w:tcPr>
          <w:p w:rsidR="00C23A54" w:rsidRPr="004A294E" w:rsidRDefault="00C23A54" w:rsidP="00C23A54">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27,8</w:t>
            </w:r>
          </w:p>
        </w:tc>
        <w:tc>
          <w:tcPr>
            <w:tcW w:w="833" w:type="pct"/>
            <w:tcBorders>
              <w:top w:val="single" w:sz="4" w:space="0" w:color="17365D"/>
              <w:left w:val="single" w:sz="4" w:space="0" w:color="17365D"/>
              <w:bottom w:val="single" w:sz="4" w:space="0" w:color="17365D"/>
              <w:right w:val="single" w:sz="4" w:space="0" w:color="17365D"/>
            </w:tcBorders>
            <w:vAlign w:val="center"/>
          </w:tcPr>
          <w:p w:rsidR="00C23A54" w:rsidRPr="004A294E" w:rsidRDefault="00C23A54" w:rsidP="009A304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47,5</w:t>
            </w:r>
          </w:p>
        </w:tc>
      </w:tr>
      <w:tr w:rsidR="005D3CDB" w:rsidRPr="004A294E" w:rsidTr="005D3CDB">
        <w:trPr>
          <w:trHeight w:val="252"/>
        </w:trPr>
        <w:tc>
          <w:tcPr>
            <w:tcW w:w="2727" w:type="pct"/>
            <w:tcBorders>
              <w:top w:val="single" w:sz="4" w:space="0" w:color="17365D"/>
              <w:bottom w:val="single" w:sz="4" w:space="0" w:color="17365D"/>
              <w:right w:val="single" w:sz="4" w:space="0" w:color="17365D"/>
            </w:tcBorders>
          </w:tcPr>
          <w:p w:rsidR="00C23A54" w:rsidRDefault="00C23A54" w:rsidP="00C23A54">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b) </w:t>
            </w:r>
            <w:r w:rsidRPr="004F1B6D">
              <w:rPr>
                <w:rFonts w:ascii="Times New Roman" w:eastAsia="Times New Roman" w:hAnsi="Times New Roman" w:cs="Times New Roman"/>
                <w:bCs/>
                <w:color w:val="000000"/>
                <w:sz w:val="24"/>
                <w:szCs w:val="28"/>
                <w:lang w:val="ro-RO"/>
              </w:rPr>
              <w:t>Perioada medie de refixare a datoriei de stat (ATR), ani</w:t>
            </w:r>
          </w:p>
        </w:tc>
        <w:tc>
          <w:tcPr>
            <w:tcW w:w="682" w:type="pct"/>
            <w:tcBorders>
              <w:top w:val="single" w:sz="4" w:space="0" w:color="17365D"/>
              <w:left w:val="single" w:sz="4" w:space="0" w:color="17365D"/>
              <w:bottom w:val="single" w:sz="4" w:space="0" w:color="17365D"/>
              <w:right w:val="single" w:sz="4" w:space="0" w:color="17365D"/>
            </w:tcBorders>
            <w:vAlign w:val="center"/>
          </w:tcPr>
          <w:p w:rsidR="00C23A54" w:rsidRPr="004F1B6D" w:rsidRDefault="00C23A54" w:rsidP="00C23A54">
            <w:pPr>
              <w:spacing w:after="0" w:line="240" w:lineRule="auto"/>
              <w:jc w:val="center"/>
              <w:rPr>
                <w:rFonts w:ascii="Times New Roman" w:eastAsia="Times New Roman" w:hAnsi="Times New Roman" w:cs="Times New Roman"/>
                <w:color w:val="000000"/>
                <w:sz w:val="24"/>
                <w:szCs w:val="28"/>
                <w:lang w:val="ro-RO"/>
              </w:rPr>
            </w:pPr>
            <w:r w:rsidRPr="004F1B6D">
              <w:rPr>
                <w:rFonts w:ascii="Times New Roman" w:eastAsia="Times New Roman" w:hAnsi="Times New Roman" w:cs="Times New Roman"/>
                <w:color w:val="000000"/>
                <w:sz w:val="24"/>
                <w:szCs w:val="28"/>
                <w:lang w:val="ro-RO"/>
              </w:rPr>
              <w:t>0,</w:t>
            </w:r>
            <w:r>
              <w:rPr>
                <w:rFonts w:ascii="Times New Roman" w:eastAsia="Times New Roman" w:hAnsi="Times New Roman" w:cs="Times New Roman"/>
                <w:color w:val="000000"/>
                <w:sz w:val="24"/>
                <w:szCs w:val="28"/>
                <w:lang w:val="ro-RO"/>
              </w:rPr>
              <w:t>5</w:t>
            </w:r>
          </w:p>
        </w:tc>
        <w:tc>
          <w:tcPr>
            <w:tcW w:w="758" w:type="pct"/>
            <w:tcBorders>
              <w:top w:val="single" w:sz="4" w:space="0" w:color="17365D"/>
              <w:left w:val="single" w:sz="4" w:space="0" w:color="17365D"/>
              <w:bottom w:val="single" w:sz="4" w:space="0" w:color="17365D"/>
              <w:right w:val="single" w:sz="4" w:space="0" w:color="17365D"/>
            </w:tcBorders>
            <w:vAlign w:val="center"/>
          </w:tcPr>
          <w:p w:rsidR="00C23A54" w:rsidRPr="004F1B6D" w:rsidRDefault="00C23A54" w:rsidP="00271BDD">
            <w:pPr>
              <w:spacing w:after="0" w:line="240" w:lineRule="auto"/>
              <w:jc w:val="center"/>
              <w:rPr>
                <w:rFonts w:ascii="Times New Roman" w:eastAsia="Times New Roman" w:hAnsi="Times New Roman" w:cs="Times New Roman"/>
                <w:color w:val="000000"/>
                <w:sz w:val="24"/>
                <w:szCs w:val="28"/>
                <w:lang w:val="ro-RO"/>
              </w:rPr>
            </w:pPr>
            <w:r>
              <w:rPr>
                <w:rFonts w:ascii="Times New Roman" w:eastAsia="Times New Roman" w:hAnsi="Times New Roman" w:cs="Times New Roman"/>
                <w:color w:val="000000"/>
                <w:sz w:val="24"/>
                <w:szCs w:val="28"/>
                <w:lang w:val="ro-RO"/>
              </w:rPr>
              <w:t>9</w:t>
            </w:r>
            <w:r w:rsidRPr="004F1B6D">
              <w:rPr>
                <w:rFonts w:ascii="Times New Roman" w:eastAsia="Times New Roman" w:hAnsi="Times New Roman" w:cs="Times New Roman"/>
                <w:color w:val="000000"/>
                <w:sz w:val="24"/>
                <w:szCs w:val="28"/>
                <w:lang w:val="ro-RO"/>
              </w:rPr>
              <w:t>,</w:t>
            </w:r>
            <w:r w:rsidR="00271BDD">
              <w:rPr>
                <w:rFonts w:ascii="Times New Roman" w:eastAsia="Times New Roman" w:hAnsi="Times New Roman" w:cs="Times New Roman"/>
                <w:color w:val="000000"/>
                <w:sz w:val="24"/>
                <w:szCs w:val="28"/>
                <w:lang w:val="ro-RO"/>
              </w:rPr>
              <w:t>0</w:t>
            </w:r>
          </w:p>
        </w:tc>
        <w:tc>
          <w:tcPr>
            <w:tcW w:w="833" w:type="pct"/>
            <w:tcBorders>
              <w:top w:val="single" w:sz="4" w:space="0" w:color="17365D"/>
              <w:left w:val="single" w:sz="4" w:space="0" w:color="17365D"/>
              <w:bottom w:val="single" w:sz="4" w:space="0" w:color="17365D"/>
              <w:right w:val="single" w:sz="4" w:space="0" w:color="17365D"/>
            </w:tcBorders>
            <w:vAlign w:val="center"/>
          </w:tcPr>
          <w:p w:rsidR="00C23A54" w:rsidRPr="004F1B6D" w:rsidRDefault="00C23A54" w:rsidP="00271BDD">
            <w:pPr>
              <w:spacing w:after="0" w:line="240" w:lineRule="auto"/>
              <w:jc w:val="center"/>
              <w:rPr>
                <w:rFonts w:ascii="Times New Roman" w:eastAsia="Times New Roman" w:hAnsi="Times New Roman" w:cs="Times New Roman"/>
                <w:color w:val="000000"/>
                <w:sz w:val="24"/>
                <w:szCs w:val="28"/>
                <w:lang w:val="ro-RO"/>
              </w:rPr>
            </w:pPr>
            <w:r>
              <w:rPr>
                <w:rFonts w:ascii="Times New Roman" w:eastAsia="Times New Roman" w:hAnsi="Times New Roman" w:cs="Times New Roman"/>
                <w:color w:val="000000"/>
                <w:sz w:val="24"/>
                <w:szCs w:val="28"/>
                <w:lang w:val="ro-RO"/>
              </w:rPr>
              <w:t>6</w:t>
            </w:r>
            <w:r w:rsidRPr="004F1B6D">
              <w:rPr>
                <w:rFonts w:ascii="Times New Roman" w:eastAsia="Times New Roman" w:hAnsi="Times New Roman" w:cs="Times New Roman"/>
                <w:color w:val="000000"/>
                <w:sz w:val="24"/>
                <w:szCs w:val="28"/>
                <w:lang w:val="ro-RO"/>
              </w:rPr>
              <w:t>,</w:t>
            </w:r>
            <w:r w:rsidR="00271BDD">
              <w:rPr>
                <w:rFonts w:ascii="Times New Roman" w:eastAsia="Times New Roman" w:hAnsi="Times New Roman" w:cs="Times New Roman"/>
                <w:color w:val="000000"/>
                <w:sz w:val="24"/>
                <w:szCs w:val="28"/>
                <w:lang w:val="ro-RO"/>
              </w:rPr>
              <w:t>6</w:t>
            </w:r>
          </w:p>
        </w:tc>
      </w:tr>
      <w:tr w:rsidR="005D3CDB" w:rsidRPr="004A294E" w:rsidTr="005D3CDB">
        <w:trPr>
          <w:trHeight w:val="252"/>
        </w:trPr>
        <w:tc>
          <w:tcPr>
            <w:tcW w:w="2727" w:type="pct"/>
            <w:tcBorders>
              <w:top w:val="single" w:sz="4" w:space="0" w:color="17365D"/>
              <w:bottom w:val="single" w:sz="4" w:space="0" w:color="17365D"/>
              <w:right w:val="single" w:sz="4" w:space="0" w:color="17365D"/>
            </w:tcBorders>
          </w:tcPr>
          <w:p w:rsidR="00C23A54" w:rsidRPr="004F1B6D" w:rsidRDefault="00C23A54" w:rsidP="001F08C7">
            <w:pPr>
              <w:spacing w:after="0" w:line="240" w:lineRule="auto"/>
              <w:jc w:val="both"/>
              <w:rPr>
                <w:rFonts w:ascii="Times New Roman" w:eastAsia="Times New Roman" w:hAnsi="Times New Roman" w:cs="Times New Roman"/>
                <w:bCs/>
                <w:color w:val="000000"/>
                <w:sz w:val="24"/>
                <w:szCs w:val="28"/>
                <w:lang w:val="ro-RO"/>
              </w:rPr>
            </w:pPr>
            <w:r>
              <w:rPr>
                <w:rFonts w:ascii="Times New Roman" w:eastAsia="Times New Roman" w:hAnsi="Times New Roman" w:cs="Times New Roman"/>
                <w:bCs/>
                <w:color w:val="000000"/>
                <w:sz w:val="24"/>
                <w:szCs w:val="28"/>
                <w:lang w:val="ro-RO"/>
              </w:rPr>
              <w:t xml:space="preserve">c) </w:t>
            </w:r>
            <w:r w:rsidRPr="004F1B6D">
              <w:rPr>
                <w:rFonts w:ascii="Times New Roman" w:eastAsia="Times New Roman" w:hAnsi="Times New Roman" w:cs="Times New Roman"/>
                <w:bCs/>
                <w:color w:val="000000"/>
                <w:sz w:val="24"/>
                <w:szCs w:val="28"/>
                <w:lang w:val="ro-RO"/>
              </w:rPr>
              <w:t>Datoria cu rata dobînzii ce urmează a fi refixată în decurs de 1 an, %</w:t>
            </w:r>
          </w:p>
        </w:tc>
        <w:tc>
          <w:tcPr>
            <w:tcW w:w="682" w:type="pct"/>
            <w:tcBorders>
              <w:top w:val="single" w:sz="4" w:space="0" w:color="17365D"/>
              <w:left w:val="single" w:sz="4" w:space="0" w:color="17365D"/>
              <w:bottom w:val="single" w:sz="4" w:space="0" w:color="17365D"/>
              <w:right w:val="single" w:sz="4" w:space="0" w:color="17365D"/>
            </w:tcBorders>
            <w:vAlign w:val="center"/>
          </w:tcPr>
          <w:p w:rsidR="00C23A54" w:rsidRPr="004F1B6D" w:rsidRDefault="00C23A54" w:rsidP="00271BDD">
            <w:pPr>
              <w:spacing w:after="0" w:line="240" w:lineRule="auto"/>
              <w:jc w:val="center"/>
              <w:rPr>
                <w:rFonts w:ascii="Times New Roman" w:eastAsia="Times New Roman" w:hAnsi="Times New Roman" w:cs="Times New Roman"/>
                <w:color w:val="000000"/>
                <w:sz w:val="24"/>
                <w:szCs w:val="28"/>
                <w:lang w:val="ro-RO"/>
              </w:rPr>
            </w:pPr>
            <w:r>
              <w:rPr>
                <w:rFonts w:ascii="Times New Roman" w:eastAsia="Times New Roman" w:hAnsi="Times New Roman" w:cs="Times New Roman"/>
                <w:color w:val="000000"/>
                <w:sz w:val="24"/>
                <w:szCs w:val="28"/>
                <w:lang w:val="ro-RO"/>
              </w:rPr>
              <w:t>9</w:t>
            </w:r>
            <w:r w:rsidR="00271BDD">
              <w:rPr>
                <w:rFonts w:ascii="Times New Roman" w:eastAsia="Times New Roman" w:hAnsi="Times New Roman" w:cs="Times New Roman"/>
                <w:color w:val="000000"/>
                <w:sz w:val="24"/>
                <w:szCs w:val="28"/>
                <w:lang w:val="ro-RO"/>
              </w:rPr>
              <w:t>8</w:t>
            </w:r>
            <w:r w:rsidRPr="004F1B6D">
              <w:rPr>
                <w:rFonts w:ascii="Times New Roman" w:eastAsia="Times New Roman" w:hAnsi="Times New Roman" w:cs="Times New Roman"/>
                <w:color w:val="000000"/>
                <w:sz w:val="24"/>
                <w:szCs w:val="28"/>
                <w:lang w:val="ro-RO"/>
              </w:rPr>
              <w:t>,</w:t>
            </w:r>
            <w:r w:rsidR="00271BDD">
              <w:rPr>
                <w:rFonts w:ascii="Times New Roman" w:eastAsia="Times New Roman" w:hAnsi="Times New Roman" w:cs="Times New Roman"/>
                <w:color w:val="000000"/>
                <w:sz w:val="24"/>
                <w:szCs w:val="28"/>
                <w:lang w:val="ro-RO"/>
              </w:rPr>
              <w:t>6</w:t>
            </w:r>
          </w:p>
        </w:tc>
        <w:tc>
          <w:tcPr>
            <w:tcW w:w="758" w:type="pct"/>
            <w:tcBorders>
              <w:top w:val="single" w:sz="4" w:space="0" w:color="17365D"/>
              <w:left w:val="single" w:sz="4" w:space="0" w:color="17365D"/>
              <w:bottom w:val="single" w:sz="4" w:space="0" w:color="17365D"/>
              <w:right w:val="single" w:sz="4" w:space="0" w:color="17365D"/>
            </w:tcBorders>
            <w:vAlign w:val="center"/>
          </w:tcPr>
          <w:p w:rsidR="00C23A54" w:rsidRPr="004F1B6D" w:rsidRDefault="00271BDD" w:rsidP="00271BDD">
            <w:pPr>
              <w:spacing w:after="0" w:line="240" w:lineRule="auto"/>
              <w:jc w:val="center"/>
              <w:rPr>
                <w:rFonts w:ascii="Times New Roman" w:eastAsia="Times New Roman" w:hAnsi="Times New Roman" w:cs="Times New Roman"/>
                <w:color w:val="000000"/>
                <w:sz w:val="24"/>
                <w:szCs w:val="28"/>
                <w:lang w:val="ro-RO"/>
              </w:rPr>
            </w:pPr>
            <w:r>
              <w:rPr>
                <w:rFonts w:ascii="Times New Roman" w:eastAsia="Times New Roman" w:hAnsi="Times New Roman" w:cs="Times New Roman"/>
                <w:color w:val="000000"/>
                <w:sz w:val="24"/>
                <w:szCs w:val="28"/>
                <w:lang w:val="ro-RO"/>
              </w:rPr>
              <w:t>29</w:t>
            </w:r>
            <w:r w:rsidR="00C23A54" w:rsidRPr="004F1B6D">
              <w:rPr>
                <w:rFonts w:ascii="Times New Roman" w:eastAsia="Times New Roman" w:hAnsi="Times New Roman" w:cs="Times New Roman"/>
                <w:color w:val="000000"/>
                <w:sz w:val="24"/>
                <w:szCs w:val="28"/>
                <w:lang w:val="ro-RO"/>
              </w:rPr>
              <w:t>,</w:t>
            </w:r>
            <w:r>
              <w:rPr>
                <w:rFonts w:ascii="Times New Roman" w:eastAsia="Times New Roman" w:hAnsi="Times New Roman" w:cs="Times New Roman"/>
                <w:color w:val="000000"/>
                <w:sz w:val="24"/>
                <w:szCs w:val="28"/>
                <w:lang w:val="ro-RO"/>
              </w:rPr>
              <w:t>9</w:t>
            </w:r>
          </w:p>
        </w:tc>
        <w:tc>
          <w:tcPr>
            <w:tcW w:w="833" w:type="pct"/>
            <w:tcBorders>
              <w:top w:val="single" w:sz="4" w:space="0" w:color="17365D"/>
              <w:left w:val="single" w:sz="4" w:space="0" w:color="17365D"/>
              <w:bottom w:val="single" w:sz="4" w:space="0" w:color="17365D"/>
              <w:right w:val="single" w:sz="4" w:space="0" w:color="17365D"/>
            </w:tcBorders>
            <w:vAlign w:val="center"/>
          </w:tcPr>
          <w:p w:rsidR="00C23A54" w:rsidRPr="004F1B6D" w:rsidRDefault="00C23A54" w:rsidP="00271BDD">
            <w:pPr>
              <w:spacing w:after="0" w:line="240" w:lineRule="auto"/>
              <w:jc w:val="center"/>
              <w:rPr>
                <w:rFonts w:ascii="Times New Roman" w:eastAsia="Times New Roman" w:hAnsi="Times New Roman" w:cs="Times New Roman"/>
                <w:color w:val="000000"/>
                <w:sz w:val="24"/>
                <w:szCs w:val="28"/>
                <w:lang w:val="ro-RO"/>
              </w:rPr>
            </w:pPr>
            <w:r w:rsidRPr="004F1B6D">
              <w:rPr>
                <w:rFonts w:ascii="Times New Roman" w:eastAsia="Times New Roman" w:hAnsi="Times New Roman" w:cs="Times New Roman"/>
                <w:color w:val="000000"/>
                <w:sz w:val="24"/>
                <w:szCs w:val="28"/>
                <w:lang w:val="ro-RO"/>
              </w:rPr>
              <w:t>49,</w:t>
            </w:r>
            <w:r w:rsidR="00271BDD">
              <w:rPr>
                <w:rFonts w:ascii="Times New Roman" w:eastAsia="Times New Roman" w:hAnsi="Times New Roman" w:cs="Times New Roman"/>
                <w:color w:val="000000"/>
                <w:sz w:val="24"/>
                <w:szCs w:val="28"/>
                <w:lang w:val="ro-RO"/>
              </w:rPr>
              <w:t>4</w:t>
            </w:r>
          </w:p>
        </w:tc>
      </w:tr>
    </w:tbl>
    <w:p w:rsidR="009A3042" w:rsidRDefault="005D3CDB" w:rsidP="005D3CDB">
      <w:pPr>
        <w:tabs>
          <w:tab w:val="left" w:pos="306"/>
        </w:tabs>
        <w:spacing w:before="120" w:after="0" w:line="240" w:lineRule="auto"/>
        <w:ind w:firstLine="709"/>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În baza indicatorilor riscurilor de piaţă, pot fi formulate următoarele concluzii:</w:t>
      </w:r>
    </w:p>
    <w:p w:rsidR="005D3CDB" w:rsidRDefault="001F08C7" w:rsidP="004108FD">
      <w:pPr>
        <w:tabs>
          <w:tab w:val="left" w:pos="306"/>
        </w:tabs>
        <w:spacing w:after="0" w:line="240" w:lineRule="auto"/>
        <w:ind w:firstLine="709"/>
        <w:contextualSpacing/>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a)</w:t>
      </w:r>
      <w:r w:rsidR="005D3CDB">
        <w:rPr>
          <w:rFonts w:ascii="Times New Roman" w:eastAsia="Times New Roman" w:hAnsi="Times New Roman" w:cs="Times New Roman"/>
          <w:bCs/>
          <w:sz w:val="28"/>
          <w:szCs w:val="28"/>
          <w:lang w:val="ro-RO" w:eastAsia="ru-RU"/>
        </w:rPr>
        <w:t xml:space="preserve"> Portofoliul datoriei de stat este expus în cea mai mare măsură riscului valutar, deoarecere circa 70 la sută din soldul datoriei de stat este în valută străină.</w:t>
      </w:r>
    </w:p>
    <w:p w:rsidR="005D3CDB" w:rsidRDefault="001F08C7" w:rsidP="005D3CDB">
      <w:pPr>
        <w:tabs>
          <w:tab w:val="left" w:pos="540"/>
        </w:tabs>
        <w:spacing w:after="0" w:line="240" w:lineRule="auto"/>
        <w:ind w:firstLine="709"/>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b</w:t>
      </w:r>
      <w:r w:rsidR="005D3CDB">
        <w:rPr>
          <w:rFonts w:ascii="Times New Roman" w:eastAsia="Times New Roman" w:hAnsi="Times New Roman" w:cs="Times New Roman"/>
          <w:bCs/>
          <w:sz w:val="28"/>
          <w:szCs w:val="28"/>
          <w:lang w:val="ro-RO" w:eastAsia="ru-RU"/>
        </w:rPr>
        <w:t>) D</w:t>
      </w:r>
      <w:r w:rsidR="005D3CDB" w:rsidRPr="004F1B6D">
        <w:rPr>
          <w:rFonts w:ascii="Times New Roman" w:eastAsia="Times New Roman" w:hAnsi="Times New Roman" w:cs="Times New Roman"/>
          <w:bCs/>
          <w:sz w:val="28"/>
          <w:szCs w:val="28"/>
          <w:lang w:val="ro-RO" w:eastAsia="ru-RU"/>
        </w:rPr>
        <w:t>atoria de stat internă este expusă în cea mai mare măsură riscului</w:t>
      </w:r>
      <w:r w:rsidR="005D3CDB">
        <w:rPr>
          <w:rFonts w:ascii="Times New Roman" w:eastAsia="Times New Roman" w:hAnsi="Times New Roman" w:cs="Times New Roman"/>
          <w:bCs/>
          <w:sz w:val="28"/>
          <w:szCs w:val="28"/>
          <w:lang w:val="ro-RO" w:eastAsia="ru-RU"/>
        </w:rPr>
        <w:t xml:space="preserve"> de refinanţare şi riscului</w:t>
      </w:r>
      <w:r w:rsidR="005D3CDB" w:rsidRPr="004F1B6D">
        <w:rPr>
          <w:rFonts w:ascii="Times New Roman" w:eastAsia="Times New Roman" w:hAnsi="Times New Roman" w:cs="Times New Roman"/>
          <w:bCs/>
          <w:sz w:val="28"/>
          <w:szCs w:val="28"/>
          <w:lang w:val="ro-RO" w:eastAsia="ru-RU"/>
        </w:rPr>
        <w:t xml:space="preserve"> ratei de dobîndă,</w:t>
      </w:r>
      <w:r w:rsidR="005D3CDB" w:rsidRPr="005D3CDB">
        <w:rPr>
          <w:rFonts w:ascii="Times New Roman" w:eastAsia="Times New Roman" w:hAnsi="Times New Roman" w:cs="Times New Roman"/>
          <w:sz w:val="28"/>
          <w:szCs w:val="28"/>
          <w:lang w:val="ro-RO" w:eastAsia="ru-RU"/>
        </w:rPr>
        <w:t xml:space="preserve"> </w:t>
      </w:r>
      <w:r w:rsidR="005D3CDB" w:rsidRPr="004F1B6D">
        <w:rPr>
          <w:rFonts w:ascii="Times New Roman" w:eastAsia="Times New Roman" w:hAnsi="Times New Roman" w:cs="Times New Roman"/>
          <w:sz w:val="28"/>
          <w:szCs w:val="28"/>
          <w:lang w:val="ro-RO" w:eastAsia="ru-RU"/>
        </w:rPr>
        <w:t xml:space="preserve">din cauza instrumentelor de datorie preponderent pe termen de pînă la un an, precum şi a instrumentelor cu maturitatea mai mare de un an cu rata dobînzii flotantă. </w:t>
      </w:r>
      <w:r w:rsidR="005D3CDB" w:rsidRPr="004F1B6D">
        <w:rPr>
          <w:rFonts w:ascii="Times New Roman" w:eastAsia="Times New Roman" w:hAnsi="Times New Roman" w:cs="Times New Roman"/>
          <w:bCs/>
          <w:sz w:val="28"/>
          <w:szCs w:val="28"/>
          <w:lang w:val="ro-RO" w:eastAsia="ru-RU"/>
        </w:rPr>
        <w:t xml:space="preserve"> Astfel, o majorare a ratelor de dobîndă pe piaţa internă </w:t>
      </w:r>
      <w:r w:rsidR="005D3CDB" w:rsidRPr="008E2331">
        <w:rPr>
          <w:rFonts w:ascii="Times New Roman" w:eastAsia="Times New Roman" w:hAnsi="Times New Roman" w:cs="Times New Roman"/>
          <w:bCs/>
          <w:sz w:val="28"/>
          <w:szCs w:val="28"/>
          <w:lang w:val="ro-RO" w:eastAsia="ru-RU"/>
        </w:rPr>
        <w:t xml:space="preserve">va avea un impact semnificativ </w:t>
      </w:r>
      <w:r w:rsidR="005D3CDB" w:rsidRPr="004F1B6D">
        <w:rPr>
          <w:rFonts w:ascii="Times New Roman" w:eastAsia="Times New Roman" w:hAnsi="Times New Roman" w:cs="Times New Roman"/>
          <w:bCs/>
          <w:sz w:val="28"/>
          <w:szCs w:val="28"/>
          <w:lang w:val="ro-RO" w:eastAsia="ru-RU"/>
        </w:rPr>
        <w:t>asupra costurilor aferente datoriei de stat.</w:t>
      </w:r>
      <w:r w:rsidR="005D3CDB">
        <w:rPr>
          <w:rFonts w:ascii="Times New Roman" w:eastAsia="Times New Roman" w:hAnsi="Times New Roman" w:cs="Times New Roman"/>
          <w:bCs/>
          <w:sz w:val="28"/>
          <w:szCs w:val="28"/>
          <w:lang w:val="ro-RO" w:eastAsia="ru-RU"/>
        </w:rPr>
        <w:t xml:space="preserve"> </w:t>
      </w:r>
    </w:p>
    <w:p w:rsidR="005D3CDB" w:rsidRPr="004F1B6D" w:rsidRDefault="001F08C7" w:rsidP="005D3CDB">
      <w:pPr>
        <w:tabs>
          <w:tab w:val="left" w:pos="540"/>
        </w:tabs>
        <w:spacing w:after="0" w:line="240" w:lineRule="auto"/>
        <w:ind w:firstLine="709"/>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c</w:t>
      </w:r>
      <w:r w:rsidR="005D3CDB">
        <w:rPr>
          <w:rFonts w:ascii="Times New Roman" w:eastAsia="Times New Roman" w:hAnsi="Times New Roman" w:cs="Times New Roman"/>
          <w:bCs/>
          <w:sz w:val="28"/>
          <w:szCs w:val="28"/>
          <w:lang w:val="ro-RO" w:eastAsia="ru-RU"/>
        </w:rPr>
        <w:t xml:space="preserve">) </w:t>
      </w:r>
      <w:r w:rsidR="005D3CDB" w:rsidRPr="004F1B6D">
        <w:rPr>
          <w:rFonts w:ascii="Times New Roman" w:eastAsia="Times New Roman" w:hAnsi="Times New Roman" w:cs="Times New Roman"/>
          <w:bCs/>
          <w:sz w:val="28"/>
          <w:szCs w:val="28"/>
          <w:lang w:val="ro-RO" w:eastAsia="ru-RU"/>
        </w:rPr>
        <w:t>Datoria de stat externă se caracterizează prin indicatori ce nu prezintă o expunere majoră faţă de riscul</w:t>
      </w:r>
      <w:r w:rsidR="008D0168">
        <w:rPr>
          <w:rFonts w:ascii="Times New Roman" w:eastAsia="Times New Roman" w:hAnsi="Times New Roman" w:cs="Times New Roman"/>
          <w:bCs/>
          <w:sz w:val="28"/>
          <w:szCs w:val="28"/>
          <w:lang w:val="ro-RO" w:eastAsia="ru-RU"/>
        </w:rPr>
        <w:t xml:space="preserve"> de refinanţare şi riscul</w:t>
      </w:r>
      <w:r w:rsidR="005D3CDB" w:rsidRPr="004F1B6D">
        <w:rPr>
          <w:rFonts w:ascii="Times New Roman" w:eastAsia="Times New Roman" w:hAnsi="Times New Roman" w:cs="Times New Roman"/>
          <w:bCs/>
          <w:sz w:val="28"/>
          <w:szCs w:val="28"/>
          <w:lang w:val="ro-RO" w:eastAsia="ru-RU"/>
        </w:rPr>
        <w:t xml:space="preserve"> ratei de dobîndă. Această situaţie se datorează faptului că</w:t>
      </w:r>
      <w:r w:rsidR="008D0168">
        <w:rPr>
          <w:rFonts w:ascii="Times New Roman" w:eastAsia="Times New Roman" w:hAnsi="Times New Roman" w:cs="Times New Roman"/>
          <w:bCs/>
          <w:sz w:val="28"/>
          <w:szCs w:val="28"/>
          <w:lang w:val="ro-RO" w:eastAsia="ru-RU"/>
        </w:rPr>
        <w:t xml:space="preserve"> instrumentele </w:t>
      </w:r>
      <w:r w:rsidR="005D3CDB" w:rsidRPr="004F1B6D">
        <w:rPr>
          <w:rFonts w:ascii="Times New Roman" w:eastAsia="Times New Roman" w:hAnsi="Times New Roman" w:cs="Times New Roman"/>
          <w:bCs/>
          <w:sz w:val="28"/>
          <w:szCs w:val="28"/>
          <w:lang w:val="ro-RO" w:eastAsia="ru-RU"/>
        </w:rPr>
        <w:t>datori</w:t>
      </w:r>
      <w:r w:rsidR="008D0168">
        <w:rPr>
          <w:rFonts w:ascii="Times New Roman" w:eastAsia="Times New Roman" w:hAnsi="Times New Roman" w:cs="Times New Roman"/>
          <w:bCs/>
          <w:sz w:val="28"/>
          <w:szCs w:val="28"/>
          <w:lang w:val="ro-RO" w:eastAsia="ru-RU"/>
        </w:rPr>
        <w:t xml:space="preserve">ei </w:t>
      </w:r>
      <w:r w:rsidR="005D3CDB" w:rsidRPr="004F1B6D">
        <w:rPr>
          <w:rFonts w:ascii="Times New Roman" w:eastAsia="Times New Roman" w:hAnsi="Times New Roman" w:cs="Times New Roman"/>
          <w:bCs/>
          <w:sz w:val="28"/>
          <w:szCs w:val="28"/>
          <w:lang w:val="ro-RO" w:eastAsia="ru-RU"/>
        </w:rPr>
        <w:t>de stat extern</w:t>
      </w:r>
      <w:r w:rsidR="008D0168">
        <w:rPr>
          <w:rFonts w:ascii="Times New Roman" w:eastAsia="Times New Roman" w:hAnsi="Times New Roman" w:cs="Times New Roman"/>
          <w:bCs/>
          <w:sz w:val="28"/>
          <w:szCs w:val="28"/>
          <w:lang w:val="ro-RO" w:eastAsia="ru-RU"/>
        </w:rPr>
        <w:t>e</w:t>
      </w:r>
      <w:r w:rsidR="005D3CDB" w:rsidRPr="004F1B6D">
        <w:rPr>
          <w:rFonts w:ascii="Times New Roman" w:eastAsia="Times New Roman" w:hAnsi="Times New Roman" w:cs="Times New Roman"/>
          <w:bCs/>
          <w:sz w:val="28"/>
          <w:szCs w:val="28"/>
          <w:lang w:val="ro-RO" w:eastAsia="ru-RU"/>
        </w:rPr>
        <w:t xml:space="preserve"> </w:t>
      </w:r>
      <w:r w:rsidR="008D0168">
        <w:rPr>
          <w:rFonts w:ascii="Times New Roman" w:eastAsia="Times New Roman" w:hAnsi="Times New Roman" w:cs="Times New Roman"/>
          <w:bCs/>
          <w:sz w:val="28"/>
          <w:szCs w:val="28"/>
          <w:lang w:val="ro-RO" w:eastAsia="ru-RU"/>
        </w:rPr>
        <w:t>sunt preponderent pe termen lung</w:t>
      </w:r>
      <w:r w:rsidR="005D3CDB" w:rsidRPr="004F1B6D">
        <w:rPr>
          <w:rFonts w:ascii="Times New Roman" w:eastAsia="Times New Roman" w:hAnsi="Times New Roman" w:cs="Times New Roman"/>
          <w:bCs/>
          <w:sz w:val="28"/>
          <w:szCs w:val="28"/>
          <w:lang w:val="ro-RO" w:eastAsia="ru-RU"/>
        </w:rPr>
        <w:t>.</w:t>
      </w:r>
    </w:p>
    <w:p w:rsidR="00235C48" w:rsidRDefault="00235C48" w:rsidP="00536BDA">
      <w:pPr>
        <w:tabs>
          <w:tab w:val="left" w:pos="306"/>
        </w:tabs>
        <w:spacing w:before="60" w:after="0" w:line="240" w:lineRule="auto"/>
        <w:ind w:firstLine="709"/>
        <w:jc w:val="both"/>
        <w:rPr>
          <w:rFonts w:ascii="Times New Roman" w:eastAsia="Times New Roman" w:hAnsi="Times New Roman" w:cs="Times New Roman"/>
          <w:sz w:val="28"/>
          <w:szCs w:val="28"/>
          <w:lang w:val="ro-RO" w:eastAsia="ru-RU"/>
        </w:rPr>
      </w:pPr>
      <w:r w:rsidRPr="000A635C">
        <w:rPr>
          <w:rFonts w:ascii="Times New Roman" w:eastAsia="Times New Roman" w:hAnsi="Times New Roman" w:cs="Times New Roman"/>
          <w:sz w:val="28"/>
          <w:szCs w:val="28"/>
          <w:lang w:val="ro-RO" w:eastAsia="ru-RU"/>
        </w:rPr>
        <w:t>La capitolul optimizării riscului de credit, pe parcursul anului 2013 s-a redus riscul efectuării plăţilor de către Ministerul Finanţelor în calitate de garant, datorită rambursării în termen a sumelor prognozate spre achitare de către debitorul garantat S.A.„Apă-Canal Chişinău” în favoarea BERD. Astfel, la situaţia din 31 decembrie 2013</w:t>
      </w:r>
      <w:r w:rsidR="000A635C">
        <w:rPr>
          <w:rFonts w:ascii="Times New Roman" w:eastAsia="Times New Roman" w:hAnsi="Times New Roman" w:cs="Times New Roman"/>
          <w:sz w:val="28"/>
          <w:szCs w:val="28"/>
          <w:lang w:val="ro-RO" w:eastAsia="ru-RU"/>
        </w:rPr>
        <w:t>, S.A.</w:t>
      </w:r>
      <w:r w:rsidRPr="000A635C">
        <w:rPr>
          <w:rFonts w:ascii="Times New Roman" w:eastAsia="Times New Roman" w:hAnsi="Times New Roman" w:cs="Times New Roman"/>
          <w:sz w:val="28"/>
          <w:szCs w:val="28"/>
          <w:lang w:val="ro-RO" w:eastAsia="ru-RU"/>
        </w:rPr>
        <w:t>„Apă-Canal Chişinău” este unicul agent economic beneficiar al garanţiei de stat externe, iar alte garanţii de stat nu au fost acordate.</w:t>
      </w:r>
    </w:p>
    <w:p w:rsidR="004108FD" w:rsidRPr="004108FD" w:rsidRDefault="004108FD" w:rsidP="004108FD">
      <w:pPr>
        <w:tabs>
          <w:tab w:val="left" w:pos="306"/>
        </w:tabs>
        <w:spacing w:after="0" w:line="240" w:lineRule="auto"/>
        <w:ind w:firstLine="709"/>
        <w:contextualSpacing/>
        <w:jc w:val="both"/>
        <w:rPr>
          <w:rFonts w:ascii="Times New Roman" w:eastAsia="Times New Roman" w:hAnsi="Times New Roman" w:cs="Times New Roman"/>
          <w:sz w:val="28"/>
          <w:szCs w:val="28"/>
          <w:lang w:val="ro-RO" w:eastAsia="ru-RU"/>
        </w:rPr>
      </w:pPr>
      <w:r w:rsidRPr="004108FD">
        <w:rPr>
          <w:rFonts w:ascii="Times New Roman" w:eastAsia="Times New Roman" w:hAnsi="Times New Roman" w:cs="Times New Roman"/>
          <w:sz w:val="28"/>
          <w:szCs w:val="28"/>
          <w:lang w:val="ro-RO" w:eastAsia="ru-RU"/>
        </w:rPr>
        <w:t xml:space="preserve">La capitolul optimizării </w:t>
      </w:r>
      <w:r w:rsidRPr="0085350A">
        <w:rPr>
          <w:rFonts w:ascii="Times New Roman" w:eastAsia="Times New Roman" w:hAnsi="Times New Roman" w:cs="Times New Roman"/>
          <w:sz w:val="28"/>
          <w:szCs w:val="28"/>
          <w:lang w:val="ro-RO" w:eastAsia="ru-RU"/>
        </w:rPr>
        <w:t>riscului operaţional</w:t>
      </w:r>
      <w:r w:rsidRPr="004108FD">
        <w:rPr>
          <w:rFonts w:ascii="Times New Roman" w:eastAsia="Times New Roman" w:hAnsi="Times New Roman" w:cs="Times New Roman"/>
          <w:sz w:val="28"/>
          <w:szCs w:val="28"/>
          <w:lang w:val="ro-RO" w:eastAsia="ru-RU"/>
        </w:rPr>
        <w:t>, s-a pus accent pe îmbunătăţirea continuă a capacităţii personalului pr</w:t>
      </w:r>
      <w:r w:rsidR="00A74007">
        <w:rPr>
          <w:rFonts w:ascii="Times New Roman" w:eastAsia="Times New Roman" w:hAnsi="Times New Roman" w:cs="Times New Roman"/>
          <w:sz w:val="28"/>
          <w:szCs w:val="28"/>
          <w:lang w:val="ro-RO" w:eastAsia="ru-RU"/>
        </w:rPr>
        <w:t>in instruiri interne şi externe</w:t>
      </w:r>
      <w:r w:rsidR="00657EA5">
        <w:rPr>
          <w:rFonts w:ascii="Times New Roman" w:eastAsia="Times New Roman" w:hAnsi="Times New Roman" w:cs="Times New Roman"/>
          <w:sz w:val="28"/>
          <w:szCs w:val="28"/>
          <w:lang w:val="ro-RO" w:eastAsia="ru-RU"/>
        </w:rPr>
        <w:t>,</w:t>
      </w:r>
      <w:r w:rsidRPr="004108FD">
        <w:rPr>
          <w:rFonts w:ascii="Times New Roman" w:eastAsia="Times New Roman" w:hAnsi="Times New Roman" w:cs="Times New Roman"/>
          <w:sz w:val="28"/>
          <w:szCs w:val="28"/>
          <w:lang w:val="ro-RO" w:eastAsia="ru-RU"/>
        </w:rPr>
        <w:t xml:space="preserve"> pe consolidarea sistemului de management şi control intern în cadrul Dir</w:t>
      </w:r>
      <w:r w:rsidR="00A74007">
        <w:rPr>
          <w:rFonts w:ascii="Times New Roman" w:eastAsia="Times New Roman" w:hAnsi="Times New Roman" w:cs="Times New Roman"/>
          <w:sz w:val="28"/>
          <w:szCs w:val="28"/>
          <w:lang w:val="ro-RO" w:eastAsia="ru-RU"/>
        </w:rPr>
        <w:t>ecţiei generale datorii publice</w:t>
      </w:r>
      <w:r w:rsidR="00657EA5">
        <w:rPr>
          <w:rFonts w:ascii="Times New Roman" w:eastAsia="Times New Roman" w:hAnsi="Times New Roman" w:cs="Times New Roman"/>
          <w:sz w:val="28"/>
          <w:szCs w:val="28"/>
          <w:lang w:val="ro-RO" w:eastAsia="ru-RU"/>
        </w:rPr>
        <w:t>, precum și pe menținerea</w:t>
      </w:r>
      <w:r w:rsidR="00E06D95">
        <w:rPr>
          <w:rFonts w:ascii="Times New Roman" w:eastAsia="Times New Roman" w:hAnsi="Times New Roman" w:cs="Times New Roman"/>
          <w:sz w:val="28"/>
          <w:szCs w:val="28"/>
          <w:lang w:val="ro-RO" w:eastAsia="ru-RU"/>
        </w:rPr>
        <w:t xml:space="preserve"> cu acuratețe a datelor privind datoria publică în</w:t>
      </w:r>
      <w:r w:rsidR="00657EA5" w:rsidRPr="00657EA5">
        <w:rPr>
          <w:rFonts w:ascii="Arial" w:eastAsia="Times New Roman" w:hAnsi="Arial" w:cs="Arial"/>
          <w:sz w:val="35"/>
          <w:szCs w:val="35"/>
          <w:lang w:val="ro-RO"/>
        </w:rPr>
        <w:t xml:space="preserve"> </w:t>
      </w:r>
      <w:r w:rsidR="00657EA5" w:rsidRPr="00657EA5">
        <w:rPr>
          <w:rFonts w:ascii="Times New Roman" w:eastAsia="Times New Roman" w:hAnsi="Times New Roman" w:cs="Times New Roman"/>
          <w:sz w:val="28"/>
          <w:szCs w:val="28"/>
          <w:lang w:val="ro-RO" w:eastAsia="ru-RU"/>
        </w:rPr>
        <w:t>sistemul informaţional</w:t>
      </w:r>
      <w:r w:rsidR="00657EA5">
        <w:rPr>
          <w:rFonts w:ascii="Times New Roman" w:eastAsia="Times New Roman" w:hAnsi="Times New Roman" w:cs="Times New Roman"/>
          <w:sz w:val="28"/>
          <w:szCs w:val="28"/>
          <w:lang w:val="ro-RO" w:eastAsia="ru-RU"/>
        </w:rPr>
        <w:t xml:space="preserve"> </w:t>
      </w:r>
      <w:r w:rsidR="00657EA5" w:rsidRPr="00657EA5">
        <w:rPr>
          <w:rFonts w:ascii="Times New Roman" w:eastAsia="Times New Roman" w:hAnsi="Times New Roman" w:cs="Times New Roman"/>
          <w:sz w:val="28"/>
          <w:szCs w:val="28"/>
          <w:lang w:val="ro-RO" w:eastAsia="ru-RU"/>
        </w:rPr>
        <w:t>de management al datoriei şi analiză financiară (DMFAS)</w:t>
      </w:r>
      <w:r w:rsidRPr="004108FD">
        <w:rPr>
          <w:rFonts w:ascii="Times New Roman" w:eastAsia="Times New Roman" w:hAnsi="Times New Roman" w:cs="Times New Roman"/>
          <w:sz w:val="28"/>
          <w:szCs w:val="28"/>
          <w:lang w:val="ro-RO" w:eastAsia="ru-RU"/>
        </w:rPr>
        <w:t>.</w:t>
      </w:r>
    </w:p>
    <w:p w:rsidR="00076D88" w:rsidRDefault="001F08C7" w:rsidP="00482E43">
      <w:pPr>
        <w:shd w:val="clear" w:color="auto" w:fill="FFFFFF"/>
        <w:tabs>
          <w:tab w:val="left" w:pos="851"/>
        </w:tabs>
        <w:spacing w:after="0" w:line="240" w:lineRule="auto"/>
        <w:ind w:firstLine="709"/>
        <w:jc w:val="both"/>
        <w:rPr>
          <w:rFonts w:ascii="Times New Roman" w:eastAsia="Times New Roman" w:hAnsi="Times New Roman" w:cs="Times New Roman"/>
          <w:bCs/>
          <w:color w:val="222222"/>
          <w:sz w:val="28"/>
          <w:szCs w:val="28"/>
          <w:lang w:val="ro-RO" w:eastAsia="ru-RU"/>
        </w:rPr>
      </w:pPr>
      <w:r>
        <w:rPr>
          <w:rFonts w:ascii="Times New Roman" w:eastAsia="Times New Roman" w:hAnsi="Times New Roman" w:cs="Times New Roman"/>
          <w:sz w:val="28"/>
          <w:szCs w:val="28"/>
          <w:lang w:val="ro-RO" w:eastAsia="ru-RU"/>
        </w:rPr>
        <w:t>4</w:t>
      </w:r>
      <w:r w:rsidR="004108FD" w:rsidRPr="004108FD">
        <w:rPr>
          <w:rFonts w:ascii="Times New Roman" w:eastAsia="Times New Roman" w:hAnsi="Times New Roman" w:cs="Times New Roman"/>
          <w:sz w:val="28"/>
          <w:szCs w:val="28"/>
          <w:lang w:val="ro-RO" w:eastAsia="ru-RU"/>
        </w:rPr>
        <w:t xml:space="preserve">) </w:t>
      </w:r>
      <w:r w:rsidR="00076D88" w:rsidRPr="00A863EC">
        <w:rPr>
          <w:rFonts w:ascii="Times New Roman" w:eastAsia="Times New Roman" w:hAnsi="Times New Roman" w:cs="Times New Roman"/>
          <w:bCs/>
          <w:color w:val="222222"/>
          <w:sz w:val="28"/>
          <w:szCs w:val="28"/>
          <w:lang w:val="ro-RO" w:eastAsia="ru-RU"/>
        </w:rPr>
        <w:t xml:space="preserve">La capitolul </w:t>
      </w:r>
      <w:r w:rsidR="00076D88" w:rsidRPr="00E73A9C">
        <w:rPr>
          <w:rFonts w:ascii="Times New Roman" w:eastAsia="Times New Roman" w:hAnsi="Times New Roman" w:cs="Times New Roman"/>
          <w:bCs/>
          <w:color w:val="222222"/>
          <w:sz w:val="28"/>
          <w:szCs w:val="28"/>
          <w:lang w:val="ro-RO" w:eastAsia="ru-RU"/>
        </w:rPr>
        <w:t xml:space="preserve">dezvoltarea pieţei </w:t>
      </w:r>
      <w:r w:rsidR="00E06D95">
        <w:rPr>
          <w:rFonts w:ascii="Times New Roman" w:eastAsia="Times New Roman" w:hAnsi="Times New Roman" w:cs="Times New Roman"/>
          <w:bCs/>
          <w:color w:val="222222"/>
          <w:sz w:val="28"/>
          <w:szCs w:val="28"/>
          <w:lang w:val="ro-RO" w:eastAsia="ru-RU"/>
        </w:rPr>
        <w:t>VMS</w:t>
      </w:r>
      <w:r w:rsidR="00076D88" w:rsidRPr="00A863EC">
        <w:rPr>
          <w:rFonts w:ascii="Times New Roman" w:eastAsia="Times New Roman" w:hAnsi="Times New Roman" w:cs="Times New Roman"/>
          <w:bCs/>
          <w:color w:val="222222"/>
          <w:sz w:val="28"/>
          <w:szCs w:val="28"/>
          <w:lang w:val="ro-RO" w:eastAsia="ru-RU"/>
        </w:rPr>
        <w:t xml:space="preserve">, a fost </w:t>
      </w:r>
      <w:r w:rsidR="00076D88">
        <w:rPr>
          <w:rFonts w:ascii="Times New Roman" w:eastAsia="Times New Roman" w:hAnsi="Times New Roman" w:cs="Times New Roman"/>
          <w:bCs/>
          <w:color w:val="222222"/>
          <w:sz w:val="28"/>
          <w:szCs w:val="28"/>
          <w:lang w:val="ro-RO" w:eastAsia="ru-RU"/>
        </w:rPr>
        <w:t>ajustat cadrul normativ aferent valorilor mobiliare de stat la condiț</w:t>
      </w:r>
      <w:r w:rsidR="00076D88" w:rsidRPr="00ED5C6F">
        <w:rPr>
          <w:rFonts w:ascii="Times New Roman" w:eastAsia="Times New Roman" w:hAnsi="Times New Roman" w:cs="Times New Roman"/>
          <w:bCs/>
          <w:color w:val="222222"/>
          <w:sz w:val="28"/>
          <w:szCs w:val="28"/>
          <w:lang w:val="ro-RO" w:eastAsia="ru-RU"/>
        </w:rPr>
        <w:t>iile de implementar</w:t>
      </w:r>
      <w:r w:rsidR="00076D88">
        <w:rPr>
          <w:rFonts w:ascii="Times New Roman" w:eastAsia="Times New Roman" w:hAnsi="Times New Roman" w:cs="Times New Roman"/>
          <w:bCs/>
          <w:color w:val="222222"/>
          <w:sz w:val="28"/>
          <w:szCs w:val="28"/>
          <w:lang w:val="ro-RO" w:eastAsia="ru-RU"/>
        </w:rPr>
        <w:t>e a platformei unice de tranzacț</w:t>
      </w:r>
      <w:r w:rsidR="00076D88" w:rsidRPr="00ED5C6F">
        <w:rPr>
          <w:rFonts w:ascii="Times New Roman" w:eastAsia="Times New Roman" w:hAnsi="Times New Roman" w:cs="Times New Roman"/>
          <w:bCs/>
          <w:color w:val="222222"/>
          <w:sz w:val="28"/>
          <w:szCs w:val="28"/>
          <w:lang w:val="ro-RO" w:eastAsia="ru-RU"/>
        </w:rPr>
        <w:t>ionare a</w:t>
      </w:r>
      <w:r w:rsidR="00076D88">
        <w:rPr>
          <w:rFonts w:ascii="Times New Roman" w:eastAsia="Times New Roman" w:hAnsi="Times New Roman" w:cs="Times New Roman"/>
          <w:bCs/>
          <w:color w:val="222222"/>
          <w:sz w:val="28"/>
          <w:szCs w:val="28"/>
          <w:lang w:val="ro-RO" w:eastAsia="ru-RU"/>
        </w:rPr>
        <w:t xml:space="preserve"> </w:t>
      </w:r>
      <w:r w:rsidR="00076D88" w:rsidRPr="00ED5C6F">
        <w:rPr>
          <w:rFonts w:ascii="Times New Roman" w:eastAsia="Times New Roman" w:hAnsi="Times New Roman" w:cs="Times New Roman"/>
          <w:bCs/>
          <w:color w:val="222222"/>
          <w:sz w:val="28"/>
          <w:szCs w:val="28"/>
          <w:lang w:val="ro-RO" w:eastAsia="ru-RU"/>
        </w:rPr>
        <w:t xml:space="preserve">instrumentelor monetar-valutare. Astfel, </w:t>
      </w:r>
      <w:r w:rsidR="00076D88">
        <w:rPr>
          <w:rFonts w:ascii="Times New Roman" w:eastAsia="Times New Roman" w:hAnsi="Times New Roman" w:cs="Times New Roman"/>
          <w:bCs/>
          <w:color w:val="222222"/>
          <w:sz w:val="28"/>
          <w:szCs w:val="28"/>
          <w:lang w:val="ro-RO" w:eastAsia="ru-RU"/>
        </w:rPr>
        <w:t xml:space="preserve">Ministerul Finanțelor în comun cu </w:t>
      </w:r>
      <w:r w:rsidR="00076D88" w:rsidRPr="00870BFB">
        <w:rPr>
          <w:rFonts w:ascii="Times New Roman" w:eastAsia="Times New Roman" w:hAnsi="Times New Roman" w:cs="Times New Roman"/>
          <w:bCs/>
          <w:color w:val="222222"/>
          <w:sz w:val="28"/>
          <w:szCs w:val="28"/>
          <w:lang w:val="ro-RO" w:eastAsia="ru-RU"/>
        </w:rPr>
        <w:t>Banc</w:t>
      </w:r>
      <w:r w:rsidR="00076D88">
        <w:rPr>
          <w:rFonts w:ascii="Times New Roman" w:eastAsia="Times New Roman" w:hAnsi="Times New Roman" w:cs="Times New Roman"/>
          <w:bCs/>
          <w:color w:val="222222"/>
          <w:sz w:val="28"/>
          <w:szCs w:val="28"/>
          <w:lang w:val="ro-RO" w:eastAsia="ru-RU"/>
        </w:rPr>
        <w:t>a</w:t>
      </w:r>
      <w:r w:rsidR="00076D88" w:rsidRPr="00870BFB">
        <w:rPr>
          <w:rFonts w:ascii="Times New Roman" w:eastAsia="Times New Roman" w:hAnsi="Times New Roman" w:cs="Times New Roman"/>
          <w:bCs/>
          <w:color w:val="222222"/>
          <w:sz w:val="28"/>
          <w:szCs w:val="28"/>
          <w:lang w:val="ro-RO" w:eastAsia="ru-RU"/>
        </w:rPr>
        <w:t xml:space="preserve"> Na</w:t>
      </w:r>
      <w:r w:rsidR="00076D88">
        <w:rPr>
          <w:rFonts w:ascii="Times New Roman" w:eastAsia="Times New Roman" w:hAnsi="Times New Roman" w:cs="Times New Roman"/>
          <w:bCs/>
          <w:color w:val="222222"/>
          <w:sz w:val="28"/>
          <w:szCs w:val="28"/>
          <w:lang w:val="ro-RO" w:eastAsia="ru-RU"/>
        </w:rPr>
        <w:t>ț</w:t>
      </w:r>
      <w:r w:rsidR="00076D88" w:rsidRPr="00870BFB">
        <w:rPr>
          <w:rFonts w:ascii="Times New Roman" w:eastAsia="Times New Roman" w:hAnsi="Times New Roman" w:cs="Times New Roman"/>
          <w:bCs/>
          <w:color w:val="222222"/>
          <w:sz w:val="28"/>
          <w:szCs w:val="28"/>
          <w:lang w:val="ro-RO" w:eastAsia="ru-RU"/>
        </w:rPr>
        <w:t>ional</w:t>
      </w:r>
      <w:r w:rsidR="00076D88">
        <w:rPr>
          <w:rFonts w:ascii="Times New Roman" w:eastAsia="Times New Roman" w:hAnsi="Times New Roman" w:cs="Times New Roman"/>
          <w:bCs/>
          <w:color w:val="222222"/>
          <w:sz w:val="28"/>
          <w:szCs w:val="28"/>
          <w:lang w:val="ro-RO" w:eastAsia="ru-RU"/>
        </w:rPr>
        <w:t>ă</w:t>
      </w:r>
      <w:r w:rsidR="00076D88" w:rsidRPr="00870BFB">
        <w:rPr>
          <w:rFonts w:ascii="Times New Roman" w:eastAsia="Times New Roman" w:hAnsi="Times New Roman" w:cs="Times New Roman"/>
          <w:bCs/>
          <w:color w:val="222222"/>
          <w:sz w:val="28"/>
          <w:szCs w:val="28"/>
          <w:lang w:val="ro-RO" w:eastAsia="ru-RU"/>
        </w:rPr>
        <w:t xml:space="preserve"> a Moldovei au aprobat</w:t>
      </w:r>
      <w:r w:rsidR="00076D88">
        <w:rPr>
          <w:rFonts w:ascii="Times New Roman" w:eastAsia="Times New Roman" w:hAnsi="Times New Roman" w:cs="Times New Roman"/>
          <w:bCs/>
          <w:color w:val="222222"/>
          <w:sz w:val="28"/>
          <w:szCs w:val="28"/>
          <w:lang w:val="ro-RO" w:eastAsia="ru-RU"/>
        </w:rPr>
        <w:t xml:space="preserve"> la 17 mai 2013 </w:t>
      </w:r>
      <w:r w:rsidR="00076D88" w:rsidRPr="00870BFB">
        <w:rPr>
          <w:rFonts w:ascii="Times New Roman" w:eastAsia="Times New Roman" w:hAnsi="Times New Roman" w:cs="Times New Roman"/>
          <w:bCs/>
          <w:color w:val="222222"/>
          <w:sz w:val="28"/>
          <w:szCs w:val="28"/>
          <w:lang w:val="ro-RO" w:eastAsia="ru-RU"/>
        </w:rPr>
        <w:t xml:space="preserve">Regulamentul cu privire la plasarea </w:t>
      </w:r>
      <w:r w:rsidR="00076D88">
        <w:rPr>
          <w:rFonts w:ascii="Times New Roman" w:eastAsia="Times New Roman" w:hAnsi="Times New Roman" w:cs="Times New Roman"/>
          <w:bCs/>
          <w:color w:val="222222"/>
          <w:sz w:val="28"/>
          <w:szCs w:val="28"/>
          <w:lang w:val="ro-RO" w:eastAsia="ru-RU"/>
        </w:rPr>
        <w:t>ș</w:t>
      </w:r>
      <w:r w:rsidR="00076D88" w:rsidRPr="00870BFB">
        <w:rPr>
          <w:rFonts w:ascii="Times New Roman" w:eastAsia="Times New Roman" w:hAnsi="Times New Roman" w:cs="Times New Roman"/>
          <w:bCs/>
          <w:color w:val="222222"/>
          <w:sz w:val="28"/>
          <w:szCs w:val="28"/>
          <w:lang w:val="ro-RO" w:eastAsia="ru-RU"/>
        </w:rPr>
        <w:t>i răscumpărarea valorilor mobiliare de stat în form</w:t>
      </w:r>
      <w:r w:rsidR="00E06D95">
        <w:rPr>
          <w:rFonts w:ascii="Times New Roman" w:eastAsia="Times New Roman" w:hAnsi="Times New Roman" w:cs="Times New Roman"/>
          <w:bCs/>
          <w:color w:val="222222"/>
          <w:sz w:val="28"/>
          <w:szCs w:val="28"/>
          <w:lang w:val="ro-RO" w:eastAsia="ru-RU"/>
        </w:rPr>
        <w:t>ă</w:t>
      </w:r>
      <w:r w:rsidR="00076D88" w:rsidRPr="00870BFB">
        <w:rPr>
          <w:rFonts w:ascii="Times New Roman" w:eastAsia="Times New Roman" w:hAnsi="Times New Roman" w:cs="Times New Roman"/>
          <w:bCs/>
          <w:color w:val="222222"/>
          <w:sz w:val="28"/>
          <w:szCs w:val="28"/>
          <w:lang w:val="ro-RO" w:eastAsia="ru-RU"/>
        </w:rPr>
        <w:t xml:space="preserve"> de</w:t>
      </w:r>
      <w:r w:rsidR="00076D88">
        <w:rPr>
          <w:rFonts w:ascii="Times New Roman" w:eastAsia="Times New Roman" w:hAnsi="Times New Roman" w:cs="Times New Roman"/>
          <w:bCs/>
          <w:color w:val="222222"/>
          <w:sz w:val="28"/>
          <w:szCs w:val="28"/>
          <w:lang w:val="ro-RO" w:eastAsia="ru-RU"/>
        </w:rPr>
        <w:t xml:space="preserve"> înscrieri în conturi. Din data intrării în vigoare a Regulamentului, </w:t>
      </w:r>
      <w:r w:rsidR="00E06D95">
        <w:rPr>
          <w:rFonts w:ascii="Times New Roman" w:eastAsia="Times New Roman" w:hAnsi="Times New Roman" w:cs="Times New Roman"/>
          <w:bCs/>
          <w:color w:val="222222"/>
          <w:sz w:val="28"/>
          <w:szCs w:val="28"/>
          <w:lang w:val="ro-RO" w:eastAsia="ru-RU"/>
        </w:rPr>
        <w:t xml:space="preserve">la </w:t>
      </w:r>
      <w:r w:rsidR="0027180F">
        <w:rPr>
          <w:rFonts w:ascii="Times New Roman" w:eastAsia="Times New Roman" w:hAnsi="Times New Roman" w:cs="Times New Roman"/>
          <w:bCs/>
          <w:color w:val="222222"/>
          <w:sz w:val="28"/>
          <w:szCs w:val="28"/>
          <w:lang w:val="ro-RO" w:eastAsia="ru-RU"/>
        </w:rPr>
        <w:t>0</w:t>
      </w:r>
      <w:r w:rsidR="00076D88">
        <w:rPr>
          <w:rFonts w:ascii="Times New Roman" w:eastAsia="Times New Roman" w:hAnsi="Times New Roman" w:cs="Times New Roman"/>
          <w:bCs/>
          <w:color w:val="222222"/>
          <w:sz w:val="28"/>
          <w:szCs w:val="28"/>
          <w:lang w:val="ro-RO" w:eastAsia="ru-RU"/>
        </w:rPr>
        <w:t>1 iulie 2013, operaț</w:t>
      </w:r>
      <w:r w:rsidR="00076D88" w:rsidRPr="00ED5C6F">
        <w:rPr>
          <w:rFonts w:ascii="Times New Roman" w:eastAsia="Times New Roman" w:hAnsi="Times New Roman" w:cs="Times New Roman"/>
          <w:bCs/>
          <w:color w:val="222222"/>
          <w:sz w:val="28"/>
          <w:szCs w:val="28"/>
          <w:lang w:val="ro-RO" w:eastAsia="ru-RU"/>
        </w:rPr>
        <w:t xml:space="preserve">iunile de plasare a valorilor mobiliare de stat </w:t>
      </w:r>
      <w:r w:rsidR="00076D88">
        <w:rPr>
          <w:rFonts w:ascii="Times New Roman" w:eastAsia="Times New Roman" w:hAnsi="Times New Roman" w:cs="Times New Roman"/>
          <w:bCs/>
          <w:color w:val="222222"/>
          <w:sz w:val="28"/>
          <w:szCs w:val="28"/>
          <w:lang w:val="ro-RO" w:eastAsia="ru-RU"/>
        </w:rPr>
        <w:t xml:space="preserve">sînt organizate </w:t>
      </w:r>
      <w:r w:rsidR="00076D88" w:rsidRPr="00ED5C6F">
        <w:rPr>
          <w:rFonts w:ascii="Times New Roman" w:eastAsia="Times New Roman" w:hAnsi="Times New Roman" w:cs="Times New Roman"/>
          <w:bCs/>
          <w:color w:val="222222"/>
          <w:sz w:val="28"/>
          <w:szCs w:val="28"/>
          <w:lang w:val="ro-RO" w:eastAsia="ru-RU"/>
        </w:rPr>
        <w:t>prin intermediul sistemului informațional</w:t>
      </w:r>
      <w:r w:rsidR="00076D88">
        <w:rPr>
          <w:rFonts w:ascii="Times New Roman" w:eastAsia="Times New Roman" w:hAnsi="Times New Roman" w:cs="Times New Roman"/>
          <w:bCs/>
          <w:color w:val="222222"/>
          <w:sz w:val="28"/>
          <w:szCs w:val="28"/>
          <w:lang w:val="ro-RO" w:eastAsia="ru-RU"/>
        </w:rPr>
        <w:t xml:space="preserve"> </w:t>
      </w:r>
      <w:r w:rsidR="00076D88" w:rsidRPr="0010470E">
        <w:rPr>
          <w:rFonts w:ascii="Times New Roman" w:eastAsia="Times New Roman" w:hAnsi="Times New Roman" w:cs="Times New Roman"/>
          <w:bCs/>
          <w:color w:val="222222"/>
          <w:sz w:val="28"/>
          <w:szCs w:val="28"/>
          <w:lang w:val="ro-RO" w:eastAsia="ru-RU"/>
        </w:rPr>
        <w:t>Bloomberg Auction System (BAS)</w:t>
      </w:r>
      <w:r w:rsidR="00076D88">
        <w:rPr>
          <w:rFonts w:ascii="Times New Roman" w:eastAsia="Times New Roman" w:hAnsi="Times New Roman" w:cs="Times New Roman"/>
          <w:bCs/>
          <w:color w:val="222222"/>
          <w:sz w:val="28"/>
          <w:szCs w:val="28"/>
          <w:lang w:val="ro-RO" w:eastAsia="ru-RU"/>
        </w:rPr>
        <w:t>.</w:t>
      </w:r>
    </w:p>
    <w:p w:rsidR="00076D88" w:rsidRDefault="00076D88" w:rsidP="00076D88">
      <w:pPr>
        <w:shd w:val="clear" w:color="auto" w:fill="FFFFFF"/>
        <w:spacing w:after="0" w:line="240" w:lineRule="auto"/>
        <w:ind w:firstLine="709"/>
        <w:jc w:val="both"/>
        <w:rPr>
          <w:rFonts w:ascii="Times New Roman" w:eastAsia="Times New Roman" w:hAnsi="Times New Roman" w:cs="Times New Roman"/>
          <w:bCs/>
          <w:color w:val="222222"/>
          <w:sz w:val="28"/>
          <w:szCs w:val="28"/>
          <w:lang w:val="ro-RO" w:eastAsia="ru-RU"/>
        </w:rPr>
      </w:pPr>
      <w:r>
        <w:rPr>
          <w:rFonts w:ascii="Times New Roman" w:eastAsia="Times New Roman" w:hAnsi="Times New Roman" w:cs="Times New Roman"/>
          <w:bCs/>
          <w:color w:val="222222"/>
          <w:sz w:val="28"/>
          <w:szCs w:val="28"/>
          <w:lang w:val="ro-RO" w:eastAsia="ru-RU"/>
        </w:rPr>
        <w:t xml:space="preserve">Totodată, </w:t>
      </w:r>
      <w:r w:rsidR="00E06D95">
        <w:rPr>
          <w:rFonts w:ascii="Times New Roman" w:eastAsia="Times New Roman" w:hAnsi="Times New Roman" w:cs="Times New Roman"/>
          <w:bCs/>
          <w:color w:val="222222"/>
          <w:sz w:val="28"/>
          <w:szCs w:val="28"/>
          <w:lang w:val="ro-RO" w:eastAsia="ru-RU"/>
        </w:rPr>
        <w:t>în scopul</w:t>
      </w:r>
      <w:r>
        <w:rPr>
          <w:rFonts w:ascii="Times New Roman" w:eastAsia="Times New Roman" w:hAnsi="Times New Roman" w:cs="Times New Roman"/>
          <w:bCs/>
          <w:color w:val="222222"/>
          <w:sz w:val="28"/>
          <w:szCs w:val="28"/>
          <w:lang w:val="ro-RO" w:eastAsia="ru-RU"/>
        </w:rPr>
        <w:t xml:space="preserve"> </w:t>
      </w:r>
      <w:r w:rsidR="00E06D95">
        <w:rPr>
          <w:rFonts w:ascii="Times New Roman" w:eastAsia="Times New Roman" w:hAnsi="Times New Roman" w:cs="Times New Roman"/>
          <w:bCs/>
          <w:color w:val="222222"/>
          <w:sz w:val="28"/>
          <w:szCs w:val="28"/>
          <w:lang w:val="ro-RO" w:eastAsia="ru-RU"/>
        </w:rPr>
        <w:t>dezvoltă</w:t>
      </w:r>
      <w:r w:rsidRPr="000179AA">
        <w:rPr>
          <w:rFonts w:ascii="Times New Roman" w:eastAsia="Times New Roman" w:hAnsi="Times New Roman" w:cs="Times New Roman"/>
          <w:bCs/>
          <w:color w:val="222222"/>
          <w:sz w:val="28"/>
          <w:szCs w:val="28"/>
          <w:lang w:val="ro-RO" w:eastAsia="ru-RU"/>
        </w:rPr>
        <w:t>r</w:t>
      </w:r>
      <w:r w:rsidR="00E06D95">
        <w:rPr>
          <w:rFonts w:ascii="Times New Roman" w:eastAsia="Times New Roman" w:hAnsi="Times New Roman" w:cs="Times New Roman"/>
          <w:bCs/>
          <w:color w:val="222222"/>
          <w:sz w:val="28"/>
          <w:szCs w:val="28"/>
          <w:lang w:val="ro-RO" w:eastAsia="ru-RU"/>
        </w:rPr>
        <w:t>ii</w:t>
      </w:r>
      <w:r w:rsidRPr="000179AA">
        <w:rPr>
          <w:rFonts w:ascii="Times New Roman" w:eastAsia="Times New Roman" w:hAnsi="Times New Roman" w:cs="Times New Roman"/>
          <w:bCs/>
          <w:color w:val="222222"/>
          <w:sz w:val="28"/>
          <w:szCs w:val="28"/>
          <w:lang w:val="ro-RO" w:eastAsia="ru-RU"/>
        </w:rPr>
        <w:t xml:space="preserve"> pieței secundare a valorilor mobiliare de stat, diversificarea gamei de instrumente financiare tranzacţionate la bursa de valori (piața reglementată) și sporirea accesului investitorilor la valorile mobiliare de stat</w:t>
      </w:r>
      <w:r>
        <w:rPr>
          <w:rFonts w:ascii="Times New Roman" w:eastAsia="Times New Roman" w:hAnsi="Times New Roman" w:cs="Times New Roman"/>
          <w:bCs/>
          <w:color w:val="222222"/>
          <w:sz w:val="28"/>
          <w:szCs w:val="28"/>
          <w:lang w:val="ro-RO" w:eastAsia="ru-RU"/>
        </w:rPr>
        <w:t>, Ministerul Finanțelor în comun cu Comisia Națională a Pieței Financiare</w:t>
      </w:r>
      <w:r w:rsidR="00E06D95">
        <w:rPr>
          <w:rFonts w:ascii="Times New Roman" w:eastAsia="Times New Roman" w:hAnsi="Times New Roman" w:cs="Times New Roman"/>
          <w:bCs/>
          <w:color w:val="222222"/>
          <w:sz w:val="28"/>
          <w:szCs w:val="28"/>
          <w:lang w:val="ro-RO" w:eastAsia="ru-RU"/>
        </w:rPr>
        <w:t xml:space="preserve"> (CNPF)</w:t>
      </w:r>
      <w:r>
        <w:rPr>
          <w:rFonts w:ascii="Times New Roman" w:eastAsia="Times New Roman" w:hAnsi="Times New Roman" w:cs="Times New Roman"/>
          <w:bCs/>
          <w:color w:val="222222"/>
          <w:sz w:val="28"/>
          <w:szCs w:val="28"/>
          <w:lang w:val="ro-RO" w:eastAsia="ru-RU"/>
        </w:rPr>
        <w:t xml:space="preserve">, Banca Națională a Moldovei, Bursa de Valori și Depozitarul Național de Valori Mobiliare al Moldovei au </w:t>
      </w:r>
      <w:r w:rsidRPr="0027180F">
        <w:rPr>
          <w:rFonts w:ascii="Times New Roman" w:eastAsia="Times New Roman" w:hAnsi="Times New Roman" w:cs="Times New Roman"/>
          <w:bCs/>
          <w:color w:val="222222"/>
          <w:sz w:val="28"/>
          <w:szCs w:val="28"/>
          <w:lang w:val="ro-RO" w:eastAsia="ru-RU"/>
        </w:rPr>
        <w:t>elaborat</w:t>
      </w:r>
      <w:r w:rsidRPr="00E06D95">
        <w:rPr>
          <w:rFonts w:ascii="Times New Roman" w:eastAsia="Times New Roman" w:hAnsi="Times New Roman" w:cs="Times New Roman"/>
          <w:bCs/>
          <w:i/>
          <w:color w:val="222222"/>
          <w:sz w:val="28"/>
          <w:szCs w:val="28"/>
          <w:lang w:val="ro-RO" w:eastAsia="ru-RU"/>
        </w:rPr>
        <w:t xml:space="preserve"> Conceptul privind mecanismul general de tranzacționare a valorilor mobiliare de stat cu termen de circulaţie mai mare de un an la bursa de valori</w:t>
      </w:r>
      <w:r w:rsidR="00E06D95">
        <w:rPr>
          <w:rFonts w:ascii="Times New Roman" w:eastAsia="Times New Roman" w:hAnsi="Times New Roman" w:cs="Times New Roman"/>
          <w:bCs/>
          <w:color w:val="222222"/>
          <w:sz w:val="28"/>
          <w:szCs w:val="28"/>
          <w:lang w:val="ro-RO" w:eastAsia="ru-RU"/>
        </w:rPr>
        <w:t>.</w:t>
      </w:r>
      <w:r>
        <w:rPr>
          <w:rFonts w:ascii="Times New Roman" w:eastAsia="Times New Roman" w:hAnsi="Times New Roman" w:cs="Times New Roman"/>
          <w:bCs/>
          <w:color w:val="222222"/>
          <w:sz w:val="28"/>
          <w:szCs w:val="28"/>
          <w:lang w:val="ro-RO" w:eastAsia="ru-RU"/>
        </w:rPr>
        <w:t xml:space="preserve"> </w:t>
      </w:r>
      <w:r w:rsidR="00E06D95">
        <w:rPr>
          <w:rFonts w:ascii="Times New Roman" w:eastAsia="Times New Roman" w:hAnsi="Times New Roman" w:cs="Times New Roman"/>
          <w:bCs/>
          <w:color w:val="222222"/>
          <w:sz w:val="28"/>
          <w:szCs w:val="28"/>
          <w:lang w:val="ro-RO" w:eastAsia="ru-RU"/>
        </w:rPr>
        <w:t>Acesta</w:t>
      </w:r>
      <w:r>
        <w:rPr>
          <w:rFonts w:ascii="Times New Roman" w:eastAsia="Times New Roman" w:hAnsi="Times New Roman" w:cs="Times New Roman"/>
          <w:bCs/>
          <w:color w:val="222222"/>
          <w:sz w:val="28"/>
          <w:szCs w:val="28"/>
          <w:lang w:val="ro-RO" w:eastAsia="ru-RU"/>
        </w:rPr>
        <w:t xml:space="preserve"> a fost aprobat la 14 decembrie 2013 de către CNPF</w:t>
      </w:r>
      <w:r w:rsidR="00482E43" w:rsidRPr="00E06D95">
        <w:rPr>
          <w:rFonts w:ascii="Times New Roman" w:eastAsia="Times New Roman" w:hAnsi="Times New Roman"/>
          <w:sz w:val="28"/>
          <w:szCs w:val="28"/>
          <w:lang w:val="ro-RO" w:eastAsia="ru-RU"/>
        </w:rPr>
        <w:t xml:space="preserve"> și </w:t>
      </w:r>
      <w:r w:rsidR="00482E43" w:rsidRPr="00E06D95">
        <w:rPr>
          <w:rFonts w:ascii="Times New Roman" w:eastAsia="Times New Roman" w:hAnsi="Times New Roman" w:cs="Times New Roman"/>
          <w:sz w:val="28"/>
          <w:szCs w:val="28"/>
          <w:lang w:val="ro-RO" w:eastAsia="ru-RU"/>
        </w:rPr>
        <w:t>urmează a fi implementat în trimestrul I 2014</w:t>
      </w:r>
      <w:r w:rsidRPr="00E06D95">
        <w:rPr>
          <w:rFonts w:ascii="Times New Roman" w:eastAsia="Times New Roman" w:hAnsi="Times New Roman" w:cs="Times New Roman"/>
          <w:bCs/>
          <w:color w:val="222222"/>
          <w:sz w:val="28"/>
          <w:szCs w:val="28"/>
          <w:lang w:val="ro-RO" w:eastAsia="ru-RU"/>
        </w:rPr>
        <w:t>.</w:t>
      </w:r>
    </w:p>
    <w:p w:rsidR="00076D88" w:rsidRDefault="00076D88" w:rsidP="00076D88">
      <w:pPr>
        <w:shd w:val="clear" w:color="auto" w:fill="FFFFFF"/>
        <w:spacing w:after="0" w:line="240" w:lineRule="auto"/>
        <w:ind w:firstLine="709"/>
        <w:jc w:val="both"/>
        <w:rPr>
          <w:rFonts w:ascii="Times New Roman" w:eastAsia="Times New Roman" w:hAnsi="Times New Roman" w:cs="Times New Roman"/>
          <w:bCs/>
          <w:color w:val="222222"/>
          <w:sz w:val="28"/>
          <w:szCs w:val="28"/>
          <w:lang w:val="ro-RO" w:eastAsia="ru-RU"/>
        </w:rPr>
      </w:pPr>
      <w:r>
        <w:rPr>
          <w:rFonts w:ascii="Times New Roman" w:eastAsia="Times New Roman" w:hAnsi="Times New Roman" w:cs="Times New Roman"/>
          <w:bCs/>
          <w:color w:val="222222"/>
          <w:sz w:val="28"/>
          <w:szCs w:val="28"/>
          <w:lang w:val="ro-RO" w:eastAsia="ru-RU"/>
        </w:rPr>
        <w:t>Pe parcursul anului 2013</w:t>
      </w:r>
      <w:r w:rsidRPr="00E0700C">
        <w:rPr>
          <w:rFonts w:ascii="Times New Roman" w:eastAsia="Times New Roman" w:hAnsi="Times New Roman" w:cs="Times New Roman"/>
          <w:bCs/>
          <w:color w:val="222222"/>
          <w:sz w:val="28"/>
          <w:szCs w:val="28"/>
          <w:lang w:val="ro-RO" w:eastAsia="ru-RU"/>
        </w:rPr>
        <w:t xml:space="preserve">, a </w:t>
      </w:r>
      <w:r>
        <w:rPr>
          <w:rFonts w:ascii="Times New Roman" w:eastAsia="Times New Roman" w:hAnsi="Times New Roman" w:cs="Times New Roman"/>
          <w:bCs/>
          <w:color w:val="222222"/>
          <w:sz w:val="28"/>
          <w:szCs w:val="28"/>
          <w:lang w:val="ro-RO" w:eastAsia="ru-RU"/>
        </w:rPr>
        <w:t xml:space="preserve">fost </w:t>
      </w:r>
      <w:r w:rsidRPr="00E0700C">
        <w:rPr>
          <w:rFonts w:ascii="Times New Roman" w:eastAsia="Times New Roman" w:hAnsi="Times New Roman" w:cs="Times New Roman"/>
          <w:bCs/>
          <w:color w:val="222222"/>
          <w:sz w:val="28"/>
          <w:szCs w:val="28"/>
          <w:lang w:val="ro-RO" w:eastAsia="ru-RU"/>
        </w:rPr>
        <w:t>asigura</w:t>
      </w:r>
      <w:r>
        <w:rPr>
          <w:rFonts w:ascii="Times New Roman" w:eastAsia="Times New Roman" w:hAnsi="Times New Roman" w:cs="Times New Roman"/>
          <w:bCs/>
          <w:color w:val="222222"/>
          <w:sz w:val="28"/>
          <w:szCs w:val="28"/>
          <w:lang w:val="ro-RO" w:eastAsia="ru-RU"/>
        </w:rPr>
        <w:t>tă</w:t>
      </w:r>
      <w:r w:rsidRPr="00E0700C">
        <w:rPr>
          <w:rFonts w:ascii="Times New Roman" w:eastAsia="Times New Roman" w:hAnsi="Times New Roman" w:cs="Times New Roman"/>
          <w:bCs/>
          <w:color w:val="222222"/>
          <w:sz w:val="28"/>
          <w:szCs w:val="28"/>
          <w:lang w:val="ro-RO" w:eastAsia="ru-RU"/>
        </w:rPr>
        <w:t xml:space="preserve"> publicarea cu regularitate şi în timp util pe pagina web a Ministerului Finanţelor a informaţiilor privind volumul şi structura datoriei de stat interne, </w:t>
      </w:r>
      <w:r>
        <w:rPr>
          <w:rFonts w:ascii="Times New Roman" w:eastAsia="Times New Roman" w:hAnsi="Times New Roman" w:cs="Times New Roman"/>
          <w:bCs/>
          <w:color w:val="222222"/>
          <w:sz w:val="28"/>
          <w:szCs w:val="28"/>
          <w:lang w:val="ro-RO" w:eastAsia="ru-RU"/>
        </w:rPr>
        <w:t>calendarul</w:t>
      </w:r>
      <w:r w:rsidRPr="00E0700C">
        <w:rPr>
          <w:rFonts w:ascii="Times New Roman" w:eastAsia="Times New Roman" w:hAnsi="Times New Roman" w:cs="Times New Roman"/>
          <w:bCs/>
          <w:color w:val="222222"/>
          <w:sz w:val="28"/>
          <w:szCs w:val="28"/>
          <w:lang w:val="ro-RO" w:eastAsia="ru-RU"/>
        </w:rPr>
        <w:t xml:space="preserve"> desfăşurării licitaţiilor de vînzare a </w:t>
      </w:r>
      <w:r w:rsidR="00E06D95">
        <w:rPr>
          <w:rFonts w:ascii="Times New Roman" w:eastAsia="Times New Roman" w:hAnsi="Times New Roman" w:cs="Times New Roman"/>
          <w:bCs/>
          <w:color w:val="222222"/>
          <w:sz w:val="28"/>
          <w:szCs w:val="28"/>
          <w:lang w:val="ro-RO" w:eastAsia="ru-RU"/>
        </w:rPr>
        <w:t>VMS</w:t>
      </w:r>
      <w:r w:rsidRPr="00E0700C">
        <w:rPr>
          <w:rFonts w:ascii="Times New Roman" w:eastAsia="Times New Roman" w:hAnsi="Times New Roman" w:cs="Times New Roman"/>
          <w:bCs/>
          <w:color w:val="222222"/>
          <w:sz w:val="28"/>
          <w:szCs w:val="28"/>
          <w:lang w:val="ro-RO" w:eastAsia="ru-RU"/>
        </w:rPr>
        <w:t xml:space="preserve">, comunicatele de plasare a valorilor mobiliare de stat şi </w:t>
      </w:r>
      <w:r>
        <w:rPr>
          <w:rFonts w:ascii="Times New Roman" w:eastAsia="Times New Roman" w:hAnsi="Times New Roman" w:cs="Times New Roman"/>
          <w:bCs/>
          <w:color w:val="222222"/>
          <w:sz w:val="28"/>
          <w:szCs w:val="28"/>
          <w:lang w:val="ro-RO" w:eastAsia="ru-RU"/>
        </w:rPr>
        <w:t xml:space="preserve">de plată a dobînzii la obligațiunile de stat, </w:t>
      </w:r>
      <w:r w:rsidRPr="00E0700C">
        <w:rPr>
          <w:rFonts w:ascii="Times New Roman" w:eastAsia="Times New Roman" w:hAnsi="Times New Roman" w:cs="Times New Roman"/>
          <w:bCs/>
          <w:color w:val="222222"/>
          <w:sz w:val="28"/>
          <w:szCs w:val="28"/>
          <w:lang w:val="ro-RO" w:eastAsia="ru-RU"/>
        </w:rPr>
        <w:t xml:space="preserve">rezultatele licitaţiilor de vînzare a </w:t>
      </w:r>
      <w:r w:rsidR="00E06D95">
        <w:rPr>
          <w:rFonts w:ascii="Times New Roman" w:eastAsia="Times New Roman" w:hAnsi="Times New Roman" w:cs="Times New Roman"/>
          <w:bCs/>
          <w:color w:val="222222"/>
          <w:sz w:val="28"/>
          <w:szCs w:val="28"/>
          <w:lang w:val="ro-RO" w:eastAsia="ru-RU"/>
        </w:rPr>
        <w:t>VMS,</w:t>
      </w:r>
      <w:r>
        <w:rPr>
          <w:rFonts w:ascii="Times New Roman" w:eastAsia="Times New Roman" w:hAnsi="Times New Roman" w:cs="Times New Roman"/>
          <w:bCs/>
          <w:color w:val="222222"/>
          <w:sz w:val="28"/>
          <w:szCs w:val="28"/>
          <w:lang w:val="ro-RO" w:eastAsia="ru-RU"/>
        </w:rPr>
        <w:t xml:space="preserve"> etc. </w:t>
      </w:r>
      <w:r w:rsidR="00E06D95">
        <w:rPr>
          <w:rFonts w:ascii="Times New Roman" w:eastAsia="Times New Roman" w:hAnsi="Times New Roman" w:cs="Times New Roman"/>
          <w:bCs/>
          <w:color w:val="222222"/>
          <w:sz w:val="28"/>
          <w:szCs w:val="28"/>
          <w:lang w:val="ro-RO" w:eastAsia="ru-RU"/>
        </w:rPr>
        <w:t>De asemenea</w:t>
      </w:r>
      <w:r>
        <w:rPr>
          <w:rFonts w:ascii="Times New Roman" w:eastAsia="Times New Roman" w:hAnsi="Times New Roman" w:cs="Times New Roman"/>
          <w:bCs/>
          <w:color w:val="222222"/>
          <w:sz w:val="28"/>
          <w:szCs w:val="28"/>
          <w:lang w:val="ro-RO" w:eastAsia="ru-RU"/>
        </w:rPr>
        <w:t xml:space="preserve">, Ministerul Finanțelor a colaborat permanent cu revista economică </w:t>
      </w:r>
      <w:r w:rsidR="0027180F">
        <w:rPr>
          <w:rFonts w:ascii="Times New Roman" w:eastAsia="Times New Roman" w:hAnsi="Times New Roman" w:cs="Times New Roman"/>
          <w:bCs/>
          <w:color w:val="222222"/>
          <w:sz w:val="28"/>
          <w:szCs w:val="28"/>
          <w:lang w:val="ro-RO" w:eastAsia="ru-RU"/>
        </w:rPr>
        <w:t>„</w:t>
      </w:r>
      <w:r>
        <w:rPr>
          <w:rFonts w:ascii="Times New Roman" w:eastAsia="Times New Roman" w:hAnsi="Times New Roman" w:cs="Times New Roman"/>
          <w:bCs/>
          <w:color w:val="222222"/>
          <w:sz w:val="28"/>
          <w:szCs w:val="28"/>
          <w:lang w:val="ro-RO" w:eastAsia="ru-RU"/>
        </w:rPr>
        <w:t xml:space="preserve">Logos-Press” și Agenția de noutăți de afaceri </w:t>
      </w:r>
      <w:r w:rsidR="00A21108">
        <w:rPr>
          <w:rFonts w:ascii="Times New Roman" w:eastAsia="Times New Roman" w:hAnsi="Times New Roman" w:cs="Times New Roman"/>
          <w:bCs/>
          <w:color w:val="222222"/>
          <w:sz w:val="28"/>
          <w:szCs w:val="28"/>
          <w:lang w:val="ro-RO" w:eastAsia="ru-RU"/>
        </w:rPr>
        <w:t>„</w:t>
      </w:r>
      <w:r>
        <w:rPr>
          <w:rFonts w:ascii="Times New Roman" w:eastAsia="Times New Roman" w:hAnsi="Times New Roman" w:cs="Times New Roman"/>
          <w:bCs/>
          <w:color w:val="222222"/>
          <w:sz w:val="28"/>
          <w:szCs w:val="28"/>
          <w:lang w:val="ro-RO" w:eastAsia="ru-RU"/>
        </w:rPr>
        <w:t>InfoMarket” în vederea promovării pieței valorilor mobiliare de stat.</w:t>
      </w:r>
    </w:p>
    <w:p w:rsidR="00482E43" w:rsidRPr="004524CD" w:rsidRDefault="004524CD" w:rsidP="00482E43">
      <w:pPr>
        <w:pStyle w:val="NoSpacing"/>
        <w:ind w:firstLine="567"/>
        <w:jc w:val="both"/>
        <w:rPr>
          <w:rFonts w:ascii="Times New Roman" w:hAnsi="Times New Roman"/>
          <w:sz w:val="28"/>
          <w:szCs w:val="28"/>
          <w:lang w:val="ro-RO" w:eastAsia="ru-RU"/>
        </w:rPr>
      </w:pPr>
      <w:r w:rsidRPr="004524CD">
        <w:rPr>
          <w:rFonts w:ascii="Times New Roman" w:hAnsi="Times New Roman"/>
          <w:sz w:val="28"/>
          <w:szCs w:val="28"/>
          <w:lang w:val="ro-RO" w:eastAsia="ru-RU"/>
        </w:rPr>
        <w:t xml:space="preserve">Totodată, </w:t>
      </w:r>
      <w:r w:rsidR="00482E43" w:rsidRPr="004524CD">
        <w:rPr>
          <w:rFonts w:ascii="Times New Roman" w:hAnsi="Times New Roman"/>
          <w:sz w:val="28"/>
          <w:szCs w:val="28"/>
          <w:lang w:val="ro-RO" w:eastAsia="ru-RU"/>
        </w:rPr>
        <w:t xml:space="preserve">a fost aprobată Propunerea de Politică Publică </w:t>
      </w:r>
      <w:r w:rsidR="00A21108">
        <w:rPr>
          <w:rFonts w:ascii="Times New Roman" w:hAnsi="Times New Roman"/>
          <w:sz w:val="28"/>
          <w:szCs w:val="28"/>
          <w:lang w:val="ro-RO" w:eastAsia="ru-RU"/>
        </w:rPr>
        <w:t>„</w:t>
      </w:r>
      <w:r w:rsidR="00482E43" w:rsidRPr="004524CD">
        <w:rPr>
          <w:rFonts w:ascii="Times New Roman" w:hAnsi="Times New Roman"/>
          <w:sz w:val="28"/>
          <w:szCs w:val="28"/>
          <w:lang w:val="ro-RO" w:eastAsia="ru-RU"/>
        </w:rPr>
        <w:t xml:space="preserve">Majorarea termenelor de scadenţă al valorilor mobiliare de stat şi extinderea categoriilor de participanţi la piaţa valorilor mobiliare de stat”, care are ca obiectiv specific </w:t>
      </w:r>
      <w:r w:rsidR="00482E43" w:rsidRPr="005F58E5">
        <w:rPr>
          <w:rFonts w:ascii="Times New Roman" w:hAnsi="Times New Roman"/>
          <w:sz w:val="28"/>
          <w:szCs w:val="28"/>
          <w:lang w:val="ro-RO" w:eastAsia="ru-RU"/>
        </w:rPr>
        <w:t>majorarea cu 10% a perioadei medie de maturitate a VMS emise pe piaţa primară prin licitaţii de la 0,5 ani la sfîrșitul anului 2011 până la 0,6 ani la finele anului 2016.</w:t>
      </w:r>
    </w:p>
    <w:p w:rsidR="00F9496F" w:rsidRPr="004108FD" w:rsidRDefault="004108FD" w:rsidP="004108FD">
      <w:pPr>
        <w:keepNext/>
        <w:spacing w:after="0" w:line="240" w:lineRule="auto"/>
        <w:jc w:val="both"/>
        <w:outlineLvl w:val="0"/>
        <w:rPr>
          <w:rFonts w:ascii="Times New Roman" w:eastAsia="Times New Roman" w:hAnsi="Times New Roman" w:cs="Times New Roman"/>
          <w:b/>
          <w:bCs/>
          <w:kern w:val="32"/>
          <w:sz w:val="28"/>
          <w:lang w:val="ro-RO" w:eastAsia="ru-RU"/>
        </w:rPr>
      </w:pPr>
      <w:r w:rsidRPr="004108FD">
        <w:rPr>
          <w:rFonts w:ascii="Times New Roman" w:eastAsia="Times New Roman" w:hAnsi="Times New Roman" w:cs="Times New Roman"/>
          <w:b/>
          <w:bCs/>
          <w:kern w:val="32"/>
          <w:sz w:val="28"/>
          <w:lang w:val="ro-RO" w:eastAsia="ru-RU"/>
        </w:rPr>
        <w:t xml:space="preserve"> </w:t>
      </w:r>
    </w:p>
    <w:p w:rsidR="000F4647" w:rsidRPr="004108FD" w:rsidRDefault="000F4647" w:rsidP="000F4647">
      <w:pPr>
        <w:keepNext/>
        <w:spacing w:after="0" w:line="240" w:lineRule="auto"/>
        <w:jc w:val="center"/>
        <w:outlineLvl w:val="0"/>
        <w:rPr>
          <w:rFonts w:ascii="Times New Roman" w:eastAsia="Times New Roman" w:hAnsi="Times New Roman" w:cs="Times New Roman"/>
          <w:b/>
          <w:bCs/>
          <w:kern w:val="32"/>
          <w:sz w:val="28"/>
          <w:lang w:val="ro-RO" w:eastAsia="ru-RU"/>
        </w:rPr>
      </w:pPr>
      <w:r w:rsidRPr="004108FD">
        <w:rPr>
          <w:rFonts w:ascii="Times New Roman" w:eastAsia="Times New Roman" w:hAnsi="Times New Roman" w:cs="Times New Roman"/>
          <w:b/>
          <w:bCs/>
          <w:kern w:val="32"/>
          <w:sz w:val="28"/>
          <w:lang w:val="ro-RO" w:eastAsia="ru-RU"/>
        </w:rPr>
        <w:t>Capitolul I</w:t>
      </w:r>
      <w:r w:rsidR="004108FD" w:rsidRPr="004108FD">
        <w:rPr>
          <w:rFonts w:ascii="Times New Roman" w:eastAsia="Times New Roman" w:hAnsi="Times New Roman" w:cs="Times New Roman"/>
          <w:b/>
          <w:bCs/>
          <w:kern w:val="32"/>
          <w:sz w:val="28"/>
          <w:lang w:val="ro-RO" w:eastAsia="ru-RU"/>
        </w:rPr>
        <w:t>I</w:t>
      </w:r>
      <w:r w:rsidRPr="004108FD">
        <w:rPr>
          <w:rFonts w:ascii="Times New Roman" w:eastAsia="Times New Roman" w:hAnsi="Times New Roman" w:cs="Times New Roman"/>
          <w:b/>
          <w:bCs/>
          <w:kern w:val="32"/>
          <w:sz w:val="28"/>
          <w:lang w:val="ro-RO" w:eastAsia="ru-RU"/>
        </w:rPr>
        <w:t>.  Obiectivele managementului datoriei de stat pe anii 2014-201</w:t>
      </w:r>
      <w:bookmarkEnd w:id="0"/>
      <w:bookmarkEnd w:id="1"/>
      <w:r w:rsidRPr="004108FD">
        <w:rPr>
          <w:rFonts w:ascii="Times New Roman" w:eastAsia="Times New Roman" w:hAnsi="Times New Roman" w:cs="Times New Roman"/>
          <w:b/>
          <w:bCs/>
          <w:kern w:val="32"/>
          <w:sz w:val="28"/>
          <w:lang w:val="ro-RO" w:eastAsia="ru-RU"/>
        </w:rPr>
        <w:t>6</w:t>
      </w:r>
    </w:p>
    <w:p w:rsidR="000F4647" w:rsidRPr="004108FD" w:rsidRDefault="000F4647" w:rsidP="000F4647">
      <w:pPr>
        <w:spacing w:after="0" w:line="240" w:lineRule="auto"/>
        <w:rPr>
          <w:rFonts w:ascii="Times New Roman" w:eastAsia="Times New Roman" w:hAnsi="Times New Roman" w:cs="Times New Roman"/>
          <w:sz w:val="24"/>
          <w:szCs w:val="24"/>
          <w:lang w:val="ro-RO" w:eastAsia="ru-RU"/>
        </w:rPr>
      </w:pPr>
    </w:p>
    <w:p w:rsidR="000F4647" w:rsidRDefault="000F4647" w:rsidP="0085350A">
      <w:pPr>
        <w:spacing w:after="0" w:line="240" w:lineRule="auto"/>
        <w:ind w:firstLine="709"/>
        <w:jc w:val="both"/>
        <w:rPr>
          <w:rFonts w:ascii="Times New Roman" w:eastAsia="Times New Roman" w:hAnsi="Times New Roman" w:cs="Times New Roman"/>
          <w:color w:val="000000"/>
          <w:sz w:val="28"/>
          <w:szCs w:val="28"/>
          <w:lang w:val="ro-RO" w:eastAsia="ru-RU"/>
        </w:rPr>
      </w:pPr>
      <w:r w:rsidRPr="000A6CC2">
        <w:rPr>
          <w:rFonts w:ascii="Times New Roman" w:eastAsia="Times New Roman" w:hAnsi="Times New Roman" w:cs="Times New Roman"/>
          <w:color w:val="000000"/>
          <w:sz w:val="28"/>
          <w:szCs w:val="28"/>
          <w:lang w:val="ro-RO" w:eastAsia="ru-RU"/>
        </w:rPr>
        <w:t>Obiectivul</w:t>
      </w:r>
      <w:r w:rsidRPr="004108FD">
        <w:rPr>
          <w:rFonts w:ascii="Times New Roman" w:eastAsia="Times New Roman" w:hAnsi="Times New Roman" w:cs="Times New Roman"/>
          <w:color w:val="000000"/>
          <w:sz w:val="28"/>
          <w:szCs w:val="28"/>
          <w:lang w:val="ro-RO" w:eastAsia="ru-RU"/>
        </w:rPr>
        <w:t xml:space="preserve"> fundamental al managementului datoriei de stat este de a </w:t>
      </w:r>
      <w:r w:rsidRPr="004108FD">
        <w:rPr>
          <w:rFonts w:ascii="Times New Roman" w:eastAsia="Times New Roman" w:hAnsi="Times New Roman" w:cs="Times New Roman"/>
          <w:sz w:val="28"/>
          <w:szCs w:val="28"/>
          <w:shd w:val="clear" w:color="auto" w:fill="FFFFFF"/>
          <w:lang w:val="ro-RO"/>
        </w:rPr>
        <w:t xml:space="preserve">asigura </w:t>
      </w:r>
      <w:r w:rsidR="000A6CC2" w:rsidRPr="00325265">
        <w:rPr>
          <w:rFonts w:ascii="Times New Roman" w:eastAsia="Times New Roman" w:hAnsi="Times New Roman" w:cs="Times New Roman"/>
          <w:sz w:val="28"/>
          <w:szCs w:val="28"/>
          <w:shd w:val="clear" w:color="auto" w:fill="FFFFFF"/>
          <w:lang w:val="ro-RO"/>
        </w:rPr>
        <w:t>necesităţil</w:t>
      </w:r>
      <w:r w:rsidR="000A6CC2">
        <w:rPr>
          <w:rFonts w:ascii="Times New Roman" w:eastAsia="Times New Roman" w:hAnsi="Times New Roman" w:cs="Times New Roman"/>
          <w:sz w:val="28"/>
          <w:szCs w:val="28"/>
          <w:shd w:val="clear" w:color="auto" w:fill="FFFFFF"/>
          <w:lang w:val="ro-RO"/>
        </w:rPr>
        <w:t>e</w:t>
      </w:r>
      <w:r w:rsidR="000A6CC2" w:rsidRPr="00325265">
        <w:rPr>
          <w:rFonts w:ascii="Times New Roman" w:eastAsia="Times New Roman" w:hAnsi="Times New Roman" w:cs="Times New Roman"/>
          <w:sz w:val="28"/>
          <w:szCs w:val="28"/>
          <w:shd w:val="clear" w:color="auto" w:fill="FFFFFF"/>
          <w:lang w:val="ro-RO"/>
        </w:rPr>
        <w:t xml:space="preserve"> de finanţare ale bugetului de stat la nivel acceptabil de cheltuieli pe termen mediu şi lung în condiţiile limitării riscurilor implicate</w:t>
      </w:r>
      <w:r w:rsidRPr="004108FD">
        <w:rPr>
          <w:rFonts w:ascii="Times New Roman" w:eastAsia="Times New Roman" w:hAnsi="Times New Roman" w:cs="Times New Roman"/>
          <w:color w:val="000000"/>
          <w:sz w:val="28"/>
          <w:szCs w:val="28"/>
          <w:lang w:val="ro-RO" w:eastAsia="ru-RU"/>
        </w:rPr>
        <w:t>.</w:t>
      </w:r>
    </w:p>
    <w:p w:rsidR="000F4647" w:rsidRPr="000F4647" w:rsidRDefault="000F4647" w:rsidP="0085350A">
      <w:pPr>
        <w:spacing w:after="0" w:line="240" w:lineRule="auto"/>
        <w:ind w:firstLine="709"/>
        <w:jc w:val="both"/>
        <w:rPr>
          <w:rFonts w:ascii="Times New Roman" w:eastAsia="Times New Roman" w:hAnsi="Times New Roman" w:cs="Times New Roman"/>
          <w:color w:val="000000"/>
          <w:sz w:val="28"/>
          <w:szCs w:val="28"/>
          <w:lang w:val="ro-RO" w:eastAsia="ru-RU"/>
        </w:rPr>
      </w:pPr>
      <w:r w:rsidRPr="004108FD">
        <w:rPr>
          <w:rFonts w:ascii="Times New Roman" w:eastAsia="Times New Roman" w:hAnsi="Times New Roman" w:cs="Times New Roman"/>
          <w:color w:val="000000"/>
          <w:sz w:val="28"/>
          <w:szCs w:val="28"/>
          <w:lang w:val="ro-RO" w:eastAsia="ru-RU"/>
        </w:rPr>
        <w:t>Obiectivul fundam</w:t>
      </w:r>
      <w:r w:rsidRPr="000F4647">
        <w:rPr>
          <w:rFonts w:ascii="Times New Roman" w:eastAsia="Times New Roman" w:hAnsi="Times New Roman" w:cs="Times New Roman"/>
          <w:color w:val="000000"/>
          <w:sz w:val="28"/>
          <w:szCs w:val="28"/>
          <w:lang w:val="ro-RO" w:eastAsia="ru-RU"/>
        </w:rPr>
        <w:t>ental este stabilit pe termen mediu (3 a</w:t>
      </w:r>
      <w:r w:rsidR="004B62B3">
        <w:rPr>
          <w:rFonts w:ascii="Times New Roman" w:eastAsia="Times New Roman" w:hAnsi="Times New Roman" w:cs="Times New Roman"/>
          <w:color w:val="000000"/>
          <w:sz w:val="28"/>
          <w:szCs w:val="28"/>
          <w:lang w:val="ro-RO" w:eastAsia="ru-RU"/>
        </w:rPr>
        <w:t>ni) şi se referă la portofoliul</w:t>
      </w:r>
      <w:r w:rsidRPr="000F4647">
        <w:rPr>
          <w:rFonts w:ascii="Times New Roman" w:eastAsia="Times New Roman" w:hAnsi="Times New Roman" w:cs="Times New Roman"/>
          <w:color w:val="000000"/>
          <w:sz w:val="28"/>
          <w:szCs w:val="28"/>
          <w:lang w:val="ro-RO" w:eastAsia="ru-RU"/>
        </w:rPr>
        <w:t xml:space="preserve"> dato</w:t>
      </w:r>
      <w:r w:rsidR="004B62B3">
        <w:rPr>
          <w:rFonts w:ascii="Times New Roman" w:eastAsia="Times New Roman" w:hAnsi="Times New Roman" w:cs="Times New Roman"/>
          <w:color w:val="000000"/>
          <w:sz w:val="28"/>
          <w:szCs w:val="28"/>
          <w:lang w:val="ro-RO" w:eastAsia="ru-RU"/>
        </w:rPr>
        <w:t>riei de stat. În conformitate</w:t>
      </w:r>
      <w:r w:rsidRPr="000F4647">
        <w:rPr>
          <w:rFonts w:ascii="Times New Roman" w:eastAsia="Times New Roman" w:hAnsi="Times New Roman" w:cs="Times New Roman"/>
          <w:color w:val="000000"/>
          <w:sz w:val="28"/>
          <w:szCs w:val="28"/>
          <w:lang w:val="ro-RO" w:eastAsia="ru-RU"/>
        </w:rPr>
        <w:t xml:space="preserve"> </w:t>
      </w:r>
      <w:r w:rsidR="004B62B3">
        <w:rPr>
          <w:rFonts w:ascii="Times New Roman" w:eastAsia="Times New Roman" w:hAnsi="Times New Roman" w:cs="Times New Roman"/>
          <w:color w:val="000000"/>
          <w:sz w:val="28"/>
          <w:szCs w:val="28"/>
          <w:lang w:val="ro-RO" w:eastAsia="ru-RU"/>
        </w:rPr>
        <w:t xml:space="preserve">cu </w:t>
      </w:r>
      <w:r w:rsidR="004B62B3" w:rsidRPr="004B62B3">
        <w:rPr>
          <w:rFonts w:ascii="Times New Roman" w:eastAsia="Times New Roman" w:hAnsi="Times New Roman" w:cs="Times New Roman"/>
          <w:i/>
          <w:color w:val="000000"/>
          <w:sz w:val="28"/>
          <w:szCs w:val="28"/>
          <w:lang w:val="ro-RO" w:eastAsia="ru-RU"/>
        </w:rPr>
        <w:t>Legea nr.419-XVI</w:t>
      </w:r>
      <w:r w:rsidR="00216BFC" w:rsidRPr="004B62B3">
        <w:rPr>
          <w:rFonts w:ascii="Times New Roman" w:eastAsia="Times New Roman" w:hAnsi="Times New Roman" w:cs="Times New Roman"/>
          <w:i/>
          <w:color w:val="000000"/>
          <w:sz w:val="28"/>
          <w:szCs w:val="28"/>
          <w:lang w:val="ro-RO" w:eastAsia="ru-RU"/>
        </w:rPr>
        <w:t xml:space="preserve"> din </w:t>
      </w:r>
      <w:r w:rsidRPr="004B62B3">
        <w:rPr>
          <w:rFonts w:ascii="Times New Roman" w:eastAsia="Times New Roman" w:hAnsi="Times New Roman" w:cs="Times New Roman"/>
          <w:i/>
          <w:color w:val="000000"/>
          <w:sz w:val="28"/>
          <w:szCs w:val="28"/>
          <w:lang w:val="ro-RO" w:eastAsia="ru-RU"/>
        </w:rPr>
        <w:t>22 decembrie 2006 cu privire la datoria publică, garanţiile de stat şi recreditarea de stat</w:t>
      </w:r>
      <w:r w:rsidRPr="000F4647">
        <w:rPr>
          <w:rFonts w:ascii="Times New Roman" w:eastAsia="Times New Roman" w:hAnsi="Times New Roman" w:cs="Times New Roman"/>
          <w:color w:val="000000"/>
          <w:sz w:val="28"/>
          <w:szCs w:val="28"/>
          <w:lang w:val="ro-RO" w:eastAsia="ru-RU"/>
        </w:rPr>
        <w:t>, datoria de stat reprezintă obligaţiile contractuale pecuniare curente şi scadente ale statului şi dobînzile datorate şi neonorate, apărute din calitatea statului de debitor sau fidejusor, fiind contractate, în numele Republicii Moldova, de Guvern, prin intermediul Ministerului Finanţelor, în monedă naţională sau în valută străină. De asemenea, în Program sînt luate în considerare şi garanţiile de stat, însă doar la descrierea dinamicii datoriei, fără a fi incluse în analiza riscurilor sau analizele de sensibilitate.</w:t>
      </w:r>
    </w:p>
    <w:p w:rsidR="000F4647" w:rsidRPr="000F4647" w:rsidRDefault="009B7670" w:rsidP="0085350A">
      <w:pPr>
        <w:spacing w:after="0" w:line="240" w:lineRule="auto"/>
        <w:ind w:firstLine="709"/>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Suplimentar, î</w:t>
      </w:r>
      <w:r w:rsidR="000F4647" w:rsidRPr="000F4647">
        <w:rPr>
          <w:rFonts w:ascii="Times New Roman" w:eastAsia="Times New Roman" w:hAnsi="Times New Roman" w:cs="Times New Roman"/>
          <w:color w:val="000000"/>
          <w:sz w:val="28"/>
          <w:szCs w:val="28"/>
          <w:lang w:val="ro-RO" w:eastAsia="ru-RU"/>
        </w:rPr>
        <w:t xml:space="preserve">n vederea atingerii obiectivului fundamental, au fost stabilite cîteva </w:t>
      </w:r>
      <w:r w:rsidR="000F4647" w:rsidRPr="0085350A">
        <w:rPr>
          <w:rFonts w:ascii="Times New Roman" w:eastAsia="Times New Roman" w:hAnsi="Times New Roman" w:cs="Times New Roman"/>
          <w:i/>
          <w:color w:val="000000"/>
          <w:sz w:val="28"/>
          <w:szCs w:val="28"/>
          <w:lang w:val="ro-RO" w:eastAsia="ru-RU"/>
        </w:rPr>
        <w:t>obiective specifice</w:t>
      </w:r>
      <w:r w:rsidR="000F4647" w:rsidRPr="000F4647">
        <w:rPr>
          <w:rFonts w:ascii="Times New Roman" w:eastAsia="Times New Roman" w:hAnsi="Times New Roman" w:cs="Times New Roman"/>
          <w:color w:val="000000"/>
          <w:sz w:val="28"/>
          <w:szCs w:val="28"/>
          <w:lang w:val="ro-RO" w:eastAsia="ru-RU"/>
        </w:rPr>
        <w:t xml:space="preserve"> de gestionare a datoriei de stat în perioada</w:t>
      </w:r>
      <w:r w:rsidR="00B84308">
        <w:rPr>
          <w:rFonts w:ascii="Times New Roman" w:eastAsia="Times New Roman" w:hAnsi="Times New Roman" w:cs="Times New Roman"/>
          <w:color w:val="000000"/>
          <w:sz w:val="28"/>
          <w:szCs w:val="28"/>
          <w:lang w:val="ro-RO" w:eastAsia="ru-RU"/>
        </w:rPr>
        <w:t xml:space="preserve"> anilor</w:t>
      </w:r>
      <w:r w:rsidR="000F4647" w:rsidRPr="000F4647">
        <w:rPr>
          <w:rFonts w:ascii="Times New Roman" w:eastAsia="Times New Roman" w:hAnsi="Times New Roman" w:cs="Times New Roman"/>
          <w:color w:val="000000"/>
          <w:sz w:val="28"/>
          <w:szCs w:val="28"/>
          <w:lang w:val="ro-RO" w:eastAsia="ru-RU"/>
        </w:rPr>
        <w:t xml:space="preserve"> 201</w:t>
      </w:r>
      <w:r w:rsidR="00B84308">
        <w:rPr>
          <w:rFonts w:ascii="Times New Roman" w:eastAsia="Times New Roman" w:hAnsi="Times New Roman" w:cs="Times New Roman"/>
          <w:color w:val="000000"/>
          <w:sz w:val="28"/>
          <w:szCs w:val="28"/>
          <w:lang w:val="ro-RO" w:eastAsia="ru-RU"/>
        </w:rPr>
        <w:t>4</w:t>
      </w:r>
      <w:r w:rsidR="000F4647" w:rsidRPr="000F4647">
        <w:rPr>
          <w:rFonts w:ascii="Times New Roman" w:eastAsia="Times New Roman" w:hAnsi="Times New Roman" w:cs="Times New Roman"/>
          <w:color w:val="000000"/>
          <w:sz w:val="28"/>
          <w:szCs w:val="28"/>
          <w:lang w:val="ro-RO" w:eastAsia="ru-RU"/>
        </w:rPr>
        <w:t>-201</w:t>
      </w:r>
      <w:r w:rsidR="00B84308">
        <w:rPr>
          <w:rFonts w:ascii="Times New Roman" w:eastAsia="Times New Roman" w:hAnsi="Times New Roman" w:cs="Times New Roman"/>
          <w:color w:val="000000"/>
          <w:sz w:val="28"/>
          <w:szCs w:val="28"/>
          <w:lang w:val="ro-RO" w:eastAsia="ru-RU"/>
        </w:rPr>
        <w:t>6</w:t>
      </w:r>
      <w:r w:rsidR="000F4647" w:rsidRPr="000F4647">
        <w:rPr>
          <w:rFonts w:ascii="Times New Roman" w:eastAsia="Times New Roman" w:hAnsi="Times New Roman" w:cs="Times New Roman"/>
          <w:color w:val="000000"/>
          <w:sz w:val="28"/>
          <w:szCs w:val="28"/>
          <w:lang w:val="ro-RO" w:eastAsia="ru-RU"/>
        </w:rPr>
        <w:t>:</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o-RO" w:eastAsia="ru-RU"/>
        </w:rPr>
      </w:pPr>
      <w:r w:rsidRPr="000F4647">
        <w:rPr>
          <w:rFonts w:ascii="Times New Roman" w:eastAsia="Times New Roman" w:hAnsi="Times New Roman" w:cs="Times New Roman"/>
          <w:color w:val="000000"/>
          <w:sz w:val="28"/>
          <w:szCs w:val="28"/>
          <w:lang w:val="ro-RO" w:eastAsia="ru-RU"/>
        </w:rPr>
        <w:t xml:space="preserve">1) limitarea extinderii garanţiilor de stat </w:t>
      </w:r>
      <w:r w:rsidR="00B84308">
        <w:rPr>
          <w:rFonts w:ascii="Times New Roman" w:eastAsia="Times New Roman" w:hAnsi="Times New Roman" w:cs="Times New Roman"/>
          <w:color w:val="000000"/>
          <w:sz w:val="28"/>
          <w:szCs w:val="28"/>
          <w:lang w:val="ro-RO" w:eastAsia="ru-RU"/>
        </w:rPr>
        <w:t>la</w:t>
      </w:r>
      <w:r w:rsidRPr="000F4647">
        <w:rPr>
          <w:rFonts w:ascii="Times New Roman" w:eastAsia="Times New Roman" w:hAnsi="Times New Roman" w:cs="Times New Roman"/>
          <w:color w:val="000000"/>
          <w:sz w:val="28"/>
          <w:szCs w:val="28"/>
          <w:lang w:val="ro-RO" w:eastAsia="ru-RU"/>
        </w:rPr>
        <w:t xml:space="preserve"> cazurile care promovează proiectele prioritare pentru economia naţională, cu condiţia că toate cerinţele legii sînt realizate;</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o-RO" w:eastAsia="ru-RU"/>
        </w:rPr>
      </w:pPr>
      <w:r w:rsidRPr="000F4647">
        <w:rPr>
          <w:rFonts w:ascii="Times New Roman" w:eastAsia="Times New Roman" w:hAnsi="Times New Roman" w:cs="Times New Roman"/>
          <w:color w:val="000000"/>
          <w:sz w:val="28"/>
          <w:szCs w:val="28"/>
          <w:lang w:val="ro-RO" w:eastAsia="ru-RU"/>
        </w:rPr>
        <w:t>2) diminu</w:t>
      </w:r>
      <w:r w:rsidR="00B84308">
        <w:rPr>
          <w:rFonts w:ascii="Times New Roman" w:eastAsia="Times New Roman" w:hAnsi="Times New Roman" w:cs="Times New Roman"/>
          <w:color w:val="000000"/>
          <w:sz w:val="28"/>
          <w:szCs w:val="28"/>
          <w:lang w:val="ro-RO" w:eastAsia="ru-RU"/>
        </w:rPr>
        <w:t>a</w:t>
      </w:r>
      <w:r w:rsidRPr="000F4647">
        <w:rPr>
          <w:rFonts w:ascii="Times New Roman" w:eastAsia="Times New Roman" w:hAnsi="Times New Roman" w:cs="Times New Roman"/>
          <w:color w:val="000000"/>
          <w:sz w:val="28"/>
          <w:szCs w:val="28"/>
          <w:lang w:val="ro-RO" w:eastAsia="ru-RU"/>
        </w:rPr>
        <w:t>r</w:t>
      </w:r>
      <w:r w:rsidR="00B84308">
        <w:rPr>
          <w:rFonts w:ascii="Times New Roman" w:eastAsia="Times New Roman" w:hAnsi="Times New Roman" w:cs="Times New Roman"/>
          <w:color w:val="000000"/>
          <w:sz w:val="28"/>
          <w:szCs w:val="28"/>
          <w:lang w:val="ro-RO" w:eastAsia="ru-RU"/>
        </w:rPr>
        <w:t>ea</w:t>
      </w:r>
      <w:r w:rsidRPr="000F4647">
        <w:rPr>
          <w:rFonts w:ascii="Times New Roman" w:eastAsia="Times New Roman" w:hAnsi="Times New Roman" w:cs="Times New Roman"/>
          <w:color w:val="000000"/>
          <w:sz w:val="28"/>
          <w:szCs w:val="28"/>
          <w:lang w:val="ro-RO" w:eastAsia="ru-RU"/>
        </w:rPr>
        <w:t xml:space="preserve"> treptat</w:t>
      </w:r>
      <w:r w:rsidR="00B84308">
        <w:rPr>
          <w:rFonts w:ascii="Times New Roman" w:eastAsia="Times New Roman" w:hAnsi="Times New Roman" w:cs="Times New Roman"/>
          <w:color w:val="000000"/>
          <w:sz w:val="28"/>
          <w:szCs w:val="28"/>
          <w:lang w:val="ro-RO" w:eastAsia="ru-RU"/>
        </w:rPr>
        <w:t>ă</w:t>
      </w:r>
      <w:r w:rsidRPr="000F4647">
        <w:rPr>
          <w:rFonts w:ascii="Times New Roman" w:eastAsia="Times New Roman" w:hAnsi="Times New Roman" w:cs="Times New Roman"/>
          <w:color w:val="000000"/>
          <w:sz w:val="28"/>
          <w:szCs w:val="28"/>
          <w:lang w:val="ro-RO" w:eastAsia="ru-RU"/>
        </w:rPr>
        <w:t xml:space="preserve"> a datoriei Guvernului faţă de Banca Naţională a Moldovei pe împrumuturile contractate anterior;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o-RO" w:eastAsia="ru-RU"/>
        </w:rPr>
      </w:pPr>
      <w:r w:rsidRPr="000F4647">
        <w:rPr>
          <w:rFonts w:ascii="Times New Roman" w:eastAsia="Times New Roman" w:hAnsi="Times New Roman" w:cs="Times New Roman"/>
          <w:color w:val="000000"/>
          <w:sz w:val="28"/>
          <w:szCs w:val="28"/>
          <w:lang w:val="ro-RO" w:eastAsia="ru-RU"/>
        </w:rPr>
        <w:t xml:space="preserve">3) </w:t>
      </w:r>
      <w:r w:rsidR="00B84308">
        <w:rPr>
          <w:rFonts w:ascii="Times New Roman" w:eastAsia="Times New Roman" w:hAnsi="Times New Roman" w:cs="Times New Roman"/>
          <w:bCs/>
          <w:color w:val="000000"/>
          <w:sz w:val="28"/>
          <w:szCs w:val="28"/>
          <w:lang w:val="ro-RO" w:eastAsia="ru-RU"/>
        </w:rPr>
        <w:t>d</w:t>
      </w:r>
      <w:r w:rsidR="00B84308" w:rsidRPr="00B84308">
        <w:rPr>
          <w:rFonts w:ascii="Times New Roman" w:eastAsia="Times New Roman" w:hAnsi="Times New Roman" w:cs="Times New Roman"/>
          <w:bCs/>
          <w:color w:val="000000"/>
          <w:sz w:val="28"/>
          <w:szCs w:val="28"/>
          <w:lang w:val="ro-RO" w:eastAsia="ru-RU"/>
        </w:rPr>
        <w:t>ezvoltarea pieţei interne</w:t>
      </w:r>
      <w:r w:rsidR="00B84308">
        <w:rPr>
          <w:rFonts w:ascii="Times New Roman" w:eastAsia="Times New Roman" w:hAnsi="Times New Roman" w:cs="Times New Roman"/>
          <w:bCs/>
          <w:color w:val="000000"/>
          <w:sz w:val="28"/>
          <w:szCs w:val="28"/>
          <w:lang w:val="ro-RO" w:eastAsia="ru-RU"/>
        </w:rPr>
        <w:t xml:space="preserve"> </w:t>
      </w:r>
      <w:r w:rsidR="00B84308" w:rsidRPr="00B84308">
        <w:rPr>
          <w:rFonts w:ascii="Times New Roman" w:eastAsia="Times New Roman" w:hAnsi="Times New Roman" w:cs="Times New Roman"/>
          <w:bCs/>
          <w:color w:val="000000"/>
          <w:sz w:val="28"/>
          <w:szCs w:val="28"/>
          <w:lang w:val="ro-RO" w:eastAsia="ru-RU"/>
        </w:rPr>
        <w:t>a valorilor mobiliare de stat</w:t>
      </w:r>
      <w:r w:rsidRPr="000F4647">
        <w:rPr>
          <w:rFonts w:ascii="Times New Roman" w:eastAsia="Times New Roman" w:hAnsi="Times New Roman" w:cs="Times New Roman"/>
          <w:color w:val="000000"/>
          <w:sz w:val="28"/>
          <w:szCs w:val="28"/>
          <w:lang w:val="ro-RO" w:eastAsia="ru-RU"/>
        </w:rPr>
        <w:t>.</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o-RO" w:eastAsia="ru-RU"/>
        </w:rPr>
      </w:pPr>
      <w:r w:rsidRPr="000F4647">
        <w:rPr>
          <w:rFonts w:ascii="Times New Roman" w:eastAsia="Times New Roman" w:hAnsi="Times New Roman" w:cs="Times New Roman"/>
          <w:color w:val="000000"/>
          <w:sz w:val="28"/>
          <w:szCs w:val="28"/>
          <w:lang w:val="ro-RO" w:eastAsia="ru-RU"/>
        </w:rPr>
        <w:t xml:space="preserve">În scopul realizării obiectivelor propuse, Ministerul Finanţelor va întreprinde următoarele </w:t>
      </w:r>
      <w:r w:rsidRPr="0085350A">
        <w:rPr>
          <w:rFonts w:ascii="Times New Roman" w:eastAsia="Times New Roman" w:hAnsi="Times New Roman" w:cs="Times New Roman"/>
          <w:i/>
          <w:color w:val="000000"/>
          <w:sz w:val="28"/>
          <w:szCs w:val="28"/>
          <w:lang w:val="ro-RO" w:eastAsia="ru-RU"/>
        </w:rPr>
        <w:t>acţiuni</w:t>
      </w:r>
      <w:r w:rsidRPr="000F4647">
        <w:rPr>
          <w:rFonts w:ascii="Times New Roman" w:eastAsia="Times New Roman" w:hAnsi="Times New Roman" w:cs="Times New Roman"/>
          <w:color w:val="000000"/>
          <w:sz w:val="28"/>
          <w:szCs w:val="28"/>
          <w:lang w:val="ro-RO" w:eastAsia="ru-RU"/>
        </w:rPr>
        <w:t>:</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val="ro-RO" w:eastAsia="ru-RU"/>
        </w:rPr>
      </w:pPr>
      <w:r w:rsidRPr="000F4647">
        <w:rPr>
          <w:rFonts w:ascii="Times New Roman" w:eastAsia="Times New Roman" w:hAnsi="Times New Roman" w:cs="Times New Roman"/>
          <w:b/>
          <w:bCs/>
          <w:color w:val="000000"/>
          <w:sz w:val="28"/>
          <w:szCs w:val="28"/>
          <w:lang w:val="ro-RO" w:eastAsia="ru-RU"/>
        </w:rPr>
        <w:t xml:space="preserve">1. Monitorizarea sustenabilităţii datoriei de stat </w:t>
      </w:r>
    </w:p>
    <w:p w:rsidR="000F4647" w:rsidRPr="000F4647" w:rsidRDefault="00302135"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În vederea</w:t>
      </w:r>
      <w:r w:rsidR="000F4647" w:rsidRPr="000F4647">
        <w:rPr>
          <w:rFonts w:ascii="Times New Roman" w:eastAsia="Times New Roman" w:hAnsi="Times New Roman" w:cs="Times New Roman"/>
          <w:sz w:val="28"/>
          <w:szCs w:val="28"/>
          <w:lang w:val="ro-RO" w:eastAsia="ru-RU"/>
        </w:rPr>
        <w:t xml:space="preserve"> realiz</w:t>
      </w:r>
      <w:r>
        <w:rPr>
          <w:rFonts w:ascii="Times New Roman" w:eastAsia="Times New Roman" w:hAnsi="Times New Roman" w:cs="Times New Roman"/>
          <w:sz w:val="28"/>
          <w:szCs w:val="28"/>
          <w:lang w:val="ro-RO" w:eastAsia="ru-RU"/>
        </w:rPr>
        <w:t>ă</w:t>
      </w:r>
      <w:r w:rsidR="000F4647" w:rsidRPr="000F4647">
        <w:rPr>
          <w:rFonts w:ascii="Times New Roman" w:eastAsia="Times New Roman" w:hAnsi="Times New Roman" w:cs="Times New Roman"/>
          <w:sz w:val="28"/>
          <w:szCs w:val="28"/>
          <w:lang w:val="ro-RO" w:eastAsia="ru-RU"/>
        </w:rPr>
        <w:t>r</w:t>
      </w:r>
      <w:r>
        <w:rPr>
          <w:rFonts w:ascii="Times New Roman" w:eastAsia="Times New Roman" w:hAnsi="Times New Roman" w:cs="Times New Roman"/>
          <w:sz w:val="28"/>
          <w:szCs w:val="28"/>
          <w:lang w:val="ro-RO" w:eastAsia="ru-RU"/>
        </w:rPr>
        <w:t>ii</w:t>
      </w:r>
      <w:r w:rsidR="000F4647" w:rsidRPr="000F4647">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aceste</w:t>
      </w:r>
      <w:r w:rsidR="0085350A">
        <w:rPr>
          <w:rFonts w:ascii="Times New Roman" w:eastAsia="Times New Roman" w:hAnsi="Times New Roman" w:cs="Times New Roman"/>
          <w:sz w:val="28"/>
          <w:szCs w:val="28"/>
          <w:lang w:val="ro-RO" w:eastAsia="ru-RU"/>
        </w:rPr>
        <w:t>i</w:t>
      </w:r>
      <w:r w:rsidR="000F4647" w:rsidRPr="000F4647">
        <w:rPr>
          <w:rFonts w:ascii="Times New Roman" w:eastAsia="Times New Roman" w:hAnsi="Times New Roman" w:cs="Times New Roman"/>
          <w:sz w:val="28"/>
          <w:szCs w:val="28"/>
          <w:lang w:val="ro-RO" w:eastAsia="ru-RU"/>
        </w:rPr>
        <w:t xml:space="preserve"> acţiuni, managementul datoriei de stat trebuie să fie în concordanţă cu politica economică şi financiară care urmează să se realizeze în ţară.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0F4647">
        <w:rPr>
          <w:rFonts w:ascii="Times New Roman" w:eastAsia="Times New Roman" w:hAnsi="Times New Roman" w:cs="Times New Roman"/>
          <w:sz w:val="28"/>
          <w:szCs w:val="28"/>
          <w:lang w:val="ro-RO" w:eastAsia="ru-RU"/>
        </w:rPr>
        <w:t xml:space="preserve">Cu toate că menţinerea indicatorilor datoriei de stat la nivele sustenabile nu depinde direct de procesul de administrare a datoriei de stat, </w:t>
      </w:r>
      <w:r w:rsidR="00051831">
        <w:rPr>
          <w:rFonts w:ascii="Times New Roman" w:eastAsia="Times New Roman" w:hAnsi="Times New Roman" w:cs="Times New Roman"/>
          <w:sz w:val="28"/>
          <w:szCs w:val="28"/>
          <w:lang w:val="ro-RO" w:eastAsia="ru-RU"/>
        </w:rPr>
        <w:t>această acţiune va viza</w:t>
      </w:r>
      <w:r w:rsidRPr="000F4647">
        <w:rPr>
          <w:rFonts w:ascii="Times New Roman" w:eastAsia="Times New Roman" w:hAnsi="Times New Roman" w:cs="Times New Roman"/>
          <w:sz w:val="28"/>
          <w:szCs w:val="28"/>
          <w:lang w:val="ro-RO" w:eastAsia="ru-RU"/>
        </w:rPr>
        <w:t xml:space="preserve"> monitorizarea în detaliu a tendinţelor indicatorilor principali ai datoriei de stat, pentru a preveni la timp autorităţile în cazul în care dinamica acestora va depăşi limitele acceptabile sau ar putea avea un impact negativ asupra stabilităţii macroeconomice naţionale.</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o-RO" w:eastAsia="ru-RU"/>
        </w:rPr>
      </w:pPr>
      <w:r w:rsidRPr="000F4647">
        <w:rPr>
          <w:rFonts w:ascii="Times New Roman" w:eastAsia="Times New Roman" w:hAnsi="Times New Roman" w:cs="Times New Roman"/>
          <w:b/>
          <w:bCs/>
          <w:color w:val="000000"/>
          <w:sz w:val="28"/>
          <w:szCs w:val="28"/>
          <w:lang w:val="ro-RO" w:eastAsia="ru-RU"/>
        </w:rPr>
        <w:t xml:space="preserve">2. Menţinerea costurilor asociate datoriei de stat pe termen mediu şi lung la nivel </w:t>
      </w:r>
      <w:r w:rsidR="000A6CC2">
        <w:rPr>
          <w:rFonts w:ascii="Times New Roman" w:eastAsia="Times New Roman" w:hAnsi="Times New Roman" w:cs="Times New Roman"/>
          <w:b/>
          <w:bCs/>
          <w:color w:val="000000"/>
          <w:sz w:val="28"/>
          <w:szCs w:val="28"/>
          <w:lang w:val="ro-RO" w:eastAsia="ru-RU"/>
        </w:rPr>
        <w:t>acceptabil</w:t>
      </w:r>
    </w:p>
    <w:p w:rsid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3F1949">
        <w:rPr>
          <w:rFonts w:ascii="Times New Roman" w:eastAsia="Times New Roman" w:hAnsi="Times New Roman" w:cs="Times New Roman"/>
          <w:sz w:val="28"/>
          <w:szCs w:val="28"/>
          <w:lang w:val="ro-RO" w:eastAsia="ru-RU"/>
        </w:rPr>
        <w:t>În iulie 2011, pentru Republica Moldova au fost schimbate condiţiile de creditare privind împrumuturile care urmează a fi contractate de la Banca Mondială prin Asociaţia Internaţională de Dezvoltare</w:t>
      </w:r>
      <w:r w:rsidR="00B5426E">
        <w:rPr>
          <w:rFonts w:ascii="Times New Roman" w:eastAsia="Times New Roman" w:hAnsi="Times New Roman" w:cs="Times New Roman"/>
          <w:sz w:val="28"/>
          <w:szCs w:val="28"/>
          <w:lang w:val="ro-RO" w:eastAsia="ru-RU"/>
        </w:rPr>
        <w:t xml:space="preserve"> (AID)</w:t>
      </w:r>
      <w:r w:rsidRPr="003F1949">
        <w:rPr>
          <w:rFonts w:ascii="Times New Roman" w:eastAsia="Times New Roman" w:hAnsi="Times New Roman" w:cs="Times New Roman"/>
          <w:sz w:val="28"/>
          <w:szCs w:val="28"/>
          <w:lang w:val="ro-RO" w:eastAsia="ru-RU"/>
        </w:rPr>
        <w:t xml:space="preserve"> la </w:t>
      </w:r>
      <w:r w:rsidR="00B75AFD" w:rsidRPr="003F1949">
        <w:rPr>
          <w:rFonts w:ascii="Times New Roman" w:eastAsia="Times New Roman" w:hAnsi="Times New Roman" w:cs="Times New Roman"/>
          <w:sz w:val="28"/>
          <w:szCs w:val="28"/>
          <w:lang w:val="ro-RO" w:eastAsia="ru-RU"/>
        </w:rPr>
        <w:t>„</w:t>
      </w:r>
      <w:r w:rsidRPr="003F1949">
        <w:rPr>
          <w:rFonts w:ascii="Times New Roman" w:eastAsia="Times New Roman" w:hAnsi="Times New Roman" w:cs="Times New Roman"/>
          <w:sz w:val="28"/>
          <w:szCs w:val="28"/>
          <w:lang w:val="ro-RO" w:eastAsia="ru-RU"/>
        </w:rPr>
        <w:t>Blend terms”, ceea ce presupune o maturitate a împrumuturilor de 25 de ani, inclusiv 5 ani perioada de graţie şi o rată cumulativă a dobînzii de 2,0%. Această modificare a condiţiilor de creditare va determina majorarea pe termen mediu a costurilor aferente deservirii datoriei de stat externe.</w:t>
      </w:r>
      <w:r w:rsidRPr="000F4647">
        <w:rPr>
          <w:rFonts w:ascii="Times New Roman" w:eastAsia="Times New Roman" w:hAnsi="Times New Roman" w:cs="Times New Roman"/>
          <w:sz w:val="28"/>
          <w:szCs w:val="28"/>
          <w:lang w:val="ro-RO" w:eastAsia="ru-RU"/>
        </w:rPr>
        <w:t xml:space="preserve"> </w:t>
      </w:r>
    </w:p>
    <w:p w:rsidR="003F1949" w:rsidRDefault="003F1949"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4C4607">
        <w:rPr>
          <w:rFonts w:ascii="Times New Roman" w:eastAsia="Times New Roman" w:hAnsi="Times New Roman" w:cs="Times New Roman"/>
          <w:sz w:val="28"/>
          <w:szCs w:val="28"/>
          <w:lang w:val="ro-RO" w:eastAsia="ru-RU"/>
        </w:rPr>
        <w:t xml:space="preserve">De asemenea, noua </w:t>
      </w:r>
      <w:r w:rsidR="002567CB" w:rsidRPr="004C4607">
        <w:rPr>
          <w:rFonts w:ascii="Times New Roman" w:eastAsia="Times New Roman" w:hAnsi="Times New Roman" w:cs="Times New Roman"/>
          <w:sz w:val="28"/>
          <w:szCs w:val="28"/>
          <w:lang w:val="ro-RO" w:eastAsia="ru-RU"/>
        </w:rPr>
        <w:t>Str</w:t>
      </w:r>
      <w:r w:rsidR="00DF03E3">
        <w:rPr>
          <w:rFonts w:ascii="Times New Roman" w:eastAsia="Times New Roman" w:hAnsi="Times New Roman" w:cs="Times New Roman"/>
          <w:sz w:val="28"/>
          <w:szCs w:val="28"/>
          <w:lang w:val="ro-RO" w:eastAsia="ru-RU"/>
        </w:rPr>
        <w:t>a</w:t>
      </w:r>
      <w:r w:rsidR="002567CB" w:rsidRPr="004C4607">
        <w:rPr>
          <w:rFonts w:ascii="Times New Roman" w:eastAsia="Times New Roman" w:hAnsi="Times New Roman" w:cs="Times New Roman"/>
          <w:sz w:val="28"/>
          <w:szCs w:val="28"/>
          <w:lang w:val="ro-RO" w:eastAsia="ru-RU"/>
        </w:rPr>
        <w:t>tegie de parteneriat cu ţara a Băncii Mondiale în Moldova pentru anii financiari 2014-2017</w:t>
      </w:r>
      <w:r w:rsidR="004C4607" w:rsidRPr="004C4607">
        <w:rPr>
          <w:rFonts w:ascii="Times New Roman" w:eastAsia="Times New Roman" w:hAnsi="Times New Roman" w:cs="Times New Roman"/>
          <w:sz w:val="28"/>
          <w:szCs w:val="28"/>
          <w:lang w:val="ro-RO" w:eastAsia="ru-RU"/>
        </w:rPr>
        <w:t>,</w:t>
      </w:r>
      <w:r w:rsidR="002567CB" w:rsidRPr="004C4607">
        <w:rPr>
          <w:rFonts w:ascii="Times New Roman" w:eastAsia="Times New Roman" w:hAnsi="Times New Roman" w:cs="Times New Roman"/>
          <w:sz w:val="28"/>
          <w:szCs w:val="28"/>
          <w:lang w:val="ro-RO" w:eastAsia="ru-RU"/>
        </w:rPr>
        <w:t xml:space="preserve"> care descrie volumul şi tipul sprijinului pe care Banca Mondială îl va acorda Moldovei</w:t>
      </w:r>
      <w:r w:rsidR="00A7657E">
        <w:rPr>
          <w:rFonts w:ascii="Times New Roman" w:eastAsia="Times New Roman" w:hAnsi="Times New Roman" w:cs="Times New Roman"/>
          <w:sz w:val="28"/>
          <w:szCs w:val="28"/>
          <w:lang w:val="ro-RO" w:eastAsia="ru-RU"/>
        </w:rPr>
        <w:t>,</w:t>
      </w:r>
      <w:r w:rsidR="002567CB" w:rsidRPr="004C4607">
        <w:rPr>
          <w:rFonts w:ascii="Times New Roman" w:eastAsia="Times New Roman" w:hAnsi="Times New Roman" w:cs="Times New Roman"/>
          <w:sz w:val="28"/>
          <w:szCs w:val="28"/>
          <w:lang w:val="ro-RO" w:eastAsia="ru-RU"/>
        </w:rPr>
        <w:t xml:space="preserve"> vizează acordarea în proporţie de circa 65 la sută resurse la condiţiile AID şi 35 la sută – la condiţiile </w:t>
      </w:r>
      <w:r w:rsidR="000A6CC2">
        <w:rPr>
          <w:rFonts w:ascii="Times New Roman" w:eastAsia="Times New Roman" w:hAnsi="Times New Roman" w:cs="Times New Roman"/>
          <w:sz w:val="28"/>
          <w:szCs w:val="28"/>
          <w:lang w:val="ro-RO" w:eastAsia="ru-RU"/>
        </w:rPr>
        <w:t>Băncii Internaționale de Reconstrucție și Dezvoltare (</w:t>
      </w:r>
      <w:r w:rsidR="002567CB" w:rsidRPr="004C4607">
        <w:rPr>
          <w:rFonts w:ascii="Times New Roman" w:eastAsia="Times New Roman" w:hAnsi="Times New Roman" w:cs="Times New Roman"/>
          <w:sz w:val="28"/>
          <w:szCs w:val="28"/>
          <w:lang w:val="ro-RO" w:eastAsia="ru-RU"/>
        </w:rPr>
        <w:t>BIRD</w:t>
      </w:r>
      <w:r w:rsidR="000A6CC2">
        <w:rPr>
          <w:rFonts w:ascii="Times New Roman" w:eastAsia="Times New Roman" w:hAnsi="Times New Roman" w:cs="Times New Roman"/>
          <w:sz w:val="28"/>
          <w:szCs w:val="28"/>
          <w:lang w:val="ro-RO" w:eastAsia="ru-RU"/>
        </w:rPr>
        <w:t>)</w:t>
      </w:r>
      <w:r w:rsidR="002567CB" w:rsidRPr="004C4607">
        <w:rPr>
          <w:rFonts w:ascii="Times New Roman" w:eastAsia="Times New Roman" w:hAnsi="Times New Roman" w:cs="Times New Roman"/>
          <w:sz w:val="28"/>
          <w:szCs w:val="28"/>
          <w:lang w:val="ro-RO" w:eastAsia="ru-RU"/>
        </w:rPr>
        <w:t>.</w:t>
      </w:r>
      <w:r w:rsidR="00094F70" w:rsidRPr="004C4607">
        <w:rPr>
          <w:rFonts w:ascii="Times New Roman" w:eastAsia="Times New Roman" w:hAnsi="Times New Roman" w:cs="Times New Roman"/>
          <w:sz w:val="28"/>
          <w:szCs w:val="28"/>
          <w:lang w:val="ro-RO" w:eastAsia="ru-RU"/>
        </w:rPr>
        <w:t xml:space="preserve"> Finanţarea BIRD e bazată pe o rată de referinţă flotantă, de obicei, LIBOR 6-luni plus o marjă fixă sau flotantă, mărimea căreia depinde de maturitatea împrumutului.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o-RO" w:eastAsia="ru-RU"/>
        </w:rPr>
      </w:pPr>
      <w:r w:rsidRPr="000F4647">
        <w:rPr>
          <w:rFonts w:ascii="Times New Roman" w:eastAsia="Times New Roman" w:hAnsi="Times New Roman" w:cs="Times New Roman"/>
          <w:color w:val="000000"/>
          <w:sz w:val="28"/>
          <w:szCs w:val="28"/>
          <w:lang w:val="ro-RO" w:eastAsia="ru-RU"/>
        </w:rPr>
        <w:t xml:space="preserve">În vederea menţinerii costurilor datoriei de stat la nivel </w:t>
      </w:r>
      <w:r w:rsidR="000A6CC2" w:rsidRPr="000A6CC2">
        <w:rPr>
          <w:rFonts w:ascii="Times New Roman" w:eastAsia="Times New Roman" w:hAnsi="Times New Roman" w:cs="Times New Roman"/>
          <w:bCs/>
          <w:color w:val="000000"/>
          <w:sz w:val="28"/>
          <w:szCs w:val="28"/>
          <w:lang w:val="ro-RO" w:eastAsia="ru-RU"/>
        </w:rPr>
        <w:t>acceptabil</w:t>
      </w:r>
      <w:r w:rsidRPr="000F4647">
        <w:rPr>
          <w:rFonts w:ascii="Times New Roman" w:eastAsia="Times New Roman" w:hAnsi="Times New Roman" w:cs="Times New Roman"/>
          <w:color w:val="000000"/>
          <w:sz w:val="28"/>
          <w:szCs w:val="28"/>
          <w:lang w:val="ro-RO" w:eastAsia="ru-RU"/>
        </w:rPr>
        <w:t xml:space="preserve">, conform planificării bugetare, precum şi în conformitate cu situaţia de pe piaţa financiară, vor fi întreprinse următoarele </w:t>
      </w:r>
      <w:r w:rsidR="00D658D5">
        <w:rPr>
          <w:rFonts w:ascii="Times New Roman" w:eastAsia="Times New Roman" w:hAnsi="Times New Roman" w:cs="Times New Roman"/>
          <w:color w:val="000000"/>
          <w:sz w:val="28"/>
          <w:szCs w:val="28"/>
          <w:lang w:val="ro-RO" w:eastAsia="ru-RU"/>
        </w:rPr>
        <w:t>activităţi</w:t>
      </w:r>
      <w:r w:rsidRPr="000F4647">
        <w:rPr>
          <w:rFonts w:ascii="Times New Roman" w:eastAsia="Times New Roman" w:hAnsi="Times New Roman" w:cs="Times New Roman"/>
          <w:color w:val="000000"/>
          <w:sz w:val="28"/>
          <w:szCs w:val="28"/>
          <w:lang w:val="ro-RO" w:eastAsia="ru-RU"/>
        </w:rPr>
        <w:t>:</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o-RO" w:eastAsia="ru-RU"/>
        </w:rPr>
      </w:pPr>
      <w:r w:rsidRPr="000F4647">
        <w:rPr>
          <w:rFonts w:ascii="Times New Roman" w:eastAsia="Times New Roman" w:hAnsi="Times New Roman" w:cs="Times New Roman"/>
          <w:color w:val="000000"/>
          <w:sz w:val="28"/>
          <w:szCs w:val="28"/>
          <w:lang w:val="ro-RO" w:eastAsia="ru-RU"/>
        </w:rPr>
        <w:t>a) selectarea optimă a posibilelor i</w:t>
      </w:r>
      <w:r w:rsidR="000A6CC2">
        <w:rPr>
          <w:rFonts w:ascii="Times New Roman" w:eastAsia="Times New Roman" w:hAnsi="Times New Roman" w:cs="Times New Roman"/>
          <w:color w:val="000000"/>
          <w:sz w:val="28"/>
          <w:szCs w:val="28"/>
          <w:lang w:val="ro-RO" w:eastAsia="ru-RU"/>
        </w:rPr>
        <w:t xml:space="preserve">nstrumente ale datoriei de stat, </w:t>
      </w:r>
      <w:r w:rsidRPr="000F4647">
        <w:rPr>
          <w:rFonts w:ascii="Times New Roman" w:eastAsia="Times New Roman" w:hAnsi="Times New Roman" w:cs="Times New Roman"/>
          <w:color w:val="000000"/>
          <w:sz w:val="28"/>
          <w:szCs w:val="28"/>
          <w:lang w:val="ro-RO" w:eastAsia="ru-RU"/>
        </w:rPr>
        <w:t>care ar permite identificarea ce</w:t>
      </w:r>
      <w:r w:rsidR="00D658D5">
        <w:rPr>
          <w:rFonts w:ascii="Times New Roman" w:eastAsia="Times New Roman" w:hAnsi="Times New Roman" w:cs="Times New Roman"/>
          <w:color w:val="000000"/>
          <w:sz w:val="28"/>
          <w:szCs w:val="28"/>
          <w:lang w:val="ro-RO" w:eastAsia="ru-RU"/>
        </w:rPr>
        <w:t>lor</w:t>
      </w:r>
      <w:r w:rsidRPr="000F4647">
        <w:rPr>
          <w:rFonts w:ascii="Times New Roman" w:eastAsia="Times New Roman" w:hAnsi="Times New Roman" w:cs="Times New Roman"/>
          <w:color w:val="000000"/>
          <w:sz w:val="28"/>
          <w:szCs w:val="28"/>
          <w:lang w:val="ro-RO" w:eastAsia="ru-RU"/>
        </w:rPr>
        <w:t xml:space="preserve"> mai favorabil</w:t>
      </w:r>
      <w:r w:rsidR="00D658D5">
        <w:rPr>
          <w:rFonts w:ascii="Times New Roman" w:eastAsia="Times New Roman" w:hAnsi="Times New Roman" w:cs="Times New Roman"/>
          <w:color w:val="000000"/>
          <w:sz w:val="28"/>
          <w:szCs w:val="28"/>
          <w:lang w:val="ro-RO" w:eastAsia="ru-RU"/>
        </w:rPr>
        <w:t>e condiţii ale împrumuturilor, precum</w:t>
      </w:r>
      <w:r w:rsidRPr="000F4647">
        <w:rPr>
          <w:rFonts w:ascii="Times New Roman" w:eastAsia="Times New Roman" w:hAnsi="Times New Roman" w:cs="Times New Roman"/>
          <w:color w:val="000000"/>
          <w:sz w:val="28"/>
          <w:szCs w:val="28"/>
          <w:lang w:val="ro-RO" w:eastAsia="ru-RU"/>
        </w:rPr>
        <w:t xml:space="preserve"> sum</w:t>
      </w:r>
      <w:r w:rsidR="00D658D5">
        <w:rPr>
          <w:rFonts w:ascii="Times New Roman" w:eastAsia="Times New Roman" w:hAnsi="Times New Roman" w:cs="Times New Roman"/>
          <w:color w:val="000000"/>
          <w:sz w:val="28"/>
          <w:szCs w:val="28"/>
          <w:lang w:val="ro-RO" w:eastAsia="ru-RU"/>
        </w:rPr>
        <w:t>a</w:t>
      </w:r>
      <w:r w:rsidRPr="000F4647">
        <w:rPr>
          <w:rFonts w:ascii="Times New Roman" w:eastAsia="Times New Roman" w:hAnsi="Times New Roman" w:cs="Times New Roman"/>
          <w:color w:val="000000"/>
          <w:sz w:val="28"/>
          <w:szCs w:val="28"/>
          <w:lang w:val="ro-RO" w:eastAsia="ru-RU"/>
        </w:rPr>
        <w:t>, maturit</w:t>
      </w:r>
      <w:r w:rsidR="00D658D5">
        <w:rPr>
          <w:rFonts w:ascii="Times New Roman" w:eastAsia="Times New Roman" w:hAnsi="Times New Roman" w:cs="Times New Roman"/>
          <w:color w:val="000000"/>
          <w:sz w:val="28"/>
          <w:szCs w:val="28"/>
          <w:lang w:val="ro-RO" w:eastAsia="ru-RU"/>
        </w:rPr>
        <w:t>atea</w:t>
      </w:r>
      <w:r w:rsidRPr="000F4647">
        <w:rPr>
          <w:rFonts w:ascii="Times New Roman" w:eastAsia="Times New Roman" w:hAnsi="Times New Roman" w:cs="Times New Roman"/>
          <w:color w:val="000000"/>
          <w:sz w:val="28"/>
          <w:szCs w:val="28"/>
          <w:lang w:val="ro-RO" w:eastAsia="ru-RU"/>
        </w:rPr>
        <w:t>, tipul ratei de dobîndă, valut</w:t>
      </w:r>
      <w:r w:rsidR="00D658D5">
        <w:rPr>
          <w:rFonts w:ascii="Times New Roman" w:eastAsia="Times New Roman" w:hAnsi="Times New Roman" w:cs="Times New Roman"/>
          <w:color w:val="000000"/>
          <w:sz w:val="28"/>
          <w:szCs w:val="28"/>
          <w:lang w:val="ro-RO" w:eastAsia="ru-RU"/>
        </w:rPr>
        <w:t>a</w:t>
      </w:r>
      <w:r w:rsidRPr="000F4647">
        <w:rPr>
          <w:rFonts w:ascii="Times New Roman" w:eastAsia="Times New Roman" w:hAnsi="Times New Roman" w:cs="Times New Roman"/>
          <w:color w:val="000000"/>
          <w:sz w:val="28"/>
          <w:szCs w:val="28"/>
          <w:lang w:val="ro-RO" w:eastAsia="ru-RU"/>
        </w:rPr>
        <w:t xml:space="preserve"> etc;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5F58E5">
        <w:rPr>
          <w:rFonts w:ascii="Times New Roman" w:eastAsia="Times New Roman" w:hAnsi="Times New Roman" w:cs="Times New Roman"/>
          <w:color w:val="000000"/>
          <w:sz w:val="28"/>
          <w:szCs w:val="28"/>
          <w:lang w:val="ro-RO" w:eastAsia="ru-RU"/>
        </w:rPr>
        <w:t xml:space="preserve">b) întreprinderea eforturilor în </w:t>
      </w:r>
      <w:r w:rsidR="00BF064F" w:rsidRPr="005F58E5">
        <w:rPr>
          <w:rFonts w:ascii="Times New Roman" w:eastAsia="Times New Roman" w:hAnsi="Times New Roman" w:cs="Times New Roman"/>
          <w:color w:val="000000"/>
          <w:sz w:val="28"/>
          <w:szCs w:val="28"/>
          <w:lang w:val="ro-RO" w:eastAsia="ru-RU"/>
        </w:rPr>
        <w:t>vederea</w:t>
      </w:r>
      <w:r w:rsidRPr="005F58E5">
        <w:rPr>
          <w:rFonts w:ascii="Times New Roman" w:eastAsia="Times New Roman" w:hAnsi="Times New Roman" w:cs="Times New Roman"/>
          <w:color w:val="000000"/>
          <w:sz w:val="28"/>
          <w:szCs w:val="28"/>
          <w:lang w:val="ro-RO" w:eastAsia="ru-RU"/>
        </w:rPr>
        <w:t xml:space="preserve"> dezvoltării unei pieţ</w:t>
      </w:r>
      <w:r w:rsidR="00BF064F" w:rsidRPr="005F58E5">
        <w:rPr>
          <w:rFonts w:ascii="Times New Roman" w:eastAsia="Times New Roman" w:hAnsi="Times New Roman" w:cs="Times New Roman"/>
          <w:color w:val="000000"/>
          <w:sz w:val="28"/>
          <w:szCs w:val="28"/>
          <w:lang w:val="ro-RO" w:eastAsia="ru-RU"/>
        </w:rPr>
        <w:t>i</w:t>
      </w:r>
      <w:r w:rsidRPr="005F58E5">
        <w:rPr>
          <w:rFonts w:ascii="Times New Roman" w:eastAsia="Times New Roman" w:hAnsi="Times New Roman" w:cs="Times New Roman"/>
          <w:color w:val="000000"/>
          <w:sz w:val="28"/>
          <w:szCs w:val="28"/>
          <w:lang w:val="ro-RO" w:eastAsia="ru-RU"/>
        </w:rPr>
        <w:t xml:space="preserve"> financiare interne eficiente şi lichide, în conformitate cu condiţiile specifice de piaţă, ceea ce va contribui la extinderea constantă a curbei veniturilor avînd un efect pozitiv asupra deservirii datoriei de stat.</w:t>
      </w:r>
      <w:r w:rsidRPr="000F4647">
        <w:rPr>
          <w:rFonts w:ascii="Times New Roman" w:eastAsia="Times New Roman" w:hAnsi="Times New Roman" w:cs="Times New Roman"/>
          <w:sz w:val="28"/>
          <w:szCs w:val="28"/>
          <w:lang w:val="ro-RO" w:eastAsia="ru-RU"/>
        </w:rPr>
        <w:t xml:space="preserve">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val="ro-RO" w:eastAsia="ru-RU"/>
        </w:rPr>
      </w:pPr>
      <w:r w:rsidRPr="000F4647">
        <w:rPr>
          <w:rFonts w:ascii="Times New Roman" w:eastAsia="Times New Roman" w:hAnsi="Times New Roman" w:cs="Times New Roman"/>
          <w:b/>
          <w:bCs/>
          <w:color w:val="000000"/>
          <w:sz w:val="28"/>
          <w:szCs w:val="28"/>
          <w:lang w:val="ro-RO" w:eastAsia="ru-RU"/>
        </w:rPr>
        <w:t xml:space="preserve">3. Optimizarea riscurilor aferente portofoliului datoriei de stat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val="ro-RO" w:eastAsia="ru-RU"/>
        </w:rPr>
      </w:pPr>
      <w:r w:rsidRPr="000F4647">
        <w:rPr>
          <w:rFonts w:ascii="Times New Roman" w:eastAsia="Times New Roman" w:hAnsi="Times New Roman" w:cs="Times New Roman"/>
          <w:color w:val="000000"/>
          <w:sz w:val="28"/>
          <w:szCs w:val="28"/>
          <w:lang w:val="ro-RO" w:eastAsia="ru-RU"/>
        </w:rPr>
        <w:t xml:space="preserve">Prezenta acţiune vizează îndreptarea eforturilor spre formarea unei structuri optime a datoriei de stat, care ar </w:t>
      </w:r>
      <w:r w:rsidR="000A6CC2">
        <w:rPr>
          <w:rFonts w:ascii="Times New Roman" w:eastAsia="Times New Roman" w:hAnsi="Times New Roman" w:cs="Times New Roman"/>
          <w:color w:val="000000"/>
          <w:sz w:val="28"/>
          <w:szCs w:val="28"/>
          <w:lang w:val="ro-RO" w:eastAsia="ru-RU"/>
        </w:rPr>
        <w:t>optimiza</w:t>
      </w:r>
      <w:r w:rsidRPr="000F4647">
        <w:rPr>
          <w:rFonts w:ascii="Times New Roman" w:eastAsia="Times New Roman" w:hAnsi="Times New Roman" w:cs="Times New Roman"/>
          <w:color w:val="000000"/>
          <w:sz w:val="28"/>
          <w:szCs w:val="28"/>
          <w:lang w:val="ro-RO" w:eastAsia="ru-RU"/>
        </w:rPr>
        <w:t xml:space="preserve"> costurile şi riscurile, inclusiv asimetria valutară, efectele negative ale fluctuaţiei ratelor de dobîndă şi refinanţării. </w:t>
      </w:r>
      <w:r w:rsidR="004C2AB1">
        <w:rPr>
          <w:rFonts w:ascii="Times New Roman" w:eastAsia="Times New Roman" w:hAnsi="Times New Roman" w:cs="Times New Roman"/>
          <w:color w:val="000000"/>
          <w:sz w:val="28"/>
          <w:szCs w:val="28"/>
          <w:lang w:val="ro-RO" w:eastAsia="ru-RU"/>
        </w:rPr>
        <w:t>Această</w:t>
      </w:r>
      <w:r w:rsidRPr="000F4647">
        <w:rPr>
          <w:rFonts w:ascii="Times New Roman" w:eastAsia="Times New Roman" w:hAnsi="Times New Roman" w:cs="Times New Roman"/>
          <w:color w:val="000000"/>
          <w:sz w:val="28"/>
          <w:szCs w:val="28"/>
          <w:lang w:val="ro-RO" w:eastAsia="ru-RU"/>
        </w:rPr>
        <w:t xml:space="preserve"> acţiune va fi orientată pe următoarele direcţii:</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val="ro-RO" w:eastAsia="ru-RU"/>
        </w:rPr>
      </w:pPr>
      <w:r w:rsidRPr="000F4647">
        <w:rPr>
          <w:rFonts w:ascii="Times New Roman" w:eastAsia="Times New Roman" w:hAnsi="Times New Roman" w:cs="Times New Roman"/>
          <w:b/>
          <w:bCs/>
          <w:i/>
          <w:iCs/>
          <w:color w:val="000000"/>
          <w:sz w:val="28"/>
          <w:szCs w:val="28"/>
          <w:lang w:val="ro-RO" w:eastAsia="ru-RU"/>
        </w:rPr>
        <w:t>Optimizarea riscurilor financiare (ris</w:t>
      </w:r>
      <w:r w:rsidR="00806CEF">
        <w:rPr>
          <w:rFonts w:ascii="Times New Roman" w:eastAsia="Times New Roman" w:hAnsi="Times New Roman" w:cs="Times New Roman"/>
          <w:b/>
          <w:bCs/>
          <w:i/>
          <w:iCs/>
          <w:color w:val="000000"/>
          <w:sz w:val="28"/>
          <w:szCs w:val="28"/>
          <w:lang w:val="ro-RO" w:eastAsia="ru-RU"/>
        </w:rPr>
        <w:t xml:space="preserve">cul de refinanţare, valutar, </w:t>
      </w:r>
      <w:r w:rsidRPr="000F4647">
        <w:rPr>
          <w:rFonts w:ascii="Times New Roman" w:eastAsia="Times New Roman" w:hAnsi="Times New Roman" w:cs="Times New Roman"/>
          <w:b/>
          <w:bCs/>
          <w:i/>
          <w:iCs/>
          <w:color w:val="000000"/>
          <w:sz w:val="28"/>
          <w:szCs w:val="28"/>
          <w:lang w:val="ro-RO" w:eastAsia="ru-RU"/>
        </w:rPr>
        <w:t>a</w:t>
      </w:r>
      <w:r w:rsidR="00806CEF">
        <w:rPr>
          <w:rFonts w:ascii="Times New Roman" w:eastAsia="Times New Roman" w:hAnsi="Times New Roman" w:cs="Times New Roman"/>
          <w:b/>
          <w:bCs/>
          <w:i/>
          <w:iCs/>
          <w:color w:val="000000"/>
          <w:sz w:val="28"/>
          <w:szCs w:val="28"/>
          <w:lang w:val="ro-RO" w:eastAsia="ru-RU"/>
        </w:rPr>
        <w:t>l</w:t>
      </w:r>
      <w:r w:rsidRPr="000F4647">
        <w:rPr>
          <w:rFonts w:ascii="Times New Roman" w:eastAsia="Times New Roman" w:hAnsi="Times New Roman" w:cs="Times New Roman"/>
          <w:b/>
          <w:bCs/>
          <w:i/>
          <w:iCs/>
          <w:color w:val="000000"/>
          <w:sz w:val="28"/>
          <w:szCs w:val="28"/>
          <w:lang w:val="ro-RO" w:eastAsia="ru-RU"/>
        </w:rPr>
        <w:t xml:space="preserve"> ratei </w:t>
      </w:r>
      <w:r w:rsidR="00806CEF">
        <w:rPr>
          <w:rFonts w:ascii="Times New Roman" w:eastAsia="Times New Roman" w:hAnsi="Times New Roman" w:cs="Times New Roman"/>
          <w:b/>
          <w:bCs/>
          <w:i/>
          <w:iCs/>
          <w:color w:val="000000"/>
          <w:sz w:val="28"/>
          <w:szCs w:val="28"/>
          <w:lang w:val="ro-RO" w:eastAsia="ru-RU"/>
        </w:rPr>
        <w:t xml:space="preserve">de </w:t>
      </w:r>
      <w:r w:rsidRPr="000F4647">
        <w:rPr>
          <w:rFonts w:ascii="Times New Roman" w:eastAsia="Times New Roman" w:hAnsi="Times New Roman" w:cs="Times New Roman"/>
          <w:b/>
          <w:bCs/>
          <w:i/>
          <w:iCs/>
          <w:color w:val="000000"/>
          <w:sz w:val="28"/>
          <w:szCs w:val="28"/>
          <w:lang w:val="ro-RO" w:eastAsia="ru-RU"/>
        </w:rPr>
        <w:t>dobîn</w:t>
      </w:r>
      <w:r w:rsidR="00806CEF">
        <w:rPr>
          <w:rFonts w:ascii="Times New Roman" w:eastAsia="Times New Roman" w:hAnsi="Times New Roman" w:cs="Times New Roman"/>
          <w:b/>
          <w:bCs/>
          <w:i/>
          <w:iCs/>
          <w:color w:val="000000"/>
          <w:sz w:val="28"/>
          <w:szCs w:val="28"/>
          <w:lang w:val="ro-RO" w:eastAsia="ru-RU"/>
        </w:rPr>
        <w:t>dă</w:t>
      </w:r>
      <w:r w:rsidRPr="000F4647">
        <w:rPr>
          <w:rFonts w:ascii="Times New Roman" w:eastAsia="Times New Roman" w:hAnsi="Times New Roman" w:cs="Times New Roman"/>
          <w:b/>
          <w:bCs/>
          <w:i/>
          <w:iCs/>
          <w:color w:val="000000"/>
          <w:sz w:val="28"/>
          <w:szCs w:val="28"/>
          <w:lang w:val="ro-RO" w:eastAsia="ru-RU"/>
        </w:rPr>
        <w:t>)</w:t>
      </w:r>
      <w:r w:rsidRPr="000F4647">
        <w:rPr>
          <w:rFonts w:ascii="Times New Roman" w:eastAsia="Times New Roman" w:hAnsi="Times New Roman" w:cs="Times New Roman"/>
          <w:i/>
          <w:iCs/>
          <w:color w:val="000000"/>
          <w:sz w:val="28"/>
          <w:szCs w:val="28"/>
          <w:lang w:val="ro-RO" w:eastAsia="ru-RU"/>
        </w:rPr>
        <w:t>,</w:t>
      </w:r>
      <w:r w:rsidRPr="000F4647">
        <w:rPr>
          <w:rFonts w:ascii="Times New Roman" w:eastAsia="Times New Roman" w:hAnsi="Times New Roman" w:cs="Times New Roman"/>
          <w:b/>
          <w:bCs/>
          <w:i/>
          <w:iCs/>
          <w:color w:val="000000"/>
          <w:sz w:val="28"/>
          <w:szCs w:val="28"/>
          <w:lang w:val="ro-RO" w:eastAsia="ru-RU"/>
        </w:rPr>
        <w:t xml:space="preserve"> </w:t>
      </w:r>
      <w:r w:rsidRPr="000F4647">
        <w:rPr>
          <w:rFonts w:ascii="Times New Roman" w:eastAsia="Times New Roman" w:hAnsi="Times New Roman" w:cs="Times New Roman"/>
          <w:color w:val="000000"/>
          <w:sz w:val="28"/>
          <w:szCs w:val="28"/>
          <w:lang w:val="ro-RO" w:eastAsia="ru-RU"/>
        </w:rPr>
        <w:t>prin:</w:t>
      </w:r>
      <w:r w:rsidRPr="000F4647">
        <w:rPr>
          <w:rFonts w:ascii="Times New Roman" w:eastAsia="Times New Roman" w:hAnsi="Times New Roman" w:cs="Times New Roman"/>
          <w:b/>
          <w:bCs/>
          <w:i/>
          <w:iCs/>
          <w:color w:val="000000"/>
          <w:sz w:val="28"/>
          <w:szCs w:val="28"/>
          <w:lang w:val="ro-RO" w:eastAsia="ru-RU"/>
        </w:rPr>
        <w:t xml:space="preserve">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0F4647">
        <w:rPr>
          <w:rFonts w:ascii="Times New Roman" w:eastAsia="Times New Roman" w:hAnsi="Times New Roman" w:cs="Times New Roman"/>
          <w:sz w:val="28"/>
          <w:szCs w:val="28"/>
          <w:lang w:val="ro-RO" w:eastAsia="ru-RU"/>
        </w:rPr>
        <w:t>a) optimizarea riscului de refinanţare pentru datoria de stat</w:t>
      </w:r>
      <w:r w:rsidRPr="000F4647">
        <w:rPr>
          <w:rFonts w:ascii="Times New Roman" w:eastAsia="Times New Roman" w:hAnsi="Times New Roman" w:cs="Times New Roman"/>
          <w:i/>
          <w:iCs/>
          <w:sz w:val="28"/>
          <w:szCs w:val="28"/>
          <w:lang w:val="ro-RO" w:eastAsia="ru-RU"/>
        </w:rPr>
        <w:t xml:space="preserve"> </w:t>
      </w:r>
      <w:r w:rsidR="004C2AB1">
        <w:rPr>
          <w:rFonts w:ascii="Times New Roman" w:eastAsia="Times New Roman" w:hAnsi="Times New Roman" w:cs="Times New Roman"/>
          <w:sz w:val="28"/>
          <w:szCs w:val="28"/>
          <w:lang w:val="ro-RO" w:eastAsia="ru-RU"/>
        </w:rPr>
        <w:t>prin</w:t>
      </w:r>
      <w:r w:rsidRPr="000F4647">
        <w:rPr>
          <w:rFonts w:ascii="Times New Roman" w:eastAsia="Times New Roman" w:hAnsi="Times New Roman" w:cs="Times New Roman"/>
          <w:sz w:val="28"/>
          <w:szCs w:val="28"/>
          <w:lang w:val="ro-RO" w:eastAsia="ru-RU"/>
        </w:rPr>
        <w:t xml:space="preserve"> contractarea unor împrumuturi preponderent pe termen mediu şi lung, avîndu-se în vedere frontiera de eficienţă cost/risc şi condiţiile de piaţă ale unor astfel de instrumente în comparaţie cu instrumentele emise pe termen scurt. De asemenea, se va urmări distribuirea cît mai uniformă a sumelor destinate deservirii datoriei de stat,</w:t>
      </w:r>
      <w:r w:rsidRPr="000F4647">
        <w:rPr>
          <w:rFonts w:ascii="Times New Roman" w:eastAsia="Times New Roman" w:hAnsi="Times New Roman" w:cs="Times New Roman"/>
          <w:b/>
          <w:bCs/>
          <w:sz w:val="28"/>
          <w:szCs w:val="28"/>
          <w:lang w:val="ro-RO" w:eastAsia="ru-RU"/>
        </w:rPr>
        <w:t xml:space="preserve"> </w:t>
      </w:r>
      <w:r w:rsidRPr="000F4647">
        <w:rPr>
          <w:rFonts w:ascii="Times New Roman" w:eastAsia="Times New Roman" w:hAnsi="Times New Roman" w:cs="Times New Roman"/>
          <w:sz w:val="28"/>
          <w:szCs w:val="28"/>
          <w:lang w:val="ro-RO" w:eastAsia="ru-RU"/>
        </w:rPr>
        <w:t>prin stabilirea scadenţelor noilor împrumuturi, astfel încît să se evite formarea de vîrfuri de plată;</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0F4647">
        <w:rPr>
          <w:rFonts w:ascii="Times New Roman" w:eastAsia="Times New Roman" w:hAnsi="Times New Roman" w:cs="Times New Roman"/>
          <w:sz w:val="28"/>
          <w:szCs w:val="28"/>
          <w:lang w:val="ro-RO" w:eastAsia="ru-RU"/>
        </w:rPr>
        <w:t xml:space="preserve">b) optimizarea riscului valutar prin </w:t>
      </w:r>
      <w:r w:rsidR="00DA43A4">
        <w:rPr>
          <w:rFonts w:ascii="Times New Roman" w:eastAsia="Times New Roman" w:hAnsi="Times New Roman" w:cs="Times New Roman"/>
          <w:sz w:val="28"/>
          <w:szCs w:val="28"/>
          <w:lang w:val="ro-RO" w:eastAsia="ru-RU"/>
        </w:rPr>
        <w:t>întreprinderea eforturilor</w:t>
      </w:r>
      <w:r w:rsidR="00007773">
        <w:rPr>
          <w:rFonts w:ascii="Times New Roman" w:eastAsia="Times New Roman" w:hAnsi="Times New Roman" w:cs="Times New Roman"/>
          <w:sz w:val="28"/>
          <w:szCs w:val="28"/>
          <w:lang w:val="ro-RO" w:eastAsia="ru-RU"/>
        </w:rPr>
        <w:t xml:space="preserve"> în vederea majorării ponderii datoriei de stat în monedă naţională în total datorie de stat, precum şi prin</w:t>
      </w:r>
      <w:r w:rsidR="00DA43A4">
        <w:rPr>
          <w:rFonts w:ascii="Times New Roman" w:eastAsia="Times New Roman" w:hAnsi="Times New Roman" w:cs="Times New Roman"/>
          <w:sz w:val="28"/>
          <w:szCs w:val="28"/>
          <w:lang w:val="ro-RO" w:eastAsia="ru-RU"/>
        </w:rPr>
        <w:t xml:space="preserve"> </w:t>
      </w:r>
      <w:r w:rsidRPr="000F4647">
        <w:rPr>
          <w:rFonts w:ascii="Times New Roman" w:eastAsia="Times New Roman" w:hAnsi="Times New Roman" w:cs="Times New Roman"/>
          <w:sz w:val="28"/>
          <w:szCs w:val="28"/>
          <w:lang w:val="ro-RO" w:eastAsia="ru-RU"/>
        </w:rPr>
        <w:t>diversificarea valutelor ce intră în componenţa datoriei de stat externe şi evitarea deţinerii de către o anumită valută a ponderii majoritare în portofoliul datoriei de stat externe;</w:t>
      </w:r>
    </w:p>
    <w:p w:rsidR="000F4647" w:rsidRPr="00007773" w:rsidRDefault="000F4647"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0F4647">
        <w:rPr>
          <w:rFonts w:ascii="Times New Roman" w:eastAsia="Times New Roman" w:hAnsi="Times New Roman" w:cs="Times New Roman"/>
          <w:sz w:val="28"/>
          <w:szCs w:val="28"/>
          <w:lang w:val="ro-RO" w:eastAsia="ru-RU"/>
        </w:rPr>
        <w:t xml:space="preserve">c) </w:t>
      </w:r>
      <w:r w:rsidR="00A21108" w:rsidRPr="000F4647">
        <w:rPr>
          <w:rFonts w:ascii="Times New Roman" w:eastAsia="Times New Roman" w:hAnsi="Times New Roman" w:cs="Times New Roman"/>
          <w:sz w:val="28"/>
          <w:szCs w:val="28"/>
          <w:lang w:val="ro-RO" w:eastAsia="ru-RU"/>
        </w:rPr>
        <w:t xml:space="preserve">optimizarea </w:t>
      </w:r>
      <w:r w:rsidR="00007773" w:rsidRPr="000F4647">
        <w:rPr>
          <w:rFonts w:ascii="Times New Roman" w:eastAsia="Times New Roman" w:hAnsi="Times New Roman" w:cs="Times New Roman"/>
          <w:sz w:val="28"/>
          <w:szCs w:val="28"/>
          <w:lang w:val="ro-RO" w:eastAsia="ru-RU"/>
        </w:rPr>
        <w:t xml:space="preserve">riscului aferent creşterii ratelor de dobîndă de referinţă şi reducerea incertitudinii cu privire la efortul bugetar anual necesar efectuării plăţilor de dobînzi </w:t>
      </w:r>
      <w:r w:rsidR="00007773">
        <w:rPr>
          <w:rFonts w:ascii="Times New Roman" w:eastAsia="Times New Roman" w:hAnsi="Times New Roman" w:cs="Times New Roman"/>
          <w:sz w:val="28"/>
          <w:szCs w:val="28"/>
          <w:lang w:val="ro-RO" w:eastAsia="ru-RU"/>
        </w:rPr>
        <w:t xml:space="preserve">prin </w:t>
      </w:r>
      <w:r w:rsidRPr="000F4647">
        <w:rPr>
          <w:rFonts w:ascii="Times New Roman" w:eastAsia="Times New Roman" w:hAnsi="Times New Roman" w:cs="Times New Roman"/>
          <w:sz w:val="28"/>
          <w:szCs w:val="28"/>
          <w:lang w:val="ro-RO" w:eastAsia="ru-RU"/>
        </w:rPr>
        <w:t xml:space="preserve">menţinerea ponderii majoritare a datoriei cu rata dobînzii fixă în totalul datoriei de stat.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val="ro-RO" w:eastAsia="ru-RU"/>
        </w:rPr>
      </w:pPr>
      <w:r w:rsidRPr="000F4647">
        <w:rPr>
          <w:rFonts w:ascii="Times New Roman" w:eastAsia="Times New Roman" w:hAnsi="Times New Roman" w:cs="Times New Roman"/>
          <w:b/>
          <w:bCs/>
          <w:i/>
          <w:iCs/>
          <w:color w:val="000000"/>
          <w:sz w:val="28"/>
          <w:szCs w:val="28"/>
          <w:lang w:val="ro-RO" w:eastAsia="ru-RU"/>
        </w:rPr>
        <w:t xml:space="preserve">Optimizarea riscului de credit </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val="ro-RO" w:eastAsia="ru-RU"/>
        </w:rPr>
      </w:pPr>
      <w:r w:rsidRPr="000F4647">
        <w:rPr>
          <w:rFonts w:ascii="Times New Roman" w:eastAsia="Times New Roman" w:hAnsi="Times New Roman" w:cs="Times New Roman"/>
          <w:color w:val="000000"/>
          <w:sz w:val="28"/>
          <w:szCs w:val="28"/>
          <w:lang w:val="ro-RO" w:eastAsia="ru-RU"/>
        </w:rPr>
        <w:t>Optimizarea riscului de credit</w:t>
      </w:r>
      <w:r w:rsidRPr="000F4647">
        <w:rPr>
          <w:rFonts w:ascii="Times New Roman" w:eastAsia="Times New Roman" w:hAnsi="Times New Roman" w:cs="Times New Roman"/>
          <w:b/>
          <w:bCs/>
          <w:i/>
          <w:iCs/>
          <w:color w:val="000000"/>
          <w:sz w:val="28"/>
          <w:szCs w:val="28"/>
          <w:lang w:val="ro-RO" w:eastAsia="ru-RU"/>
        </w:rPr>
        <w:t xml:space="preserve"> </w:t>
      </w:r>
      <w:r w:rsidRPr="000F4647">
        <w:rPr>
          <w:rFonts w:ascii="Times New Roman" w:eastAsia="Times New Roman" w:hAnsi="Times New Roman" w:cs="Times New Roman"/>
          <w:color w:val="000000"/>
          <w:sz w:val="28"/>
          <w:szCs w:val="28"/>
          <w:lang w:val="ro-RO" w:eastAsia="ru-RU"/>
        </w:rPr>
        <w:t xml:space="preserve">se referă la </w:t>
      </w:r>
      <w:r w:rsidRPr="000F4647">
        <w:rPr>
          <w:rFonts w:ascii="Times New Roman" w:eastAsia="Times New Roman" w:hAnsi="Times New Roman" w:cs="Times New Roman"/>
          <w:sz w:val="28"/>
          <w:szCs w:val="28"/>
          <w:lang w:val="ro-RO" w:eastAsia="ru-RU"/>
        </w:rPr>
        <w:t>reducerea riscului bugetar cauzat de posibila activare a garanţiilor de stat.</w:t>
      </w:r>
    </w:p>
    <w:p w:rsidR="000F4647" w:rsidRPr="000F4647" w:rsidRDefault="000F4647" w:rsidP="0085350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0F4647">
        <w:rPr>
          <w:rFonts w:ascii="Times New Roman" w:eastAsia="Times New Roman" w:hAnsi="Times New Roman" w:cs="Times New Roman"/>
          <w:sz w:val="28"/>
          <w:szCs w:val="28"/>
          <w:lang w:val="ro-RO" w:eastAsia="ru-RU"/>
        </w:rPr>
        <w:t>Riscul efectuării plăţilor de Ministerul Finanţelor în calitate de garant, acordate din bugetul de stat se va reduce atît datorită rambursării integrale a împrumuturilor garantate de stat pînă în anul 201</w:t>
      </w:r>
      <w:r w:rsidR="0099576C">
        <w:rPr>
          <w:rFonts w:ascii="Times New Roman" w:eastAsia="Times New Roman" w:hAnsi="Times New Roman" w:cs="Times New Roman"/>
          <w:sz w:val="28"/>
          <w:szCs w:val="28"/>
          <w:lang w:val="ro-RO" w:eastAsia="ru-RU"/>
        </w:rPr>
        <w:t>4 inclusiv</w:t>
      </w:r>
      <w:r w:rsidRPr="000F4647">
        <w:rPr>
          <w:rFonts w:ascii="Times New Roman" w:eastAsia="Times New Roman" w:hAnsi="Times New Roman" w:cs="Times New Roman"/>
          <w:sz w:val="28"/>
          <w:szCs w:val="28"/>
          <w:lang w:val="ro-RO" w:eastAsia="ru-RU"/>
        </w:rPr>
        <w:t xml:space="preserve">, cît şi datorită prevederilor </w:t>
      </w:r>
      <w:r w:rsidR="00470731">
        <w:rPr>
          <w:rFonts w:ascii="Times New Roman" w:eastAsia="Times New Roman" w:hAnsi="Times New Roman" w:cs="Times New Roman"/>
          <w:i/>
          <w:sz w:val="28"/>
          <w:szCs w:val="28"/>
          <w:lang w:val="ro-RO" w:eastAsia="ru-RU"/>
        </w:rPr>
        <w:t>Legii nr.</w:t>
      </w:r>
      <w:r w:rsidRPr="00EC22B2">
        <w:rPr>
          <w:rFonts w:ascii="Times New Roman" w:eastAsia="Times New Roman" w:hAnsi="Times New Roman" w:cs="Times New Roman"/>
          <w:i/>
          <w:sz w:val="28"/>
          <w:szCs w:val="28"/>
          <w:lang w:val="ro-RO" w:eastAsia="ru-RU"/>
        </w:rPr>
        <w:t>419-XVI din 22 decembrie 2006 cu privire la datoria publică, garanţiile de stat şi recreditarea de stat</w:t>
      </w:r>
      <w:r w:rsidRPr="000F4647">
        <w:rPr>
          <w:rFonts w:ascii="Times New Roman" w:eastAsia="Times New Roman" w:hAnsi="Times New Roman" w:cs="Times New Roman"/>
          <w:sz w:val="28"/>
          <w:szCs w:val="28"/>
          <w:lang w:val="ro-RO" w:eastAsia="ru-RU"/>
        </w:rPr>
        <w:t xml:space="preserve"> conform căr</w:t>
      </w:r>
      <w:r w:rsidR="00806CEF">
        <w:rPr>
          <w:rFonts w:ascii="Times New Roman" w:eastAsia="Times New Roman" w:hAnsi="Times New Roman" w:cs="Times New Roman"/>
          <w:sz w:val="28"/>
          <w:szCs w:val="28"/>
          <w:lang w:val="ro-RO" w:eastAsia="ru-RU"/>
        </w:rPr>
        <w:t>eia</w:t>
      </w:r>
      <w:r w:rsidRPr="000F4647">
        <w:rPr>
          <w:rFonts w:ascii="Times New Roman" w:eastAsia="Times New Roman" w:hAnsi="Times New Roman" w:cs="Times New Roman"/>
          <w:sz w:val="28"/>
          <w:szCs w:val="28"/>
          <w:lang w:val="ro-RO" w:eastAsia="ru-RU"/>
        </w:rPr>
        <w:t xml:space="preserve">, acordarea garanţiilor de stat se va face doar pentru proiectele prioritare pentru economia naţională, în baza unei legi speciale emise în acest scop, după parcurgerea unor etape care să </w:t>
      </w:r>
      <w:r w:rsidR="00470731">
        <w:rPr>
          <w:rFonts w:ascii="Times New Roman" w:eastAsia="Times New Roman" w:hAnsi="Times New Roman" w:cs="Times New Roman"/>
          <w:sz w:val="28"/>
          <w:szCs w:val="28"/>
          <w:lang w:val="ro-RO" w:eastAsia="ru-RU"/>
        </w:rPr>
        <w:t>confirme</w:t>
      </w:r>
      <w:r w:rsidRPr="000F4647">
        <w:rPr>
          <w:rFonts w:ascii="Times New Roman" w:eastAsia="Times New Roman" w:hAnsi="Times New Roman" w:cs="Times New Roman"/>
          <w:sz w:val="28"/>
          <w:szCs w:val="28"/>
          <w:lang w:val="ro-RO" w:eastAsia="ru-RU"/>
        </w:rPr>
        <w:t xml:space="preserve"> credibilitatea şi capacitatea de rambursare a datoriilor de către beneficiarii garanţiilor de stat. </w:t>
      </w:r>
    </w:p>
    <w:p w:rsidR="000F4647" w:rsidRPr="000F4647" w:rsidRDefault="000F4647" w:rsidP="00780A34">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8"/>
          <w:szCs w:val="28"/>
          <w:lang w:val="ro-RO" w:eastAsia="ru-RU"/>
        </w:rPr>
      </w:pPr>
      <w:r w:rsidRPr="000F4647">
        <w:rPr>
          <w:rFonts w:ascii="Times New Roman" w:eastAsia="Times New Roman" w:hAnsi="Times New Roman" w:cs="Times New Roman"/>
          <w:b/>
          <w:bCs/>
          <w:i/>
          <w:iCs/>
          <w:color w:val="000000"/>
          <w:sz w:val="28"/>
          <w:szCs w:val="28"/>
          <w:lang w:val="ro-RO" w:eastAsia="ru-RU"/>
        </w:rPr>
        <w:t xml:space="preserve">Optimizarea riscului operaţional </w:t>
      </w:r>
    </w:p>
    <w:p w:rsidR="000F4647" w:rsidRPr="000F4647" w:rsidRDefault="000F4647" w:rsidP="00780A34">
      <w:pPr>
        <w:autoSpaceDE w:val="0"/>
        <w:autoSpaceDN w:val="0"/>
        <w:adjustRightInd w:val="0"/>
        <w:spacing w:after="0" w:line="240" w:lineRule="auto"/>
        <w:ind w:firstLine="709"/>
        <w:jc w:val="both"/>
        <w:rPr>
          <w:rFonts w:ascii="Times New Roman" w:eastAsia="Times New Roman" w:hAnsi="Times New Roman" w:cs="Times New Roman"/>
          <w:i/>
          <w:iCs/>
          <w:sz w:val="28"/>
          <w:szCs w:val="28"/>
          <w:lang w:val="ro-RO" w:eastAsia="ru-RU"/>
        </w:rPr>
      </w:pPr>
      <w:r w:rsidRPr="000F4647">
        <w:rPr>
          <w:rFonts w:ascii="Times New Roman" w:eastAsia="Times New Roman" w:hAnsi="Times New Roman" w:cs="Times New Roman"/>
          <w:sz w:val="28"/>
          <w:szCs w:val="28"/>
          <w:lang w:val="ro-RO" w:eastAsia="ru-RU"/>
        </w:rPr>
        <w:t>Pentru a optimiza riscul operaţional se va ţine cont de următoarele aspecte</w:t>
      </w:r>
      <w:r w:rsidRPr="000F4647">
        <w:rPr>
          <w:rFonts w:ascii="Times New Roman" w:eastAsia="Times New Roman" w:hAnsi="Times New Roman" w:cs="Times New Roman"/>
          <w:i/>
          <w:iCs/>
          <w:sz w:val="28"/>
          <w:szCs w:val="28"/>
          <w:lang w:val="ro-RO" w:eastAsia="ru-RU"/>
        </w:rPr>
        <w:t xml:space="preserve">: </w:t>
      </w:r>
    </w:p>
    <w:p w:rsidR="000F4647" w:rsidRPr="000F4647" w:rsidRDefault="00470731" w:rsidP="00780A34">
      <w:pPr>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a) </w:t>
      </w:r>
      <w:r w:rsidR="000F4647" w:rsidRPr="000F4647">
        <w:rPr>
          <w:rFonts w:ascii="Times New Roman" w:eastAsia="Times New Roman" w:hAnsi="Times New Roman" w:cs="Times New Roman"/>
          <w:sz w:val="28"/>
          <w:szCs w:val="28"/>
          <w:lang w:val="ro-RO" w:eastAsia="ru-RU"/>
        </w:rPr>
        <w:t xml:space="preserve">implementarea de sisteme de control intern adecvate, precum şi modernizarea </w:t>
      </w:r>
      <w:r>
        <w:rPr>
          <w:rFonts w:ascii="Times New Roman" w:eastAsia="Times New Roman" w:hAnsi="Times New Roman" w:cs="Times New Roman"/>
          <w:sz w:val="28"/>
          <w:szCs w:val="28"/>
          <w:lang w:val="ro-RO" w:eastAsia="ru-RU"/>
        </w:rPr>
        <w:t>sistemelor informaționale a</w:t>
      </w:r>
      <w:r w:rsidR="000F4647" w:rsidRPr="000F4647">
        <w:rPr>
          <w:rFonts w:ascii="Times New Roman" w:eastAsia="Times New Roman" w:hAnsi="Times New Roman" w:cs="Times New Roman"/>
          <w:sz w:val="28"/>
          <w:szCs w:val="28"/>
          <w:lang w:val="ro-RO" w:eastAsia="ru-RU"/>
        </w:rPr>
        <w:t>ctual</w:t>
      </w:r>
      <w:r>
        <w:rPr>
          <w:rFonts w:ascii="Times New Roman" w:eastAsia="Times New Roman" w:hAnsi="Times New Roman" w:cs="Times New Roman"/>
          <w:sz w:val="28"/>
          <w:szCs w:val="28"/>
          <w:lang w:val="ro-RO" w:eastAsia="ru-RU"/>
        </w:rPr>
        <w:t>e</w:t>
      </w:r>
      <w:r w:rsidR="000F4647" w:rsidRPr="000F4647">
        <w:rPr>
          <w:rFonts w:ascii="Times New Roman" w:eastAsia="Times New Roman" w:hAnsi="Times New Roman" w:cs="Times New Roman"/>
          <w:sz w:val="28"/>
          <w:szCs w:val="28"/>
          <w:lang w:val="ro-RO" w:eastAsia="ru-RU"/>
        </w:rPr>
        <w:t xml:space="preserve"> de înregistrare şi monitorizare a datoriei de stat;</w:t>
      </w:r>
    </w:p>
    <w:p w:rsidR="000F4647" w:rsidRPr="000F4647" w:rsidRDefault="000F4647" w:rsidP="00780A34">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595ECF">
        <w:rPr>
          <w:rFonts w:ascii="Times New Roman" w:eastAsia="Times New Roman" w:hAnsi="Times New Roman" w:cs="Times New Roman"/>
          <w:sz w:val="28"/>
          <w:szCs w:val="28"/>
          <w:lang w:val="ro-RO" w:eastAsia="ru-RU"/>
        </w:rPr>
        <w:t xml:space="preserve">b) </w:t>
      </w:r>
      <w:r w:rsidR="005C1980" w:rsidRPr="00595ECF">
        <w:rPr>
          <w:rFonts w:ascii="Times New Roman" w:eastAsia="Times New Roman" w:hAnsi="Times New Roman" w:cs="Times New Roman"/>
          <w:sz w:val="28"/>
          <w:szCs w:val="28"/>
          <w:lang w:val="ro-RO" w:eastAsia="ru-RU"/>
        </w:rPr>
        <w:t>asigurarea existenţei unor</w:t>
      </w:r>
      <w:r w:rsidRPr="00595ECF">
        <w:rPr>
          <w:rFonts w:ascii="Times New Roman" w:eastAsia="Times New Roman" w:hAnsi="Times New Roman" w:cs="Times New Roman"/>
          <w:sz w:val="28"/>
          <w:szCs w:val="28"/>
          <w:lang w:val="ro-RO" w:eastAsia="ru-RU"/>
        </w:rPr>
        <w:t xml:space="preserve"> descrieri detaliate a procedurilor de înregistrare şi vali</w:t>
      </w:r>
      <w:r w:rsidR="00806CEF">
        <w:rPr>
          <w:rFonts w:ascii="Times New Roman" w:eastAsia="Times New Roman" w:hAnsi="Times New Roman" w:cs="Times New Roman"/>
          <w:sz w:val="28"/>
          <w:szCs w:val="28"/>
          <w:lang w:val="ro-RO" w:eastAsia="ru-RU"/>
        </w:rPr>
        <w:t>dare a datelor datoriei de stat</w:t>
      </w:r>
      <w:r w:rsidRPr="00595ECF">
        <w:rPr>
          <w:rFonts w:ascii="Times New Roman" w:eastAsia="Times New Roman" w:hAnsi="Times New Roman" w:cs="Times New Roman"/>
          <w:sz w:val="28"/>
          <w:szCs w:val="28"/>
          <w:lang w:val="ro-RO" w:eastAsia="ru-RU"/>
        </w:rPr>
        <w:t>. Un alt aspect ţine de accesul la sistemele de înregistrare a datoriei de stat şi de păstrare a copiilor datelor din sistemele informaţionale într-o locaţie sigură, ceea ce ar asigura continuitatea activităţilor în caz de evenimente neprevăzute;</w:t>
      </w:r>
    </w:p>
    <w:p w:rsidR="000F4647" w:rsidRPr="005F58E5" w:rsidRDefault="00806CEF" w:rsidP="00780A34">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c) activitatea personalului, şi anume </w:t>
      </w:r>
      <w:r w:rsidR="000F4647" w:rsidRPr="000F4647">
        <w:rPr>
          <w:rFonts w:ascii="Times New Roman" w:eastAsia="Times New Roman" w:hAnsi="Times New Roman" w:cs="Times New Roman"/>
          <w:sz w:val="28"/>
          <w:szCs w:val="28"/>
          <w:lang w:val="ro-RO" w:eastAsia="ru-RU"/>
        </w:rPr>
        <w:t xml:space="preserve">separarea activităţilor pentru unele </w:t>
      </w:r>
      <w:r w:rsidR="000F4647" w:rsidRPr="005F58E5">
        <w:rPr>
          <w:rFonts w:ascii="Times New Roman" w:eastAsia="Times New Roman" w:hAnsi="Times New Roman" w:cs="Times New Roman"/>
          <w:sz w:val="28"/>
          <w:szCs w:val="28"/>
          <w:lang w:val="ro-RO" w:eastAsia="ru-RU"/>
        </w:rPr>
        <w:t>funcţii-cheie şi îmbunătăţirea continuă a capacităţii personalului.</w:t>
      </w:r>
    </w:p>
    <w:p w:rsidR="000F4647" w:rsidRPr="00806CEF" w:rsidRDefault="000F4647" w:rsidP="00C853DA">
      <w:pPr>
        <w:autoSpaceDE w:val="0"/>
        <w:autoSpaceDN w:val="0"/>
        <w:adjustRightInd w:val="0"/>
        <w:spacing w:before="60" w:after="0" w:line="240" w:lineRule="auto"/>
        <w:ind w:firstLine="709"/>
        <w:jc w:val="both"/>
        <w:rPr>
          <w:rFonts w:ascii="Times New Roman" w:eastAsia="Times New Roman" w:hAnsi="Times New Roman" w:cs="Times New Roman"/>
          <w:b/>
          <w:bCs/>
          <w:color w:val="000000"/>
          <w:sz w:val="28"/>
          <w:szCs w:val="28"/>
          <w:lang w:val="ro-RO" w:eastAsia="ru-RU"/>
        </w:rPr>
      </w:pPr>
      <w:r w:rsidRPr="005F58E5">
        <w:rPr>
          <w:rFonts w:ascii="Times New Roman" w:eastAsia="Times New Roman" w:hAnsi="Times New Roman" w:cs="Times New Roman"/>
          <w:b/>
          <w:bCs/>
          <w:sz w:val="28"/>
          <w:szCs w:val="28"/>
          <w:lang w:val="ro-RO" w:eastAsia="ru-RU"/>
        </w:rPr>
        <w:t>4</w:t>
      </w:r>
      <w:r w:rsidRPr="005F58E5">
        <w:rPr>
          <w:rFonts w:ascii="Times New Roman" w:eastAsia="Times New Roman" w:hAnsi="Times New Roman" w:cs="Times New Roman"/>
          <w:b/>
          <w:bCs/>
          <w:color w:val="000000"/>
          <w:sz w:val="28"/>
          <w:szCs w:val="28"/>
          <w:lang w:val="ro-RO" w:eastAsia="ru-RU"/>
        </w:rPr>
        <w:t xml:space="preserve">. </w:t>
      </w:r>
      <w:r w:rsidR="00BF064F" w:rsidRPr="005F58E5">
        <w:rPr>
          <w:rFonts w:ascii="Times New Roman" w:eastAsia="Times New Roman" w:hAnsi="Times New Roman" w:cs="Times New Roman"/>
          <w:b/>
          <w:bCs/>
          <w:color w:val="000000"/>
          <w:sz w:val="28"/>
          <w:szCs w:val="28"/>
          <w:lang w:val="ro-RO" w:eastAsia="ru-RU"/>
        </w:rPr>
        <w:t>Acţiuni întreprinse în vederea realizării obiectivului de d</w:t>
      </w:r>
      <w:r w:rsidRPr="005F58E5">
        <w:rPr>
          <w:rFonts w:ascii="Times New Roman" w:eastAsia="Times New Roman" w:hAnsi="Times New Roman" w:cs="Times New Roman"/>
          <w:b/>
          <w:bCs/>
          <w:color w:val="000000"/>
          <w:sz w:val="28"/>
          <w:szCs w:val="28"/>
          <w:lang w:val="ro-RO" w:eastAsia="ru-RU"/>
        </w:rPr>
        <w:t>ezvoltare</w:t>
      </w:r>
      <w:r w:rsidR="00BF064F" w:rsidRPr="005F58E5">
        <w:rPr>
          <w:rFonts w:ascii="Times New Roman" w:eastAsia="Times New Roman" w:hAnsi="Times New Roman" w:cs="Times New Roman"/>
          <w:b/>
          <w:bCs/>
          <w:color w:val="000000"/>
          <w:sz w:val="28"/>
          <w:szCs w:val="28"/>
          <w:lang w:val="ro-RO" w:eastAsia="ru-RU"/>
        </w:rPr>
        <w:t xml:space="preserve"> </w:t>
      </w:r>
      <w:r w:rsidRPr="005F58E5">
        <w:rPr>
          <w:rFonts w:ascii="Times New Roman" w:eastAsia="Times New Roman" w:hAnsi="Times New Roman" w:cs="Times New Roman"/>
          <w:b/>
          <w:bCs/>
          <w:color w:val="000000"/>
          <w:sz w:val="28"/>
          <w:szCs w:val="28"/>
          <w:lang w:val="ro-RO" w:eastAsia="ru-RU"/>
        </w:rPr>
        <w:t>a pieţei</w:t>
      </w:r>
      <w:r w:rsidR="00595ECF" w:rsidRPr="005F58E5">
        <w:rPr>
          <w:rFonts w:ascii="Times New Roman" w:eastAsia="Times New Roman" w:hAnsi="Times New Roman" w:cs="Times New Roman"/>
          <w:b/>
          <w:bCs/>
          <w:color w:val="000000"/>
          <w:sz w:val="28"/>
          <w:szCs w:val="28"/>
          <w:lang w:val="ro-RO" w:eastAsia="ru-RU"/>
        </w:rPr>
        <w:t xml:space="preserve"> interne a</w:t>
      </w:r>
      <w:r w:rsidRPr="005F58E5">
        <w:rPr>
          <w:rFonts w:ascii="Times New Roman" w:eastAsia="Times New Roman" w:hAnsi="Times New Roman" w:cs="Times New Roman"/>
          <w:b/>
          <w:bCs/>
          <w:color w:val="000000"/>
          <w:sz w:val="28"/>
          <w:szCs w:val="28"/>
          <w:lang w:val="ro-RO" w:eastAsia="ru-RU"/>
        </w:rPr>
        <w:t xml:space="preserve"> valorilor mobiliare de stat</w:t>
      </w:r>
      <w:r w:rsidR="00595ECF" w:rsidRPr="005F58E5">
        <w:rPr>
          <w:rFonts w:ascii="Times New Roman" w:eastAsia="Times New Roman" w:hAnsi="Times New Roman" w:cs="Times New Roman"/>
          <w:b/>
          <w:bCs/>
          <w:color w:val="000000"/>
          <w:sz w:val="28"/>
          <w:szCs w:val="28"/>
          <w:lang w:val="ro-RO" w:eastAsia="ru-RU"/>
        </w:rPr>
        <w:t>.</w:t>
      </w:r>
    </w:p>
    <w:p w:rsidR="00AA5A2C" w:rsidRDefault="00100ACA" w:rsidP="00780A34">
      <w:pPr>
        <w:spacing w:after="0" w:line="240" w:lineRule="auto"/>
        <w:ind w:firstLine="709"/>
        <w:jc w:val="both"/>
        <w:rPr>
          <w:rFonts w:ascii="Times New Roman" w:eastAsia="Calibri" w:hAnsi="Times New Roman" w:cs="Times New Roman"/>
          <w:sz w:val="28"/>
          <w:szCs w:val="28"/>
          <w:lang w:val="ro-RO" w:eastAsia="ru-RU"/>
        </w:rPr>
      </w:pPr>
      <w:r w:rsidRPr="00100ACA">
        <w:rPr>
          <w:rFonts w:ascii="Times New Roman" w:eastAsia="Calibri" w:hAnsi="Times New Roman" w:cs="Times New Roman"/>
          <w:sz w:val="28"/>
          <w:szCs w:val="28"/>
          <w:lang w:val="ro-RO" w:eastAsia="ru-RU"/>
        </w:rPr>
        <w:t xml:space="preserve">Dezvoltarea pieţei interne a </w:t>
      </w:r>
      <w:r w:rsidR="00470731">
        <w:rPr>
          <w:rFonts w:ascii="Times New Roman" w:eastAsia="Calibri" w:hAnsi="Times New Roman" w:cs="Times New Roman"/>
          <w:sz w:val="28"/>
          <w:szCs w:val="28"/>
          <w:lang w:val="ro-RO" w:eastAsia="ru-RU"/>
        </w:rPr>
        <w:t>VMS</w:t>
      </w:r>
      <w:r w:rsidRPr="00100ACA">
        <w:rPr>
          <w:rFonts w:ascii="Times New Roman" w:eastAsia="Calibri" w:hAnsi="Times New Roman" w:cs="Times New Roman"/>
          <w:sz w:val="28"/>
          <w:szCs w:val="28"/>
          <w:lang w:val="ro-RO" w:eastAsia="ru-RU"/>
        </w:rPr>
        <w:t xml:space="preserve"> rămîne un obiectiv strategic pe termen lung al Ministerului Finanțelor. În acest sens, direcțiile de acțiune pe termen mediu vizează</w:t>
      </w:r>
      <w:r w:rsidR="00AA5A2C">
        <w:rPr>
          <w:rFonts w:ascii="Times New Roman" w:eastAsia="Calibri" w:hAnsi="Times New Roman" w:cs="Times New Roman"/>
          <w:sz w:val="28"/>
          <w:szCs w:val="28"/>
          <w:lang w:val="ro-RO" w:eastAsia="ru-RU"/>
        </w:rPr>
        <w:t>:</w:t>
      </w:r>
    </w:p>
    <w:p w:rsidR="00AA5A2C" w:rsidRDefault="00AA5A2C" w:rsidP="00780A34">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Calibri" w:hAnsi="Times New Roman" w:cs="Times New Roman"/>
          <w:sz w:val="28"/>
          <w:szCs w:val="28"/>
          <w:lang w:val="ro-RO" w:eastAsia="ru-RU"/>
        </w:rPr>
        <w:t xml:space="preserve">a) </w:t>
      </w:r>
      <w:r w:rsidR="00100ACA" w:rsidRPr="00100ACA">
        <w:rPr>
          <w:rFonts w:ascii="Times New Roman" w:eastAsia="Times New Roman" w:hAnsi="Times New Roman" w:cs="Times New Roman"/>
          <w:sz w:val="28"/>
          <w:szCs w:val="28"/>
          <w:lang w:val="ro-RO" w:eastAsia="ru-RU"/>
        </w:rPr>
        <w:t>extinderea maturităţii valorilor mobiliare de stat pe piaţa primară;</w:t>
      </w:r>
    </w:p>
    <w:p w:rsidR="00AA5A2C" w:rsidRDefault="00AA5A2C" w:rsidP="00780A34">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b)</w:t>
      </w:r>
      <w:r w:rsidR="00100ACA" w:rsidRPr="00100ACA">
        <w:rPr>
          <w:rFonts w:ascii="Times New Roman" w:eastAsia="Times New Roman" w:hAnsi="Times New Roman" w:cs="Times New Roman"/>
          <w:sz w:val="28"/>
          <w:szCs w:val="28"/>
          <w:lang w:val="ro-RO" w:eastAsia="ru-RU"/>
        </w:rPr>
        <w:t xml:space="preserve"> consolidarea comunicării cu participanţii pe piaţă; </w:t>
      </w:r>
    </w:p>
    <w:p w:rsidR="00AA5A2C" w:rsidRDefault="00AA5A2C" w:rsidP="00780A34">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c) </w:t>
      </w:r>
      <w:r w:rsidR="00100ACA" w:rsidRPr="00100ACA">
        <w:rPr>
          <w:rFonts w:ascii="Times New Roman" w:eastAsia="Times New Roman" w:hAnsi="Times New Roman" w:cs="Times New Roman"/>
          <w:sz w:val="28"/>
          <w:szCs w:val="28"/>
          <w:lang w:val="ro-RO" w:eastAsia="ru-RU"/>
        </w:rPr>
        <w:t xml:space="preserve">restructurarea sistemului de dealeri primari; </w:t>
      </w:r>
    </w:p>
    <w:p w:rsidR="00100ACA" w:rsidRPr="00100ACA" w:rsidRDefault="00AA5A2C" w:rsidP="00780A34">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d) </w:t>
      </w:r>
      <w:r w:rsidR="00100ACA" w:rsidRPr="00100ACA">
        <w:rPr>
          <w:rFonts w:ascii="Times New Roman" w:eastAsia="Times New Roman" w:hAnsi="Times New Roman" w:cs="Times New Roman"/>
          <w:sz w:val="28"/>
          <w:szCs w:val="28"/>
          <w:lang w:val="ro-RO" w:eastAsia="ru-RU"/>
        </w:rPr>
        <w:t>asigurarea transparenţei şi pre</w:t>
      </w:r>
      <w:r>
        <w:rPr>
          <w:rFonts w:ascii="Times New Roman" w:eastAsia="Times New Roman" w:hAnsi="Times New Roman" w:cs="Times New Roman"/>
          <w:sz w:val="28"/>
          <w:szCs w:val="28"/>
          <w:lang w:val="ro-RO" w:eastAsia="ru-RU"/>
        </w:rPr>
        <w:t>vizibilităţ</w:t>
      </w:r>
      <w:r w:rsidR="00100ACA" w:rsidRPr="00100ACA">
        <w:rPr>
          <w:rFonts w:ascii="Times New Roman" w:eastAsia="Times New Roman" w:hAnsi="Times New Roman" w:cs="Times New Roman"/>
          <w:sz w:val="28"/>
          <w:szCs w:val="28"/>
          <w:lang w:val="ro-RO" w:eastAsia="ru-RU"/>
        </w:rPr>
        <w:t xml:space="preserve">ii pieței </w:t>
      </w:r>
      <w:r w:rsidR="00470731">
        <w:rPr>
          <w:rFonts w:ascii="Times New Roman" w:eastAsia="Times New Roman" w:hAnsi="Times New Roman" w:cs="Times New Roman"/>
          <w:sz w:val="28"/>
          <w:szCs w:val="28"/>
          <w:lang w:val="ro-RO" w:eastAsia="ru-RU"/>
        </w:rPr>
        <w:t>VMS</w:t>
      </w:r>
      <w:r w:rsidR="00100ACA" w:rsidRPr="00100ACA">
        <w:rPr>
          <w:rFonts w:ascii="Times New Roman" w:eastAsia="Times New Roman" w:hAnsi="Times New Roman" w:cs="Times New Roman"/>
          <w:sz w:val="28"/>
          <w:szCs w:val="28"/>
          <w:lang w:val="ro-RO" w:eastAsia="ru-RU"/>
        </w:rPr>
        <w:t>.</w:t>
      </w:r>
    </w:p>
    <w:p w:rsidR="00100ACA" w:rsidRPr="00100ACA" w:rsidRDefault="00100ACA" w:rsidP="00780A34">
      <w:pPr>
        <w:spacing w:after="0" w:line="240" w:lineRule="auto"/>
        <w:ind w:firstLine="709"/>
        <w:jc w:val="both"/>
        <w:rPr>
          <w:rFonts w:ascii="Times New Roman" w:eastAsia="Times New Roman" w:hAnsi="Times New Roman" w:cs="Times New Roman"/>
          <w:sz w:val="28"/>
          <w:szCs w:val="28"/>
          <w:lang w:val="ro-RO" w:eastAsia="ru-RU"/>
        </w:rPr>
      </w:pPr>
      <w:r w:rsidRPr="00100ACA">
        <w:rPr>
          <w:rFonts w:ascii="Times New Roman" w:eastAsia="Times New Roman" w:hAnsi="Times New Roman" w:cs="Times New Roman"/>
          <w:sz w:val="28"/>
          <w:szCs w:val="28"/>
          <w:lang w:val="ro-RO" w:eastAsia="ru-RU"/>
        </w:rPr>
        <w:t xml:space="preserve">În scopul consolidării și extinderii curbei de randament pe piața internă a valorilor mobiliare de stat, în perioada anilor 2014-2016 va continua modificarea treptată a structurii emisiunii instrumentelor existente, preferinţă fiind acordată instrumentelor cu termen mai lung de circulaţie. </w:t>
      </w:r>
      <w:r w:rsidRPr="00470731">
        <w:rPr>
          <w:rFonts w:ascii="Times New Roman" w:eastAsia="Times New Roman" w:hAnsi="Times New Roman" w:cs="Times New Roman"/>
          <w:sz w:val="28"/>
          <w:szCs w:val="28"/>
          <w:lang w:val="ro-RO" w:eastAsia="ru-RU"/>
        </w:rPr>
        <w:t>Se prevede</w:t>
      </w:r>
      <w:r w:rsidRPr="00100ACA">
        <w:rPr>
          <w:rFonts w:ascii="Times New Roman" w:eastAsia="Times New Roman" w:hAnsi="Times New Roman" w:cs="Times New Roman"/>
          <w:sz w:val="28"/>
          <w:szCs w:val="28"/>
          <w:lang w:val="ro-RO" w:eastAsia="ru-RU"/>
        </w:rPr>
        <w:t xml:space="preserve"> sporirea volumului ofertei de bonuri de trezorerie cu scadenţa 182 zile, </w:t>
      </w:r>
      <w:r w:rsidR="00470731">
        <w:rPr>
          <w:rFonts w:ascii="Times New Roman" w:eastAsia="Times New Roman" w:hAnsi="Times New Roman" w:cs="Times New Roman"/>
          <w:sz w:val="28"/>
          <w:szCs w:val="28"/>
          <w:lang w:val="ro-RO" w:eastAsia="ru-RU"/>
        </w:rPr>
        <w:t xml:space="preserve">și </w:t>
      </w:r>
      <w:r w:rsidRPr="00100ACA">
        <w:rPr>
          <w:rFonts w:ascii="Times New Roman" w:eastAsia="Times New Roman" w:hAnsi="Times New Roman" w:cs="Times New Roman"/>
          <w:sz w:val="28"/>
          <w:szCs w:val="28"/>
          <w:lang w:val="ro-RO" w:eastAsia="ru-RU"/>
        </w:rPr>
        <w:t xml:space="preserve">în special a celor cu scadența de 364 zile, precum şi </w:t>
      </w:r>
      <w:r w:rsidRPr="00470731">
        <w:rPr>
          <w:rFonts w:ascii="Times New Roman" w:eastAsia="Times New Roman" w:hAnsi="Times New Roman" w:cs="Times New Roman"/>
          <w:sz w:val="28"/>
          <w:szCs w:val="28"/>
          <w:lang w:val="ro-RO" w:eastAsia="ru-RU"/>
        </w:rPr>
        <w:t>emisiunea obligaţiunilor de stat cu dobîndă fixă pe termen de 3 ani.</w:t>
      </w:r>
      <w:r w:rsidRPr="00100ACA">
        <w:rPr>
          <w:rFonts w:ascii="Times New Roman" w:eastAsia="Times New Roman" w:hAnsi="Times New Roman" w:cs="Times New Roman"/>
          <w:sz w:val="28"/>
          <w:szCs w:val="28"/>
          <w:lang w:val="ro-RO" w:eastAsia="ru-RU"/>
        </w:rPr>
        <w:t xml:space="preserve"> Totodată, pe termen mediu se va examina oportunitatea lansării unor noi instrumente de datorie, </w:t>
      </w:r>
      <w:r w:rsidR="00EA075C">
        <w:rPr>
          <w:rFonts w:ascii="Times New Roman" w:eastAsia="Times New Roman" w:hAnsi="Times New Roman" w:cs="Times New Roman"/>
          <w:sz w:val="28"/>
          <w:szCs w:val="28"/>
          <w:lang w:val="ro-RO" w:eastAsia="ru-RU"/>
        </w:rPr>
        <w:t>cum ar fi</w:t>
      </w:r>
      <w:r w:rsidRPr="00100ACA">
        <w:rPr>
          <w:rFonts w:ascii="Times New Roman" w:eastAsia="Times New Roman" w:hAnsi="Times New Roman" w:cs="Times New Roman"/>
          <w:sz w:val="28"/>
          <w:szCs w:val="28"/>
          <w:lang w:val="ro-RO" w:eastAsia="ru-RU"/>
        </w:rPr>
        <w:t xml:space="preserve"> </w:t>
      </w:r>
      <w:r w:rsidRPr="00AA5A2C">
        <w:rPr>
          <w:rFonts w:ascii="Times New Roman" w:eastAsia="Times New Roman" w:hAnsi="Times New Roman" w:cs="Times New Roman"/>
          <w:sz w:val="28"/>
          <w:szCs w:val="28"/>
          <w:lang w:val="ro-RO" w:eastAsia="ru-RU"/>
        </w:rPr>
        <w:t>obligațiuni de stat indexate</w:t>
      </w:r>
      <w:r w:rsidRPr="00100ACA">
        <w:rPr>
          <w:rFonts w:ascii="Times New Roman" w:eastAsia="Times New Roman" w:hAnsi="Times New Roman" w:cs="Times New Roman"/>
          <w:sz w:val="28"/>
          <w:szCs w:val="28"/>
          <w:lang w:val="ro-RO" w:eastAsia="ru-RU"/>
        </w:rPr>
        <w:t>. În</w:t>
      </w:r>
      <w:r w:rsidR="004A1E74">
        <w:rPr>
          <w:rFonts w:ascii="Times New Roman" w:eastAsia="Times New Roman" w:hAnsi="Times New Roman" w:cs="Times New Roman"/>
          <w:sz w:val="28"/>
          <w:szCs w:val="28"/>
          <w:lang w:val="ro-RO" w:eastAsia="ru-RU"/>
        </w:rPr>
        <w:t xml:space="preserve"> vederea</w:t>
      </w:r>
      <w:r w:rsidRPr="00100ACA">
        <w:rPr>
          <w:rFonts w:ascii="Times New Roman" w:eastAsia="Times New Roman" w:hAnsi="Times New Roman" w:cs="Times New Roman"/>
          <w:sz w:val="28"/>
          <w:szCs w:val="28"/>
          <w:lang w:val="ro-RO" w:eastAsia="ru-RU"/>
        </w:rPr>
        <w:t xml:space="preserve"> îmbunătățir</w:t>
      </w:r>
      <w:r w:rsidR="006E6516">
        <w:rPr>
          <w:rFonts w:ascii="Times New Roman" w:eastAsia="Times New Roman" w:hAnsi="Times New Roman" w:cs="Times New Roman"/>
          <w:sz w:val="28"/>
          <w:szCs w:val="28"/>
          <w:lang w:val="ro-RO" w:eastAsia="ru-RU"/>
        </w:rPr>
        <w:t>ii</w:t>
      </w:r>
      <w:r w:rsidRPr="00100ACA">
        <w:rPr>
          <w:rFonts w:ascii="Times New Roman" w:eastAsia="Times New Roman" w:hAnsi="Times New Roman" w:cs="Times New Roman"/>
          <w:sz w:val="28"/>
          <w:szCs w:val="28"/>
          <w:lang w:val="ro-RO" w:eastAsia="ru-RU"/>
        </w:rPr>
        <w:t xml:space="preserve"> lichidității pieței valorilor mobiliare de stat se va revizui frecvența emisiunilor de valori mobiliare de stat ca număr și volum, inclusiv redeschiderea emisiunilor.  </w:t>
      </w:r>
    </w:p>
    <w:p w:rsidR="00100ACA" w:rsidRPr="00100ACA" w:rsidRDefault="00100ACA" w:rsidP="00780A34">
      <w:pPr>
        <w:spacing w:after="0" w:line="240" w:lineRule="auto"/>
        <w:ind w:firstLine="709"/>
        <w:jc w:val="both"/>
        <w:rPr>
          <w:rFonts w:ascii="Times New Roman" w:eastAsia="Calibri" w:hAnsi="Times New Roman" w:cs="Times New Roman"/>
          <w:sz w:val="28"/>
          <w:szCs w:val="28"/>
          <w:lang w:val="ro-RO" w:eastAsia="ru-RU"/>
        </w:rPr>
      </w:pPr>
      <w:r w:rsidRPr="00100ACA">
        <w:rPr>
          <w:rFonts w:ascii="Times New Roman" w:eastAsia="Times New Roman" w:hAnsi="Times New Roman" w:cs="Times New Roman"/>
          <w:sz w:val="28"/>
          <w:szCs w:val="28"/>
          <w:lang w:val="ro-RO" w:eastAsia="ru-RU"/>
        </w:rPr>
        <w:t>Diversificarea bazei de investitori prezintă o importanţă deosebită pentru asigurarea unei cereri stabile pentru valorile mobiliare de stat, precum şi pentru extinderea maturităţii e</w:t>
      </w:r>
      <w:r w:rsidR="00470731">
        <w:rPr>
          <w:rFonts w:ascii="Times New Roman" w:eastAsia="Times New Roman" w:hAnsi="Times New Roman" w:cs="Times New Roman"/>
          <w:sz w:val="28"/>
          <w:szCs w:val="28"/>
          <w:lang w:val="ro-RO" w:eastAsia="ru-RU"/>
        </w:rPr>
        <w:t xml:space="preserve">misiunilor. În acest sens, în scopul </w:t>
      </w:r>
      <w:r w:rsidR="00470731" w:rsidRPr="005F58E5">
        <w:rPr>
          <w:rFonts w:ascii="Times New Roman" w:eastAsia="Times New Roman" w:hAnsi="Times New Roman" w:cs="Times New Roman"/>
          <w:sz w:val="28"/>
          <w:szCs w:val="28"/>
          <w:lang w:val="ro-RO" w:eastAsia="ru-RU"/>
        </w:rPr>
        <w:t>consolidă</w:t>
      </w:r>
      <w:r w:rsidRPr="005F58E5">
        <w:rPr>
          <w:rFonts w:ascii="Times New Roman" w:eastAsia="Times New Roman" w:hAnsi="Times New Roman" w:cs="Times New Roman"/>
          <w:sz w:val="28"/>
          <w:szCs w:val="28"/>
          <w:lang w:val="ro-RO" w:eastAsia="ru-RU"/>
        </w:rPr>
        <w:t>r</w:t>
      </w:r>
      <w:r w:rsidR="00470731" w:rsidRPr="005F58E5">
        <w:rPr>
          <w:rFonts w:ascii="Times New Roman" w:eastAsia="Times New Roman" w:hAnsi="Times New Roman" w:cs="Times New Roman"/>
          <w:sz w:val="28"/>
          <w:szCs w:val="28"/>
          <w:lang w:val="ro-RO" w:eastAsia="ru-RU"/>
        </w:rPr>
        <w:t>ii</w:t>
      </w:r>
      <w:r w:rsidRPr="005F58E5">
        <w:rPr>
          <w:rFonts w:ascii="Times New Roman" w:eastAsia="Times New Roman" w:hAnsi="Times New Roman" w:cs="Times New Roman"/>
          <w:sz w:val="28"/>
          <w:szCs w:val="28"/>
          <w:lang w:val="ro-RO" w:eastAsia="ru-RU"/>
        </w:rPr>
        <w:t xml:space="preserve"> comunicării cu participanţii pe piaţă</w:t>
      </w:r>
      <w:r w:rsidR="006E6516" w:rsidRPr="005F58E5">
        <w:rPr>
          <w:rFonts w:ascii="Times New Roman" w:eastAsia="Times New Roman" w:hAnsi="Times New Roman" w:cs="Times New Roman"/>
          <w:sz w:val="28"/>
          <w:szCs w:val="28"/>
          <w:lang w:val="ro-RO" w:eastAsia="ru-RU"/>
        </w:rPr>
        <w:t>,</w:t>
      </w:r>
      <w:r w:rsidRPr="005F58E5">
        <w:rPr>
          <w:rFonts w:ascii="Times New Roman" w:eastAsia="Times New Roman" w:hAnsi="Times New Roman" w:cs="Times New Roman"/>
          <w:sz w:val="28"/>
          <w:szCs w:val="28"/>
          <w:lang w:val="ro-RO" w:eastAsia="ru-RU"/>
        </w:rPr>
        <w:t xml:space="preserve"> acțiunile Ministerului Finanțelor și Băncii Naționale a Moldovei vor viza menținerea unui dialog permanent cu investitorii și participanții pe piața </w:t>
      </w:r>
      <w:r w:rsidR="00470731" w:rsidRPr="005F58E5">
        <w:rPr>
          <w:rFonts w:ascii="Times New Roman" w:eastAsia="Times New Roman" w:hAnsi="Times New Roman" w:cs="Times New Roman"/>
          <w:sz w:val="28"/>
          <w:szCs w:val="28"/>
          <w:lang w:val="ro-RO" w:eastAsia="ru-RU"/>
        </w:rPr>
        <w:t>VMS</w:t>
      </w:r>
      <w:r w:rsidRPr="005F58E5">
        <w:rPr>
          <w:rFonts w:ascii="Times New Roman" w:eastAsia="Times New Roman" w:hAnsi="Times New Roman" w:cs="Times New Roman"/>
          <w:sz w:val="28"/>
          <w:szCs w:val="28"/>
          <w:lang w:val="ro-RO" w:eastAsia="ru-RU"/>
        </w:rPr>
        <w:t xml:space="preserve">; organizarea reuniunilor periodice cu aceștia, </w:t>
      </w:r>
      <w:r w:rsidRPr="005F58E5">
        <w:rPr>
          <w:rFonts w:ascii="Times New Roman" w:eastAsia="Calibri" w:hAnsi="Times New Roman" w:cs="Times New Roman"/>
          <w:sz w:val="28"/>
          <w:szCs w:val="28"/>
          <w:lang w:val="ro-RO" w:eastAsia="ru-RU"/>
        </w:rPr>
        <w:t>atît pentru</w:t>
      </w:r>
      <w:r w:rsidRPr="00100ACA">
        <w:rPr>
          <w:rFonts w:ascii="Times New Roman" w:eastAsia="Calibri" w:hAnsi="Times New Roman" w:cs="Times New Roman"/>
          <w:sz w:val="28"/>
          <w:szCs w:val="28"/>
          <w:lang w:val="ro-RO" w:eastAsia="ru-RU"/>
        </w:rPr>
        <w:t xml:space="preserve"> asigurarea transparenţei şi pre</w:t>
      </w:r>
      <w:r w:rsidR="006E6516">
        <w:rPr>
          <w:rFonts w:ascii="Times New Roman" w:eastAsia="Calibri" w:hAnsi="Times New Roman" w:cs="Times New Roman"/>
          <w:sz w:val="28"/>
          <w:szCs w:val="28"/>
          <w:lang w:val="ro-RO" w:eastAsia="ru-RU"/>
        </w:rPr>
        <w:t>vizibili</w:t>
      </w:r>
      <w:r w:rsidRPr="00100ACA">
        <w:rPr>
          <w:rFonts w:ascii="Times New Roman" w:eastAsia="Calibri" w:hAnsi="Times New Roman" w:cs="Times New Roman"/>
          <w:sz w:val="28"/>
          <w:szCs w:val="28"/>
          <w:lang w:val="ro-RO" w:eastAsia="ru-RU"/>
        </w:rPr>
        <w:t>tăţii modului de contractare şi administrare a datoriei de stat interne, cît şi pentru evaluarea regulată a necesităţilor investiţionale la nivelul pieţei, precum şi a aşteptărilor referitoare la condiţiile de piaţă.</w:t>
      </w:r>
    </w:p>
    <w:p w:rsidR="00100ACA" w:rsidRDefault="00100ACA" w:rsidP="00780A34">
      <w:pPr>
        <w:spacing w:after="0" w:line="240" w:lineRule="auto"/>
        <w:ind w:firstLine="709"/>
        <w:jc w:val="both"/>
        <w:rPr>
          <w:rFonts w:ascii="Times New Roman" w:eastAsia="Calibri" w:hAnsi="Times New Roman" w:cs="Times New Roman"/>
          <w:sz w:val="28"/>
          <w:szCs w:val="28"/>
          <w:lang w:val="ro-RO" w:eastAsia="ru-RU"/>
        </w:rPr>
      </w:pPr>
      <w:r w:rsidRPr="00100ACA">
        <w:rPr>
          <w:rFonts w:ascii="Times New Roman" w:eastAsia="Calibri" w:hAnsi="Times New Roman" w:cs="Times New Roman"/>
          <w:sz w:val="28"/>
          <w:szCs w:val="28"/>
          <w:lang w:val="ro-RO" w:eastAsia="ru-RU"/>
        </w:rPr>
        <w:t>Pe termen mediu, se va examina și oportunitatea restructurării sistemului de dealeri primari pentru a face sistemul mai eficient, performant și competitiv întru dezvoltarea pieței valorilor mobiliare de stat.</w:t>
      </w:r>
      <w:r w:rsidR="00EA075C">
        <w:rPr>
          <w:rFonts w:ascii="Times New Roman" w:eastAsia="Calibri" w:hAnsi="Times New Roman" w:cs="Times New Roman"/>
          <w:sz w:val="28"/>
          <w:szCs w:val="28"/>
          <w:lang w:val="ro-RO" w:eastAsia="ru-RU"/>
        </w:rPr>
        <w:t xml:space="preserve"> </w:t>
      </w:r>
    </w:p>
    <w:p w:rsidR="00F9496F" w:rsidRDefault="00F9496F" w:rsidP="006E6516">
      <w:pPr>
        <w:spacing w:after="0" w:line="240" w:lineRule="auto"/>
        <w:ind w:firstLine="567"/>
        <w:jc w:val="both"/>
        <w:rPr>
          <w:rFonts w:ascii="Times New Roman" w:eastAsia="Calibri" w:hAnsi="Times New Roman" w:cs="Times New Roman"/>
          <w:sz w:val="28"/>
          <w:szCs w:val="28"/>
          <w:lang w:val="ro-RO" w:eastAsia="ru-RU"/>
        </w:rPr>
      </w:pPr>
    </w:p>
    <w:p w:rsidR="00EA075C" w:rsidRDefault="00F9496F" w:rsidP="004A294E">
      <w:pPr>
        <w:keepNext/>
        <w:spacing w:after="0" w:line="240" w:lineRule="auto"/>
        <w:ind w:firstLine="709"/>
        <w:jc w:val="center"/>
        <w:outlineLvl w:val="0"/>
        <w:rPr>
          <w:rFonts w:ascii="Times New Roman" w:eastAsia="Times New Roman" w:hAnsi="Times New Roman" w:cs="Times New Roman"/>
          <w:b/>
          <w:kern w:val="32"/>
          <w:sz w:val="28"/>
          <w:lang w:val="ro-RO" w:eastAsia="ru-RU"/>
        </w:rPr>
      </w:pPr>
      <w:r w:rsidRPr="00EA075C">
        <w:rPr>
          <w:rFonts w:ascii="Times New Roman" w:eastAsia="Times New Roman" w:hAnsi="Times New Roman" w:cs="Times New Roman"/>
          <w:b/>
          <w:kern w:val="32"/>
          <w:sz w:val="28"/>
          <w:lang w:val="ro-RO" w:eastAsia="ru-RU"/>
        </w:rPr>
        <w:t>Capitolul II</w:t>
      </w:r>
      <w:r w:rsidR="00EA075C" w:rsidRPr="00EA075C">
        <w:rPr>
          <w:rFonts w:ascii="Times New Roman" w:eastAsia="Times New Roman" w:hAnsi="Times New Roman" w:cs="Times New Roman"/>
          <w:b/>
          <w:kern w:val="32"/>
          <w:sz w:val="28"/>
          <w:lang w:val="ro-RO" w:eastAsia="ru-RU"/>
        </w:rPr>
        <w:t>I</w:t>
      </w:r>
      <w:r w:rsidRPr="00EA075C">
        <w:rPr>
          <w:rFonts w:ascii="Times New Roman" w:eastAsia="Times New Roman" w:hAnsi="Times New Roman" w:cs="Times New Roman"/>
          <w:b/>
          <w:kern w:val="32"/>
          <w:sz w:val="28"/>
          <w:lang w:val="ro-RO" w:eastAsia="ru-RU"/>
        </w:rPr>
        <w:t xml:space="preserve">. </w:t>
      </w:r>
      <w:r w:rsidR="004A294E">
        <w:rPr>
          <w:rFonts w:ascii="Times New Roman" w:eastAsia="Times New Roman" w:hAnsi="Times New Roman" w:cs="Times New Roman"/>
          <w:b/>
          <w:kern w:val="32"/>
          <w:sz w:val="28"/>
          <w:lang w:val="ro-RO" w:eastAsia="ru-RU"/>
        </w:rPr>
        <w:t>Tendinţe</w:t>
      </w:r>
      <w:r w:rsidR="00EA075C">
        <w:rPr>
          <w:rFonts w:ascii="Times New Roman" w:eastAsia="Times New Roman" w:hAnsi="Times New Roman" w:cs="Times New Roman"/>
          <w:b/>
          <w:kern w:val="32"/>
          <w:sz w:val="28"/>
          <w:lang w:val="ro-RO" w:eastAsia="ru-RU"/>
        </w:rPr>
        <w:t xml:space="preserve"> macroeconomic</w:t>
      </w:r>
      <w:r w:rsidR="004A294E">
        <w:rPr>
          <w:rFonts w:ascii="Times New Roman" w:eastAsia="Times New Roman" w:hAnsi="Times New Roman" w:cs="Times New Roman"/>
          <w:b/>
          <w:kern w:val="32"/>
          <w:sz w:val="28"/>
          <w:lang w:val="ro-RO" w:eastAsia="ru-RU"/>
        </w:rPr>
        <w:t>e</w:t>
      </w:r>
      <w:r w:rsidR="00EA075C">
        <w:rPr>
          <w:rFonts w:ascii="Times New Roman" w:eastAsia="Times New Roman" w:hAnsi="Times New Roman" w:cs="Times New Roman"/>
          <w:b/>
          <w:kern w:val="32"/>
          <w:sz w:val="28"/>
          <w:lang w:val="ro-RO" w:eastAsia="ru-RU"/>
        </w:rPr>
        <w:t xml:space="preserve">, </w:t>
      </w:r>
      <w:r w:rsidR="004A294E">
        <w:rPr>
          <w:rFonts w:ascii="Times New Roman" w:eastAsia="Times New Roman" w:hAnsi="Times New Roman" w:cs="Times New Roman"/>
          <w:b/>
          <w:kern w:val="32"/>
          <w:sz w:val="28"/>
          <w:lang w:val="ro-RO" w:eastAsia="ru-RU"/>
        </w:rPr>
        <w:t>evoluţia</w:t>
      </w:r>
      <w:r w:rsidR="00EA075C">
        <w:rPr>
          <w:rFonts w:ascii="Times New Roman" w:eastAsia="Times New Roman" w:hAnsi="Times New Roman" w:cs="Times New Roman"/>
          <w:b/>
          <w:kern w:val="32"/>
          <w:sz w:val="28"/>
          <w:lang w:val="ro-RO" w:eastAsia="ru-RU"/>
        </w:rPr>
        <w:t xml:space="preserve"> indicatorilor de piaţă aferenţi datoriei de stat şi a indicatorilor bugetului de stat</w:t>
      </w:r>
    </w:p>
    <w:p w:rsidR="00F9496F" w:rsidRPr="00EA075C" w:rsidRDefault="00F9496F" w:rsidP="00F9496F">
      <w:pPr>
        <w:spacing w:after="0" w:line="240" w:lineRule="auto"/>
        <w:rPr>
          <w:rFonts w:ascii="Times New Roman" w:eastAsia="Times New Roman" w:hAnsi="Times New Roman" w:cs="Times New Roman"/>
          <w:sz w:val="24"/>
          <w:szCs w:val="24"/>
          <w:lang w:val="ro-RO" w:eastAsia="ru-RU"/>
        </w:rPr>
      </w:pPr>
      <w:bookmarkStart w:id="3" w:name="_Toc295653869"/>
    </w:p>
    <w:p w:rsidR="00F9496F" w:rsidRPr="00EA075C" w:rsidRDefault="00F9496F" w:rsidP="005F06AC">
      <w:pPr>
        <w:numPr>
          <w:ilvl w:val="0"/>
          <w:numId w:val="13"/>
        </w:numPr>
        <w:tabs>
          <w:tab w:val="left" w:pos="567"/>
          <w:tab w:val="left" w:pos="960"/>
        </w:tabs>
        <w:spacing w:after="0" w:line="240" w:lineRule="auto"/>
        <w:ind w:hanging="221"/>
        <w:jc w:val="both"/>
        <w:rPr>
          <w:rFonts w:ascii="Times New Roman" w:eastAsia="Times New Roman" w:hAnsi="Times New Roman" w:cs="Times New Roman"/>
          <w:b/>
          <w:sz w:val="28"/>
          <w:szCs w:val="28"/>
          <w:lang w:val="ro-RO" w:eastAsia="ru-RU"/>
        </w:rPr>
      </w:pPr>
      <w:r w:rsidRPr="00EA075C">
        <w:rPr>
          <w:rFonts w:ascii="Times New Roman" w:eastAsia="Times New Roman" w:hAnsi="Times New Roman" w:cs="Times New Roman"/>
          <w:b/>
          <w:sz w:val="28"/>
          <w:szCs w:val="28"/>
          <w:lang w:val="ro-RO" w:eastAsia="ru-RU"/>
        </w:rPr>
        <w:t xml:space="preserve"> Tendinţele economiei mondiale</w:t>
      </w:r>
    </w:p>
    <w:p w:rsidR="0055294A" w:rsidRDefault="0055294A" w:rsidP="0055294A">
      <w:pPr>
        <w:spacing w:after="0" w:line="240" w:lineRule="auto"/>
        <w:ind w:firstLine="709"/>
        <w:jc w:val="both"/>
        <w:rPr>
          <w:rFonts w:ascii="Times New Roman" w:hAnsi="Times New Roman" w:cs="Times New Roman"/>
          <w:sz w:val="28"/>
          <w:lang w:val="ro-RO"/>
        </w:rPr>
      </w:pPr>
      <w:r w:rsidRPr="0055294A">
        <w:rPr>
          <w:rFonts w:ascii="Times New Roman" w:hAnsi="Times New Roman" w:cs="Times New Roman"/>
          <w:sz w:val="28"/>
          <w:lang w:val="ro-RO"/>
        </w:rPr>
        <w:t xml:space="preserve">Perspectivele economice mondiale s-au îmbunătățit în a doua jumătate a anului 2013, tendinţă care ar trebui să continue şi în 2014, în principal datorită creșterii în economiile avansate. Cu toate acestea, creșterea economică globală încă rămâne sub potențialul său. </w:t>
      </w:r>
    </w:p>
    <w:p w:rsidR="0055294A" w:rsidRPr="0055294A" w:rsidRDefault="0055294A" w:rsidP="0055294A">
      <w:pPr>
        <w:spacing w:after="0" w:line="240" w:lineRule="auto"/>
        <w:ind w:firstLine="709"/>
        <w:jc w:val="both"/>
        <w:rPr>
          <w:rFonts w:ascii="Times New Roman" w:hAnsi="Times New Roman" w:cs="Times New Roman"/>
          <w:sz w:val="28"/>
          <w:lang w:val="ro-RO"/>
        </w:rPr>
      </w:pPr>
      <w:r w:rsidRPr="0055294A">
        <w:rPr>
          <w:rFonts w:ascii="Times New Roman" w:hAnsi="Times New Roman" w:cs="Times New Roman"/>
          <w:sz w:val="28"/>
          <w:lang w:val="ro-RO"/>
        </w:rPr>
        <w:t xml:space="preserve">În Statele Unite a fost restabilită creşterea economică, determinată de cererea internă, precum și de relaxarea fiscală. </w:t>
      </w:r>
      <w:r w:rsidR="00C437FC">
        <w:rPr>
          <w:rFonts w:ascii="Times New Roman" w:hAnsi="Times New Roman" w:cs="Times New Roman"/>
          <w:sz w:val="28"/>
          <w:lang w:val="ro-RO"/>
        </w:rPr>
        <w:t>Z</w:t>
      </w:r>
      <w:r w:rsidRPr="0055294A">
        <w:rPr>
          <w:rFonts w:ascii="Times New Roman" w:hAnsi="Times New Roman" w:cs="Times New Roman"/>
          <w:sz w:val="28"/>
          <w:lang w:val="ro-RO"/>
        </w:rPr>
        <w:t>ona euro este în proces de trecere de la recesiune la recuperare, dar creș</w:t>
      </w:r>
      <w:r>
        <w:rPr>
          <w:rFonts w:ascii="Times New Roman" w:hAnsi="Times New Roman" w:cs="Times New Roman"/>
          <w:sz w:val="28"/>
          <w:lang w:val="ro-RO"/>
        </w:rPr>
        <w:t>terea este încă dezechilibrată</w:t>
      </w:r>
      <w:r w:rsidRPr="0055294A">
        <w:rPr>
          <w:rFonts w:ascii="Times New Roman" w:hAnsi="Times New Roman" w:cs="Times New Roman"/>
          <w:sz w:val="28"/>
          <w:lang w:val="ro-RO"/>
        </w:rPr>
        <w:t xml:space="preserve">. </w:t>
      </w:r>
      <w:r>
        <w:rPr>
          <w:rFonts w:ascii="Times New Roman" w:hAnsi="Times New Roman" w:cs="Times New Roman"/>
          <w:sz w:val="28"/>
          <w:lang w:val="ro-RO"/>
        </w:rPr>
        <w:t>Astfel, u</w:t>
      </w:r>
      <w:r w:rsidRPr="0055294A">
        <w:rPr>
          <w:rFonts w:ascii="Times New Roman" w:hAnsi="Times New Roman" w:cs="Times New Roman"/>
          <w:sz w:val="28"/>
          <w:lang w:val="ro-RO"/>
        </w:rPr>
        <w:t xml:space="preserve">nele țări au avansat, </w:t>
      </w:r>
      <w:r>
        <w:rPr>
          <w:rFonts w:ascii="Times New Roman" w:hAnsi="Times New Roman" w:cs="Times New Roman"/>
          <w:sz w:val="28"/>
          <w:lang w:val="ro-RO"/>
        </w:rPr>
        <w:t>iar</w:t>
      </w:r>
      <w:r w:rsidRPr="0055294A">
        <w:rPr>
          <w:rFonts w:ascii="Times New Roman" w:hAnsi="Times New Roman" w:cs="Times New Roman"/>
          <w:sz w:val="28"/>
          <w:lang w:val="ro-RO"/>
        </w:rPr>
        <w:t xml:space="preserve"> altele se află încă sub presiunea datoriilor mari și altor constrângeri. </w:t>
      </w:r>
    </w:p>
    <w:p w:rsidR="0055294A" w:rsidRPr="0055294A" w:rsidRDefault="0055294A" w:rsidP="00C437FC">
      <w:pPr>
        <w:spacing w:after="0" w:line="240" w:lineRule="auto"/>
        <w:ind w:firstLine="709"/>
        <w:jc w:val="both"/>
        <w:rPr>
          <w:rFonts w:ascii="Times New Roman" w:hAnsi="Times New Roman" w:cs="Times New Roman"/>
          <w:sz w:val="28"/>
          <w:lang w:val="ro-RO"/>
        </w:rPr>
      </w:pPr>
      <w:r>
        <w:rPr>
          <w:rFonts w:ascii="Times New Roman" w:hAnsi="Times New Roman" w:cs="Times New Roman"/>
          <w:sz w:val="28"/>
          <w:lang w:val="ro-RO"/>
        </w:rPr>
        <w:t>P</w:t>
      </w:r>
      <w:r w:rsidRPr="0055294A">
        <w:rPr>
          <w:rFonts w:ascii="Times New Roman" w:hAnsi="Times New Roman" w:cs="Times New Roman"/>
          <w:sz w:val="28"/>
          <w:lang w:val="ro-RO"/>
        </w:rPr>
        <w:t xml:space="preserve">e piețele în curs de dezvoltare </w:t>
      </w:r>
      <w:r>
        <w:rPr>
          <w:rFonts w:ascii="Times New Roman" w:hAnsi="Times New Roman" w:cs="Times New Roman"/>
          <w:sz w:val="28"/>
          <w:lang w:val="ro-RO"/>
        </w:rPr>
        <w:t>p</w:t>
      </w:r>
      <w:r w:rsidRPr="0055294A">
        <w:rPr>
          <w:rFonts w:ascii="Times New Roman" w:hAnsi="Times New Roman" w:cs="Times New Roman"/>
          <w:sz w:val="28"/>
          <w:lang w:val="ro-RO"/>
        </w:rPr>
        <w:t xml:space="preserve">rovocarea este de a depăşi </w:t>
      </w:r>
      <w:r>
        <w:rPr>
          <w:rFonts w:ascii="Times New Roman" w:hAnsi="Times New Roman" w:cs="Times New Roman"/>
          <w:sz w:val="28"/>
          <w:lang w:val="ro-RO"/>
        </w:rPr>
        <w:t xml:space="preserve">potenţialele </w:t>
      </w:r>
      <w:r w:rsidRPr="0055294A">
        <w:rPr>
          <w:rFonts w:ascii="Times New Roman" w:hAnsi="Times New Roman" w:cs="Times New Roman"/>
          <w:sz w:val="28"/>
          <w:lang w:val="ro-RO"/>
        </w:rPr>
        <w:t>dificultăţi</w:t>
      </w:r>
      <w:r>
        <w:rPr>
          <w:rFonts w:ascii="Times New Roman" w:hAnsi="Times New Roman" w:cs="Times New Roman"/>
          <w:sz w:val="28"/>
          <w:lang w:val="ro-RO"/>
        </w:rPr>
        <w:t xml:space="preserve"> </w:t>
      </w:r>
      <w:r w:rsidRPr="0055294A">
        <w:rPr>
          <w:rFonts w:ascii="Times New Roman" w:hAnsi="Times New Roman" w:cs="Times New Roman"/>
          <w:sz w:val="28"/>
          <w:lang w:val="ro-RO"/>
        </w:rPr>
        <w:t xml:space="preserve"> și </w:t>
      </w:r>
      <w:r>
        <w:rPr>
          <w:rFonts w:ascii="Times New Roman" w:hAnsi="Times New Roman" w:cs="Times New Roman"/>
          <w:sz w:val="28"/>
          <w:lang w:val="ro-RO"/>
        </w:rPr>
        <w:t xml:space="preserve">de a </w:t>
      </w:r>
      <w:r w:rsidRPr="0055294A">
        <w:rPr>
          <w:rFonts w:ascii="Times New Roman" w:hAnsi="Times New Roman" w:cs="Times New Roman"/>
          <w:sz w:val="28"/>
          <w:lang w:val="ro-RO"/>
        </w:rPr>
        <w:t>rămâne puternic</w:t>
      </w:r>
      <w:r>
        <w:rPr>
          <w:rFonts w:ascii="Times New Roman" w:hAnsi="Times New Roman" w:cs="Times New Roman"/>
          <w:sz w:val="28"/>
          <w:lang w:val="ro-RO"/>
        </w:rPr>
        <w:t>e</w:t>
      </w:r>
      <w:r w:rsidRPr="0055294A">
        <w:rPr>
          <w:rFonts w:ascii="Times New Roman" w:hAnsi="Times New Roman" w:cs="Times New Roman"/>
          <w:sz w:val="28"/>
          <w:lang w:val="ro-RO"/>
        </w:rPr>
        <w:t xml:space="preserve">. </w:t>
      </w:r>
      <w:r>
        <w:rPr>
          <w:rFonts w:ascii="Times New Roman" w:hAnsi="Times New Roman" w:cs="Times New Roman"/>
          <w:sz w:val="28"/>
          <w:lang w:val="ro-RO"/>
        </w:rPr>
        <w:t xml:space="preserve">În acest sens ar trebui </w:t>
      </w:r>
      <w:r w:rsidRPr="0055294A">
        <w:rPr>
          <w:rFonts w:ascii="Times New Roman" w:hAnsi="Times New Roman" w:cs="Times New Roman"/>
          <w:sz w:val="28"/>
          <w:lang w:val="ro-RO"/>
        </w:rPr>
        <w:t>să fie consolidat</w:t>
      </w:r>
      <w:r>
        <w:rPr>
          <w:rFonts w:ascii="Times New Roman" w:hAnsi="Times New Roman" w:cs="Times New Roman"/>
          <w:sz w:val="28"/>
          <w:lang w:val="ro-RO"/>
        </w:rPr>
        <w:t>ă</w:t>
      </w:r>
      <w:r w:rsidRPr="0055294A">
        <w:rPr>
          <w:rFonts w:ascii="Times New Roman" w:hAnsi="Times New Roman" w:cs="Times New Roman"/>
          <w:sz w:val="28"/>
          <w:lang w:val="ro-RO"/>
        </w:rPr>
        <w:t xml:space="preserve"> și pusă în aplicare</w:t>
      </w:r>
      <w:r>
        <w:rPr>
          <w:rFonts w:ascii="Times New Roman" w:hAnsi="Times New Roman" w:cs="Times New Roman"/>
          <w:sz w:val="28"/>
          <w:lang w:val="ro-RO"/>
        </w:rPr>
        <w:t xml:space="preserve"> r</w:t>
      </w:r>
      <w:r w:rsidRPr="0055294A">
        <w:rPr>
          <w:rFonts w:ascii="Times New Roman" w:hAnsi="Times New Roman" w:cs="Times New Roman"/>
          <w:sz w:val="28"/>
          <w:lang w:val="ro-RO"/>
        </w:rPr>
        <w:t>eglementarea financiară.</w:t>
      </w:r>
      <w:r w:rsidR="00C437FC">
        <w:rPr>
          <w:rFonts w:ascii="Times New Roman" w:hAnsi="Times New Roman" w:cs="Times New Roman"/>
          <w:sz w:val="28"/>
          <w:lang w:val="ro-RO"/>
        </w:rPr>
        <w:t xml:space="preserve"> </w:t>
      </w:r>
      <w:r w:rsidR="00C437FC" w:rsidRPr="00C437FC">
        <w:rPr>
          <w:rFonts w:ascii="Times New Roman" w:hAnsi="Times New Roman" w:cs="Times New Roman"/>
          <w:i/>
          <w:sz w:val="24"/>
          <w:lang w:val="ro-RO"/>
        </w:rPr>
        <w:t>(Sursa: discursul directorului general al FMI, Christine Lagarde din 15 ianuarie 2014)</w:t>
      </w:r>
    </w:p>
    <w:p w:rsidR="0055294A" w:rsidRDefault="0055294A" w:rsidP="0055294A">
      <w:pPr>
        <w:tabs>
          <w:tab w:val="left" w:pos="567"/>
          <w:tab w:val="left" w:pos="960"/>
        </w:tabs>
        <w:spacing w:after="0" w:line="240" w:lineRule="auto"/>
        <w:ind w:firstLine="709"/>
        <w:jc w:val="both"/>
        <w:rPr>
          <w:rFonts w:ascii="Times New Roman" w:eastAsia="Times New Roman" w:hAnsi="Times New Roman" w:cs="Times New Roman"/>
          <w:sz w:val="28"/>
          <w:szCs w:val="28"/>
          <w:highlight w:val="yellow"/>
          <w:lang w:val="ro-RO" w:eastAsia="ro-RO"/>
        </w:rPr>
      </w:pPr>
    </w:p>
    <w:bookmarkEnd w:id="3"/>
    <w:p w:rsidR="00F9496F" w:rsidRPr="00F9496F" w:rsidRDefault="00F9496F" w:rsidP="005F06AC">
      <w:pPr>
        <w:numPr>
          <w:ilvl w:val="0"/>
          <w:numId w:val="13"/>
        </w:numPr>
        <w:tabs>
          <w:tab w:val="left" w:pos="567"/>
          <w:tab w:val="left" w:pos="960"/>
        </w:tabs>
        <w:spacing w:after="0" w:line="240" w:lineRule="auto"/>
        <w:ind w:hanging="221"/>
        <w:jc w:val="both"/>
        <w:rPr>
          <w:rFonts w:ascii="Times New Roman" w:eastAsia="Times New Roman" w:hAnsi="Times New Roman" w:cs="Times New Roman"/>
          <w:b/>
          <w:sz w:val="28"/>
          <w:szCs w:val="28"/>
          <w:lang w:val="ro-RO" w:eastAsia="ru-RU"/>
        </w:rPr>
      </w:pPr>
      <w:r w:rsidRPr="00F9496F">
        <w:rPr>
          <w:rFonts w:ascii="Times New Roman" w:eastAsia="Times New Roman" w:hAnsi="Times New Roman" w:cs="Times New Roman"/>
          <w:b/>
          <w:sz w:val="28"/>
          <w:szCs w:val="28"/>
          <w:lang w:val="ro-RO" w:eastAsia="ru-RU"/>
        </w:rPr>
        <w:t xml:space="preserve"> Evoluţiile recente şi prognozele economiei naţionale</w:t>
      </w:r>
    </w:p>
    <w:p w:rsidR="00F630BE" w:rsidRDefault="00041347" w:rsidP="00F9496F">
      <w:pPr>
        <w:tabs>
          <w:tab w:val="left" w:pos="960"/>
        </w:tabs>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Pe parcursul</w:t>
      </w:r>
      <w:r w:rsidR="00D54821" w:rsidRPr="00D54821">
        <w:rPr>
          <w:rFonts w:ascii="Times New Roman" w:eastAsia="Times New Roman" w:hAnsi="Times New Roman" w:cs="Times New Roman"/>
          <w:sz w:val="28"/>
          <w:szCs w:val="28"/>
          <w:lang w:val="ro-RO" w:eastAsia="ro-RO"/>
        </w:rPr>
        <w:t xml:space="preserve"> anului 2013 aproape toate tipurile de activităţi economice au înregistrat progres.</w:t>
      </w:r>
      <w:r w:rsidR="00F630BE" w:rsidRPr="00F630BE">
        <w:rPr>
          <w:rFonts w:ascii="Times New Roman" w:eastAsia="Times New Roman" w:hAnsi="Times New Roman" w:cs="Times New Roman"/>
          <w:sz w:val="28"/>
          <w:szCs w:val="28"/>
          <w:lang w:val="ro-RO" w:eastAsia="ro-RO"/>
        </w:rPr>
        <w:t xml:space="preserve"> </w:t>
      </w:r>
      <w:r w:rsidR="00AD4ADF">
        <w:rPr>
          <w:rFonts w:ascii="Times New Roman" w:eastAsia="Times New Roman" w:hAnsi="Times New Roman" w:cs="Times New Roman"/>
          <w:sz w:val="28"/>
          <w:szCs w:val="28"/>
          <w:lang w:val="ro-RO" w:eastAsia="ro-RO"/>
        </w:rPr>
        <w:t xml:space="preserve">Totodată </w:t>
      </w:r>
      <w:r w:rsidR="00D54821">
        <w:rPr>
          <w:rFonts w:ascii="Times New Roman" w:eastAsia="Times New Roman" w:hAnsi="Times New Roman" w:cs="Times New Roman"/>
          <w:sz w:val="28"/>
          <w:szCs w:val="28"/>
          <w:lang w:val="ro-RO" w:eastAsia="ro-RO"/>
        </w:rPr>
        <w:t xml:space="preserve">în perioada anilor 2014-2016, </w:t>
      </w:r>
      <w:r w:rsidR="00AD4ADF">
        <w:rPr>
          <w:rFonts w:ascii="Times New Roman" w:eastAsia="Times New Roman" w:hAnsi="Times New Roman" w:cs="Times New Roman"/>
          <w:sz w:val="28"/>
          <w:szCs w:val="28"/>
          <w:lang w:val="ro-RO" w:eastAsia="ro-RO"/>
        </w:rPr>
        <w:t>s</w:t>
      </w:r>
      <w:r w:rsidR="00AD4ADF" w:rsidRPr="000C1C50">
        <w:rPr>
          <w:rFonts w:ascii="Times New Roman" w:eastAsia="Times New Roman" w:hAnsi="Times New Roman" w:cs="Times New Roman"/>
          <w:sz w:val="28"/>
          <w:szCs w:val="28"/>
          <w:lang w:val="ro-RO" w:eastAsia="ro-RO"/>
        </w:rPr>
        <w:t>ituaţia creată pe plan mondial va determina activitatea pasivă din partea mediului de afaceri şi a consumului populaţiei, ceea ce va avea impact asupra sectorului real şi importurilor.</w:t>
      </w:r>
    </w:p>
    <w:p w:rsidR="00041347" w:rsidRDefault="00F630BE" w:rsidP="00F9496F">
      <w:pPr>
        <w:tabs>
          <w:tab w:val="left" w:pos="960"/>
        </w:tabs>
        <w:spacing w:after="0" w:line="240" w:lineRule="auto"/>
        <w:ind w:firstLine="709"/>
        <w:jc w:val="both"/>
        <w:rPr>
          <w:rFonts w:ascii="Times New Roman" w:eastAsia="Times New Roman" w:hAnsi="Times New Roman" w:cs="Times New Roman"/>
          <w:bCs/>
          <w:sz w:val="28"/>
          <w:szCs w:val="28"/>
          <w:lang w:val="ro-RO" w:eastAsia="ro-RO"/>
        </w:rPr>
      </w:pPr>
      <w:r w:rsidRPr="00F630BE">
        <w:rPr>
          <w:rFonts w:ascii="Times New Roman" w:eastAsia="Times New Roman" w:hAnsi="Times New Roman" w:cs="Times New Roman"/>
          <w:sz w:val="28"/>
          <w:szCs w:val="28"/>
          <w:lang w:val="ro-RO" w:eastAsia="ro-RO"/>
        </w:rPr>
        <w:t xml:space="preserve">După recesiunea din anul </w:t>
      </w:r>
      <w:r w:rsidR="00780AA8">
        <w:rPr>
          <w:rFonts w:ascii="Times New Roman" w:eastAsia="Times New Roman" w:hAnsi="Times New Roman" w:cs="Times New Roman"/>
          <w:sz w:val="28"/>
          <w:szCs w:val="28"/>
          <w:lang w:val="ro-RO" w:eastAsia="ro-RO"/>
        </w:rPr>
        <w:t>2012</w:t>
      </w:r>
      <w:r w:rsidRPr="00F630BE">
        <w:rPr>
          <w:rFonts w:ascii="Times New Roman" w:eastAsia="Times New Roman" w:hAnsi="Times New Roman" w:cs="Times New Roman"/>
          <w:sz w:val="28"/>
          <w:szCs w:val="28"/>
          <w:lang w:val="ro-RO" w:eastAsia="ro-RO"/>
        </w:rPr>
        <w:t xml:space="preserve"> economia Moldovei a </w:t>
      </w:r>
      <w:r w:rsidR="00041347">
        <w:rPr>
          <w:rFonts w:ascii="Times New Roman" w:eastAsia="Times New Roman" w:hAnsi="Times New Roman" w:cs="Times New Roman"/>
          <w:sz w:val="28"/>
          <w:szCs w:val="28"/>
          <w:lang w:val="ro-RO" w:eastAsia="ro-RO"/>
        </w:rPr>
        <w:t>intrat</w:t>
      </w:r>
      <w:r w:rsidRPr="00F630BE">
        <w:rPr>
          <w:rFonts w:ascii="Times New Roman" w:eastAsia="Times New Roman" w:hAnsi="Times New Roman" w:cs="Times New Roman"/>
          <w:sz w:val="28"/>
          <w:szCs w:val="28"/>
          <w:lang w:val="ro-RO" w:eastAsia="ro-RO"/>
        </w:rPr>
        <w:t xml:space="preserve"> în</w:t>
      </w:r>
      <w:r w:rsidR="00041347">
        <w:rPr>
          <w:rFonts w:ascii="Times New Roman" w:eastAsia="Times New Roman" w:hAnsi="Times New Roman" w:cs="Times New Roman"/>
          <w:sz w:val="28"/>
          <w:szCs w:val="28"/>
          <w:lang w:val="ro-RO" w:eastAsia="ro-RO"/>
        </w:rPr>
        <w:t>tr-o</w:t>
      </w:r>
      <w:r w:rsidRPr="00F630BE">
        <w:rPr>
          <w:rFonts w:ascii="Times New Roman" w:eastAsia="Times New Roman" w:hAnsi="Times New Roman" w:cs="Times New Roman"/>
          <w:sz w:val="28"/>
          <w:szCs w:val="28"/>
          <w:lang w:val="ro-RO" w:eastAsia="ro-RO"/>
        </w:rPr>
        <w:t xml:space="preserve"> perioad</w:t>
      </w:r>
      <w:r w:rsidR="00041347">
        <w:rPr>
          <w:rFonts w:ascii="Times New Roman" w:eastAsia="Times New Roman" w:hAnsi="Times New Roman" w:cs="Times New Roman"/>
          <w:sz w:val="28"/>
          <w:szCs w:val="28"/>
          <w:lang w:val="ro-RO" w:eastAsia="ro-RO"/>
        </w:rPr>
        <w:t>ă</w:t>
      </w:r>
      <w:r w:rsidRPr="00F630BE">
        <w:rPr>
          <w:rFonts w:ascii="Times New Roman" w:eastAsia="Times New Roman" w:hAnsi="Times New Roman" w:cs="Times New Roman"/>
          <w:sz w:val="28"/>
          <w:szCs w:val="28"/>
          <w:lang w:val="ro-RO" w:eastAsia="ro-RO"/>
        </w:rPr>
        <w:t xml:space="preserve"> de </w:t>
      </w:r>
      <w:r w:rsidR="00041347">
        <w:rPr>
          <w:rFonts w:ascii="Times New Roman" w:eastAsia="Times New Roman" w:hAnsi="Times New Roman" w:cs="Times New Roman"/>
          <w:sz w:val="28"/>
          <w:szCs w:val="28"/>
          <w:lang w:val="ro-RO" w:eastAsia="ro-RO"/>
        </w:rPr>
        <w:t>relansare</w:t>
      </w:r>
      <w:r w:rsidRPr="00D54821">
        <w:rPr>
          <w:rFonts w:ascii="Times New Roman" w:eastAsia="Times New Roman" w:hAnsi="Times New Roman" w:cs="Times New Roman"/>
          <w:bCs/>
          <w:sz w:val="28"/>
          <w:szCs w:val="28"/>
          <w:lang w:val="ro-RO" w:eastAsia="ro-RO"/>
        </w:rPr>
        <w:t xml:space="preserve">. </w:t>
      </w:r>
      <w:r w:rsidRPr="00F630BE">
        <w:rPr>
          <w:rFonts w:ascii="Times New Roman" w:eastAsia="Times New Roman" w:hAnsi="Times New Roman" w:cs="Times New Roman"/>
          <w:b/>
          <w:bCs/>
          <w:sz w:val="28"/>
          <w:szCs w:val="28"/>
          <w:lang w:val="ro-RO" w:eastAsia="ro-RO"/>
        </w:rPr>
        <w:t>Produsul Intern Brut</w:t>
      </w:r>
      <w:r w:rsidRPr="00F630BE">
        <w:rPr>
          <w:rFonts w:ascii="Times New Roman" w:eastAsia="Times New Roman" w:hAnsi="Times New Roman" w:cs="Times New Roman"/>
          <w:sz w:val="28"/>
          <w:szCs w:val="28"/>
          <w:lang w:val="ro-RO" w:eastAsia="ro-RO"/>
        </w:rPr>
        <w:t xml:space="preserve"> (PIB) în </w:t>
      </w:r>
      <w:r w:rsidR="00041347">
        <w:rPr>
          <w:rFonts w:ascii="Times New Roman" w:eastAsia="Times New Roman" w:hAnsi="Times New Roman" w:cs="Times New Roman"/>
          <w:sz w:val="28"/>
          <w:szCs w:val="28"/>
          <w:lang w:val="ro-RO" w:eastAsia="ro-RO"/>
        </w:rPr>
        <w:t>primele nouă luni ale anului</w:t>
      </w:r>
      <w:r w:rsidR="00D54821">
        <w:rPr>
          <w:rFonts w:ascii="Times New Roman" w:eastAsia="Times New Roman" w:hAnsi="Times New Roman" w:cs="Times New Roman"/>
          <w:sz w:val="28"/>
          <w:szCs w:val="28"/>
          <w:lang w:val="ro-RO" w:eastAsia="ro-RO"/>
        </w:rPr>
        <w:t xml:space="preserve"> 2013 a însumat </w:t>
      </w:r>
      <w:r w:rsidR="00041347">
        <w:rPr>
          <w:rFonts w:ascii="Times New Roman" w:eastAsia="Times New Roman" w:hAnsi="Times New Roman" w:cs="Times New Roman"/>
          <w:sz w:val="28"/>
          <w:szCs w:val="28"/>
          <w:lang w:val="ro-RO" w:eastAsia="ro-RO"/>
        </w:rPr>
        <w:t>7</w:t>
      </w:r>
      <w:r w:rsidR="00D54821">
        <w:rPr>
          <w:rFonts w:ascii="Times New Roman" w:eastAsia="Times New Roman" w:hAnsi="Times New Roman" w:cs="Times New Roman"/>
          <w:sz w:val="28"/>
          <w:szCs w:val="28"/>
          <w:lang w:val="ro-RO" w:eastAsia="ro-RO"/>
        </w:rPr>
        <w:t>3,</w:t>
      </w:r>
      <w:r w:rsidR="00041347">
        <w:rPr>
          <w:rFonts w:ascii="Times New Roman" w:eastAsia="Times New Roman" w:hAnsi="Times New Roman" w:cs="Times New Roman"/>
          <w:sz w:val="28"/>
          <w:szCs w:val="28"/>
          <w:lang w:val="ro-RO" w:eastAsia="ro-RO"/>
        </w:rPr>
        <w:t>3</w:t>
      </w:r>
      <w:r w:rsidR="00D54821">
        <w:rPr>
          <w:rFonts w:ascii="Times New Roman" w:eastAsia="Times New Roman" w:hAnsi="Times New Roman" w:cs="Times New Roman"/>
          <w:sz w:val="28"/>
          <w:szCs w:val="28"/>
          <w:lang w:val="ro-RO" w:eastAsia="ro-RO"/>
        </w:rPr>
        <w:t xml:space="preserve"> </w:t>
      </w:r>
      <w:r w:rsidR="00D54821" w:rsidRPr="000948D8">
        <w:rPr>
          <w:rFonts w:ascii="Times New Roman" w:eastAsia="Times New Roman" w:hAnsi="Times New Roman" w:cs="Times New Roman"/>
          <w:sz w:val="28"/>
          <w:szCs w:val="28"/>
          <w:lang w:val="ro-RO" w:eastAsia="ro-RO"/>
        </w:rPr>
        <w:t>m</w:t>
      </w:r>
      <w:r w:rsidRPr="000948D8">
        <w:rPr>
          <w:rFonts w:ascii="Times New Roman" w:eastAsia="Times New Roman" w:hAnsi="Times New Roman" w:cs="Times New Roman"/>
          <w:sz w:val="28"/>
          <w:szCs w:val="28"/>
          <w:lang w:val="ro-RO" w:eastAsia="ro-RO"/>
        </w:rPr>
        <w:t>l</w:t>
      </w:r>
      <w:r w:rsidR="00D54821" w:rsidRPr="000948D8">
        <w:rPr>
          <w:rFonts w:ascii="Times New Roman" w:eastAsia="Times New Roman" w:hAnsi="Times New Roman" w:cs="Times New Roman"/>
          <w:sz w:val="28"/>
          <w:szCs w:val="28"/>
          <w:lang w:val="ro-RO" w:eastAsia="ro-RO"/>
        </w:rPr>
        <w:t>r</w:t>
      </w:r>
      <w:r w:rsidRPr="000948D8">
        <w:rPr>
          <w:rFonts w:ascii="Times New Roman" w:eastAsia="Times New Roman" w:hAnsi="Times New Roman" w:cs="Times New Roman"/>
          <w:sz w:val="28"/>
          <w:szCs w:val="28"/>
          <w:lang w:val="ro-RO" w:eastAsia="ro-RO"/>
        </w:rPr>
        <w:t>d</w:t>
      </w:r>
      <w:r w:rsidRPr="00F630BE">
        <w:rPr>
          <w:rFonts w:ascii="Times New Roman" w:eastAsia="Times New Roman" w:hAnsi="Times New Roman" w:cs="Times New Roman"/>
          <w:sz w:val="28"/>
          <w:szCs w:val="28"/>
          <w:lang w:val="ro-RO" w:eastAsia="ro-RO"/>
        </w:rPr>
        <w:t xml:space="preserve">. lei, majorîndu-se faţă de perioada respectivă a anului 2012 cu </w:t>
      </w:r>
      <w:r w:rsidR="00041347">
        <w:rPr>
          <w:rFonts w:ascii="Times New Roman" w:eastAsia="Times New Roman" w:hAnsi="Times New Roman" w:cs="Times New Roman"/>
          <w:sz w:val="28"/>
          <w:szCs w:val="28"/>
          <w:lang w:val="ro-RO" w:eastAsia="ro-RO"/>
        </w:rPr>
        <w:t>8</w:t>
      </w:r>
      <w:r w:rsidRPr="00F630BE">
        <w:rPr>
          <w:rFonts w:ascii="Times New Roman" w:eastAsia="Times New Roman" w:hAnsi="Times New Roman" w:cs="Times New Roman"/>
          <w:sz w:val="28"/>
          <w:szCs w:val="28"/>
          <w:lang w:val="ro-RO" w:eastAsia="ro-RO"/>
        </w:rPr>
        <w:t>,</w:t>
      </w:r>
      <w:r w:rsidR="00041347">
        <w:rPr>
          <w:rFonts w:ascii="Times New Roman" w:eastAsia="Times New Roman" w:hAnsi="Times New Roman" w:cs="Times New Roman"/>
          <w:sz w:val="28"/>
          <w:szCs w:val="28"/>
          <w:lang w:val="ro-RO" w:eastAsia="ro-RO"/>
        </w:rPr>
        <w:t>0</w:t>
      </w:r>
      <w:r w:rsidRPr="00F630BE">
        <w:rPr>
          <w:rFonts w:ascii="Times New Roman" w:eastAsia="Times New Roman" w:hAnsi="Times New Roman" w:cs="Times New Roman"/>
          <w:sz w:val="28"/>
          <w:szCs w:val="28"/>
          <w:lang w:val="ro-RO" w:eastAsia="ro-RO"/>
        </w:rPr>
        <w:t xml:space="preserve">% (în preţuri comparabile). </w:t>
      </w:r>
      <w:r w:rsidR="00041347" w:rsidRPr="00041347">
        <w:rPr>
          <w:rFonts w:ascii="Times New Roman" w:eastAsia="Times New Roman" w:hAnsi="Times New Roman" w:cs="Times New Roman"/>
          <w:sz w:val="28"/>
          <w:szCs w:val="28"/>
          <w:lang w:val="ro-RO" w:eastAsia="ro-RO"/>
        </w:rPr>
        <w:t>Cea mai semnificativă influenţă asupra creşterii PIB</w:t>
      </w:r>
      <w:r w:rsidR="00041347">
        <w:rPr>
          <w:rFonts w:ascii="Times New Roman" w:eastAsia="Times New Roman" w:hAnsi="Times New Roman" w:cs="Times New Roman"/>
          <w:sz w:val="28"/>
          <w:szCs w:val="28"/>
          <w:lang w:val="ro-RO" w:eastAsia="ro-RO"/>
        </w:rPr>
        <w:t>-ului</w:t>
      </w:r>
      <w:r w:rsidR="00041347" w:rsidRPr="00041347">
        <w:rPr>
          <w:rFonts w:ascii="Times New Roman" w:eastAsia="Times New Roman" w:hAnsi="Times New Roman" w:cs="Times New Roman"/>
          <w:sz w:val="28"/>
          <w:szCs w:val="28"/>
          <w:lang w:val="ro-RO" w:eastAsia="ro-RO"/>
        </w:rPr>
        <w:t xml:space="preserve"> a avut valoarea adăugată brută creată în bunuri</w:t>
      </w:r>
      <w:r w:rsidR="00041347">
        <w:rPr>
          <w:rFonts w:ascii="Times New Roman" w:eastAsia="Times New Roman" w:hAnsi="Times New Roman" w:cs="Times New Roman"/>
          <w:sz w:val="28"/>
          <w:szCs w:val="28"/>
          <w:lang w:val="ro-RO" w:eastAsia="ro-RO"/>
        </w:rPr>
        <w:t>.</w:t>
      </w:r>
      <w:r w:rsidR="00041347" w:rsidRPr="00041347">
        <w:rPr>
          <w:rFonts w:ascii="Times New Roman" w:eastAsia="Times New Roman" w:hAnsi="Times New Roman" w:cs="Times New Roman"/>
          <w:bCs/>
          <w:sz w:val="28"/>
          <w:szCs w:val="28"/>
          <w:lang w:val="ro-RO" w:eastAsia="ro-RO"/>
        </w:rPr>
        <w:t xml:space="preserve"> </w:t>
      </w:r>
    </w:p>
    <w:p w:rsidR="000C1C50" w:rsidRDefault="00D54821" w:rsidP="00F9496F">
      <w:pPr>
        <w:tabs>
          <w:tab w:val="left" w:pos="960"/>
        </w:tabs>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Cs/>
          <w:sz w:val="28"/>
          <w:szCs w:val="28"/>
          <w:lang w:val="ro-RO" w:eastAsia="ro-RO"/>
        </w:rPr>
        <w:t>PIB-ul</w:t>
      </w:r>
      <w:r w:rsidR="000C1C50" w:rsidRPr="000C1C50">
        <w:rPr>
          <w:rFonts w:ascii="Times New Roman" w:eastAsia="Times New Roman" w:hAnsi="Times New Roman" w:cs="Times New Roman"/>
          <w:b/>
          <w:bCs/>
          <w:sz w:val="28"/>
          <w:szCs w:val="28"/>
          <w:lang w:val="ro-RO" w:eastAsia="ro-RO"/>
        </w:rPr>
        <w:t> </w:t>
      </w:r>
      <w:r w:rsidR="000C1C50" w:rsidRPr="000C1C50">
        <w:rPr>
          <w:rFonts w:ascii="Times New Roman" w:eastAsia="Times New Roman" w:hAnsi="Times New Roman" w:cs="Times New Roman"/>
          <w:sz w:val="28"/>
          <w:szCs w:val="28"/>
          <w:lang w:val="ro-RO" w:eastAsia="ro-RO"/>
        </w:rPr>
        <w:t xml:space="preserve">pentru anul 2013 se estimează în sumă de 97,6 </w:t>
      </w:r>
      <w:r w:rsidR="000C1C50" w:rsidRPr="000948D8">
        <w:rPr>
          <w:rFonts w:ascii="Times New Roman" w:eastAsia="Times New Roman" w:hAnsi="Times New Roman" w:cs="Times New Roman"/>
          <w:sz w:val="28"/>
          <w:szCs w:val="28"/>
          <w:lang w:val="ro-RO" w:eastAsia="ro-RO"/>
        </w:rPr>
        <w:t>ml</w:t>
      </w:r>
      <w:r w:rsidRPr="000948D8">
        <w:rPr>
          <w:rFonts w:ascii="Times New Roman" w:eastAsia="Times New Roman" w:hAnsi="Times New Roman" w:cs="Times New Roman"/>
          <w:sz w:val="28"/>
          <w:szCs w:val="28"/>
          <w:lang w:val="ro-RO" w:eastAsia="ro-RO"/>
        </w:rPr>
        <w:t>r</w:t>
      </w:r>
      <w:r w:rsidR="000C1C50" w:rsidRPr="000948D8">
        <w:rPr>
          <w:rFonts w:ascii="Times New Roman" w:eastAsia="Times New Roman" w:hAnsi="Times New Roman" w:cs="Times New Roman"/>
          <w:sz w:val="28"/>
          <w:szCs w:val="28"/>
          <w:lang w:val="ro-RO" w:eastAsia="ro-RO"/>
        </w:rPr>
        <w:t>d</w:t>
      </w:r>
      <w:r w:rsidR="000C1C50" w:rsidRPr="000C1C50">
        <w:rPr>
          <w:rFonts w:ascii="Times New Roman" w:eastAsia="Times New Roman" w:hAnsi="Times New Roman" w:cs="Times New Roman"/>
          <w:sz w:val="28"/>
          <w:szCs w:val="28"/>
          <w:lang w:val="ro-RO" w:eastAsia="ro-RO"/>
        </w:rPr>
        <w:t>. lei, cu o creştere reală comparativ cu anul 2012 de 5,5%. O influenţă pozitivă mai mare asupra creşterii PIB</w:t>
      </w:r>
      <w:r w:rsidR="00041347">
        <w:rPr>
          <w:rFonts w:ascii="Times New Roman" w:eastAsia="Times New Roman" w:hAnsi="Times New Roman" w:cs="Times New Roman"/>
          <w:sz w:val="28"/>
          <w:szCs w:val="28"/>
          <w:lang w:val="ro-RO" w:eastAsia="ro-RO"/>
        </w:rPr>
        <w:t>-ului</w:t>
      </w:r>
      <w:r w:rsidR="000C1C50" w:rsidRPr="000C1C50">
        <w:rPr>
          <w:rFonts w:ascii="Times New Roman" w:eastAsia="Times New Roman" w:hAnsi="Times New Roman" w:cs="Times New Roman"/>
          <w:sz w:val="28"/>
          <w:szCs w:val="28"/>
          <w:lang w:val="ro-RO" w:eastAsia="ro-RO"/>
        </w:rPr>
        <w:t xml:space="preserve"> va exercita agricultura – numai din contul acestui factor se aşteaptă majorarea PIB cu circa 2,7%.</w:t>
      </w:r>
    </w:p>
    <w:p w:rsidR="000C1C50" w:rsidRDefault="000C1C50" w:rsidP="00D54821">
      <w:pPr>
        <w:tabs>
          <w:tab w:val="left" w:pos="960"/>
          <w:tab w:val="num" w:pos="993"/>
        </w:tabs>
        <w:spacing w:after="0" w:line="240" w:lineRule="auto"/>
        <w:ind w:firstLine="709"/>
        <w:jc w:val="both"/>
        <w:rPr>
          <w:rFonts w:ascii="Times New Roman" w:eastAsia="Times New Roman" w:hAnsi="Times New Roman" w:cs="Times New Roman"/>
          <w:sz w:val="28"/>
          <w:szCs w:val="28"/>
          <w:lang w:val="ro-RO" w:eastAsia="ro-RO"/>
        </w:rPr>
      </w:pPr>
      <w:r w:rsidRPr="000C1C50">
        <w:rPr>
          <w:rFonts w:ascii="Times New Roman" w:eastAsia="Times New Roman" w:hAnsi="Times New Roman" w:cs="Times New Roman"/>
          <w:sz w:val="28"/>
          <w:szCs w:val="28"/>
          <w:lang w:val="ro-RO" w:eastAsia="ro-RO"/>
        </w:rPr>
        <w:t xml:space="preserve">Pentru anii 2014-2016 se prognozează </w:t>
      </w:r>
      <w:r w:rsidR="00D54821">
        <w:rPr>
          <w:rFonts w:ascii="Times New Roman" w:eastAsia="Times New Roman" w:hAnsi="Times New Roman" w:cs="Times New Roman"/>
          <w:sz w:val="28"/>
          <w:szCs w:val="28"/>
          <w:lang w:val="ro-RO" w:eastAsia="ro-RO"/>
        </w:rPr>
        <w:t>că</w:t>
      </w:r>
      <w:r w:rsidRPr="000C1C50">
        <w:rPr>
          <w:rFonts w:ascii="Times New Roman" w:eastAsia="Times New Roman" w:hAnsi="Times New Roman" w:cs="Times New Roman"/>
          <w:sz w:val="28"/>
          <w:szCs w:val="28"/>
          <w:lang w:val="ro-RO" w:eastAsia="ro-RO"/>
        </w:rPr>
        <w:t xml:space="preserve"> PIB</w:t>
      </w:r>
      <w:r w:rsidR="00AD4ADF">
        <w:rPr>
          <w:rFonts w:ascii="Times New Roman" w:eastAsia="Times New Roman" w:hAnsi="Times New Roman" w:cs="Times New Roman"/>
          <w:sz w:val="28"/>
          <w:szCs w:val="28"/>
          <w:lang w:val="ro-RO" w:eastAsia="ro-RO"/>
        </w:rPr>
        <w:t>-ul</w:t>
      </w:r>
      <w:r w:rsidRPr="000C1C50">
        <w:rPr>
          <w:rFonts w:ascii="Times New Roman" w:eastAsia="Times New Roman" w:hAnsi="Times New Roman" w:cs="Times New Roman"/>
          <w:sz w:val="28"/>
          <w:szCs w:val="28"/>
          <w:lang w:val="ro-RO" w:eastAsia="ro-RO"/>
        </w:rPr>
        <w:t xml:space="preserve"> </w:t>
      </w:r>
      <w:r w:rsidR="00D54821" w:rsidRPr="00BA760F">
        <w:rPr>
          <w:rFonts w:ascii="Times New Roman" w:eastAsia="Times New Roman" w:hAnsi="Times New Roman" w:cs="Times New Roman"/>
          <w:sz w:val="28"/>
          <w:szCs w:val="28"/>
          <w:lang w:val="ro-RO" w:eastAsia="ro-RO"/>
        </w:rPr>
        <w:t xml:space="preserve">va evolua cu o rată medie de </w:t>
      </w:r>
      <w:r w:rsidR="00D54821" w:rsidRPr="005F58E5">
        <w:rPr>
          <w:rFonts w:ascii="Times New Roman" w:eastAsia="Times New Roman" w:hAnsi="Times New Roman" w:cs="Times New Roman"/>
          <w:sz w:val="28"/>
          <w:szCs w:val="28"/>
          <w:lang w:val="ro-RO" w:eastAsia="ro-RO"/>
        </w:rPr>
        <w:t>circa 4,5% creştere</w:t>
      </w:r>
      <w:r w:rsidR="00D54821" w:rsidRPr="00BA760F">
        <w:rPr>
          <w:rFonts w:ascii="Times New Roman" w:eastAsia="Times New Roman" w:hAnsi="Times New Roman" w:cs="Times New Roman"/>
          <w:sz w:val="28"/>
          <w:szCs w:val="28"/>
          <w:lang w:val="ro-RO" w:eastAsia="ro-RO"/>
        </w:rPr>
        <w:t xml:space="preserve"> reală anuală</w:t>
      </w:r>
      <w:r w:rsidRPr="000C1C50">
        <w:rPr>
          <w:rFonts w:ascii="Times New Roman" w:eastAsia="Times New Roman" w:hAnsi="Times New Roman" w:cs="Times New Roman"/>
          <w:sz w:val="28"/>
          <w:szCs w:val="28"/>
          <w:lang w:val="ro-RO" w:eastAsia="ro-RO"/>
        </w:rPr>
        <w:t>. La baza acestei creşteri v</w:t>
      </w:r>
      <w:r w:rsidR="00D54821">
        <w:rPr>
          <w:rFonts w:ascii="Times New Roman" w:eastAsia="Times New Roman" w:hAnsi="Times New Roman" w:cs="Times New Roman"/>
          <w:sz w:val="28"/>
          <w:szCs w:val="28"/>
          <w:lang w:val="ro-RO" w:eastAsia="ro-RO"/>
        </w:rPr>
        <w:t>a</w:t>
      </w:r>
      <w:r w:rsidRPr="000C1C50">
        <w:rPr>
          <w:rFonts w:ascii="Times New Roman" w:eastAsia="Times New Roman" w:hAnsi="Times New Roman" w:cs="Times New Roman"/>
          <w:sz w:val="28"/>
          <w:szCs w:val="28"/>
          <w:lang w:val="ro-RO" w:eastAsia="ro-RO"/>
        </w:rPr>
        <w:t xml:space="preserve"> sta îmbunătăţirea contextului econo</w:t>
      </w:r>
      <w:r w:rsidR="00D54821">
        <w:rPr>
          <w:rFonts w:ascii="Times New Roman" w:eastAsia="Times New Roman" w:hAnsi="Times New Roman" w:cs="Times New Roman"/>
          <w:sz w:val="28"/>
          <w:szCs w:val="28"/>
          <w:lang w:val="ro-RO" w:eastAsia="ro-RO"/>
        </w:rPr>
        <w:t xml:space="preserve">mico-financiar la nivel mondial, </w:t>
      </w:r>
      <w:r w:rsidRPr="000C1C50">
        <w:rPr>
          <w:rFonts w:ascii="Times New Roman" w:eastAsia="Times New Roman" w:hAnsi="Times New Roman" w:cs="Times New Roman"/>
          <w:sz w:val="28"/>
          <w:szCs w:val="28"/>
          <w:lang w:val="ro-RO" w:eastAsia="ro-RO"/>
        </w:rPr>
        <w:t>promov</w:t>
      </w:r>
      <w:r w:rsidR="00D54821">
        <w:rPr>
          <w:rFonts w:ascii="Times New Roman" w:eastAsia="Times New Roman" w:hAnsi="Times New Roman" w:cs="Times New Roman"/>
          <w:sz w:val="28"/>
          <w:szCs w:val="28"/>
          <w:lang w:val="ro-RO" w:eastAsia="ro-RO"/>
        </w:rPr>
        <w:t xml:space="preserve">area mai intensă a exporturilor, </w:t>
      </w:r>
      <w:r w:rsidRPr="000C1C50">
        <w:rPr>
          <w:rFonts w:ascii="Times New Roman" w:eastAsia="Times New Roman" w:hAnsi="Times New Roman" w:cs="Times New Roman"/>
          <w:sz w:val="28"/>
          <w:szCs w:val="28"/>
          <w:lang w:val="ro-RO" w:eastAsia="ro-RO"/>
        </w:rPr>
        <w:t>con</w:t>
      </w:r>
      <w:r w:rsidR="00D54821">
        <w:rPr>
          <w:rFonts w:ascii="Times New Roman" w:eastAsia="Times New Roman" w:hAnsi="Times New Roman" w:cs="Times New Roman"/>
          <w:sz w:val="28"/>
          <w:szCs w:val="28"/>
          <w:lang w:val="ro-RO" w:eastAsia="ro-RO"/>
        </w:rPr>
        <w:t xml:space="preserve">tinuarea reformelor structurale, </w:t>
      </w:r>
      <w:r w:rsidRPr="000C1C50">
        <w:rPr>
          <w:rFonts w:ascii="Times New Roman" w:eastAsia="Times New Roman" w:hAnsi="Times New Roman" w:cs="Times New Roman"/>
          <w:sz w:val="28"/>
          <w:szCs w:val="28"/>
          <w:lang w:val="ro-RO" w:eastAsia="ro-RO"/>
        </w:rPr>
        <w:t>dezvoltarea sectorului real al economiei, asi</w:t>
      </w:r>
      <w:r w:rsidR="00D54821">
        <w:rPr>
          <w:rFonts w:ascii="Times New Roman" w:eastAsia="Times New Roman" w:hAnsi="Times New Roman" w:cs="Times New Roman"/>
          <w:sz w:val="28"/>
          <w:szCs w:val="28"/>
          <w:lang w:val="ro-RO" w:eastAsia="ro-RO"/>
        </w:rPr>
        <w:t xml:space="preserve">gurarea stabilităţii financiare, </w:t>
      </w:r>
      <w:r w:rsidRPr="000C1C50">
        <w:rPr>
          <w:rFonts w:ascii="Times New Roman" w:eastAsia="Times New Roman" w:hAnsi="Times New Roman" w:cs="Times New Roman"/>
          <w:sz w:val="28"/>
          <w:szCs w:val="28"/>
          <w:lang w:val="ro-RO" w:eastAsia="ro-RO"/>
        </w:rPr>
        <w:t>etc.</w:t>
      </w:r>
    </w:p>
    <w:p w:rsidR="001E0A33" w:rsidRPr="00BA760F" w:rsidRDefault="00BA760F" w:rsidP="00780A34">
      <w:pPr>
        <w:tabs>
          <w:tab w:val="left" w:pos="709"/>
        </w:tabs>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sidR="001E0A33" w:rsidRPr="007E2D78">
        <w:rPr>
          <w:rFonts w:ascii="Times New Roman" w:eastAsia="Times New Roman" w:hAnsi="Times New Roman" w:cs="Times New Roman"/>
          <w:sz w:val="28"/>
          <w:szCs w:val="28"/>
          <w:lang w:val="ro-RO" w:eastAsia="ro-RO"/>
        </w:rPr>
        <w:t xml:space="preserve">În </w:t>
      </w:r>
      <w:r w:rsidR="000948D8">
        <w:rPr>
          <w:rFonts w:ascii="Times New Roman" w:eastAsia="Times New Roman" w:hAnsi="Times New Roman" w:cs="Times New Roman"/>
          <w:sz w:val="28"/>
          <w:szCs w:val="28"/>
          <w:lang w:val="ro-RO" w:eastAsia="ro-RO"/>
        </w:rPr>
        <w:t>decembrie</w:t>
      </w:r>
      <w:r w:rsidR="001E0A33" w:rsidRPr="007E2D78">
        <w:rPr>
          <w:rFonts w:ascii="Times New Roman" w:eastAsia="Times New Roman" w:hAnsi="Times New Roman" w:cs="Times New Roman"/>
          <w:sz w:val="28"/>
          <w:szCs w:val="28"/>
          <w:lang w:val="ro-RO" w:eastAsia="ro-RO"/>
        </w:rPr>
        <w:t xml:space="preserve"> 2013, </w:t>
      </w:r>
      <w:r w:rsidR="007E2D78" w:rsidRPr="007E2D78">
        <w:rPr>
          <w:rFonts w:ascii="Times New Roman" w:eastAsia="Times New Roman" w:hAnsi="Times New Roman" w:cs="Times New Roman"/>
          <w:b/>
          <w:bCs/>
          <w:sz w:val="28"/>
          <w:szCs w:val="28"/>
          <w:lang w:val="ro-RO" w:eastAsia="ro-RO"/>
        </w:rPr>
        <w:t>rata inflaţiei</w:t>
      </w:r>
      <w:r w:rsidR="007E2D78" w:rsidRPr="007E2D78">
        <w:rPr>
          <w:rFonts w:ascii="Times New Roman" w:eastAsia="Times New Roman" w:hAnsi="Times New Roman" w:cs="Times New Roman"/>
          <w:b/>
          <w:sz w:val="28"/>
          <w:szCs w:val="28"/>
          <w:lang w:val="ro-RO" w:eastAsia="ro-RO"/>
        </w:rPr>
        <w:t> </w:t>
      </w:r>
      <w:r w:rsidR="001E0A33" w:rsidRPr="007E2D78">
        <w:rPr>
          <w:rFonts w:ascii="Times New Roman" w:eastAsia="Times New Roman" w:hAnsi="Times New Roman" w:cs="Times New Roman"/>
          <w:sz w:val="28"/>
          <w:szCs w:val="28"/>
          <w:lang w:val="ro-RO" w:eastAsia="ro-RO"/>
        </w:rPr>
        <w:t xml:space="preserve">a crescut cu </w:t>
      </w:r>
      <w:r w:rsidR="000948D8">
        <w:rPr>
          <w:rFonts w:ascii="Times New Roman" w:eastAsia="Times New Roman" w:hAnsi="Times New Roman" w:cs="Times New Roman"/>
          <w:sz w:val="28"/>
          <w:szCs w:val="28"/>
          <w:lang w:val="ro-RO" w:eastAsia="ro-RO"/>
        </w:rPr>
        <w:t>5</w:t>
      </w:r>
      <w:r w:rsidR="001E0A33" w:rsidRPr="007E2D78">
        <w:rPr>
          <w:rFonts w:ascii="Times New Roman" w:eastAsia="Times New Roman" w:hAnsi="Times New Roman" w:cs="Times New Roman"/>
          <w:sz w:val="28"/>
          <w:szCs w:val="28"/>
          <w:lang w:val="ro-RO" w:eastAsia="ro-RO"/>
        </w:rPr>
        <w:t>,</w:t>
      </w:r>
      <w:r w:rsidR="000948D8">
        <w:rPr>
          <w:rFonts w:ascii="Times New Roman" w:eastAsia="Times New Roman" w:hAnsi="Times New Roman" w:cs="Times New Roman"/>
          <w:sz w:val="28"/>
          <w:szCs w:val="28"/>
          <w:lang w:val="ro-RO" w:eastAsia="ro-RO"/>
        </w:rPr>
        <w:t>2</w:t>
      </w:r>
      <w:r w:rsidR="001E0A33" w:rsidRPr="007E2D78">
        <w:rPr>
          <w:rFonts w:ascii="Times New Roman" w:eastAsia="Times New Roman" w:hAnsi="Times New Roman" w:cs="Times New Roman"/>
          <w:sz w:val="28"/>
          <w:szCs w:val="28"/>
          <w:lang w:val="ro-RO" w:eastAsia="ro-RO"/>
        </w:rPr>
        <w:t xml:space="preserve">% faţă de decembrie 2012, comparativ cu </w:t>
      </w:r>
      <w:r w:rsidR="000948D8">
        <w:rPr>
          <w:rFonts w:ascii="Times New Roman" w:eastAsia="Times New Roman" w:hAnsi="Times New Roman" w:cs="Times New Roman"/>
          <w:sz w:val="28"/>
          <w:szCs w:val="28"/>
          <w:lang w:val="ro-RO" w:eastAsia="ro-RO"/>
        </w:rPr>
        <w:t>4</w:t>
      </w:r>
      <w:r w:rsidR="001E0A33" w:rsidRPr="007E2D78">
        <w:rPr>
          <w:rFonts w:ascii="Times New Roman" w:eastAsia="Times New Roman" w:hAnsi="Times New Roman" w:cs="Times New Roman"/>
          <w:sz w:val="28"/>
          <w:szCs w:val="28"/>
          <w:lang w:val="ro-RO" w:eastAsia="ro-RO"/>
        </w:rPr>
        <w:t>,</w:t>
      </w:r>
      <w:r w:rsidR="000948D8">
        <w:rPr>
          <w:rFonts w:ascii="Times New Roman" w:eastAsia="Times New Roman" w:hAnsi="Times New Roman" w:cs="Times New Roman"/>
          <w:sz w:val="28"/>
          <w:szCs w:val="28"/>
          <w:lang w:val="ro-RO" w:eastAsia="ro-RO"/>
        </w:rPr>
        <w:t>1</w:t>
      </w:r>
      <w:r w:rsidR="001E0A33" w:rsidRPr="007E2D78">
        <w:rPr>
          <w:rFonts w:ascii="Times New Roman" w:eastAsia="Times New Roman" w:hAnsi="Times New Roman" w:cs="Times New Roman"/>
          <w:sz w:val="28"/>
          <w:szCs w:val="28"/>
          <w:lang w:val="ro-RO" w:eastAsia="ro-RO"/>
        </w:rPr>
        <w:t>% în perioada similară a anului 2012. Creşterea preţurilor a fost condiţionată, în general, de majorarea preţurilor</w:t>
      </w:r>
      <w:r w:rsidR="001E0A33" w:rsidRPr="001E0A33">
        <w:rPr>
          <w:rFonts w:ascii="Times New Roman" w:eastAsia="Times New Roman" w:hAnsi="Times New Roman" w:cs="Times New Roman"/>
          <w:sz w:val="28"/>
          <w:szCs w:val="28"/>
          <w:lang w:val="ro-RO" w:eastAsia="ro-RO"/>
        </w:rPr>
        <w:t xml:space="preserve"> la </w:t>
      </w:r>
      <w:r w:rsidR="00321871" w:rsidRPr="001E0A33">
        <w:rPr>
          <w:rFonts w:ascii="Times New Roman" w:eastAsia="Times New Roman" w:hAnsi="Times New Roman" w:cs="Times New Roman"/>
          <w:sz w:val="28"/>
          <w:szCs w:val="28"/>
          <w:lang w:val="ro-RO" w:eastAsia="ro-RO"/>
        </w:rPr>
        <w:t>produsele alimentare</w:t>
      </w:r>
      <w:r w:rsidR="001E0A33" w:rsidRPr="001E0A33">
        <w:rPr>
          <w:rFonts w:ascii="Times New Roman" w:eastAsia="Times New Roman" w:hAnsi="Times New Roman" w:cs="Times New Roman"/>
          <w:sz w:val="28"/>
          <w:szCs w:val="28"/>
          <w:lang w:val="ro-RO" w:eastAsia="ro-RO"/>
        </w:rPr>
        <w:t>, precum şi la</w:t>
      </w:r>
      <w:r w:rsidR="00321871" w:rsidRPr="00321871">
        <w:rPr>
          <w:rFonts w:ascii="Times New Roman" w:eastAsia="Times New Roman" w:hAnsi="Times New Roman" w:cs="Times New Roman"/>
          <w:sz w:val="28"/>
          <w:szCs w:val="28"/>
          <w:lang w:val="ro-RO" w:eastAsia="ro-RO"/>
        </w:rPr>
        <w:t xml:space="preserve"> </w:t>
      </w:r>
      <w:r w:rsidR="00321871" w:rsidRPr="001E0A33">
        <w:rPr>
          <w:rFonts w:ascii="Times New Roman" w:eastAsia="Times New Roman" w:hAnsi="Times New Roman" w:cs="Times New Roman"/>
          <w:sz w:val="28"/>
          <w:szCs w:val="28"/>
          <w:lang w:val="ro-RO" w:eastAsia="ro-RO"/>
        </w:rPr>
        <w:t>mărfurile nealimentare</w:t>
      </w:r>
      <w:r w:rsidR="001E0A33">
        <w:rPr>
          <w:rFonts w:ascii="Times New Roman" w:eastAsia="Times New Roman" w:hAnsi="Times New Roman" w:cs="Times New Roman"/>
          <w:sz w:val="28"/>
          <w:szCs w:val="28"/>
          <w:lang w:val="ro-RO" w:eastAsia="ro-RO"/>
        </w:rPr>
        <w:t>.</w:t>
      </w:r>
    </w:p>
    <w:p w:rsidR="00BA760F" w:rsidRPr="00BA760F" w:rsidRDefault="00BA760F" w:rsidP="00F9496F">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r w:rsidRPr="00BA760F">
        <w:rPr>
          <w:rFonts w:ascii="Times New Roman" w:eastAsia="Times New Roman" w:hAnsi="Times New Roman" w:cs="Times New Roman"/>
          <w:sz w:val="28"/>
          <w:szCs w:val="28"/>
          <w:lang w:val="ro-RO" w:eastAsia="ro-RO"/>
        </w:rPr>
        <w:t>Menţinerea relativă a cursului de schimb la acelaşi nivel va contr</w:t>
      </w:r>
      <w:r w:rsidR="005520C3">
        <w:rPr>
          <w:rFonts w:ascii="Times New Roman" w:eastAsia="Times New Roman" w:hAnsi="Times New Roman" w:cs="Times New Roman"/>
          <w:sz w:val="28"/>
          <w:szCs w:val="28"/>
          <w:lang w:val="ro-RO" w:eastAsia="ro-RO"/>
        </w:rPr>
        <w:t>ibui la stabilitatea preţurilor, astfel</w:t>
      </w:r>
      <w:r w:rsidRPr="00BA760F">
        <w:rPr>
          <w:rFonts w:ascii="Times New Roman" w:eastAsia="Times New Roman" w:hAnsi="Times New Roman" w:cs="Times New Roman"/>
          <w:sz w:val="28"/>
          <w:szCs w:val="28"/>
          <w:lang w:val="ro-RO" w:eastAsia="ro-RO"/>
        </w:rPr>
        <w:t> </w:t>
      </w:r>
      <w:r w:rsidRPr="007E2D78">
        <w:rPr>
          <w:rFonts w:ascii="Times New Roman" w:eastAsia="Times New Roman" w:hAnsi="Times New Roman" w:cs="Times New Roman"/>
          <w:bCs/>
          <w:sz w:val="28"/>
          <w:szCs w:val="28"/>
          <w:lang w:val="ro-RO" w:eastAsia="ro-RO"/>
        </w:rPr>
        <w:t>indicele preţurilor de consum</w:t>
      </w:r>
      <w:r w:rsidRPr="00BA760F">
        <w:rPr>
          <w:rFonts w:ascii="Times New Roman" w:eastAsia="Times New Roman" w:hAnsi="Times New Roman" w:cs="Times New Roman"/>
          <w:sz w:val="28"/>
          <w:szCs w:val="28"/>
          <w:lang w:val="ro-RO" w:eastAsia="ro-RO"/>
        </w:rPr>
        <w:t> la sfîrşitul anului se prognozează la nivel de 10</w:t>
      </w:r>
      <w:r w:rsidR="007E2D78">
        <w:rPr>
          <w:rFonts w:ascii="Times New Roman" w:eastAsia="Times New Roman" w:hAnsi="Times New Roman" w:cs="Times New Roman"/>
          <w:sz w:val="28"/>
          <w:szCs w:val="28"/>
          <w:lang w:val="ro-RO" w:eastAsia="ro-RO"/>
        </w:rPr>
        <w:t>4</w:t>
      </w:r>
      <w:r w:rsidRPr="00BA760F">
        <w:rPr>
          <w:rFonts w:ascii="Times New Roman" w:eastAsia="Times New Roman" w:hAnsi="Times New Roman" w:cs="Times New Roman"/>
          <w:sz w:val="28"/>
          <w:szCs w:val="28"/>
          <w:lang w:val="ro-RO" w:eastAsia="ro-RO"/>
        </w:rPr>
        <w:t>,</w:t>
      </w:r>
      <w:r w:rsidR="007E2D78">
        <w:rPr>
          <w:rFonts w:ascii="Times New Roman" w:eastAsia="Times New Roman" w:hAnsi="Times New Roman" w:cs="Times New Roman"/>
          <w:sz w:val="28"/>
          <w:szCs w:val="28"/>
          <w:lang w:val="ro-RO" w:eastAsia="ro-RO"/>
        </w:rPr>
        <w:t>7</w:t>
      </w:r>
      <w:r w:rsidRPr="00BA760F">
        <w:rPr>
          <w:rFonts w:ascii="Times New Roman" w:eastAsia="Times New Roman" w:hAnsi="Times New Roman" w:cs="Times New Roman"/>
          <w:sz w:val="28"/>
          <w:szCs w:val="28"/>
          <w:lang w:val="ro-RO" w:eastAsia="ro-RO"/>
        </w:rPr>
        <w:t>%, 106,4% şi 105,5% pentru anii 2014-2016, respectiv.</w:t>
      </w:r>
    </w:p>
    <w:p w:rsidR="004A294E" w:rsidRDefault="00F9496F" w:rsidP="00E93204">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Evoluţia principalilor indicatori macroeconomici pe parcursul anilor 201</w:t>
      </w:r>
      <w:r w:rsidR="004A294E">
        <w:rPr>
          <w:rFonts w:ascii="Times New Roman" w:eastAsia="Times New Roman" w:hAnsi="Times New Roman" w:cs="Times New Roman"/>
          <w:sz w:val="28"/>
          <w:szCs w:val="28"/>
          <w:lang w:val="ro-RO" w:eastAsia="ru-RU"/>
        </w:rPr>
        <w:t>1</w:t>
      </w:r>
      <w:r w:rsidRPr="00F9496F">
        <w:rPr>
          <w:rFonts w:ascii="Times New Roman" w:eastAsia="Times New Roman" w:hAnsi="Times New Roman" w:cs="Times New Roman"/>
          <w:sz w:val="28"/>
          <w:szCs w:val="28"/>
          <w:lang w:val="ro-RO" w:eastAsia="ru-RU"/>
        </w:rPr>
        <w:t>-2</w:t>
      </w:r>
      <w:r w:rsidR="004A294E">
        <w:rPr>
          <w:rFonts w:ascii="Times New Roman" w:eastAsia="Times New Roman" w:hAnsi="Times New Roman" w:cs="Times New Roman"/>
          <w:sz w:val="28"/>
          <w:szCs w:val="28"/>
          <w:lang w:val="ro-RO" w:eastAsia="ru-RU"/>
        </w:rPr>
        <w:t>016 este prezentată în tabelul 3</w:t>
      </w:r>
      <w:r w:rsidRPr="00F9496F">
        <w:rPr>
          <w:rFonts w:ascii="Times New Roman" w:eastAsia="Times New Roman" w:hAnsi="Times New Roman" w:cs="Times New Roman"/>
          <w:sz w:val="28"/>
          <w:szCs w:val="28"/>
          <w:lang w:val="ro-RO" w:eastAsia="ru-RU"/>
        </w:rPr>
        <w:t>.1.</w:t>
      </w:r>
    </w:p>
    <w:p w:rsidR="00F9496F" w:rsidRPr="00F9496F" w:rsidRDefault="00F9496F" w:rsidP="00F9496F">
      <w:pPr>
        <w:autoSpaceDE w:val="0"/>
        <w:autoSpaceDN w:val="0"/>
        <w:adjustRightInd w:val="0"/>
        <w:spacing w:after="0" w:line="240" w:lineRule="auto"/>
        <w:ind w:firstLine="709"/>
        <w:jc w:val="right"/>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 xml:space="preserve">Tabelul </w:t>
      </w:r>
      <w:r w:rsidR="004A294E">
        <w:rPr>
          <w:rFonts w:ascii="Times New Roman" w:eastAsia="Times New Roman" w:hAnsi="Times New Roman" w:cs="Times New Roman"/>
          <w:sz w:val="28"/>
          <w:szCs w:val="28"/>
          <w:lang w:val="ro-RO" w:eastAsia="ru-RU"/>
        </w:rPr>
        <w:t>3</w:t>
      </w:r>
      <w:r w:rsidRPr="00F9496F">
        <w:rPr>
          <w:rFonts w:ascii="Times New Roman" w:eastAsia="Times New Roman" w:hAnsi="Times New Roman" w:cs="Times New Roman"/>
          <w:sz w:val="28"/>
          <w:szCs w:val="28"/>
          <w:lang w:val="ro-RO" w:eastAsia="ru-RU"/>
        </w:rPr>
        <w:t>.1.</w:t>
      </w:r>
    </w:p>
    <w:p w:rsidR="00F9496F" w:rsidRPr="00F9496F"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8"/>
          <w:szCs w:val="28"/>
          <w:lang w:val="ro-RO" w:eastAsia="ru-RU"/>
        </w:rPr>
        <w:t>Evoluţia indicatorilor macroeconomici, 201</w:t>
      </w:r>
      <w:r w:rsidR="004A294E">
        <w:rPr>
          <w:rFonts w:ascii="Times New Roman" w:eastAsia="Times New Roman" w:hAnsi="Times New Roman" w:cs="Times New Roman"/>
          <w:sz w:val="28"/>
          <w:szCs w:val="28"/>
          <w:lang w:val="ro-RO" w:eastAsia="ru-RU"/>
        </w:rPr>
        <w:t>1</w:t>
      </w:r>
      <w:r w:rsidRPr="00F9496F">
        <w:rPr>
          <w:rFonts w:ascii="Times New Roman" w:eastAsia="Times New Roman" w:hAnsi="Times New Roman" w:cs="Times New Roman"/>
          <w:sz w:val="28"/>
          <w:szCs w:val="28"/>
          <w:lang w:val="ro-RO" w:eastAsia="ru-RU"/>
        </w:rPr>
        <w:t>-201</w:t>
      </w:r>
      <w:r w:rsidR="004A294E">
        <w:rPr>
          <w:rFonts w:ascii="Times New Roman" w:eastAsia="Times New Roman" w:hAnsi="Times New Roman" w:cs="Times New Roman"/>
          <w:sz w:val="28"/>
          <w:szCs w:val="28"/>
          <w:lang w:val="ro-RO" w:eastAsia="ru-RU"/>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134"/>
        <w:gridCol w:w="1134"/>
        <w:gridCol w:w="1134"/>
        <w:gridCol w:w="1134"/>
        <w:gridCol w:w="1134"/>
        <w:gridCol w:w="1134"/>
      </w:tblGrid>
      <w:tr w:rsidR="00DF6AA9" w:rsidRPr="004A294E" w:rsidTr="00DF6AA9">
        <w:trPr>
          <w:trHeight w:val="252"/>
        </w:trPr>
        <w:tc>
          <w:tcPr>
            <w:tcW w:w="2552" w:type="dxa"/>
            <w:tcBorders>
              <w:top w:val="single" w:sz="4" w:space="0" w:color="17365D"/>
              <w:bottom w:val="single" w:sz="4" w:space="0" w:color="17365D"/>
              <w:right w:val="single" w:sz="4" w:space="0" w:color="17365D"/>
            </w:tcBorders>
          </w:tcPr>
          <w:p w:rsidR="00F9496F" w:rsidRPr="004A294E" w:rsidRDefault="00F9496F" w:rsidP="00F9496F">
            <w:pPr>
              <w:spacing w:after="0" w:line="240" w:lineRule="auto"/>
              <w:jc w:val="both"/>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Indicator</w:t>
            </w:r>
          </w:p>
        </w:tc>
        <w:tc>
          <w:tcPr>
            <w:tcW w:w="1134" w:type="dxa"/>
            <w:tcBorders>
              <w:top w:val="single" w:sz="4" w:space="0" w:color="17365D"/>
              <w:left w:val="single" w:sz="4" w:space="0" w:color="17365D"/>
              <w:bottom w:val="single" w:sz="4" w:space="0" w:color="17365D"/>
              <w:right w:val="single" w:sz="4" w:space="0" w:color="17365D"/>
            </w:tcBorders>
          </w:tcPr>
          <w:p w:rsidR="00F9496F" w:rsidRPr="004A294E" w:rsidRDefault="00F9496F" w:rsidP="004A294E">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201</w:t>
            </w:r>
            <w:r w:rsidR="004A294E">
              <w:rPr>
                <w:rFonts w:ascii="Times New Roman" w:eastAsia="Times New Roman" w:hAnsi="Times New Roman" w:cs="Times New Roman"/>
                <w:sz w:val="24"/>
                <w:szCs w:val="24"/>
                <w:lang w:val="ro-RO" w:eastAsia="ru-RU"/>
              </w:rPr>
              <w:t>1</w:t>
            </w:r>
          </w:p>
        </w:tc>
        <w:tc>
          <w:tcPr>
            <w:tcW w:w="1134" w:type="dxa"/>
            <w:tcBorders>
              <w:top w:val="single" w:sz="4" w:space="0" w:color="17365D"/>
              <w:left w:val="single" w:sz="4" w:space="0" w:color="17365D"/>
              <w:bottom w:val="single" w:sz="4" w:space="0" w:color="17365D"/>
            </w:tcBorders>
          </w:tcPr>
          <w:p w:rsidR="00F9496F" w:rsidRPr="004A294E" w:rsidRDefault="00F9496F" w:rsidP="004A294E">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201</w:t>
            </w:r>
            <w:r w:rsidR="004A294E">
              <w:rPr>
                <w:rFonts w:ascii="Times New Roman" w:eastAsia="Times New Roman" w:hAnsi="Times New Roman" w:cs="Times New Roman"/>
                <w:sz w:val="24"/>
                <w:szCs w:val="24"/>
                <w:lang w:val="ro-RO" w:eastAsia="ru-RU"/>
              </w:rPr>
              <w:t>2</w:t>
            </w:r>
          </w:p>
        </w:tc>
        <w:tc>
          <w:tcPr>
            <w:tcW w:w="1134" w:type="dxa"/>
            <w:tcBorders>
              <w:top w:val="single" w:sz="4" w:space="0" w:color="17365D"/>
              <w:bottom w:val="single" w:sz="4" w:space="0" w:color="17365D"/>
              <w:right w:val="single" w:sz="4" w:space="0" w:color="17365D"/>
            </w:tcBorders>
          </w:tcPr>
          <w:p w:rsidR="00F9496F" w:rsidRPr="004A294E" w:rsidRDefault="00F9496F" w:rsidP="00DC071B">
            <w:pPr>
              <w:spacing w:after="0" w:line="240" w:lineRule="auto"/>
              <w:jc w:val="center"/>
              <w:rPr>
                <w:rFonts w:ascii="Times New Roman" w:eastAsia="Times New Roman" w:hAnsi="Times New Roman" w:cs="Times New Roman"/>
                <w:sz w:val="24"/>
                <w:szCs w:val="24"/>
                <w:vertAlign w:val="superscript"/>
                <w:lang w:val="ro-RO" w:eastAsia="ru-RU"/>
              </w:rPr>
            </w:pPr>
            <w:r w:rsidRPr="004A294E">
              <w:rPr>
                <w:rFonts w:ascii="Times New Roman" w:eastAsia="Times New Roman" w:hAnsi="Times New Roman" w:cs="Times New Roman"/>
                <w:sz w:val="24"/>
                <w:szCs w:val="24"/>
                <w:lang w:val="ro-RO" w:eastAsia="ru-RU"/>
              </w:rPr>
              <w:t>201</w:t>
            </w:r>
            <w:r w:rsidR="004A294E">
              <w:rPr>
                <w:rFonts w:ascii="Times New Roman" w:eastAsia="Times New Roman" w:hAnsi="Times New Roman" w:cs="Times New Roman"/>
                <w:sz w:val="24"/>
                <w:szCs w:val="24"/>
                <w:lang w:val="ro-RO" w:eastAsia="ru-RU"/>
              </w:rPr>
              <w:t>3</w:t>
            </w:r>
            <w:r w:rsidR="00DC071B" w:rsidRPr="004A294E">
              <w:rPr>
                <w:rFonts w:ascii="Times New Roman" w:eastAsia="Times New Roman" w:hAnsi="Times New Roman" w:cs="Times New Roman"/>
                <w:sz w:val="24"/>
                <w:szCs w:val="24"/>
                <w:vertAlign w:val="superscript"/>
                <w:lang w:val="ro-RO" w:eastAsia="ru-RU"/>
              </w:rPr>
              <w:t>1</w:t>
            </w:r>
          </w:p>
        </w:tc>
        <w:tc>
          <w:tcPr>
            <w:tcW w:w="1134" w:type="dxa"/>
            <w:tcBorders>
              <w:top w:val="single" w:sz="4" w:space="0" w:color="17365D"/>
              <w:left w:val="single" w:sz="4" w:space="0" w:color="17365D"/>
              <w:bottom w:val="single" w:sz="4" w:space="0" w:color="17365D"/>
              <w:right w:val="single" w:sz="4" w:space="0" w:color="17365D"/>
            </w:tcBorders>
          </w:tcPr>
          <w:p w:rsidR="00F9496F" w:rsidRPr="004A294E" w:rsidRDefault="00F9496F" w:rsidP="00DC071B">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201</w:t>
            </w:r>
            <w:r w:rsidR="004A294E">
              <w:rPr>
                <w:rFonts w:ascii="Times New Roman" w:eastAsia="Times New Roman" w:hAnsi="Times New Roman" w:cs="Times New Roman"/>
                <w:sz w:val="24"/>
                <w:szCs w:val="24"/>
                <w:lang w:val="ro-RO" w:eastAsia="ru-RU"/>
              </w:rPr>
              <w:t>4</w:t>
            </w:r>
          </w:p>
        </w:tc>
        <w:tc>
          <w:tcPr>
            <w:tcW w:w="1134" w:type="dxa"/>
            <w:tcBorders>
              <w:top w:val="single" w:sz="4" w:space="0" w:color="17365D"/>
              <w:left w:val="single" w:sz="4" w:space="0" w:color="17365D"/>
              <w:bottom w:val="single" w:sz="4" w:space="0" w:color="17365D"/>
              <w:right w:val="single" w:sz="4" w:space="0" w:color="17365D"/>
            </w:tcBorders>
          </w:tcPr>
          <w:p w:rsidR="00F9496F" w:rsidRPr="004A294E" w:rsidRDefault="00F9496F" w:rsidP="004A294E">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201</w:t>
            </w:r>
            <w:r w:rsidR="004A294E">
              <w:rPr>
                <w:rFonts w:ascii="Times New Roman" w:eastAsia="Times New Roman" w:hAnsi="Times New Roman" w:cs="Times New Roman"/>
                <w:sz w:val="24"/>
                <w:szCs w:val="24"/>
                <w:lang w:val="ro-RO" w:eastAsia="ru-RU"/>
              </w:rPr>
              <w:t>5</w:t>
            </w:r>
          </w:p>
        </w:tc>
        <w:tc>
          <w:tcPr>
            <w:tcW w:w="1134" w:type="dxa"/>
            <w:tcBorders>
              <w:top w:val="single" w:sz="4" w:space="0" w:color="17365D"/>
              <w:left w:val="single" w:sz="4" w:space="0" w:color="17365D"/>
              <w:bottom w:val="single" w:sz="4" w:space="0" w:color="17365D"/>
              <w:right w:val="single" w:sz="4" w:space="0" w:color="17365D"/>
            </w:tcBorders>
          </w:tcPr>
          <w:p w:rsidR="00F9496F" w:rsidRPr="004A294E" w:rsidRDefault="00F9496F" w:rsidP="004A294E">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201</w:t>
            </w:r>
            <w:r w:rsidR="004A294E">
              <w:rPr>
                <w:rFonts w:ascii="Times New Roman" w:eastAsia="Times New Roman" w:hAnsi="Times New Roman" w:cs="Times New Roman"/>
                <w:sz w:val="24"/>
                <w:szCs w:val="24"/>
                <w:lang w:val="ro-RO" w:eastAsia="ru-RU"/>
              </w:rPr>
              <w:t>6</w:t>
            </w:r>
          </w:p>
        </w:tc>
      </w:tr>
      <w:tr w:rsidR="00DF6AA9" w:rsidRPr="004A294E" w:rsidTr="00DF6AA9">
        <w:trPr>
          <w:trHeight w:val="529"/>
        </w:trPr>
        <w:tc>
          <w:tcPr>
            <w:tcW w:w="2552" w:type="dxa"/>
            <w:tcBorders>
              <w:top w:val="single" w:sz="4" w:space="0" w:color="17365D"/>
              <w:bottom w:val="single" w:sz="4" w:space="0" w:color="17365D"/>
              <w:right w:val="single" w:sz="4" w:space="0" w:color="17365D"/>
            </w:tcBorders>
          </w:tcPr>
          <w:p w:rsidR="00F9496F" w:rsidRPr="004A294E" w:rsidRDefault="00F9496F" w:rsidP="005F06AC">
            <w:pPr>
              <w:numPr>
                <w:ilvl w:val="0"/>
                <w:numId w:val="17"/>
              </w:numPr>
              <w:tabs>
                <w:tab w:val="left" w:pos="284"/>
              </w:tabs>
              <w:spacing w:after="0" w:line="240" w:lineRule="auto"/>
              <w:ind w:left="34" w:firstLine="0"/>
              <w:jc w:val="both"/>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 xml:space="preserve">Produsul intern brut nominal, mil. lei </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4A294E" w:rsidP="004A294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82</w:t>
            </w:r>
            <w:r w:rsidR="00F9496F" w:rsidRPr="004A294E">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348</w:t>
            </w:r>
            <w:r w:rsidR="00F9496F" w:rsidRPr="004A294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7</w:t>
            </w:r>
          </w:p>
        </w:tc>
        <w:tc>
          <w:tcPr>
            <w:tcW w:w="1134" w:type="dxa"/>
            <w:tcBorders>
              <w:top w:val="single" w:sz="4" w:space="0" w:color="17365D"/>
              <w:left w:val="single" w:sz="4" w:space="0" w:color="17365D"/>
              <w:bottom w:val="single" w:sz="4" w:space="0" w:color="17365D"/>
            </w:tcBorders>
            <w:vAlign w:val="center"/>
          </w:tcPr>
          <w:p w:rsidR="00F9496F" w:rsidRPr="004A294E" w:rsidRDefault="00F9496F" w:rsidP="00321871">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8</w:t>
            </w:r>
            <w:r w:rsidR="004A294E">
              <w:rPr>
                <w:rFonts w:ascii="Times New Roman" w:eastAsia="Times New Roman" w:hAnsi="Times New Roman" w:cs="Times New Roman"/>
                <w:sz w:val="24"/>
                <w:szCs w:val="24"/>
                <w:lang w:val="ro-RO" w:eastAsia="ru-RU"/>
              </w:rPr>
              <w:t>7</w:t>
            </w:r>
            <w:r w:rsidRPr="004A294E">
              <w:rPr>
                <w:rFonts w:ascii="Times New Roman" w:eastAsia="Times New Roman" w:hAnsi="Times New Roman" w:cs="Times New Roman"/>
                <w:sz w:val="24"/>
                <w:szCs w:val="24"/>
                <w:lang w:val="ro-RO" w:eastAsia="ru-RU"/>
              </w:rPr>
              <w:t xml:space="preserve"> </w:t>
            </w:r>
            <w:r w:rsidR="00321871">
              <w:rPr>
                <w:rFonts w:ascii="Times New Roman" w:eastAsia="Times New Roman" w:hAnsi="Times New Roman" w:cs="Times New Roman"/>
                <w:sz w:val="24"/>
                <w:szCs w:val="24"/>
                <w:lang w:val="ro-RO" w:eastAsia="ru-RU"/>
              </w:rPr>
              <w:t>227</w:t>
            </w:r>
            <w:r w:rsidRPr="004A294E">
              <w:rPr>
                <w:rFonts w:ascii="Times New Roman" w:eastAsia="Times New Roman" w:hAnsi="Times New Roman" w:cs="Times New Roman"/>
                <w:sz w:val="24"/>
                <w:szCs w:val="24"/>
                <w:lang w:val="ro-RO" w:eastAsia="ru-RU"/>
              </w:rPr>
              <w:t>,</w:t>
            </w:r>
            <w:r w:rsidR="00321871">
              <w:rPr>
                <w:rFonts w:ascii="Times New Roman" w:eastAsia="Times New Roman" w:hAnsi="Times New Roman" w:cs="Times New Roman"/>
                <w:sz w:val="24"/>
                <w:szCs w:val="24"/>
                <w:lang w:val="ro-RO" w:eastAsia="ru-RU"/>
              </w:rPr>
              <w:t>8</w:t>
            </w:r>
          </w:p>
        </w:tc>
        <w:tc>
          <w:tcPr>
            <w:tcW w:w="1134" w:type="dxa"/>
            <w:tcBorders>
              <w:top w:val="single" w:sz="4" w:space="0" w:color="17365D"/>
              <w:bottom w:val="single" w:sz="4" w:space="0" w:color="17365D"/>
              <w:right w:val="single" w:sz="4" w:space="0" w:color="17365D"/>
            </w:tcBorders>
            <w:vAlign w:val="center"/>
          </w:tcPr>
          <w:p w:rsidR="00F9496F" w:rsidRPr="004A294E" w:rsidRDefault="004A294E" w:rsidP="00B27735">
            <w:pPr>
              <w:spacing w:after="0" w:line="240" w:lineRule="auto"/>
              <w:ind w:right="-108" w:hanging="108"/>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9</w:t>
            </w:r>
            <w:r w:rsidR="00B27735">
              <w:rPr>
                <w:rFonts w:ascii="Times New Roman" w:eastAsia="Times New Roman" w:hAnsi="Times New Roman" w:cs="Times New Roman"/>
                <w:sz w:val="24"/>
                <w:szCs w:val="24"/>
                <w:lang w:val="ro-RO" w:eastAsia="ru-RU"/>
              </w:rPr>
              <w:t>7</w:t>
            </w:r>
            <w:r w:rsidR="00F9496F" w:rsidRPr="004A294E">
              <w:rPr>
                <w:rFonts w:ascii="Times New Roman" w:eastAsia="Times New Roman" w:hAnsi="Times New Roman" w:cs="Times New Roman"/>
                <w:sz w:val="24"/>
                <w:szCs w:val="24"/>
                <w:lang w:val="ro-RO" w:eastAsia="ru-RU"/>
              </w:rPr>
              <w:t xml:space="preserve"> </w:t>
            </w:r>
            <w:r w:rsidR="00B27735">
              <w:rPr>
                <w:rFonts w:ascii="Times New Roman" w:eastAsia="Times New Roman" w:hAnsi="Times New Roman" w:cs="Times New Roman"/>
                <w:sz w:val="24"/>
                <w:szCs w:val="24"/>
                <w:lang w:val="ro-RO" w:eastAsia="ru-RU"/>
              </w:rPr>
              <w:t>6</w:t>
            </w:r>
            <w:r w:rsidR="00F9496F" w:rsidRPr="004A294E">
              <w:rPr>
                <w:rFonts w:ascii="Times New Roman" w:eastAsia="Times New Roman" w:hAnsi="Times New Roman" w:cs="Times New Roman"/>
                <w:sz w:val="24"/>
                <w:szCs w:val="24"/>
                <w:lang w:val="ro-RO" w:eastAsia="ru-RU"/>
              </w:rPr>
              <w:t>00,0</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780A34" w:rsidRDefault="00B27735" w:rsidP="00780A34">
            <w:pPr>
              <w:spacing w:after="0" w:line="240" w:lineRule="auto"/>
              <w:ind w:right="-108" w:hanging="108"/>
              <w:jc w:val="center"/>
              <w:rPr>
                <w:rFonts w:ascii="Times New Roman" w:eastAsia="Times New Roman" w:hAnsi="Times New Roman" w:cs="Times New Roman"/>
                <w:sz w:val="24"/>
                <w:szCs w:val="24"/>
                <w:highlight w:val="yellow"/>
                <w:lang w:val="ro-RO" w:eastAsia="ru-RU"/>
              </w:rPr>
            </w:pPr>
            <w:r w:rsidRPr="00E74779">
              <w:rPr>
                <w:rFonts w:ascii="Times New Roman" w:eastAsia="Times New Roman" w:hAnsi="Times New Roman" w:cs="Times New Roman"/>
                <w:sz w:val="24"/>
                <w:szCs w:val="24"/>
                <w:lang w:val="ro-RO" w:eastAsia="ru-RU"/>
              </w:rPr>
              <w:t>10</w:t>
            </w:r>
            <w:r w:rsidR="00780A34" w:rsidRPr="00E74779">
              <w:rPr>
                <w:rFonts w:ascii="Times New Roman" w:eastAsia="Times New Roman" w:hAnsi="Times New Roman" w:cs="Times New Roman"/>
                <w:sz w:val="24"/>
                <w:szCs w:val="24"/>
                <w:lang w:val="ro-RO" w:eastAsia="ru-RU"/>
              </w:rPr>
              <w:t>6</w:t>
            </w:r>
            <w:r w:rsidRPr="00E74779">
              <w:rPr>
                <w:rFonts w:ascii="Times New Roman" w:eastAsia="Times New Roman" w:hAnsi="Times New Roman" w:cs="Times New Roman"/>
                <w:sz w:val="24"/>
                <w:szCs w:val="24"/>
                <w:lang w:val="ro-RO" w:eastAsia="ru-RU"/>
              </w:rPr>
              <w:t xml:space="preserve"> </w:t>
            </w:r>
            <w:r w:rsidR="00780A34" w:rsidRPr="00E74779">
              <w:rPr>
                <w:rFonts w:ascii="Times New Roman" w:eastAsia="Times New Roman" w:hAnsi="Times New Roman" w:cs="Times New Roman"/>
                <w:sz w:val="24"/>
                <w:szCs w:val="24"/>
                <w:lang w:val="ro-RO" w:eastAsia="ru-RU"/>
              </w:rPr>
              <w:t>1</w:t>
            </w:r>
            <w:r w:rsidR="00F9496F" w:rsidRPr="00E74779">
              <w:rPr>
                <w:rFonts w:ascii="Times New Roman" w:eastAsia="Times New Roman" w:hAnsi="Times New Roman" w:cs="Times New Roman"/>
                <w:sz w:val="24"/>
                <w:szCs w:val="24"/>
                <w:lang w:val="ro-RO" w:eastAsia="ru-RU"/>
              </w:rPr>
              <w:t>00,0</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4A294E">
            <w:pPr>
              <w:spacing w:after="0" w:line="240" w:lineRule="auto"/>
              <w:ind w:right="-108" w:hanging="108"/>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1</w:t>
            </w:r>
            <w:r w:rsidR="004A294E">
              <w:rPr>
                <w:rFonts w:ascii="Times New Roman" w:eastAsia="Times New Roman" w:hAnsi="Times New Roman" w:cs="Times New Roman"/>
                <w:sz w:val="24"/>
                <w:szCs w:val="24"/>
                <w:lang w:val="ro-RO" w:eastAsia="ru-RU"/>
              </w:rPr>
              <w:t>16</w:t>
            </w:r>
            <w:r w:rsidRPr="004A294E">
              <w:rPr>
                <w:rFonts w:ascii="Times New Roman" w:eastAsia="Times New Roman" w:hAnsi="Times New Roman" w:cs="Times New Roman"/>
                <w:sz w:val="24"/>
                <w:szCs w:val="24"/>
                <w:lang w:val="ro-RO" w:eastAsia="ru-RU"/>
              </w:rPr>
              <w:t> </w:t>
            </w:r>
            <w:r w:rsidR="00B27735">
              <w:rPr>
                <w:rFonts w:ascii="Times New Roman" w:eastAsia="Times New Roman" w:hAnsi="Times New Roman" w:cs="Times New Roman"/>
                <w:sz w:val="24"/>
                <w:szCs w:val="24"/>
                <w:lang w:val="ro-RO" w:eastAsia="ru-RU"/>
              </w:rPr>
              <w:t>8</w:t>
            </w:r>
            <w:r w:rsidRPr="004A294E">
              <w:rPr>
                <w:rFonts w:ascii="Times New Roman" w:eastAsia="Times New Roman" w:hAnsi="Times New Roman" w:cs="Times New Roman"/>
                <w:sz w:val="24"/>
                <w:szCs w:val="24"/>
                <w:lang w:val="ro-RO" w:eastAsia="ru-RU"/>
              </w:rPr>
              <w:t>00,0</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4A294E">
            <w:pPr>
              <w:spacing w:after="0" w:line="240" w:lineRule="auto"/>
              <w:ind w:right="-108" w:hanging="108"/>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1</w:t>
            </w:r>
            <w:r w:rsidR="004A294E">
              <w:rPr>
                <w:rFonts w:ascii="Times New Roman" w:eastAsia="Times New Roman" w:hAnsi="Times New Roman" w:cs="Times New Roman"/>
                <w:sz w:val="24"/>
                <w:szCs w:val="24"/>
                <w:lang w:val="ro-RO" w:eastAsia="ru-RU"/>
              </w:rPr>
              <w:t>28</w:t>
            </w:r>
            <w:r w:rsidRPr="004A294E">
              <w:rPr>
                <w:rFonts w:ascii="Times New Roman" w:eastAsia="Times New Roman" w:hAnsi="Times New Roman" w:cs="Times New Roman"/>
                <w:sz w:val="24"/>
                <w:szCs w:val="24"/>
                <w:lang w:val="ro-RO" w:eastAsia="ru-RU"/>
              </w:rPr>
              <w:t> </w:t>
            </w:r>
            <w:r w:rsidR="00B27735">
              <w:rPr>
                <w:rFonts w:ascii="Times New Roman" w:eastAsia="Times New Roman" w:hAnsi="Times New Roman" w:cs="Times New Roman"/>
                <w:sz w:val="24"/>
                <w:szCs w:val="24"/>
                <w:lang w:val="ro-RO" w:eastAsia="ru-RU"/>
              </w:rPr>
              <w:t>9</w:t>
            </w:r>
            <w:r w:rsidRPr="004A294E">
              <w:rPr>
                <w:rFonts w:ascii="Times New Roman" w:eastAsia="Times New Roman" w:hAnsi="Times New Roman" w:cs="Times New Roman"/>
                <w:sz w:val="24"/>
                <w:szCs w:val="24"/>
                <w:lang w:val="ro-RO" w:eastAsia="ru-RU"/>
              </w:rPr>
              <w:t>00,0</w:t>
            </w:r>
          </w:p>
        </w:tc>
      </w:tr>
      <w:tr w:rsidR="00DF6AA9" w:rsidRPr="004A294E" w:rsidTr="00DF6AA9">
        <w:trPr>
          <w:trHeight w:val="287"/>
        </w:trPr>
        <w:tc>
          <w:tcPr>
            <w:tcW w:w="2552" w:type="dxa"/>
            <w:tcBorders>
              <w:top w:val="single" w:sz="4" w:space="0" w:color="17365D"/>
              <w:bottom w:val="single" w:sz="4" w:space="0" w:color="17365D"/>
              <w:right w:val="single" w:sz="4" w:space="0" w:color="17365D"/>
            </w:tcBorders>
          </w:tcPr>
          <w:p w:rsidR="00F9496F" w:rsidRPr="004A294E" w:rsidRDefault="00F9496F" w:rsidP="00F9496F">
            <w:pPr>
              <w:spacing w:after="0" w:line="240" w:lineRule="auto"/>
              <w:jc w:val="both"/>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2. PIB faţă de anul precedent în preţuri comparabile, %</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DF6AA9">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6</w:t>
            </w: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8</w:t>
            </w:r>
          </w:p>
        </w:tc>
        <w:tc>
          <w:tcPr>
            <w:tcW w:w="1134" w:type="dxa"/>
            <w:tcBorders>
              <w:top w:val="single" w:sz="4" w:space="0" w:color="17365D"/>
              <w:left w:val="single" w:sz="4" w:space="0" w:color="17365D"/>
              <w:bottom w:val="single" w:sz="4" w:space="0" w:color="17365D"/>
            </w:tcBorders>
            <w:vAlign w:val="center"/>
          </w:tcPr>
          <w:p w:rsidR="00F9496F" w:rsidRPr="004A294E" w:rsidRDefault="00DF6AA9" w:rsidP="00321871">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w:t>
            </w:r>
            <w:r w:rsidR="00321871">
              <w:rPr>
                <w:rFonts w:ascii="Times New Roman" w:eastAsia="Times New Roman" w:hAnsi="Times New Roman" w:cs="Times New Roman"/>
                <w:sz w:val="24"/>
                <w:szCs w:val="24"/>
                <w:lang w:val="ro-RO" w:eastAsia="ru-RU"/>
              </w:rPr>
              <w:t>7</w:t>
            </w:r>
          </w:p>
        </w:tc>
        <w:tc>
          <w:tcPr>
            <w:tcW w:w="1134" w:type="dxa"/>
            <w:tcBorders>
              <w:top w:val="single" w:sz="4" w:space="0" w:color="17365D"/>
              <w:bottom w:val="single" w:sz="4" w:space="0" w:color="17365D"/>
              <w:right w:val="single" w:sz="4" w:space="0" w:color="17365D"/>
            </w:tcBorders>
            <w:vAlign w:val="center"/>
          </w:tcPr>
          <w:p w:rsidR="00F9496F" w:rsidRPr="004A294E" w:rsidRDefault="00DF6AA9" w:rsidP="00B27735">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B27735">
              <w:rPr>
                <w:rFonts w:ascii="Times New Roman" w:eastAsia="Times New Roman" w:hAnsi="Times New Roman" w:cs="Times New Roman"/>
                <w:sz w:val="24"/>
                <w:szCs w:val="24"/>
                <w:lang w:val="ro-RO" w:eastAsia="ru-RU"/>
              </w:rPr>
              <w:t>5</w:t>
            </w:r>
            <w:r w:rsidR="00F9496F" w:rsidRPr="004A294E">
              <w:rPr>
                <w:rFonts w:ascii="Times New Roman" w:eastAsia="Times New Roman" w:hAnsi="Times New Roman" w:cs="Times New Roman"/>
                <w:sz w:val="24"/>
                <w:szCs w:val="24"/>
                <w:lang w:val="ro-RO" w:eastAsia="ru-RU"/>
              </w:rPr>
              <w:t>,</w:t>
            </w:r>
            <w:r w:rsidR="00B27735">
              <w:rPr>
                <w:rFonts w:ascii="Times New Roman" w:eastAsia="Times New Roman" w:hAnsi="Times New Roman" w:cs="Times New Roman"/>
                <w:sz w:val="24"/>
                <w:szCs w:val="24"/>
                <w:lang w:val="ro-RO" w:eastAsia="ru-RU"/>
              </w:rPr>
              <w:t>5</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5F58E5" w:rsidRDefault="00F9496F" w:rsidP="00780A34">
            <w:pPr>
              <w:spacing w:after="0" w:line="240" w:lineRule="auto"/>
              <w:jc w:val="center"/>
              <w:rPr>
                <w:rFonts w:ascii="Times New Roman" w:eastAsia="Times New Roman" w:hAnsi="Times New Roman" w:cs="Times New Roman"/>
                <w:sz w:val="24"/>
                <w:szCs w:val="24"/>
                <w:lang w:val="ro-RO" w:eastAsia="ru-RU"/>
              </w:rPr>
            </w:pPr>
            <w:r w:rsidRPr="005F58E5">
              <w:rPr>
                <w:rFonts w:ascii="Times New Roman" w:eastAsia="Times New Roman" w:hAnsi="Times New Roman" w:cs="Times New Roman"/>
                <w:sz w:val="24"/>
                <w:szCs w:val="24"/>
                <w:lang w:val="ro-RO" w:eastAsia="ru-RU"/>
              </w:rPr>
              <w:t>+4,</w:t>
            </w:r>
            <w:r w:rsidR="00780A34" w:rsidRPr="005F58E5">
              <w:rPr>
                <w:rFonts w:ascii="Times New Roman" w:eastAsia="Times New Roman" w:hAnsi="Times New Roman" w:cs="Times New Roman"/>
                <w:sz w:val="24"/>
                <w:szCs w:val="24"/>
                <w:lang w:val="ro-RO" w:eastAsia="ru-RU"/>
              </w:rPr>
              <w:t>5</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5F58E5" w:rsidRDefault="00F9496F" w:rsidP="00F9496F">
            <w:pPr>
              <w:spacing w:after="0" w:line="240" w:lineRule="auto"/>
              <w:jc w:val="center"/>
              <w:rPr>
                <w:rFonts w:ascii="Times New Roman" w:eastAsia="Times New Roman" w:hAnsi="Times New Roman" w:cs="Times New Roman"/>
                <w:sz w:val="24"/>
                <w:szCs w:val="24"/>
                <w:lang w:val="ro-RO" w:eastAsia="ru-RU"/>
              </w:rPr>
            </w:pPr>
            <w:r w:rsidRPr="005F58E5">
              <w:rPr>
                <w:rFonts w:ascii="Times New Roman" w:eastAsia="Times New Roman" w:hAnsi="Times New Roman" w:cs="Times New Roman"/>
                <w:sz w:val="24"/>
                <w:szCs w:val="24"/>
                <w:lang w:val="ro-RO" w:eastAsia="ru-RU"/>
              </w:rPr>
              <w:t>+5,0</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B27735">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B27735">
              <w:rPr>
                <w:rFonts w:ascii="Times New Roman" w:eastAsia="Times New Roman" w:hAnsi="Times New Roman" w:cs="Times New Roman"/>
                <w:sz w:val="24"/>
                <w:szCs w:val="24"/>
                <w:lang w:val="ro-RO" w:eastAsia="ru-RU"/>
              </w:rPr>
              <w:t>4</w:t>
            </w:r>
            <w:r w:rsidRPr="004A294E">
              <w:rPr>
                <w:rFonts w:ascii="Times New Roman" w:eastAsia="Times New Roman" w:hAnsi="Times New Roman" w:cs="Times New Roman"/>
                <w:sz w:val="24"/>
                <w:szCs w:val="24"/>
                <w:lang w:val="ro-RO" w:eastAsia="ru-RU"/>
              </w:rPr>
              <w:t>,</w:t>
            </w:r>
            <w:r w:rsidR="00B27735">
              <w:rPr>
                <w:rFonts w:ascii="Times New Roman" w:eastAsia="Times New Roman" w:hAnsi="Times New Roman" w:cs="Times New Roman"/>
                <w:sz w:val="24"/>
                <w:szCs w:val="24"/>
                <w:lang w:val="ro-RO" w:eastAsia="ru-RU"/>
              </w:rPr>
              <w:t>5</w:t>
            </w:r>
          </w:p>
        </w:tc>
      </w:tr>
      <w:tr w:rsidR="00DF6AA9" w:rsidRPr="004A294E" w:rsidTr="00DF6AA9">
        <w:trPr>
          <w:trHeight w:val="1548"/>
        </w:trPr>
        <w:tc>
          <w:tcPr>
            <w:tcW w:w="2552" w:type="dxa"/>
            <w:tcBorders>
              <w:top w:val="single" w:sz="4" w:space="0" w:color="17365D"/>
              <w:bottom w:val="single" w:sz="4" w:space="0" w:color="17365D"/>
              <w:right w:val="single" w:sz="4" w:space="0" w:color="17365D"/>
            </w:tcBorders>
          </w:tcPr>
          <w:p w:rsidR="00F9496F" w:rsidRPr="004A294E" w:rsidRDefault="00F9496F" w:rsidP="00F9496F">
            <w:pPr>
              <w:tabs>
                <w:tab w:val="left" w:pos="284"/>
              </w:tabs>
              <w:spacing w:after="0" w:line="240" w:lineRule="auto"/>
              <w:jc w:val="both"/>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4.Balanţa comercială</w:t>
            </w:r>
            <w:r w:rsidRPr="004A294E">
              <w:rPr>
                <w:rFonts w:ascii="Times New Roman" w:eastAsia="Times New Roman" w:hAnsi="Times New Roman" w:cs="Times New Roman"/>
                <w:sz w:val="24"/>
                <w:szCs w:val="24"/>
                <w:vertAlign w:val="superscript"/>
                <w:lang w:val="ro-RO" w:eastAsia="ru-RU"/>
              </w:rPr>
              <w:t>2</w:t>
            </w:r>
            <w:r w:rsidRPr="004A294E">
              <w:rPr>
                <w:rFonts w:ascii="Times New Roman" w:eastAsia="Times New Roman" w:hAnsi="Times New Roman" w:cs="Times New Roman"/>
                <w:sz w:val="24"/>
                <w:szCs w:val="24"/>
                <w:lang w:val="ro-RO" w:eastAsia="ru-RU"/>
              </w:rPr>
              <w:t>, în % faţă de anul precedent:</w:t>
            </w:r>
          </w:p>
          <w:p w:rsidR="00F9496F" w:rsidRPr="004A294E" w:rsidRDefault="00F9496F" w:rsidP="00F9496F">
            <w:pPr>
              <w:spacing w:after="0" w:line="240" w:lineRule="auto"/>
              <w:ind w:firstLine="240"/>
              <w:jc w:val="both"/>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exportul, în % faţă de anul precedent;</w:t>
            </w:r>
          </w:p>
          <w:p w:rsidR="00F9496F" w:rsidRPr="004A294E" w:rsidRDefault="00F9496F" w:rsidP="00F9496F">
            <w:pPr>
              <w:spacing w:after="0" w:line="240" w:lineRule="auto"/>
              <w:ind w:firstLine="240"/>
              <w:jc w:val="both"/>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importul, în % faţă de anul precedent.</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F67D56">
              <w:rPr>
                <w:rFonts w:ascii="Times New Roman" w:eastAsia="Times New Roman" w:hAnsi="Times New Roman" w:cs="Times New Roman"/>
                <w:sz w:val="24"/>
                <w:szCs w:val="24"/>
                <w:lang w:val="ro-RO" w:eastAsia="ru-RU"/>
              </w:rPr>
              <w:t>+</w:t>
            </w:r>
            <w:r w:rsidR="00DF6AA9" w:rsidRPr="00F67D56">
              <w:rPr>
                <w:rFonts w:ascii="Times New Roman" w:eastAsia="Times New Roman" w:hAnsi="Times New Roman" w:cs="Times New Roman"/>
                <w:sz w:val="24"/>
                <w:szCs w:val="24"/>
                <w:lang w:val="ro-RO" w:eastAsia="ru-RU"/>
              </w:rPr>
              <w:t>28</w:t>
            </w:r>
            <w:r w:rsidRPr="00F67D56">
              <w:rPr>
                <w:rFonts w:ascii="Times New Roman" w:eastAsia="Times New Roman" w:hAnsi="Times New Roman" w:cs="Times New Roman"/>
                <w:sz w:val="24"/>
                <w:szCs w:val="24"/>
                <w:lang w:val="ro-RO" w:eastAsia="ru-RU"/>
              </w:rPr>
              <w:t>,</w:t>
            </w:r>
            <w:r w:rsidR="00DF6AA9" w:rsidRPr="00F67D56">
              <w:rPr>
                <w:rFonts w:ascii="Times New Roman" w:eastAsia="Times New Roman" w:hAnsi="Times New Roman" w:cs="Times New Roman"/>
                <w:sz w:val="24"/>
                <w:szCs w:val="24"/>
                <w:lang w:val="ro-RO" w:eastAsia="ru-RU"/>
              </w:rPr>
              <w:t>6</w:t>
            </w:r>
          </w:p>
          <w:p w:rsidR="00F9496F" w:rsidRPr="004A294E" w:rsidRDefault="00F9496F" w:rsidP="00F9496F">
            <w:pPr>
              <w:keepNext/>
              <w:spacing w:after="0" w:line="240" w:lineRule="auto"/>
              <w:jc w:val="center"/>
              <w:outlineLvl w:val="0"/>
              <w:rPr>
                <w:rFonts w:ascii="Times New Roman" w:eastAsia="Times New Roman" w:hAnsi="Times New Roman" w:cs="Times New Roman"/>
                <w:bCs/>
                <w:kern w:val="32"/>
                <w:sz w:val="24"/>
                <w:szCs w:val="24"/>
                <w:lang w:val="ro-RO" w:eastAsia="ru-RU"/>
              </w:rPr>
            </w:pPr>
          </w:p>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43</w:t>
            </w: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8</w:t>
            </w:r>
          </w:p>
          <w:p w:rsidR="00F9496F" w:rsidRPr="004A294E" w:rsidRDefault="00F9496F" w:rsidP="00F9496F">
            <w:pPr>
              <w:keepNext/>
              <w:spacing w:after="0" w:line="240" w:lineRule="auto"/>
              <w:jc w:val="center"/>
              <w:outlineLvl w:val="0"/>
              <w:rPr>
                <w:rFonts w:ascii="Times New Roman" w:eastAsia="Times New Roman" w:hAnsi="Times New Roman" w:cs="Times New Roman"/>
                <w:sz w:val="24"/>
                <w:szCs w:val="24"/>
                <w:lang w:val="ro-RO" w:eastAsia="ru-RU"/>
              </w:rPr>
            </w:pPr>
          </w:p>
          <w:p w:rsidR="00F9496F" w:rsidRPr="004A294E" w:rsidRDefault="00F9496F" w:rsidP="00DF6AA9">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34</w:t>
            </w: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7</w:t>
            </w:r>
          </w:p>
        </w:tc>
        <w:tc>
          <w:tcPr>
            <w:tcW w:w="1134" w:type="dxa"/>
            <w:tcBorders>
              <w:top w:val="single" w:sz="4" w:space="0" w:color="17365D"/>
              <w:left w:val="single" w:sz="4" w:space="0" w:color="17365D"/>
              <w:bottom w:val="single" w:sz="4" w:space="0" w:color="17365D"/>
            </w:tcBorders>
            <w:vAlign w:val="center"/>
          </w:tcPr>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F67D56">
              <w:rPr>
                <w:rFonts w:ascii="Times New Roman" w:eastAsia="Times New Roman" w:hAnsi="Times New Roman" w:cs="Times New Roman"/>
                <w:sz w:val="24"/>
                <w:szCs w:val="24"/>
                <w:lang w:val="ro-RO" w:eastAsia="ru-RU"/>
              </w:rPr>
              <w:t>+</w:t>
            </w:r>
            <w:r w:rsidR="00DF6AA9" w:rsidRPr="00F67D56">
              <w:rPr>
                <w:rFonts w:ascii="Times New Roman" w:eastAsia="Times New Roman" w:hAnsi="Times New Roman" w:cs="Times New Roman"/>
                <w:sz w:val="24"/>
                <w:szCs w:val="24"/>
                <w:lang w:val="ro-RO" w:eastAsia="ru-RU"/>
              </w:rPr>
              <w:t>2</w:t>
            </w:r>
            <w:r w:rsidRPr="00F67D56">
              <w:rPr>
                <w:rFonts w:ascii="Times New Roman" w:eastAsia="Times New Roman" w:hAnsi="Times New Roman" w:cs="Times New Roman"/>
                <w:sz w:val="24"/>
                <w:szCs w:val="24"/>
                <w:lang w:val="ro-RO" w:eastAsia="ru-RU"/>
              </w:rPr>
              <w:t>,</w:t>
            </w:r>
            <w:r w:rsidR="00DF6AA9" w:rsidRPr="00F67D56">
              <w:rPr>
                <w:rFonts w:ascii="Times New Roman" w:eastAsia="Times New Roman" w:hAnsi="Times New Roman" w:cs="Times New Roman"/>
                <w:sz w:val="24"/>
                <w:szCs w:val="24"/>
                <w:lang w:val="ro-RO" w:eastAsia="ru-RU"/>
              </w:rPr>
              <w:t>6</w:t>
            </w:r>
          </w:p>
          <w:p w:rsidR="00F9496F" w:rsidRPr="004A294E" w:rsidRDefault="00F9496F" w:rsidP="00F9496F">
            <w:pPr>
              <w:keepNext/>
              <w:spacing w:after="0" w:line="240" w:lineRule="auto"/>
              <w:jc w:val="center"/>
              <w:outlineLvl w:val="0"/>
              <w:rPr>
                <w:rFonts w:ascii="Times New Roman" w:eastAsia="Times New Roman" w:hAnsi="Times New Roman" w:cs="Times New Roman"/>
                <w:sz w:val="24"/>
                <w:szCs w:val="24"/>
                <w:lang w:val="ro-RO" w:eastAsia="ru-RU"/>
              </w:rPr>
            </w:pPr>
          </w:p>
          <w:p w:rsidR="00F9496F" w:rsidRPr="004A294E" w:rsidRDefault="00DF6AA9" w:rsidP="00F9496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00F9496F" w:rsidRPr="004A294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p>
          <w:p w:rsidR="00F9496F" w:rsidRPr="004A294E" w:rsidRDefault="00F9496F" w:rsidP="00F9496F">
            <w:pPr>
              <w:keepNext/>
              <w:spacing w:after="0" w:line="240" w:lineRule="auto"/>
              <w:jc w:val="center"/>
              <w:outlineLvl w:val="0"/>
              <w:rPr>
                <w:rFonts w:ascii="Times New Roman" w:eastAsia="Times New Roman" w:hAnsi="Times New Roman" w:cs="Times New Roman"/>
                <w:sz w:val="24"/>
                <w:szCs w:val="24"/>
                <w:lang w:val="ro-RO" w:eastAsia="ru-RU"/>
              </w:rPr>
            </w:pPr>
          </w:p>
          <w:p w:rsidR="00F9496F" w:rsidRPr="004A294E" w:rsidRDefault="00F9496F" w:rsidP="00DF6AA9">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0</w:t>
            </w: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4</w:t>
            </w:r>
          </w:p>
        </w:tc>
        <w:tc>
          <w:tcPr>
            <w:tcW w:w="1134" w:type="dxa"/>
            <w:tcBorders>
              <w:top w:val="single" w:sz="4" w:space="0" w:color="17365D"/>
              <w:bottom w:val="single" w:sz="4" w:space="0" w:color="17365D"/>
              <w:right w:val="single" w:sz="4" w:space="0" w:color="17365D"/>
            </w:tcBorders>
            <w:vAlign w:val="center"/>
          </w:tcPr>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F67D56">
              <w:rPr>
                <w:rFonts w:ascii="Times New Roman" w:eastAsia="Times New Roman" w:hAnsi="Times New Roman" w:cs="Times New Roman"/>
                <w:sz w:val="24"/>
                <w:szCs w:val="24"/>
                <w:lang w:val="ro-RO" w:eastAsia="ru-RU"/>
              </w:rPr>
              <w:t>4</w:t>
            </w:r>
            <w:r w:rsidRPr="004A294E">
              <w:rPr>
                <w:rFonts w:ascii="Times New Roman" w:eastAsia="Times New Roman" w:hAnsi="Times New Roman" w:cs="Times New Roman"/>
                <w:sz w:val="24"/>
                <w:szCs w:val="24"/>
                <w:lang w:val="ro-RO" w:eastAsia="ru-RU"/>
              </w:rPr>
              <w:t>,</w:t>
            </w:r>
            <w:r w:rsidR="00F67D56">
              <w:rPr>
                <w:rFonts w:ascii="Times New Roman" w:eastAsia="Times New Roman" w:hAnsi="Times New Roman" w:cs="Times New Roman"/>
                <w:sz w:val="24"/>
                <w:szCs w:val="24"/>
                <w:lang w:val="ro-RO" w:eastAsia="ru-RU"/>
              </w:rPr>
              <w:t>9</w:t>
            </w:r>
          </w:p>
          <w:p w:rsidR="00F9496F" w:rsidRPr="004A294E" w:rsidRDefault="00F9496F" w:rsidP="00F9496F">
            <w:pPr>
              <w:keepNext/>
              <w:spacing w:after="0" w:line="240" w:lineRule="auto"/>
              <w:jc w:val="center"/>
              <w:outlineLvl w:val="0"/>
              <w:rPr>
                <w:rFonts w:ascii="Times New Roman" w:eastAsia="Times New Roman" w:hAnsi="Times New Roman" w:cs="Times New Roman"/>
                <w:sz w:val="24"/>
                <w:szCs w:val="24"/>
                <w:lang w:val="ro-RO" w:eastAsia="ru-RU"/>
              </w:rPr>
            </w:pPr>
          </w:p>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8,7</w:t>
            </w:r>
          </w:p>
          <w:p w:rsidR="00F9496F" w:rsidRPr="004A294E" w:rsidRDefault="00F9496F" w:rsidP="00F9496F">
            <w:pPr>
              <w:keepNext/>
              <w:spacing w:after="0" w:line="240" w:lineRule="auto"/>
              <w:jc w:val="center"/>
              <w:outlineLvl w:val="0"/>
              <w:rPr>
                <w:rFonts w:ascii="Times New Roman" w:eastAsia="Times New Roman" w:hAnsi="Times New Roman" w:cs="Times New Roman"/>
                <w:sz w:val="24"/>
                <w:szCs w:val="24"/>
                <w:lang w:val="ro-RO" w:eastAsia="ru-RU"/>
              </w:rPr>
            </w:pPr>
          </w:p>
          <w:p w:rsidR="00F9496F" w:rsidRPr="004A294E" w:rsidRDefault="00F9496F" w:rsidP="00842212">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6</w:t>
            </w: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5</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F67D56">
              <w:rPr>
                <w:rFonts w:ascii="Times New Roman" w:eastAsia="Times New Roman" w:hAnsi="Times New Roman" w:cs="Times New Roman"/>
                <w:sz w:val="24"/>
                <w:szCs w:val="24"/>
                <w:lang w:val="ro-RO" w:eastAsia="ru-RU"/>
              </w:rPr>
              <w:t>7</w:t>
            </w:r>
            <w:r w:rsidRPr="004A294E">
              <w:rPr>
                <w:rFonts w:ascii="Times New Roman" w:eastAsia="Times New Roman" w:hAnsi="Times New Roman" w:cs="Times New Roman"/>
                <w:sz w:val="24"/>
                <w:szCs w:val="24"/>
                <w:lang w:val="ro-RO" w:eastAsia="ru-RU"/>
              </w:rPr>
              <w:t>,</w:t>
            </w:r>
            <w:r w:rsidR="00F67D56">
              <w:rPr>
                <w:rFonts w:ascii="Times New Roman" w:eastAsia="Times New Roman" w:hAnsi="Times New Roman" w:cs="Times New Roman"/>
                <w:sz w:val="24"/>
                <w:szCs w:val="24"/>
                <w:lang w:val="ro-RO" w:eastAsia="ru-RU"/>
              </w:rPr>
              <w:t>8</w:t>
            </w:r>
          </w:p>
          <w:p w:rsidR="00F9496F" w:rsidRPr="004A294E" w:rsidRDefault="00F9496F" w:rsidP="00F9496F">
            <w:pPr>
              <w:keepNext/>
              <w:spacing w:after="0" w:line="240" w:lineRule="auto"/>
              <w:jc w:val="center"/>
              <w:outlineLvl w:val="0"/>
              <w:rPr>
                <w:rFonts w:ascii="Times New Roman" w:eastAsia="Times New Roman" w:hAnsi="Times New Roman" w:cs="Times New Roman"/>
                <w:bCs/>
                <w:kern w:val="32"/>
                <w:sz w:val="24"/>
                <w:szCs w:val="24"/>
                <w:lang w:val="ro-RO" w:eastAsia="ru-RU"/>
              </w:rPr>
            </w:pPr>
          </w:p>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8</w:t>
            </w: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5</w:t>
            </w:r>
          </w:p>
          <w:p w:rsidR="00F9496F" w:rsidRPr="004A294E" w:rsidRDefault="00F9496F" w:rsidP="00F9496F">
            <w:pPr>
              <w:keepNext/>
              <w:spacing w:after="0" w:line="240" w:lineRule="auto"/>
              <w:jc w:val="center"/>
              <w:outlineLvl w:val="0"/>
              <w:rPr>
                <w:rFonts w:ascii="Times New Roman" w:eastAsia="Times New Roman" w:hAnsi="Times New Roman" w:cs="Times New Roman"/>
                <w:sz w:val="24"/>
                <w:szCs w:val="24"/>
                <w:lang w:val="ro-RO" w:eastAsia="ru-RU"/>
              </w:rPr>
            </w:pPr>
          </w:p>
          <w:p w:rsidR="00F9496F" w:rsidRPr="004A294E" w:rsidRDefault="00F9496F" w:rsidP="00842212">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8</w:t>
            </w: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1</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F67D56">
              <w:rPr>
                <w:rFonts w:ascii="Times New Roman" w:eastAsia="Times New Roman" w:hAnsi="Times New Roman" w:cs="Times New Roman"/>
                <w:sz w:val="24"/>
                <w:szCs w:val="24"/>
                <w:lang w:val="ro-RO" w:eastAsia="ru-RU"/>
              </w:rPr>
              <w:t>8</w:t>
            </w:r>
            <w:r w:rsidRPr="004A294E">
              <w:rPr>
                <w:rFonts w:ascii="Times New Roman" w:eastAsia="Times New Roman" w:hAnsi="Times New Roman" w:cs="Times New Roman"/>
                <w:sz w:val="24"/>
                <w:szCs w:val="24"/>
                <w:lang w:val="ro-RO" w:eastAsia="ru-RU"/>
              </w:rPr>
              <w:t>,</w:t>
            </w:r>
            <w:r w:rsidR="00F67D56">
              <w:rPr>
                <w:rFonts w:ascii="Times New Roman" w:eastAsia="Times New Roman" w:hAnsi="Times New Roman" w:cs="Times New Roman"/>
                <w:sz w:val="24"/>
                <w:szCs w:val="24"/>
                <w:lang w:val="ro-RO" w:eastAsia="ru-RU"/>
              </w:rPr>
              <w:t>0</w:t>
            </w:r>
          </w:p>
          <w:p w:rsidR="00F9496F" w:rsidRPr="004A294E" w:rsidRDefault="00F9496F" w:rsidP="00F9496F">
            <w:pPr>
              <w:keepNext/>
              <w:spacing w:after="0" w:line="240" w:lineRule="auto"/>
              <w:jc w:val="center"/>
              <w:outlineLvl w:val="0"/>
              <w:rPr>
                <w:rFonts w:ascii="Times New Roman" w:eastAsia="Times New Roman" w:hAnsi="Times New Roman" w:cs="Times New Roman"/>
                <w:sz w:val="24"/>
                <w:szCs w:val="24"/>
                <w:lang w:val="ro-RO" w:eastAsia="ru-RU"/>
              </w:rPr>
            </w:pPr>
          </w:p>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8</w:t>
            </w: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8</w:t>
            </w:r>
          </w:p>
          <w:p w:rsidR="00F9496F" w:rsidRPr="004A294E" w:rsidRDefault="00F9496F" w:rsidP="00F9496F">
            <w:pPr>
              <w:keepNext/>
              <w:spacing w:after="0" w:line="240" w:lineRule="auto"/>
              <w:jc w:val="center"/>
              <w:outlineLvl w:val="0"/>
              <w:rPr>
                <w:rFonts w:ascii="Times New Roman" w:eastAsia="Times New Roman" w:hAnsi="Times New Roman" w:cs="Times New Roman"/>
                <w:bCs/>
                <w:kern w:val="32"/>
                <w:sz w:val="24"/>
                <w:szCs w:val="24"/>
                <w:lang w:val="ro-RO" w:eastAsia="ru-RU"/>
              </w:rPr>
            </w:pPr>
          </w:p>
          <w:p w:rsidR="00F9496F" w:rsidRPr="004A294E" w:rsidRDefault="00F9496F" w:rsidP="00842212">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DF6AA9">
              <w:rPr>
                <w:rFonts w:ascii="Times New Roman" w:eastAsia="Times New Roman" w:hAnsi="Times New Roman" w:cs="Times New Roman"/>
                <w:sz w:val="24"/>
                <w:szCs w:val="24"/>
                <w:lang w:val="ro-RO" w:eastAsia="ru-RU"/>
              </w:rPr>
              <w:t>8</w:t>
            </w: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3</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0D6230" w:rsidP="00F9496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sidR="00F9496F" w:rsidRPr="004A294E">
              <w:rPr>
                <w:rFonts w:ascii="Times New Roman" w:eastAsia="Times New Roman" w:hAnsi="Times New Roman" w:cs="Times New Roman"/>
                <w:sz w:val="24"/>
                <w:szCs w:val="24"/>
                <w:lang w:val="ro-RO" w:eastAsia="ru-RU"/>
              </w:rPr>
              <w:t>,</w:t>
            </w:r>
            <w:r w:rsidR="00F67D56">
              <w:rPr>
                <w:rFonts w:ascii="Times New Roman" w:eastAsia="Times New Roman" w:hAnsi="Times New Roman" w:cs="Times New Roman"/>
                <w:sz w:val="24"/>
                <w:szCs w:val="24"/>
                <w:lang w:val="ro-RO" w:eastAsia="ru-RU"/>
              </w:rPr>
              <w:t>7</w:t>
            </w:r>
          </w:p>
          <w:p w:rsidR="00F9496F" w:rsidRPr="004A294E" w:rsidRDefault="00F9496F" w:rsidP="00F9496F">
            <w:pPr>
              <w:keepNext/>
              <w:spacing w:after="0" w:line="240" w:lineRule="auto"/>
              <w:jc w:val="center"/>
              <w:outlineLvl w:val="0"/>
              <w:rPr>
                <w:rFonts w:ascii="Times New Roman" w:eastAsia="Times New Roman" w:hAnsi="Times New Roman" w:cs="Times New Roman"/>
                <w:sz w:val="24"/>
                <w:szCs w:val="24"/>
                <w:lang w:val="ro-RO" w:eastAsia="ru-RU"/>
              </w:rPr>
            </w:pPr>
          </w:p>
          <w:p w:rsidR="00F9496F" w:rsidRPr="004A294E" w:rsidRDefault="00F9496F" w:rsidP="00F9496F">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7</w:t>
            </w:r>
            <w:r w:rsidR="00DF6AA9">
              <w:rPr>
                <w:rFonts w:ascii="Times New Roman" w:eastAsia="Times New Roman" w:hAnsi="Times New Roman" w:cs="Times New Roman"/>
                <w:sz w:val="24"/>
                <w:szCs w:val="24"/>
                <w:lang w:val="ro-RO" w:eastAsia="ru-RU"/>
              </w:rPr>
              <w:t>,</w:t>
            </w:r>
            <w:r w:rsidR="000D6230">
              <w:rPr>
                <w:rFonts w:ascii="Times New Roman" w:eastAsia="Times New Roman" w:hAnsi="Times New Roman" w:cs="Times New Roman"/>
                <w:sz w:val="24"/>
                <w:szCs w:val="24"/>
                <w:lang w:val="ro-RO" w:eastAsia="ru-RU"/>
              </w:rPr>
              <w:t>2</w:t>
            </w:r>
          </w:p>
          <w:p w:rsidR="00F9496F" w:rsidRPr="004A294E" w:rsidRDefault="00F9496F" w:rsidP="00F9496F">
            <w:pPr>
              <w:keepNext/>
              <w:spacing w:after="0" w:line="240" w:lineRule="auto"/>
              <w:jc w:val="center"/>
              <w:outlineLvl w:val="0"/>
              <w:rPr>
                <w:rFonts w:ascii="Times New Roman" w:eastAsia="Times New Roman" w:hAnsi="Times New Roman" w:cs="Times New Roman"/>
                <w:bCs/>
                <w:kern w:val="32"/>
                <w:sz w:val="24"/>
                <w:szCs w:val="24"/>
                <w:lang w:val="ro-RO" w:eastAsia="ru-RU"/>
              </w:rPr>
            </w:pPr>
          </w:p>
          <w:p w:rsidR="00F9496F" w:rsidRPr="004A294E" w:rsidRDefault="00F9496F" w:rsidP="00842212">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6</w:t>
            </w:r>
            <w:r w:rsidRPr="004A294E">
              <w:rPr>
                <w:rFonts w:ascii="Times New Roman" w:eastAsia="Times New Roman" w:hAnsi="Times New Roman" w:cs="Times New Roman"/>
                <w:sz w:val="24"/>
                <w:szCs w:val="24"/>
                <w:lang w:val="ro-RO" w:eastAsia="ru-RU"/>
              </w:rPr>
              <w:t>,</w:t>
            </w:r>
            <w:r w:rsidR="00842212">
              <w:rPr>
                <w:rFonts w:ascii="Times New Roman" w:eastAsia="Times New Roman" w:hAnsi="Times New Roman" w:cs="Times New Roman"/>
                <w:sz w:val="24"/>
                <w:szCs w:val="24"/>
                <w:lang w:val="ro-RO" w:eastAsia="ru-RU"/>
              </w:rPr>
              <w:t>9</w:t>
            </w:r>
          </w:p>
        </w:tc>
      </w:tr>
      <w:tr w:rsidR="00DF6AA9" w:rsidRPr="004A294E" w:rsidTr="00DF6AA9">
        <w:trPr>
          <w:trHeight w:val="252"/>
        </w:trPr>
        <w:tc>
          <w:tcPr>
            <w:tcW w:w="2552" w:type="dxa"/>
            <w:tcBorders>
              <w:top w:val="single" w:sz="4" w:space="0" w:color="17365D"/>
              <w:bottom w:val="single" w:sz="4" w:space="0" w:color="17365D"/>
              <w:right w:val="single" w:sz="4" w:space="0" w:color="17365D"/>
            </w:tcBorders>
          </w:tcPr>
          <w:p w:rsidR="00F9496F" w:rsidRPr="004A294E" w:rsidRDefault="00F9496F" w:rsidP="00F9496F">
            <w:pPr>
              <w:spacing w:after="0" w:line="240" w:lineRule="auto"/>
              <w:jc w:val="both"/>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3. Rata inflaţiei medie anuală (IPC), %</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0D6230">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+7,</w:t>
            </w:r>
            <w:r w:rsidR="000D6230">
              <w:rPr>
                <w:rFonts w:ascii="Times New Roman" w:eastAsia="Times New Roman" w:hAnsi="Times New Roman" w:cs="Times New Roman"/>
                <w:sz w:val="24"/>
                <w:szCs w:val="24"/>
                <w:lang w:val="ro-RO" w:eastAsia="ru-RU"/>
              </w:rPr>
              <w:t>6</w:t>
            </w:r>
          </w:p>
        </w:tc>
        <w:tc>
          <w:tcPr>
            <w:tcW w:w="1134" w:type="dxa"/>
            <w:tcBorders>
              <w:top w:val="single" w:sz="4" w:space="0" w:color="17365D"/>
              <w:left w:val="single" w:sz="4" w:space="0" w:color="17365D"/>
              <w:bottom w:val="single" w:sz="4" w:space="0" w:color="17365D"/>
            </w:tcBorders>
            <w:vAlign w:val="center"/>
          </w:tcPr>
          <w:p w:rsidR="00F9496F" w:rsidRPr="004A294E" w:rsidRDefault="00F9496F" w:rsidP="000D6230">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0D6230">
              <w:rPr>
                <w:rFonts w:ascii="Times New Roman" w:eastAsia="Times New Roman" w:hAnsi="Times New Roman" w:cs="Times New Roman"/>
                <w:sz w:val="24"/>
                <w:szCs w:val="24"/>
                <w:lang w:val="ro-RO" w:eastAsia="ru-RU"/>
              </w:rPr>
              <w:t>4</w:t>
            </w:r>
            <w:r w:rsidRPr="004A294E">
              <w:rPr>
                <w:rFonts w:ascii="Times New Roman" w:eastAsia="Times New Roman" w:hAnsi="Times New Roman" w:cs="Times New Roman"/>
                <w:sz w:val="24"/>
                <w:szCs w:val="24"/>
                <w:lang w:val="ro-RO" w:eastAsia="ru-RU"/>
              </w:rPr>
              <w:t>,6</w:t>
            </w:r>
          </w:p>
        </w:tc>
        <w:tc>
          <w:tcPr>
            <w:tcW w:w="1134" w:type="dxa"/>
            <w:tcBorders>
              <w:top w:val="single" w:sz="4" w:space="0" w:color="17365D"/>
              <w:bottom w:val="single" w:sz="4" w:space="0" w:color="17365D"/>
              <w:right w:val="single" w:sz="4" w:space="0" w:color="17365D"/>
            </w:tcBorders>
            <w:vAlign w:val="center"/>
          </w:tcPr>
          <w:p w:rsidR="00F9496F" w:rsidRPr="004A294E" w:rsidRDefault="00F9496F" w:rsidP="00C950D8">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+4,</w:t>
            </w:r>
            <w:r w:rsidR="00C950D8">
              <w:rPr>
                <w:rFonts w:ascii="Times New Roman" w:eastAsia="Times New Roman" w:hAnsi="Times New Roman" w:cs="Times New Roman"/>
                <w:sz w:val="24"/>
                <w:szCs w:val="24"/>
                <w:lang w:val="ro-RO" w:eastAsia="ru-RU"/>
              </w:rPr>
              <w:t>6</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F9496F" w:rsidP="007E2D78">
            <w:pPr>
              <w:spacing w:after="0" w:line="240" w:lineRule="auto"/>
              <w:jc w:val="center"/>
              <w:rPr>
                <w:rFonts w:ascii="Times New Roman" w:eastAsia="Times New Roman" w:hAnsi="Times New Roman" w:cs="Times New Roman"/>
                <w:sz w:val="24"/>
                <w:szCs w:val="24"/>
                <w:lang w:val="ro-RO" w:eastAsia="ru-RU"/>
              </w:rPr>
            </w:pPr>
            <w:r w:rsidRPr="004A294E">
              <w:rPr>
                <w:rFonts w:ascii="Times New Roman" w:eastAsia="Times New Roman" w:hAnsi="Times New Roman" w:cs="Times New Roman"/>
                <w:sz w:val="24"/>
                <w:szCs w:val="24"/>
                <w:lang w:val="ro-RO" w:eastAsia="ru-RU"/>
              </w:rPr>
              <w:t>+</w:t>
            </w:r>
            <w:r w:rsidR="007E2D78">
              <w:rPr>
                <w:rFonts w:ascii="Times New Roman" w:eastAsia="Times New Roman" w:hAnsi="Times New Roman" w:cs="Times New Roman"/>
                <w:sz w:val="24"/>
                <w:szCs w:val="24"/>
                <w:lang w:val="ro-RO" w:eastAsia="ru-RU"/>
              </w:rPr>
              <w:t>4</w:t>
            </w:r>
            <w:r w:rsidRPr="004A294E">
              <w:rPr>
                <w:rFonts w:ascii="Times New Roman" w:eastAsia="Times New Roman" w:hAnsi="Times New Roman" w:cs="Times New Roman"/>
                <w:sz w:val="24"/>
                <w:szCs w:val="24"/>
                <w:lang w:val="ro-RO" w:eastAsia="ru-RU"/>
              </w:rPr>
              <w:t>,</w:t>
            </w:r>
            <w:r w:rsidR="007E2D78">
              <w:rPr>
                <w:rFonts w:ascii="Times New Roman" w:eastAsia="Times New Roman" w:hAnsi="Times New Roman" w:cs="Times New Roman"/>
                <w:sz w:val="24"/>
                <w:szCs w:val="24"/>
                <w:lang w:val="ro-RO" w:eastAsia="ru-RU"/>
              </w:rPr>
              <w:t>7</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842212" w:rsidP="00F9496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+5,3</w:t>
            </w:r>
          </w:p>
        </w:tc>
        <w:tc>
          <w:tcPr>
            <w:tcW w:w="1134" w:type="dxa"/>
            <w:tcBorders>
              <w:top w:val="single" w:sz="4" w:space="0" w:color="17365D"/>
              <w:left w:val="single" w:sz="4" w:space="0" w:color="17365D"/>
              <w:bottom w:val="single" w:sz="4" w:space="0" w:color="17365D"/>
              <w:right w:val="single" w:sz="4" w:space="0" w:color="17365D"/>
            </w:tcBorders>
            <w:vAlign w:val="center"/>
          </w:tcPr>
          <w:p w:rsidR="00F9496F" w:rsidRPr="004A294E" w:rsidRDefault="00842212" w:rsidP="00F9496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+5,8</w:t>
            </w:r>
          </w:p>
        </w:tc>
      </w:tr>
    </w:tbl>
    <w:p w:rsidR="00F9496F" w:rsidRPr="00F9496F" w:rsidRDefault="00F9496F" w:rsidP="00F9496F">
      <w:pPr>
        <w:spacing w:after="0" w:line="240" w:lineRule="auto"/>
        <w:ind w:firstLine="720"/>
        <w:jc w:val="both"/>
        <w:rPr>
          <w:rFonts w:ascii="Times New Roman" w:eastAsia="Times New Roman" w:hAnsi="Times New Roman" w:cs="Times New Roman"/>
          <w:color w:val="000000"/>
          <w:sz w:val="28"/>
          <w:szCs w:val="28"/>
          <w:lang w:val="ro-RO" w:eastAsia="ru-RU"/>
        </w:rPr>
      </w:pPr>
      <w:r w:rsidRPr="00F9496F">
        <w:rPr>
          <w:rFonts w:ascii="Times New Roman" w:eastAsia="Times New Roman" w:hAnsi="Times New Roman" w:cs="Times New Roman"/>
          <w:color w:val="000000"/>
          <w:sz w:val="28"/>
          <w:szCs w:val="28"/>
          <w:lang w:val="ro-RO" w:eastAsia="ru-RU"/>
        </w:rPr>
        <w:t>Note:</w:t>
      </w:r>
    </w:p>
    <w:p w:rsidR="00F9496F" w:rsidRPr="00F9496F"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 xml:space="preserve">1. Datele pentru perioada </w:t>
      </w:r>
      <w:r w:rsidR="00D76CE7">
        <w:rPr>
          <w:rFonts w:ascii="Times New Roman" w:eastAsia="Times New Roman" w:hAnsi="Times New Roman" w:cs="Times New Roman"/>
          <w:sz w:val="24"/>
          <w:szCs w:val="24"/>
          <w:lang w:val="ro-RO" w:eastAsia="ru-RU"/>
        </w:rPr>
        <w:t xml:space="preserve">anilor </w:t>
      </w:r>
      <w:r w:rsidRPr="00F9496F">
        <w:rPr>
          <w:rFonts w:ascii="Times New Roman" w:eastAsia="Times New Roman" w:hAnsi="Times New Roman" w:cs="Times New Roman"/>
          <w:sz w:val="24"/>
          <w:szCs w:val="24"/>
          <w:lang w:val="ro-RO" w:eastAsia="ru-RU"/>
        </w:rPr>
        <w:t>201</w:t>
      </w:r>
      <w:r w:rsidR="00DC071B">
        <w:rPr>
          <w:rFonts w:ascii="Times New Roman" w:eastAsia="Times New Roman" w:hAnsi="Times New Roman" w:cs="Times New Roman"/>
          <w:sz w:val="24"/>
          <w:szCs w:val="24"/>
          <w:lang w:val="ro-RO" w:eastAsia="ru-RU"/>
        </w:rPr>
        <w:t>3</w:t>
      </w:r>
      <w:r w:rsidRPr="00F9496F">
        <w:rPr>
          <w:rFonts w:ascii="Times New Roman" w:eastAsia="Times New Roman" w:hAnsi="Times New Roman" w:cs="Times New Roman"/>
          <w:sz w:val="24"/>
          <w:szCs w:val="24"/>
          <w:lang w:val="ro-RO" w:eastAsia="ru-RU"/>
        </w:rPr>
        <w:t>-201</w:t>
      </w:r>
      <w:r w:rsidR="008737CF">
        <w:rPr>
          <w:rFonts w:ascii="Times New Roman" w:eastAsia="Times New Roman" w:hAnsi="Times New Roman" w:cs="Times New Roman"/>
          <w:sz w:val="24"/>
          <w:szCs w:val="24"/>
          <w:lang w:val="ro-RO" w:eastAsia="ru-RU"/>
        </w:rPr>
        <w:t>6</w:t>
      </w:r>
      <w:r w:rsidRPr="00F9496F">
        <w:rPr>
          <w:rFonts w:ascii="Times New Roman" w:eastAsia="Times New Roman" w:hAnsi="Times New Roman" w:cs="Times New Roman"/>
          <w:sz w:val="24"/>
          <w:szCs w:val="24"/>
          <w:lang w:val="ro-RO" w:eastAsia="ru-RU"/>
        </w:rPr>
        <w:t xml:space="preserve"> s</w:t>
      </w:r>
      <w:r w:rsidR="00D76CE7">
        <w:rPr>
          <w:rFonts w:ascii="Times New Roman" w:eastAsia="Times New Roman" w:hAnsi="Times New Roman" w:cs="Times New Roman"/>
          <w:sz w:val="24"/>
          <w:szCs w:val="24"/>
          <w:lang w:val="ro-RO" w:eastAsia="ru-RU"/>
        </w:rPr>
        <w:t>u</w:t>
      </w:r>
      <w:r w:rsidRPr="00F9496F">
        <w:rPr>
          <w:rFonts w:ascii="Times New Roman" w:eastAsia="Times New Roman" w:hAnsi="Times New Roman" w:cs="Times New Roman"/>
          <w:sz w:val="24"/>
          <w:szCs w:val="24"/>
          <w:lang w:val="ro-RO" w:eastAsia="ru-RU"/>
        </w:rPr>
        <w:t xml:space="preserve">nt preluate din Prognoza </w:t>
      </w:r>
      <w:r w:rsidR="00F53249">
        <w:rPr>
          <w:rFonts w:ascii="Times New Roman" w:eastAsia="Times New Roman" w:hAnsi="Times New Roman" w:cs="Times New Roman"/>
          <w:sz w:val="24"/>
          <w:szCs w:val="24"/>
          <w:lang w:val="ro-RO" w:eastAsia="ru-RU"/>
        </w:rPr>
        <w:t>revizuită</w:t>
      </w:r>
      <w:r w:rsidRPr="00F9496F">
        <w:rPr>
          <w:rFonts w:ascii="Times New Roman" w:eastAsia="Times New Roman" w:hAnsi="Times New Roman" w:cs="Times New Roman"/>
          <w:sz w:val="24"/>
          <w:szCs w:val="24"/>
          <w:lang w:val="ro-RO" w:eastAsia="ru-RU"/>
        </w:rPr>
        <w:t xml:space="preserve"> a indicatorilor macroeconomici pentru anii 201</w:t>
      </w:r>
      <w:r w:rsidR="000D6230">
        <w:rPr>
          <w:rFonts w:ascii="Times New Roman" w:eastAsia="Times New Roman" w:hAnsi="Times New Roman" w:cs="Times New Roman"/>
          <w:sz w:val="24"/>
          <w:szCs w:val="24"/>
          <w:lang w:val="ro-RO" w:eastAsia="ru-RU"/>
        </w:rPr>
        <w:t>4</w:t>
      </w:r>
      <w:r w:rsidRPr="00F9496F">
        <w:rPr>
          <w:rFonts w:ascii="Times New Roman" w:eastAsia="Times New Roman" w:hAnsi="Times New Roman" w:cs="Times New Roman"/>
          <w:sz w:val="24"/>
          <w:szCs w:val="24"/>
          <w:lang w:val="ro-RO" w:eastAsia="ru-RU"/>
        </w:rPr>
        <w:t>-201</w:t>
      </w:r>
      <w:r w:rsidR="000D6230">
        <w:rPr>
          <w:rFonts w:ascii="Times New Roman" w:eastAsia="Times New Roman" w:hAnsi="Times New Roman" w:cs="Times New Roman"/>
          <w:sz w:val="24"/>
          <w:szCs w:val="24"/>
          <w:lang w:val="ro-RO" w:eastAsia="ru-RU"/>
        </w:rPr>
        <w:t>6</w:t>
      </w:r>
      <w:r w:rsidRPr="00F9496F">
        <w:rPr>
          <w:rFonts w:ascii="Times New Roman" w:eastAsia="Times New Roman" w:hAnsi="Times New Roman" w:cs="Times New Roman"/>
          <w:sz w:val="24"/>
          <w:szCs w:val="24"/>
          <w:lang w:val="ro-RO" w:eastAsia="ru-RU"/>
        </w:rPr>
        <w:t xml:space="preserve">, din </w:t>
      </w:r>
      <w:r w:rsidR="00F53249">
        <w:rPr>
          <w:rFonts w:ascii="Times New Roman" w:eastAsia="Times New Roman" w:hAnsi="Times New Roman" w:cs="Times New Roman"/>
          <w:sz w:val="24"/>
          <w:szCs w:val="24"/>
          <w:lang w:val="ro-RO" w:eastAsia="ru-RU"/>
        </w:rPr>
        <w:t>02</w:t>
      </w:r>
      <w:r w:rsidRPr="00F9496F">
        <w:rPr>
          <w:rFonts w:ascii="Times New Roman" w:eastAsia="Times New Roman" w:hAnsi="Times New Roman" w:cs="Times New Roman"/>
          <w:sz w:val="24"/>
          <w:szCs w:val="24"/>
          <w:lang w:val="ro-RO" w:eastAsia="ru-RU"/>
        </w:rPr>
        <w:t xml:space="preserve"> </w:t>
      </w:r>
      <w:r w:rsidR="00F53249">
        <w:rPr>
          <w:rFonts w:ascii="Times New Roman" w:eastAsia="Times New Roman" w:hAnsi="Times New Roman" w:cs="Times New Roman"/>
          <w:sz w:val="24"/>
          <w:szCs w:val="24"/>
          <w:lang w:val="ro-RO" w:eastAsia="ru-RU"/>
        </w:rPr>
        <w:t>octombrie</w:t>
      </w:r>
      <w:r w:rsidRPr="00F9496F">
        <w:rPr>
          <w:rFonts w:ascii="Times New Roman" w:eastAsia="Times New Roman" w:hAnsi="Times New Roman" w:cs="Times New Roman"/>
          <w:sz w:val="24"/>
          <w:szCs w:val="24"/>
          <w:lang w:val="ro-RO" w:eastAsia="ru-RU"/>
        </w:rPr>
        <w:t xml:space="preserve"> 201</w:t>
      </w:r>
      <w:r w:rsidR="00D76CE7">
        <w:rPr>
          <w:rFonts w:ascii="Times New Roman" w:eastAsia="Times New Roman" w:hAnsi="Times New Roman" w:cs="Times New Roman"/>
          <w:sz w:val="24"/>
          <w:szCs w:val="24"/>
          <w:lang w:val="ro-RO" w:eastAsia="ru-RU"/>
        </w:rPr>
        <w:t>3</w:t>
      </w:r>
      <w:r w:rsidRPr="00F9496F">
        <w:rPr>
          <w:rFonts w:ascii="Times New Roman" w:eastAsia="Times New Roman" w:hAnsi="Times New Roman" w:cs="Times New Roman"/>
          <w:sz w:val="24"/>
          <w:szCs w:val="24"/>
          <w:lang w:val="ro-RO" w:eastAsia="ru-RU"/>
        </w:rPr>
        <w:t>, elaborată de către Ministerul Economiei.</w:t>
      </w:r>
    </w:p>
    <w:p w:rsidR="00F9496F" w:rsidRPr="00F9496F"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2. Datele referitoare la export (FOB), import (CIF) de bunuri s</w:t>
      </w:r>
      <w:r w:rsidR="00D76CE7">
        <w:rPr>
          <w:rFonts w:ascii="Times New Roman" w:eastAsia="Times New Roman" w:hAnsi="Times New Roman" w:cs="Times New Roman"/>
          <w:sz w:val="24"/>
          <w:szCs w:val="24"/>
          <w:lang w:val="ro-RO" w:eastAsia="ru-RU"/>
        </w:rPr>
        <w:t>u</w:t>
      </w:r>
      <w:r w:rsidRPr="00F9496F">
        <w:rPr>
          <w:rFonts w:ascii="Times New Roman" w:eastAsia="Times New Roman" w:hAnsi="Times New Roman" w:cs="Times New Roman"/>
          <w:sz w:val="24"/>
          <w:szCs w:val="24"/>
          <w:lang w:val="ro-RO" w:eastAsia="ru-RU"/>
        </w:rPr>
        <w:t>nt preluate de la Biroul Naţional de Statistică.</w:t>
      </w:r>
    </w:p>
    <w:p w:rsidR="00AE32BC" w:rsidRDefault="00AE32BC" w:rsidP="00AE32BC">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p>
    <w:p w:rsidR="00AE32BC" w:rsidRDefault="00AE32BC" w:rsidP="00AE32BC">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8F25E6">
        <w:rPr>
          <w:rFonts w:ascii="Times New Roman" w:eastAsia="Times New Roman" w:hAnsi="Times New Roman" w:cs="Times New Roman"/>
          <w:sz w:val="28"/>
          <w:szCs w:val="28"/>
          <w:lang w:val="ro-RO" w:eastAsia="ru-RU"/>
        </w:rPr>
        <w:t>În ianuarie-</w:t>
      </w:r>
      <w:r w:rsidR="00C950D8">
        <w:rPr>
          <w:rFonts w:ascii="Times New Roman" w:eastAsia="Times New Roman" w:hAnsi="Times New Roman" w:cs="Times New Roman"/>
          <w:sz w:val="28"/>
          <w:szCs w:val="28"/>
          <w:lang w:val="ro-RO" w:eastAsia="ru-RU"/>
        </w:rPr>
        <w:t>noiembrie</w:t>
      </w:r>
      <w:r w:rsidRPr="008F25E6">
        <w:rPr>
          <w:rFonts w:ascii="Times New Roman" w:eastAsia="Times New Roman" w:hAnsi="Times New Roman" w:cs="Times New Roman"/>
          <w:sz w:val="28"/>
          <w:szCs w:val="28"/>
          <w:lang w:val="ro-RO" w:eastAsia="ru-RU"/>
        </w:rPr>
        <w:t xml:space="preserve"> 2013</w:t>
      </w:r>
      <w:r w:rsidR="003A198D" w:rsidRPr="008F25E6">
        <w:rPr>
          <w:rFonts w:ascii="Times New Roman" w:eastAsia="Times New Roman" w:hAnsi="Times New Roman" w:cs="Times New Roman"/>
          <w:sz w:val="28"/>
          <w:szCs w:val="28"/>
          <w:lang w:val="ro-RO" w:eastAsia="ru-RU"/>
        </w:rPr>
        <w:t xml:space="preserve"> </w:t>
      </w:r>
      <w:r w:rsidRPr="008F25E6">
        <w:rPr>
          <w:rFonts w:ascii="Times New Roman" w:eastAsia="Times New Roman" w:hAnsi="Times New Roman" w:cs="Times New Roman"/>
          <w:b/>
          <w:bCs/>
          <w:iCs/>
          <w:sz w:val="28"/>
          <w:szCs w:val="28"/>
          <w:lang w:val="ro-RO" w:eastAsia="ru-RU"/>
        </w:rPr>
        <w:t>exporturile</w:t>
      </w:r>
      <w:r w:rsidR="003A198D" w:rsidRPr="008F25E6">
        <w:rPr>
          <w:rFonts w:ascii="Times New Roman" w:eastAsia="Times New Roman" w:hAnsi="Times New Roman" w:cs="Times New Roman"/>
          <w:sz w:val="28"/>
          <w:szCs w:val="28"/>
          <w:lang w:val="ro-RO" w:eastAsia="ru-RU"/>
        </w:rPr>
        <w:t xml:space="preserve"> </w:t>
      </w:r>
      <w:r w:rsidRPr="008F25E6">
        <w:rPr>
          <w:rFonts w:ascii="Times New Roman" w:eastAsia="Times New Roman" w:hAnsi="Times New Roman" w:cs="Times New Roman"/>
          <w:sz w:val="28"/>
          <w:szCs w:val="28"/>
          <w:lang w:val="ro-RO" w:eastAsia="ru-RU"/>
        </w:rPr>
        <w:t xml:space="preserve">s-au majorat cu </w:t>
      </w:r>
      <w:r w:rsidR="007A7EEF" w:rsidRPr="008F25E6">
        <w:rPr>
          <w:rFonts w:ascii="Times New Roman" w:eastAsia="Times New Roman" w:hAnsi="Times New Roman" w:cs="Times New Roman"/>
          <w:sz w:val="28"/>
          <w:szCs w:val="28"/>
          <w:lang w:val="ro-RO" w:eastAsia="ru-RU"/>
        </w:rPr>
        <w:t>1</w:t>
      </w:r>
      <w:r w:rsidR="00C950D8">
        <w:rPr>
          <w:rFonts w:ascii="Times New Roman" w:eastAsia="Times New Roman" w:hAnsi="Times New Roman" w:cs="Times New Roman"/>
          <w:sz w:val="28"/>
          <w:szCs w:val="28"/>
          <w:lang w:val="ro-RO" w:eastAsia="ru-RU"/>
        </w:rPr>
        <w:t>1</w:t>
      </w:r>
      <w:r w:rsidRPr="008F25E6">
        <w:rPr>
          <w:rFonts w:ascii="Times New Roman" w:eastAsia="Times New Roman" w:hAnsi="Times New Roman" w:cs="Times New Roman"/>
          <w:sz w:val="28"/>
          <w:szCs w:val="28"/>
          <w:lang w:val="ro-RO" w:eastAsia="ru-RU"/>
        </w:rPr>
        <w:t>,</w:t>
      </w:r>
      <w:r w:rsidR="00C950D8">
        <w:rPr>
          <w:rFonts w:ascii="Times New Roman" w:eastAsia="Times New Roman" w:hAnsi="Times New Roman" w:cs="Times New Roman"/>
          <w:sz w:val="28"/>
          <w:szCs w:val="28"/>
          <w:lang w:val="ro-RO" w:eastAsia="ru-RU"/>
        </w:rPr>
        <w:t>3</w:t>
      </w:r>
      <w:r w:rsidRPr="000C1C50">
        <w:rPr>
          <w:rFonts w:ascii="Times New Roman" w:eastAsia="Times New Roman" w:hAnsi="Times New Roman" w:cs="Times New Roman"/>
          <w:sz w:val="28"/>
          <w:szCs w:val="28"/>
          <w:lang w:val="ro-RO" w:eastAsia="ru-RU"/>
        </w:rPr>
        <w:t>% şi</w:t>
      </w:r>
      <w:r w:rsidR="003A198D">
        <w:rPr>
          <w:rFonts w:ascii="Times New Roman" w:eastAsia="Times New Roman" w:hAnsi="Times New Roman" w:cs="Times New Roman"/>
          <w:sz w:val="28"/>
          <w:szCs w:val="28"/>
          <w:lang w:val="ro-RO" w:eastAsia="ru-RU"/>
        </w:rPr>
        <w:t xml:space="preserve"> </w:t>
      </w:r>
      <w:r w:rsidRPr="005A61D7">
        <w:rPr>
          <w:rFonts w:ascii="Times New Roman" w:eastAsia="Times New Roman" w:hAnsi="Times New Roman" w:cs="Times New Roman"/>
          <w:b/>
          <w:bCs/>
          <w:iCs/>
          <w:sz w:val="28"/>
          <w:szCs w:val="28"/>
          <w:lang w:val="ro-RO" w:eastAsia="ru-RU"/>
        </w:rPr>
        <w:t>importurile</w:t>
      </w:r>
      <w:r w:rsidR="003A198D">
        <w:rPr>
          <w:rFonts w:ascii="Times New Roman" w:eastAsia="Times New Roman" w:hAnsi="Times New Roman" w:cs="Times New Roman"/>
          <w:sz w:val="28"/>
          <w:szCs w:val="28"/>
          <w:lang w:val="ro-RO" w:eastAsia="ru-RU"/>
        </w:rPr>
        <w:t xml:space="preserve"> </w:t>
      </w:r>
      <w:r w:rsidRPr="000C1C50">
        <w:rPr>
          <w:rFonts w:ascii="Times New Roman" w:eastAsia="Times New Roman" w:hAnsi="Times New Roman" w:cs="Times New Roman"/>
          <w:sz w:val="28"/>
          <w:szCs w:val="28"/>
          <w:lang w:val="ro-RO" w:eastAsia="ru-RU"/>
        </w:rPr>
        <w:t xml:space="preserve">- cu </w:t>
      </w:r>
      <w:r w:rsidR="00C950D8">
        <w:rPr>
          <w:rFonts w:ascii="Times New Roman" w:eastAsia="Times New Roman" w:hAnsi="Times New Roman" w:cs="Times New Roman"/>
          <w:sz w:val="28"/>
          <w:szCs w:val="28"/>
          <w:lang w:val="ro-RO" w:eastAsia="ru-RU"/>
        </w:rPr>
        <w:t>4</w:t>
      </w:r>
      <w:r w:rsidRPr="000C1C50">
        <w:rPr>
          <w:rFonts w:ascii="Times New Roman" w:eastAsia="Times New Roman" w:hAnsi="Times New Roman" w:cs="Times New Roman"/>
          <w:sz w:val="28"/>
          <w:szCs w:val="28"/>
          <w:lang w:val="ro-RO" w:eastAsia="ru-RU"/>
        </w:rPr>
        <w:t>,</w:t>
      </w:r>
      <w:r w:rsidR="00C950D8">
        <w:rPr>
          <w:rFonts w:ascii="Times New Roman" w:eastAsia="Times New Roman" w:hAnsi="Times New Roman" w:cs="Times New Roman"/>
          <w:sz w:val="28"/>
          <w:szCs w:val="28"/>
          <w:lang w:val="ro-RO" w:eastAsia="ru-RU"/>
        </w:rPr>
        <w:t>9</w:t>
      </w:r>
      <w:r w:rsidRPr="000C1C50">
        <w:rPr>
          <w:rFonts w:ascii="Times New Roman" w:eastAsia="Times New Roman" w:hAnsi="Times New Roman" w:cs="Times New Roman"/>
          <w:sz w:val="28"/>
          <w:szCs w:val="28"/>
          <w:lang w:val="ro-RO" w:eastAsia="ru-RU"/>
        </w:rPr>
        <w:t>%</w:t>
      </w:r>
      <w:r w:rsidR="003A198D">
        <w:rPr>
          <w:rFonts w:ascii="Times New Roman" w:eastAsia="Times New Roman" w:hAnsi="Times New Roman" w:cs="Times New Roman"/>
          <w:sz w:val="28"/>
          <w:szCs w:val="28"/>
          <w:lang w:val="ro-RO" w:eastAsia="ru-RU"/>
        </w:rPr>
        <w:t xml:space="preserve"> faţă de perioada similară a anului 2012</w:t>
      </w:r>
      <w:r w:rsidRPr="000C1C50">
        <w:rPr>
          <w:rFonts w:ascii="Times New Roman" w:eastAsia="Times New Roman" w:hAnsi="Times New Roman" w:cs="Times New Roman"/>
          <w:sz w:val="28"/>
          <w:szCs w:val="28"/>
          <w:lang w:val="ro-RO" w:eastAsia="ru-RU"/>
        </w:rPr>
        <w:t xml:space="preserve">. Soldul negativ al balanţei comerciale a constituit </w:t>
      </w:r>
      <w:r w:rsidR="003A198D">
        <w:rPr>
          <w:rFonts w:ascii="Times New Roman" w:eastAsia="Times New Roman" w:hAnsi="Times New Roman" w:cs="Times New Roman"/>
          <w:sz w:val="28"/>
          <w:szCs w:val="28"/>
          <w:lang w:val="ro-RO" w:eastAsia="ru-RU"/>
        </w:rPr>
        <w:t xml:space="preserve">2 </w:t>
      </w:r>
      <w:r w:rsidR="00C950D8">
        <w:rPr>
          <w:rFonts w:ascii="Times New Roman" w:eastAsia="Times New Roman" w:hAnsi="Times New Roman" w:cs="Times New Roman"/>
          <w:sz w:val="28"/>
          <w:szCs w:val="28"/>
          <w:lang w:val="ro-RO" w:eastAsia="ru-RU"/>
        </w:rPr>
        <w:t>741</w:t>
      </w:r>
      <w:r w:rsidRPr="000C1C50">
        <w:rPr>
          <w:rFonts w:ascii="Times New Roman" w:eastAsia="Times New Roman" w:hAnsi="Times New Roman" w:cs="Times New Roman"/>
          <w:sz w:val="28"/>
          <w:szCs w:val="28"/>
          <w:lang w:val="ro-RO" w:eastAsia="ru-RU"/>
        </w:rPr>
        <w:t>,</w:t>
      </w:r>
      <w:r w:rsidR="00C950D8">
        <w:rPr>
          <w:rFonts w:ascii="Times New Roman" w:eastAsia="Times New Roman" w:hAnsi="Times New Roman" w:cs="Times New Roman"/>
          <w:sz w:val="28"/>
          <w:szCs w:val="28"/>
          <w:lang w:val="ro-RO" w:eastAsia="ru-RU"/>
        </w:rPr>
        <w:t>2</w:t>
      </w:r>
      <w:r w:rsidRPr="000C1C50">
        <w:rPr>
          <w:rFonts w:ascii="Times New Roman" w:eastAsia="Times New Roman" w:hAnsi="Times New Roman" w:cs="Times New Roman"/>
          <w:sz w:val="28"/>
          <w:szCs w:val="28"/>
          <w:lang w:val="ro-RO" w:eastAsia="ru-RU"/>
        </w:rPr>
        <w:t xml:space="preserve"> mil. dolari SUA, </w:t>
      </w:r>
      <w:r w:rsidR="003A198D">
        <w:rPr>
          <w:rFonts w:ascii="Times New Roman" w:eastAsia="Times New Roman" w:hAnsi="Times New Roman" w:cs="Times New Roman"/>
          <w:sz w:val="28"/>
          <w:szCs w:val="28"/>
          <w:lang w:val="ro-RO" w:eastAsia="ru-RU"/>
        </w:rPr>
        <w:t xml:space="preserve">fiind cu </w:t>
      </w:r>
      <w:r w:rsidR="00C950D8">
        <w:rPr>
          <w:rFonts w:ascii="Times New Roman" w:eastAsia="Times New Roman" w:hAnsi="Times New Roman" w:cs="Times New Roman"/>
          <w:sz w:val="28"/>
          <w:szCs w:val="28"/>
          <w:lang w:val="ro-RO" w:eastAsia="ru-RU"/>
        </w:rPr>
        <w:t>0</w:t>
      </w:r>
      <w:r w:rsidR="003A198D">
        <w:rPr>
          <w:rFonts w:ascii="Times New Roman" w:eastAsia="Times New Roman" w:hAnsi="Times New Roman" w:cs="Times New Roman"/>
          <w:sz w:val="28"/>
          <w:szCs w:val="28"/>
          <w:lang w:val="ro-RO" w:eastAsia="ru-RU"/>
        </w:rPr>
        <w:t>,</w:t>
      </w:r>
      <w:r w:rsidR="00C950D8">
        <w:rPr>
          <w:rFonts w:ascii="Times New Roman" w:eastAsia="Times New Roman" w:hAnsi="Times New Roman" w:cs="Times New Roman"/>
          <w:sz w:val="28"/>
          <w:szCs w:val="28"/>
          <w:lang w:val="ro-RO" w:eastAsia="ru-RU"/>
        </w:rPr>
        <w:t>3</w:t>
      </w:r>
      <w:r w:rsidR="003A198D">
        <w:rPr>
          <w:rFonts w:ascii="Times New Roman" w:eastAsia="Times New Roman" w:hAnsi="Times New Roman" w:cs="Times New Roman"/>
          <w:sz w:val="28"/>
          <w:szCs w:val="28"/>
          <w:lang w:val="ro-RO" w:eastAsia="ru-RU"/>
        </w:rPr>
        <w:t xml:space="preserve">% mai mare comparativ cu </w:t>
      </w:r>
      <w:r w:rsidRPr="000C1C50">
        <w:rPr>
          <w:rFonts w:ascii="Times New Roman" w:eastAsia="Times New Roman" w:hAnsi="Times New Roman" w:cs="Times New Roman"/>
          <w:sz w:val="28"/>
          <w:szCs w:val="28"/>
          <w:lang w:val="ro-RO" w:eastAsia="ru-RU"/>
        </w:rPr>
        <w:t>ianuarie-</w:t>
      </w:r>
      <w:r w:rsidR="00C950D8" w:rsidRPr="00C950D8">
        <w:rPr>
          <w:rFonts w:ascii="Times New Roman" w:eastAsia="Times New Roman" w:hAnsi="Times New Roman" w:cs="Times New Roman"/>
          <w:sz w:val="28"/>
          <w:szCs w:val="28"/>
          <w:lang w:val="ro-RO" w:eastAsia="ru-RU"/>
        </w:rPr>
        <w:t xml:space="preserve"> </w:t>
      </w:r>
      <w:r w:rsidR="00C950D8">
        <w:rPr>
          <w:rFonts w:ascii="Times New Roman" w:eastAsia="Times New Roman" w:hAnsi="Times New Roman" w:cs="Times New Roman"/>
          <w:sz w:val="28"/>
          <w:szCs w:val="28"/>
          <w:lang w:val="ro-RO" w:eastAsia="ru-RU"/>
        </w:rPr>
        <w:t>noiembrie</w:t>
      </w:r>
      <w:r w:rsidR="00C950D8" w:rsidRPr="008F25E6">
        <w:rPr>
          <w:rFonts w:ascii="Times New Roman" w:eastAsia="Times New Roman" w:hAnsi="Times New Roman" w:cs="Times New Roman"/>
          <w:sz w:val="28"/>
          <w:szCs w:val="28"/>
          <w:lang w:val="ro-RO" w:eastAsia="ru-RU"/>
        </w:rPr>
        <w:t xml:space="preserve"> </w:t>
      </w:r>
      <w:r w:rsidRPr="000C1C50">
        <w:rPr>
          <w:rFonts w:ascii="Times New Roman" w:eastAsia="Times New Roman" w:hAnsi="Times New Roman" w:cs="Times New Roman"/>
          <w:sz w:val="28"/>
          <w:szCs w:val="28"/>
          <w:lang w:val="ro-RO" w:eastAsia="ru-RU"/>
        </w:rPr>
        <w:t>2012. Gradul de acoperire a importurilo</w:t>
      </w:r>
      <w:r w:rsidR="00520903">
        <w:rPr>
          <w:rFonts w:ascii="Times New Roman" w:eastAsia="Times New Roman" w:hAnsi="Times New Roman" w:cs="Times New Roman"/>
          <w:sz w:val="28"/>
          <w:szCs w:val="28"/>
          <w:lang w:val="ro-RO" w:eastAsia="ru-RU"/>
        </w:rPr>
        <w:t>r cu exporturi a constituit 4</w:t>
      </w:r>
      <w:r w:rsidR="00DC071B">
        <w:rPr>
          <w:rFonts w:ascii="Times New Roman" w:eastAsia="Times New Roman" w:hAnsi="Times New Roman" w:cs="Times New Roman"/>
          <w:sz w:val="28"/>
          <w:szCs w:val="28"/>
          <w:lang w:val="ro-RO" w:eastAsia="ru-RU"/>
        </w:rPr>
        <w:t>4</w:t>
      </w:r>
      <w:r w:rsidR="00520903">
        <w:rPr>
          <w:rFonts w:ascii="Times New Roman" w:eastAsia="Times New Roman" w:hAnsi="Times New Roman" w:cs="Times New Roman"/>
          <w:sz w:val="28"/>
          <w:szCs w:val="28"/>
          <w:lang w:val="ro-RO" w:eastAsia="ru-RU"/>
        </w:rPr>
        <w:t>,</w:t>
      </w:r>
      <w:r w:rsidR="00DC071B">
        <w:rPr>
          <w:rFonts w:ascii="Times New Roman" w:eastAsia="Times New Roman" w:hAnsi="Times New Roman" w:cs="Times New Roman"/>
          <w:sz w:val="28"/>
          <w:szCs w:val="28"/>
          <w:lang w:val="ro-RO" w:eastAsia="ru-RU"/>
        </w:rPr>
        <w:t>5</w:t>
      </w:r>
      <w:r w:rsidRPr="000C1C50">
        <w:rPr>
          <w:rFonts w:ascii="Times New Roman" w:eastAsia="Times New Roman" w:hAnsi="Times New Roman" w:cs="Times New Roman"/>
          <w:sz w:val="28"/>
          <w:szCs w:val="28"/>
          <w:lang w:val="ro-RO" w:eastAsia="ru-RU"/>
        </w:rPr>
        <w:t>%</w:t>
      </w:r>
      <w:r w:rsidR="00520903" w:rsidRPr="00520903">
        <w:rPr>
          <w:rFonts w:ascii="Arial" w:eastAsia="Times New Roman" w:hAnsi="Arial" w:cs="Arial"/>
          <w:color w:val="444444"/>
          <w:sz w:val="18"/>
          <w:szCs w:val="18"/>
          <w:shd w:val="clear" w:color="auto" w:fill="FFFFFF"/>
        </w:rPr>
        <w:t xml:space="preserve"> </w:t>
      </w:r>
      <w:r w:rsidR="00520903" w:rsidRPr="00520903">
        <w:rPr>
          <w:rFonts w:ascii="Times New Roman" w:hAnsi="Times New Roman" w:cs="Times New Roman"/>
          <w:sz w:val="28"/>
          <w:szCs w:val="28"/>
          <w:lang w:val="ro-RO" w:eastAsia="ru-RU"/>
        </w:rPr>
        <w:t>faţă de 41,</w:t>
      </w:r>
      <w:r w:rsidR="00DC071B">
        <w:rPr>
          <w:rFonts w:ascii="Times New Roman" w:hAnsi="Times New Roman" w:cs="Times New Roman"/>
          <w:sz w:val="28"/>
          <w:szCs w:val="28"/>
          <w:lang w:val="ro-RO" w:eastAsia="ru-RU"/>
        </w:rPr>
        <w:t>9</w:t>
      </w:r>
      <w:r w:rsidR="00520903" w:rsidRPr="00520903">
        <w:rPr>
          <w:rFonts w:ascii="Times New Roman" w:hAnsi="Times New Roman" w:cs="Times New Roman"/>
          <w:sz w:val="28"/>
          <w:szCs w:val="28"/>
          <w:lang w:val="ro-RO" w:eastAsia="ru-RU"/>
        </w:rPr>
        <w:t>% în  perioada corespunzătoare din anul 2012.</w:t>
      </w:r>
    </w:p>
    <w:p w:rsidR="00AE32BC" w:rsidRPr="00BA760F" w:rsidRDefault="008F25E6" w:rsidP="00AE32BC">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Î</w:t>
      </w:r>
      <w:r w:rsidRPr="00BA760F">
        <w:rPr>
          <w:rFonts w:ascii="Times New Roman" w:eastAsia="Times New Roman" w:hAnsi="Times New Roman" w:cs="Times New Roman"/>
          <w:sz w:val="28"/>
          <w:szCs w:val="28"/>
          <w:lang w:val="ro-RO" w:eastAsia="ru-RU"/>
        </w:rPr>
        <w:t>n</w:t>
      </w:r>
      <w:r>
        <w:rPr>
          <w:rFonts w:ascii="Times New Roman" w:eastAsia="Times New Roman" w:hAnsi="Times New Roman" w:cs="Times New Roman"/>
          <w:sz w:val="28"/>
          <w:szCs w:val="28"/>
          <w:lang w:val="ro-RO" w:eastAsia="ru-RU"/>
        </w:rPr>
        <w:t xml:space="preserve"> perioada</w:t>
      </w:r>
      <w:r w:rsidRPr="00BA760F">
        <w:rPr>
          <w:rFonts w:ascii="Times New Roman" w:eastAsia="Times New Roman" w:hAnsi="Times New Roman" w:cs="Times New Roman"/>
          <w:sz w:val="28"/>
          <w:szCs w:val="28"/>
          <w:lang w:val="ro-RO" w:eastAsia="ru-RU"/>
        </w:rPr>
        <w:t xml:space="preserve"> ani</w:t>
      </w:r>
      <w:r>
        <w:rPr>
          <w:rFonts w:ascii="Times New Roman" w:eastAsia="Times New Roman" w:hAnsi="Times New Roman" w:cs="Times New Roman"/>
          <w:sz w:val="28"/>
          <w:szCs w:val="28"/>
          <w:lang w:val="ro-RO" w:eastAsia="ru-RU"/>
        </w:rPr>
        <w:t>lor</w:t>
      </w:r>
      <w:r w:rsidRPr="00BA760F">
        <w:rPr>
          <w:rFonts w:ascii="Times New Roman" w:eastAsia="Times New Roman" w:hAnsi="Times New Roman" w:cs="Times New Roman"/>
          <w:sz w:val="28"/>
          <w:szCs w:val="28"/>
          <w:lang w:val="ro-RO" w:eastAsia="ru-RU"/>
        </w:rPr>
        <w:t xml:space="preserve"> 2014-2016</w:t>
      </w:r>
      <w:r>
        <w:rPr>
          <w:rFonts w:ascii="Times New Roman" w:eastAsia="Times New Roman" w:hAnsi="Times New Roman" w:cs="Times New Roman"/>
          <w:sz w:val="28"/>
          <w:szCs w:val="28"/>
          <w:lang w:val="ro-RO" w:eastAsia="ru-RU"/>
        </w:rPr>
        <w:t>,</w:t>
      </w:r>
      <w:r w:rsidRPr="00BA760F">
        <w:rPr>
          <w:rFonts w:ascii="Times New Roman" w:eastAsia="Times New Roman" w:hAnsi="Times New Roman" w:cs="Times New Roman"/>
          <w:sz w:val="28"/>
          <w:szCs w:val="28"/>
          <w:lang w:val="ro-RO" w:eastAsia="ru-RU"/>
        </w:rPr>
        <w:t xml:space="preserve"> </w:t>
      </w:r>
      <w:r w:rsidRPr="008F25E6">
        <w:rPr>
          <w:rFonts w:ascii="Times New Roman" w:eastAsia="Times New Roman" w:hAnsi="Times New Roman" w:cs="Times New Roman"/>
          <w:bCs/>
          <w:sz w:val="28"/>
          <w:szCs w:val="28"/>
          <w:lang w:val="ro-RO" w:eastAsia="ru-RU"/>
        </w:rPr>
        <w:t>e</w:t>
      </w:r>
      <w:r w:rsidR="00AE32BC" w:rsidRPr="008F25E6">
        <w:rPr>
          <w:rFonts w:ascii="Times New Roman" w:eastAsia="Times New Roman" w:hAnsi="Times New Roman" w:cs="Times New Roman"/>
          <w:bCs/>
          <w:sz w:val="28"/>
          <w:szCs w:val="28"/>
          <w:lang w:val="ro-RO" w:eastAsia="ru-RU"/>
        </w:rPr>
        <w:t>xporturile</w:t>
      </w:r>
      <w:r w:rsidR="00AE32BC" w:rsidRPr="00BA760F">
        <w:rPr>
          <w:rFonts w:ascii="Times New Roman" w:eastAsia="Times New Roman" w:hAnsi="Times New Roman" w:cs="Times New Roman"/>
          <w:sz w:val="28"/>
          <w:szCs w:val="28"/>
          <w:lang w:val="ro-RO" w:eastAsia="ru-RU"/>
        </w:rPr>
        <w:t> se vor majora cu circa 8,2% anual. Factorii care vor contribui la majorarea treptată a exporturilor în perioada de prognoză sunt: restabilirea cererii externe, ofertei interne la produsele agricole, creşterea calitativă a exporturilor</w:t>
      </w:r>
      <w:r>
        <w:rPr>
          <w:rFonts w:ascii="Times New Roman" w:eastAsia="Times New Roman" w:hAnsi="Times New Roman" w:cs="Times New Roman"/>
          <w:sz w:val="28"/>
          <w:szCs w:val="28"/>
          <w:lang w:val="ro-RO" w:eastAsia="ru-RU"/>
        </w:rPr>
        <w:t xml:space="preserve">, etc. </w:t>
      </w:r>
      <w:r w:rsidR="00AE32BC" w:rsidRPr="00BA760F">
        <w:rPr>
          <w:rFonts w:ascii="Times New Roman" w:eastAsia="Times New Roman" w:hAnsi="Times New Roman" w:cs="Times New Roman"/>
          <w:sz w:val="28"/>
          <w:szCs w:val="28"/>
          <w:lang w:val="ro-RO" w:eastAsia="ru-RU"/>
        </w:rPr>
        <w:tab/>
      </w:r>
      <w:r w:rsidR="00AE32BC" w:rsidRPr="008F25E6">
        <w:rPr>
          <w:rFonts w:ascii="Times New Roman" w:eastAsia="Times New Roman" w:hAnsi="Times New Roman" w:cs="Times New Roman"/>
          <w:bCs/>
          <w:sz w:val="28"/>
          <w:szCs w:val="28"/>
          <w:lang w:val="ro-RO" w:eastAsia="ru-RU"/>
        </w:rPr>
        <w:t>Importurile</w:t>
      </w:r>
      <w:r w:rsidR="007E2D78">
        <w:rPr>
          <w:rFonts w:ascii="Times New Roman" w:eastAsia="Times New Roman" w:hAnsi="Times New Roman" w:cs="Times New Roman"/>
          <w:sz w:val="28"/>
          <w:szCs w:val="28"/>
          <w:lang w:val="ro-RO" w:eastAsia="ru-RU"/>
        </w:rPr>
        <w:t xml:space="preserve"> vor creşte în perioada de </w:t>
      </w:r>
      <w:r w:rsidR="00AE32BC" w:rsidRPr="00BA760F">
        <w:rPr>
          <w:rFonts w:ascii="Times New Roman" w:eastAsia="Times New Roman" w:hAnsi="Times New Roman" w:cs="Times New Roman"/>
          <w:sz w:val="28"/>
          <w:szCs w:val="28"/>
          <w:lang w:val="ro-RO" w:eastAsia="ru-RU"/>
        </w:rPr>
        <w:t xml:space="preserve">prognoză cu circa 7,7% anual. Creşterea volumului importurilor va fi condiţionată </w:t>
      </w:r>
      <w:r w:rsidR="00F26F48">
        <w:rPr>
          <w:rFonts w:ascii="Times New Roman" w:eastAsia="Times New Roman" w:hAnsi="Times New Roman" w:cs="Times New Roman"/>
          <w:sz w:val="28"/>
          <w:szCs w:val="28"/>
          <w:lang w:val="ro-RO" w:eastAsia="ru-RU"/>
        </w:rPr>
        <w:t>de restabilirea cererii interne</w:t>
      </w:r>
      <w:r w:rsidR="00AE32BC" w:rsidRPr="00BA760F">
        <w:rPr>
          <w:rFonts w:ascii="Times New Roman" w:eastAsia="Times New Roman" w:hAnsi="Times New Roman" w:cs="Times New Roman"/>
          <w:sz w:val="28"/>
          <w:szCs w:val="28"/>
          <w:lang w:val="ro-RO" w:eastAsia="ru-RU"/>
        </w:rPr>
        <w:t>. Prin urmare, </w:t>
      </w:r>
      <w:r w:rsidR="00AE32BC" w:rsidRPr="008F25E6">
        <w:rPr>
          <w:rFonts w:ascii="Times New Roman" w:eastAsia="Times New Roman" w:hAnsi="Times New Roman" w:cs="Times New Roman"/>
          <w:bCs/>
          <w:sz w:val="28"/>
          <w:szCs w:val="28"/>
          <w:lang w:val="ro-RO" w:eastAsia="ru-RU"/>
        </w:rPr>
        <w:t>soldul negativ al balanţei comerciale</w:t>
      </w:r>
      <w:r w:rsidR="00AE32BC" w:rsidRPr="00BA760F">
        <w:rPr>
          <w:rFonts w:ascii="Times New Roman" w:eastAsia="Times New Roman" w:hAnsi="Times New Roman" w:cs="Times New Roman"/>
          <w:b/>
          <w:bCs/>
          <w:sz w:val="28"/>
          <w:szCs w:val="28"/>
          <w:lang w:val="ro-RO" w:eastAsia="ru-RU"/>
        </w:rPr>
        <w:t> </w:t>
      </w:r>
      <w:r w:rsidR="00AE32BC" w:rsidRPr="00BA760F">
        <w:rPr>
          <w:rFonts w:ascii="Times New Roman" w:eastAsia="Times New Roman" w:hAnsi="Times New Roman" w:cs="Times New Roman"/>
          <w:sz w:val="28"/>
          <w:szCs w:val="28"/>
          <w:lang w:val="ro-RO" w:eastAsia="ru-RU"/>
        </w:rPr>
        <w:t>se va majora de la 3</w:t>
      </w:r>
      <w:r w:rsidR="00A505DF">
        <w:rPr>
          <w:rFonts w:ascii="Times New Roman" w:eastAsia="Times New Roman" w:hAnsi="Times New Roman" w:cs="Times New Roman"/>
          <w:sz w:val="28"/>
          <w:szCs w:val="28"/>
          <w:lang w:val="ro-RO" w:eastAsia="ru-RU"/>
        </w:rPr>
        <w:t xml:space="preserve"> </w:t>
      </w:r>
      <w:r w:rsidR="00AE32BC" w:rsidRPr="00BA760F">
        <w:rPr>
          <w:rFonts w:ascii="Times New Roman" w:eastAsia="Times New Roman" w:hAnsi="Times New Roman" w:cs="Times New Roman"/>
          <w:sz w:val="28"/>
          <w:szCs w:val="28"/>
          <w:lang w:val="ro-RO" w:eastAsia="ru-RU"/>
        </w:rPr>
        <w:t xml:space="preserve">450 mil. </w:t>
      </w:r>
      <w:r w:rsidR="00F26F48">
        <w:rPr>
          <w:rFonts w:ascii="Times New Roman" w:eastAsia="Times New Roman" w:hAnsi="Times New Roman" w:cs="Times New Roman"/>
          <w:sz w:val="28"/>
          <w:szCs w:val="28"/>
          <w:lang w:val="ro-RO" w:eastAsia="ru-RU"/>
        </w:rPr>
        <w:t>dolari SUA</w:t>
      </w:r>
      <w:r w:rsidR="00AE32BC" w:rsidRPr="00BA760F">
        <w:rPr>
          <w:rFonts w:ascii="Times New Roman" w:eastAsia="Times New Roman" w:hAnsi="Times New Roman" w:cs="Times New Roman"/>
          <w:sz w:val="28"/>
          <w:szCs w:val="28"/>
          <w:lang w:val="ro-RO" w:eastAsia="ru-RU"/>
        </w:rPr>
        <w:t xml:space="preserve"> în anul 2014 pînă la 3</w:t>
      </w:r>
      <w:r w:rsidR="00A505DF">
        <w:rPr>
          <w:rFonts w:ascii="Times New Roman" w:eastAsia="Times New Roman" w:hAnsi="Times New Roman" w:cs="Times New Roman"/>
          <w:sz w:val="28"/>
          <w:szCs w:val="28"/>
          <w:lang w:val="ro-RO" w:eastAsia="ru-RU"/>
        </w:rPr>
        <w:t xml:space="preserve"> </w:t>
      </w:r>
      <w:r w:rsidR="00AE32BC" w:rsidRPr="00BA760F">
        <w:rPr>
          <w:rFonts w:ascii="Times New Roman" w:eastAsia="Times New Roman" w:hAnsi="Times New Roman" w:cs="Times New Roman"/>
          <w:sz w:val="28"/>
          <w:szCs w:val="28"/>
          <w:lang w:val="ro-RO" w:eastAsia="ru-RU"/>
        </w:rPr>
        <w:t xml:space="preserve">975 mil. </w:t>
      </w:r>
      <w:r w:rsidR="00F26F48">
        <w:rPr>
          <w:rFonts w:ascii="Times New Roman" w:eastAsia="Times New Roman" w:hAnsi="Times New Roman" w:cs="Times New Roman"/>
          <w:sz w:val="28"/>
          <w:szCs w:val="28"/>
          <w:lang w:val="ro-RO" w:eastAsia="ru-RU"/>
        </w:rPr>
        <w:t>dolari SUA</w:t>
      </w:r>
      <w:r w:rsidR="00AE32BC" w:rsidRPr="00BA760F">
        <w:rPr>
          <w:rFonts w:ascii="Times New Roman" w:eastAsia="Times New Roman" w:hAnsi="Times New Roman" w:cs="Times New Roman"/>
          <w:sz w:val="28"/>
          <w:szCs w:val="28"/>
          <w:lang w:val="ro-RO" w:eastAsia="ru-RU"/>
        </w:rPr>
        <w:t xml:space="preserve"> în anul 2016.</w:t>
      </w:r>
    </w:p>
    <w:p w:rsidR="00F9496F" w:rsidRPr="00D76CE7"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8"/>
          <w:szCs w:val="24"/>
          <w:lang w:val="ro-RO" w:eastAsia="ru-RU"/>
        </w:rPr>
      </w:pPr>
    </w:p>
    <w:p w:rsidR="00F9496F" w:rsidRPr="008F25E6" w:rsidRDefault="00F9496F" w:rsidP="005F06AC">
      <w:pPr>
        <w:numPr>
          <w:ilvl w:val="0"/>
          <w:numId w:val="13"/>
        </w:numPr>
        <w:autoSpaceDE w:val="0"/>
        <w:autoSpaceDN w:val="0"/>
        <w:adjustRightInd w:val="0"/>
        <w:spacing w:after="0" w:line="240" w:lineRule="auto"/>
        <w:ind w:left="993" w:hanging="284"/>
        <w:jc w:val="both"/>
        <w:rPr>
          <w:rFonts w:ascii="Times New Roman" w:eastAsia="Times New Roman" w:hAnsi="Times New Roman" w:cs="Times New Roman"/>
          <w:b/>
          <w:bCs/>
          <w:iCs/>
          <w:sz w:val="28"/>
          <w:szCs w:val="28"/>
          <w:lang w:val="ro-RO" w:eastAsia="ru-RU"/>
        </w:rPr>
      </w:pPr>
      <w:r w:rsidRPr="008F25E6">
        <w:rPr>
          <w:rFonts w:ascii="Times New Roman" w:eastAsia="Times New Roman" w:hAnsi="Times New Roman" w:cs="Times New Roman"/>
          <w:b/>
          <w:bCs/>
          <w:iCs/>
          <w:sz w:val="28"/>
          <w:szCs w:val="28"/>
          <w:lang w:val="ro-RO" w:eastAsia="ru-RU"/>
        </w:rPr>
        <w:t>Piaţa valutară (cursul de schimb)</w:t>
      </w:r>
    </w:p>
    <w:p w:rsidR="0085437C" w:rsidRDefault="002154AD" w:rsidP="0085437C">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2154AD">
        <w:rPr>
          <w:rFonts w:ascii="Times New Roman" w:eastAsia="Times New Roman" w:hAnsi="Times New Roman" w:cs="Times New Roman"/>
          <w:sz w:val="28"/>
          <w:szCs w:val="28"/>
          <w:lang w:val="ro-RO" w:eastAsia="ru-RU"/>
        </w:rPr>
        <w:t>De la începutul anului 2013 </w:t>
      </w:r>
      <w:r w:rsidRPr="007D7D5D">
        <w:rPr>
          <w:rFonts w:ascii="Times New Roman" w:eastAsia="Times New Roman" w:hAnsi="Times New Roman" w:cs="Times New Roman"/>
          <w:b/>
          <w:bCs/>
          <w:iCs/>
          <w:sz w:val="28"/>
          <w:szCs w:val="28"/>
          <w:lang w:val="ro-RO" w:eastAsia="ru-RU"/>
        </w:rPr>
        <w:t>cursul de schimb</w:t>
      </w:r>
      <w:r w:rsidRPr="002154AD">
        <w:rPr>
          <w:rFonts w:ascii="Times New Roman" w:eastAsia="Times New Roman" w:hAnsi="Times New Roman" w:cs="Times New Roman"/>
          <w:sz w:val="28"/>
          <w:szCs w:val="28"/>
          <w:lang w:val="ro-RO" w:eastAsia="ru-RU"/>
        </w:rPr>
        <w:t xml:space="preserve"> al monedei naţionale a marcat o depreciere cu </w:t>
      </w:r>
      <w:r w:rsidR="007D7D5D">
        <w:rPr>
          <w:rFonts w:ascii="Times New Roman" w:eastAsia="Times New Roman" w:hAnsi="Times New Roman" w:cs="Times New Roman"/>
          <w:sz w:val="28"/>
          <w:szCs w:val="28"/>
          <w:lang w:val="ro-RO" w:eastAsia="ru-RU"/>
        </w:rPr>
        <w:t>8</w:t>
      </w:r>
      <w:r w:rsidRPr="002154AD">
        <w:rPr>
          <w:rFonts w:ascii="Times New Roman" w:eastAsia="Times New Roman" w:hAnsi="Times New Roman" w:cs="Times New Roman"/>
          <w:sz w:val="28"/>
          <w:szCs w:val="28"/>
          <w:lang w:val="ro-RO" w:eastAsia="ru-RU"/>
        </w:rPr>
        <w:t>,</w:t>
      </w:r>
      <w:r w:rsidR="007D7D5D">
        <w:rPr>
          <w:rFonts w:ascii="Times New Roman" w:eastAsia="Times New Roman" w:hAnsi="Times New Roman" w:cs="Times New Roman"/>
          <w:sz w:val="28"/>
          <w:szCs w:val="28"/>
          <w:lang w:val="ro-RO" w:eastAsia="ru-RU"/>
        </w:rPr>
        <w:t>2</w:t>
      </w:r>
      <w:r w:rsidRPr="002154AD">
        <w:rPr>
          <w:rFonts w:ascii="Times New Roman" w:eastAsia="Times New Roman" w:hAnsi="Times New Roman" w:cs="Times New Roman"/>
          <w:sz w:val="28"/>
          <w:szCs w:val="28"/>
          <w:lang w:val="ro-RO" w:eastAsia="ru-RU"/>
        </w:rPr>
        <w:t xml:space="preserve">% în termeni nominali faţă de dolarul SUA, precum şi cu </w:t>
      </w:r>
      <w:r w:rsidR="007D7D5D">
        <w:rPr>
          <w:rFonts w:ascii="Times New Roman" w:eastAsia="Times New Roman" w:hAnsi="Times New Roman" w:cs="Times New Roman"/>
          <w:sz w:val="28"/>
          <w:szCs w:val="28"/>
          <w:lang w:val="ro-RO" w:eastAsia="ru-RU"/>
        </w:rPr>
        <w:t>12,3</w:t>
      </w:r>
      <w:r w:rsidRPr="002154AD">
        <w:rPr>
          <w:rFonts w:ascii="Times New Roman" w:eastAsia="Times New Roman" w:hAnsi="Times New Roman" w:cs="Times New Roman"/>
          <w:sz w:val="28"/>
          <w:szCs w:val="28"/>
          <w:lang w:val="ro-RO" w:eastAsia="ru-RU"/>
        </w:rPr>
        <w:t xml:space="preserve">% - faţă de Euro. Principalii factori care au determinat modificarea cursului de schimb au fost intrările valutare de peste hotarele ţării, </w:t>
      </w:r>
      <w:r w:rsidR="007D7D5D" w:rsidRPr="007D7D5D">
        <w:rPr>
          <w:rFonts w:ascii="Times New Roman" w:eastAsia="Times New Roman" w:hAnsi="Times New Roman" w:cs="Times New Roman"/>
          <w:sz w:val="28"/>
          <w:szCs w:val="28"/>
          <w:lang w:val="ro-RO" w:eastAsia="ru-RU"/>
        </w:rPr>
        <w:t>dezvoltarea comerţului exterior şi fluctuaţiile dolarului SUA pe pieţele valutare internaţionale</w:t>
      </w:r>
      <w:r w:rsidRPr="002154AD">
        <w:rPr>
          <w:rFonts w:ascii="Times New Roman" w:eastAsia="Times New Roman" w:hAnsi="Times New Roman" w:cs="Times New Roman"/>
          <w:sz w:val="28"/>
          <w:szCs w:val="28"/>
          <w:lang w:val="ro-RO" w:eastAsia="ru-RU"/>
        </w:rPr>
        <w:t>.</w:t>
      </w:r>
    </w:p>
    <w:p w:rsidR="00465EFA" w:rsidRDefault="0085437C" w:rsidP="00D76CE7">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9933AA">
        <w:rPr>
          <w:rFonts w:ascii="Times New Roman" w:eastAsia="Times New Roman" w:hAnsi="Times New Roman" w:cs="Times New Roman"/>
          <w:sz w:val="28"/>
          <w:szCs w:val="28"/>
          <w:lang w:val="ro-RO" w:eastAsia="ru-RU"/>
        </w:rPr>
        <w:t>Conform e</w:t>
      </w:r>
      <w:r w:rsidR="00465EFA" w:rsidRPr="009933AA">
        <w:rPr>
          <w:rFonts w:ascii="Times New Roman" w:eastAsia="Times New Roman" w:hAnsi="Times New Roman" w:cs="Times New Roman"/>
          <w:sz w:val="28"/>
          <w:szCs w:val="28"/>
          <w:lang w:val="ro-RO" w:eastAsia="ru-RU"/>
        </w:rPr>
        <w:t>stimăril</w:t>
      </w:r>
      <w:r w:rsidRPr="009933AA">
        <w:rPr>
          <w:rFonts w:ascii="Times New Roman" w:eastAsia="Times New Roman" w:hAnsi="Times New Roman" w:cs="Times New Roman"/>
          <w:sz w:val="28"/>
          <w:szCs w:val="28"/>
          <w:lang w:val="ro-RO" w:eastAsia="ru-RU"/>
        </w:rPr>
        <w:t>or</w:t>
      </w:r>
      <w:r w:rsidR="00465EFA" w:rsidRPr="009933AA">
        <w:rPr>
          <w:rFonts w:ascii="Times New Roman" w:eastAsia="Times New Roman" w:hAnsi="Times New Roman" w:cs="Times New Roman"/>
          <w:sz w:val="28"/>
          <w:szCs w:val="28"/>
          <w:lang w:val="ro-RO" w:eastAsia="ru-RU"/>
        </w:rPr>
        <w:t xml:space="preserve"> ratei de schimb medie anuală</w:t>
      </w:r>
      <w:r w:rsidR="006A6D09">
        <w:rPr>
          <w:rFonts w:ascii="Times New Roman" w:eastAsia="Times New Roman" w:hAnsi="Times New Roman" w:cs="Times New Roman"/>
          <w:sz w:val="28"/>
          <w:szCs w:val="28"/>
          <w:lang w:val="ro-RO" w:eastAsia="ru-RU"/>
        </w:rPr>
        <w:t xml:space="preserve">, leul moldovenesc se va deprecia cu circa 3,7% în anul 2014 faţă de anul 2013, după care va urma o uşoară apreciere cu pînă la 1,0 la sută anual în anii 2015 şi 2016. </w:t>
      </w:r>
      <w:r w:rsidR="009933AA">
        <w:rPr>
          <w:rFonts w:ascii="Times New Roman" w:eastAsia="Times New Roman" w:hAnsi="Times New Roman" w:cs="Times New Roman"/>
          <w:sz w:val="28"/>
          <w:szCs w:val="28"/>
          <w:lang w:val="ro-RO" w:eastAsia="ru-RU"/>
        </w:rPr>
        <w:t>Raportat la euro, leul moldovenesc va înregistra o depreciere de 5,4% în anul 2014 şi o depreciere de circa 0,6% anual în anii 2015 şi 2016.</w:t>
      </w:r>
    </w:p>
    <w:p w:rsidR="008F25E6" w:rsidRPr="00F9496F" w:rsidRDefault="007D7D5D" w:rsidP="008F25E6">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Evoluția </w:t>
      </w:r>
      <w:r w:rsidRPr="00F9496F">
        <w:rPr>
          <w:rFonts w:ascii="Times New Roman" w:eastAsia="Times New Roman" w:hAnsi="Times New Roman" w:cs="Times New Roman"/>
          <w:sz w:val="28"/>
          <w:szCs w:val="28"/>
          <w:lang w:val="ro-RO" w:eastAsia="ru-RU"/>
        </w:rPr>
        <w:t>ratel</w:t>
      </w:r>
      <w:r>
        <w:rPr>
          <w:rFonts w:ascii="Times New Roman" w:eastAsia="Times New Roman" w:hAnsi="Times New Roman" w:cs="Times New Roman"/>
          <w:sz w:val="28"/>
          <w:szCs w:val="28"/>
          <w:lang w:val="ro-RO" w:eastAsia="ru-RU"/>
        </w:rPr>
        <w:t>or de schimb şi ratelor</w:t>
      </w:r>
      <w:r w:rsidRPr="00F9496F">
        <w:rPr>
          <w:rFonts w:ascii="Times New Roman" w:eastAsia="Times New Roman" w:hAnsi="Times New Roman" w:cs="Times New Roman"/>
          <w:sz w:val="28"/>
          <w:szCs w:val="28"/>
          <w:lang w:val="ro-RO" w:eastAsia="ru-RU"/>
        </w:rPr>
        <w:t xml:space="preserve"> de dobîndă</w:t>
      </w:r>
      <w:r>
        <w:rPr>
          <w:rFonts w:ascii="Times New Roman" w:eastAsia="Times New Roman" w:hAnsi="Times New Roman" w:cs="Times New Roman"/>
          <w:sz w:val="28"/>
          <w:szCs w:val="28"/>
          <w:lang w:val="ro-RO" w:eastAsia="ru-RU"/>
        </w:rPr>
        <w:t xml:space="preserve"> -</w:t>
      </w:r>
      <w:r w:rsidRPr="00F9496F">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i</w:t>
      </w:r>
      <w:r w:rsidR="008F25E6" w:rsidRPr="00F9496F">
        <w:rPr>
          <w:rFonts w:ascii="Times New Roman" w:eastAsia="Times New Roman" w:hAnsi="Times New Roman" w:cs="Times New Roman"/>
          <w:sz w:val="28"/>
          <w:szCs w:val="28"/>
          <w:lang w:val="ro-RO" w:eastAsia="ru-RU"/>
        </w:rPr>
        <w:t xml:space="preserve">ndicatorii de piaţă care influenţează direct costul datoriei de stat </w:t>
      </w:r>
      <w:r>
        <w:rPr>
          <w:rFonts w:ascii="Times New Roman" w:eastAsia="Times New Roman" w:hAnsi="Times New Roman" w:cs="Times New Roman"/>
          <w:sz w:val="28"/>
          <w:szCs w:val="28"/>
          <w:lang w:val="ro-RO" w:eastAsia="ru-RU"/>
        </w:rPr>
        <w:t xml:space="preserve">- </w:t>
      </w:r>
      <w:r w:rsidR="008F25E6" w:rsidRPr="00F9496F">
        <w:rPr>
          <w:rFonts w:ascii="Times New Roman" w:eastAsia="Times New Roman" w:hAnsi="Times New Roman" w:cs="Times New Roman"/>
          <w:sz w:val="28"/>
          <w:szCs w:val="28"/>
          <w:lang w:val="ro-RO" w:eastAsia="ru-RU"/>
        </w:rPr>
        <w:t xml:space="preserve">este prezentată în tabelul </w:t>
      </w:r>
      <w:r w:rsidR="008F25E6">
        <w:rPr>
          <w:rFonts w:ascii="Times New Roman" w:eastAsia="Times New Roman" w:hAnsi="Times New Roman" w:cs="Times New Roman"/>
          <w:sz w:val="28"/>
          <w:szCs w:val="28"/>
          <w:lang w:val="ro-RO" w:eastAsia="ru-RU"/>
        </w:rPr>
        <w:t>3</w:t>
      </w:r>
      <w:r w:rsidR="008F25E6" w:rsidRPr="00F9496F">
        <w:rPr>
          <w:rFonts w:ascii="Times New Roman" w:eastAsia="Times New Roman" w:hAnsi="Times New Roman" w:cs="Times New Roman"/>
          <w:sz w:val="28"/>
          <w:szCs w:val="28"/>
          <w:lang w:val="ro-RO" w:eastAsia="ru-RU"/>
        </w:rPr>
        <w:t>.2.</w:t>
      </w:r>
      <w:r w:rsidR="008F25E6" w:rsidRPr="00F9496F">
        <w:rPr>
          <w:rFonts w:ascii="Times New Roman" w:eastAsia="Times New Roman" w:hAnsi="Times New Roman" w:cs="Times New Roman"/>
          <w:b/>
          <w:sz w:val="28"/>
          <w:szCs w:val="28"/>
          <w:lang w:val="ro-RO" w:eastAsia="ru-RU"/>
        </w:rPr>
        <w:t xml:space="preserve"> </w:t>
      </w:r>
      <w:r w:rsidR="008F25E6" w:rsidRPr="00F9496F">
        <w:rPr>
          <w:rFonts w:ascii="Times New Roman" w:eastAsia="Times New Roman" w:hAnsi="Times New Roman" w:cs="Times New Roman"/>
          <w:b/>
          <w:sz w:val="28"/>
          <w:szCs w:val="28"/>
          <w:lang w:val="ro-RO" w:eastAsia="ru-RU"/>
        </w:rPr>
        <w:tab/>
      </w:r>
    </w:p>
    <w:p w:rsidR="008F25E6" w:rsidRPr="00F9496F" w:rsidRDefault="008F25E6" w:rsidP="008F25E6">
      <w:pPr>
        <w:spacing w:after="0" w:line="240" w:lineRule="auto"/>
        <w:ind w:left="5672" w:firstLine="709"/>
        <w:jc w:val="right"/>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 xml:space="preserve">  Tabelul </w:t>
      </w:r>
      <w:r>
        <w:rPr>
          <w:rFonts w:ascii="Times New Roman" w:eastAsia="Times New Roman" w:hAnsi="Times New Roman" w:cs="Times New Roman"/>
          <w:sz w:val="28"/>
          <w:szCs w:val="28"/>
          <w:lang w:val="ro-RO" w:eastAsia="ru-RU"/>
        </w:rPr>
        <w:t>3</w:t>
      </w:r>
      <w:r w:rsidRPr="00F9496F">
        <w:rPr>
          <w:rFonts w:ascii="Times New Roman" w:eastAsia="Times New Roman" w:hAnsi="Times New Roman" w:cs="Times New Roman"/>
          <w:sz w:val="28"/>
          <w:szCs w:val="28"/>
          <w:lang w:val="ro-RO" w:eastAsia="ru-RU"/>
        </w:rPr>
        <w:t xml:space="preserve">.2. </w:t>
      </w:r>
    </w:p>
    <w:p w:rsidR="008F25E6" w:rsidRPr="00F9496F" w:rsidRDefault="008F25E6" w:rsidP="008F25E6">
      <w:pPr>
        <w:tabs>
          <w:tab w:val="left" w:pos="567"/>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Evoluţia ratelor oficiale de schimb şi a ratelor de dobîndă, 201</w:t>
      </w:r>
      <w:r>
        <w:rPr>
          <w:rFonts w:ascii="Times New Roman" w:eastAsia="Times New Roman" w:hAnsi="Times New Roman" w:cs="Times New Roman"/>
          <w:sz w:val="28"/>
          <w:szCs w:val="28"/>
          <w:lang w:val="ro-RO" w:eastAsia="ru-RU"/>
        </w:rPr>
        <w:t>1</w:t>
      </w:r>
      <w:r w:rsidRPr="00F9496F">
        <w:rPr>
          <w:rFonts w:ascii="Times New Roman" w:eastAsia="Times New Roman" w:hAnsi="Times New Roman" w:cs="Times New Roman"/>
          <w:sz w:val="28"/>
          <w:szCs w:val="28"/>
          <w:lang w:val="ro-RO" w:eastAsia="ru-RU"/>
        </w:rPr>
        <w:t>-201</w:t>
      </w:r>
      <w:r>
        <w:rPr>
          <w:rFonts w:ascii="Times New Roman" w:eastAsia="Times New Roman" w:hAnsi="Times New Roman" w:cs="Times New Roman"/>
          <w:sz w:val="28"/>
          <w:szCs w:val="28"/>
          <w:lang w:val="ro-RO" w:eastAsia="ru-RU"/>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850"/>
        <w:gridCol w:w="851"/>
        <w:gridCol w:w="850"/>
        <w:gridCol w:w="851"/>
        <w:gridCol w:w="850"/>
        <w:gridCol w:w="851"/>
      </w:tblGrid>
      <w:tr w:rsidR="008F25E6" w:rsidRPr="00F9496F" w:rsidTr="008F25E6">
        <w:trPr>
          <w:trHeight w:val="357"/>
        </w:trPr>
        <w:tc>
          <w:tcPr>
            <w:tcW w:w="4253" w:type="dxa"/>
            <w:tcBorders>
              <w:top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Indicator</w:t>
            </w:r>
          </w:p>
        </w:tc>
        <w:tc>
          <w:tcPr>
            <w:tcW w:w="850"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1</w:t>
            </w:r>
          </w:p>
        </w:tc>
        <w:tc>
          <w:tcPr>
            <w:tcW w:w="851" w:type="dxa"/>
            <w:tcBorders>
              <w:top w:val="single" w:sz="4" w:space="0" w:color="17365D"/>
              <w:left w:val="single" w:sz="4" w:space="0" w:color="17365D"/>
              <w:bottom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2</w:t>
            </w:r>
          </w:p>
        </w:tc>
        <w:tc>
          <w:tcPr>
            <w:tcW w:w="850" w:type="dxa"/>
            <w:tcBorders>
              <w:top w:val="single" w:sz="4" w:space="0" w:color="17365D"/>
              <w:bottom w:val="single" w:sz="4" w:space="0" w:color="17365D"/>
              <w:right w:val="single" w:sz="4" w:space="0" w:color="17365D"/>
            </w:tcBorders>
            <w:vAlign w:val="center"/>
          </w:tcPr>
          <w:p w:rsidR="008F25E6" w:rsidRPr="00F9496F" w:rsidRDefault="008F25E6" w:rsidP="007D7D5D">
            <w:pPr>
              <w:spacing w:after="0" w:line="240" w:lineRule="auto"/>
              <w:jc w:val="center"/>
              <w:rPr>
                <w:rFonts w:ascii="Times New Roman" w:eastAsia="Times New Roman" w:hAnsi="Times New Roman" w:cs="Times New Roman"/>
                <w:sz w:val="24"/>
                <w:szCs w:val="24"/>
                <w:vertAlign w:val="superscript"/>
                <w:lang w:val="ro-RO" w:eastAsia="ru-RU"/>
              </w:rPr>
            </w:pPr>
            <w:r w:rsidRPr="00F9496F">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3</w:t>
            </w:r>
          </w:p>
        </w:tc>
        <w:tc>
          <w:tcPr>
            <w:tcW w:w="851"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4</w:t>
            </w:r>
            <w:r w:rsidR="007D7D5D" w:rsidRPr="00F9496F">
              <w:rPr>
                <w:rFonts w:ascii="Times New Roman" w:eastAsia="Times New Roman" w:hAnsi="Times New Roman" w:cs="Times New Roman"/>
                <w:sz w:val="24"/>
                <w:szCs w:val="24"/>
                <w:vertAlign w:val="superscript"/>
                <w:lang w:val="ro-RO" w:eastAsia="ru-RU"/>
              </w:rPr>
              <w:t>1</w:t>
            </w:r>
          </w:p>
        </w:tc>
        <w:tc>
          <w:tcPr>
            <w:tcW w:w="850"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5</w:t>
            </w:r>
          </w:p>
        </w:tc>
        <w:tc>
          <w:tcPr>
            <w:tcW w:w="851"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6</w:t>
            </w:r>
          </w:p>
        </w:tc>
      </w:tr>
      <w:tr w:rsidR="008F25E6" w:rsidRPr="00F9496F" w:rsidTr="008F25E6">
        <w:trPr>
          <w:trHeight w:val="357"/>
        </w:trPr>
        <w:tc>
          <w:tcPr>
            <w:tcW w:w="4253" w:type="dxa"/>
            <w:tcBorders>
              <w:top w:val="single" w:sz="4" w:space="0" w:color="17365D"/>
              <w:bottom w:val="single" w:sz="4" w:space="0" w:color="17365D"/>
              <w:right w:val="single" w:sz="4" w:space="0" w:color="17365D"/>
            </w:tcBorders>
          </w:tcPr>
          <w:p w:rsidR="008F25E6" w:rsidRPr="00F9496F" w:rsidRDefault="008F25E6" w:rsidP="008F25E6">
            <w:pPr>
              <w:spacing w:after="0" w:line="240" w:lineRule="auto"/>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 Cursul oficial al leului moldovenesc faţă de dolarul SUA, mediu anual</w:t>
            </w:r>
            <w:r>
              <w:rPr>
                <w:rFonts w:ascii="Times New Roman" w:eastAsia="Times New Roman" w:hAnsi="Times New Roman" w:cs="Times New Roman"/>
                <w:sz w:val="24"/>
                <w:szCs w:val="24"/>
                <w:lang w:val="ro-RO" w:eastAsia="ru-RU"/>
              </w:rPr>
              <w:t>, MDL/USD</w:t>
            </w:r>
          </w:p>
        </w:tc>
        <w:tc>
          <w:tcPr>
            <w:tcW w:w="850"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11,737</w:t>
            </w:r>
          </w:p>
        </w:tc>
        <w:tc>
          <w:tcPr>
            <w:tcW w:w="851" w:type="dxa"/>
            <w:tcBorders>
              <w:top w:val="single" w:sz="4" w:space="0" w:color="17365D"/>
              <w:left w:val="single" w:sz="4" w:space="0" w:color="17365D"/>
              <w:bottom w:val="single" w:sz="4" w:space="0" w:color="17365D"/>
            </w:tcBorders>
            <w:vAlign w:val="center"/>
          </w:tcPr>
          <w:p w:rsidR="008F25E6" w:rsidRPr="00F9496F" w:rsidRDefault="008F25E6" w:rsidP="008F25E6">
            <w:pPr>
              <w:spacing w:after="0" w:line="240" w:lineRule="auto"/>
              <w:ind w:left="-108" w:right="19"/>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12,112</w:t>
            </w:r>
          </w:p>
        </w:tc>
        <w:tc>
          <w:tcPr>
            <w:tcW w:w="850" w:type="dxa"/>
            <w:tcBorders>
              <w:top w:val="single" w:sz="4" w:space="0" w:color="17365D"/>
              <w:bottom w:val="single" w:sz="4" w:space="0" w:color="17365D"/>
              <w:right w:val="single" w:sz="4" w:space="0" w:color="17365D"/>
            </w:tcBorders>
            <w:vAlign w:val="center"/>
          </w:tcPr>
          <w:p w:rsidR="008F25E6" w:rsidRPr="00F9496F" w:rsidRDefault="008F25E6" w:rsidP="00A505DF">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sidR="00A505DF">
              <w:rPr>
                <w:rFonts w:ascii="Times New Roman" w:eastAsia="Times New Roman" w:hAnsi="Times New Roman" w:cs="Times New Roman"/>
                <w:sz w:val="24"/>
                <w:szCs w:val="24"/>
                <w:lang w:val="ro-RO" w:eastAsia="ru-RU"/>
              </w:rPr>
              <w:t>2</w:t>
            </w:r>
            <w:r w:rsidRPr="00F9496F">
              <w:rPr>
                <w:rFonts w:ascii="Times New Roman" w:eastAsia="Times New Roman" w:hAnsi="Times New Roman" w:cs="Times New Roman"/>
                <w:sz w:val="24"/>
                <w:szCs w:val="24"/>
                <w:lang w:val="ro-RO" w:eastAsia="ru-RU"/>
              </w:rPr>
              <w:t>,</w:t>
            </w:r>
            <w:r w:rsidR="00A505DF">
              <w:rPr>
                <w:rFonts w:ascii="Times New Roman" w:eastAsia="Times New Roman" w:hAnsi="Times New Roman" w:cs="Times New Roman"/>
                <w:sz w:val="24"/>
                <w:szCs w:val="24"/>
                <w:lang w:val="ro-RO" w:eastAsia="ru-RU"/>
              </w:rPr>
              <w:t>591</w:t>
            </w:r>
          </w:p>
        </w:tc>
        <w:tc>
          <w:tcPr>
            <w:tcW w:w="851"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3</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06</w:t>
            </w:r>
          </w:p>
        </w:tc>
        <w:tc>
          <w:tcPr>
            <w:tcW w:w="850"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12,</w:t>
            </w:r>
            <w:r>
              <w:rPr>
                <w:rFonts w:ascii="Times New Roman" w:eastAsia="Times New Roman" w:hAnsi="Times New Roman" w:cs="Times New Roman"/>
                <w:sz w:val="24"/>
                <w:szCs w:val="24"/>
                <w:lang w:val="ro-RO" w:eastAsia="ru-RU"/>
              </w:rPr>
              <w:t>95</w:t>
            </w:r>
          </w:p>
        </w:tc>
        <w:tc>
          <w:tcPr>
            <w:tcW w:w="851"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12,</w:t>
            </w:r>
            <w:r>
              <w:rPr>
                <w:rFonts w:ascii="Times New Roman" w:eastAsia="Times New Roman" w:hAnsi="Times New Roman" w:cs="Times New Roman"/>
                <w:sz w:val="24"/>
                <w:szCs w:val="24"/>
                <w:lang w:val="ro-RO" w:eastAsia="ru-RU"/>
              </w:rPr>
              <w:t>93</w:t>
            </w:r>
          </w:p>
        </w:tc>
      </w:tr>
      <w:tr w:rsidR="008F25E6" w:rsidRPr="00F9496F" w:rsidTr="008F25E6">
        <w:trPr>
          <w:trHeight w:val="287"/>
        </w:trPr>
        <w:tc>
          <w:tcPr>
            <w:tcW w:w="4253" w:type="dxa"/>
            <w:tcBorders>
              <w:top w:val="single" w:sz="4" w:space="0" w:color="17365D"/>
              <w:bottom w:val="single" w:sz="4" w:space="0" w:color="17365D"/>
              <w:right w:val="single" w:sz="4" w:space="0" w:color="17365D"/>
            </w:tcBorders>
          </w:tcPr>
          <w:p w:rsidR="008F25E6" w:rsidRPr="00F9496F" w:rsidRDefault="008F25E6" w:rsidP="008F25E6">
            <w:pPr>
              <w:spacing w:after="0" w:line="240" w:lineRule="auto"/>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2. Cursul oficial al leului moldovenesc faţă de euro, mediu anual</w:t>
            </w:r>
            <w:r>
              <w:rPr>
                <w:rFonts w:ascii="Times New Roman" w:eastAsia="Times New Roman" w:hAnsi="Times New Roman" w:cs="Times New Roman"/>
                <w:sz w:val="24"/>
                <w:szCs w:val="24"/>
                <w:lang w:val="ro-RO" w:eastAsia="ru-RU"/>
              </w:rPr>
              <w:t>, MDL/Euro</w:t>
            </w:r>
          </w:p>
        </w:tc>
        <w:tc>
          <w:tcPr>
            <w:tcW w:w="850"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16,</w:t>
            </w:r>
            <w:r>
              <w:rPr>
                <w:rFonts w:ascii="Times New Roman" w:eastAsia="Times New Roman" w:hAnsi="Times New Roman" w:cs="Times New Roman"/>
                <w:sz w:val="24"/>
                <w:szCs w:val="24"/>
                <w:lang w:val="ro-RO" w:eastAsia="ru-RU"/>
              </w:rPr>
              <w:t>337</w:t>
            </w:r>
          </w:p>
        </w:tc>
        <w:tc>
          <w:tcPr>
            <w:tcW w:w="851" w:type="dxa"/>
            <w:tcBorders>
              <w:top w:val="single" w:sz="4" w:space="0" w:color="17365D"/>
              <w:left w:val="single" w:sz="4" w:space="0" w:color="17365D"/>
              <w:bottom w:val="single" w:sz="4" w:space="0" w:color="17365D"/>
            </w:tcBorders>
            <w:vAlign w:val="center"/>
          </w:tcPr>
          <w:p w:rsidR="008F25E6" w:rsidRPr="00F9496F" w:rsidRDefault="008F25E6" w:rsidP="008F25E6">
            <w:pPr>
              <w:tabs>
                <w:tab w:val="left" w:pos="743"/>
              </w:tabs>
              <w:spacing w:after="0" w:line="240" w:lineRule="auto"/>
              <w:ind w:left="-108" w:right="19"/>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5</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563</w:t>
            </w:r>
          </w:p>
        </w:tc>
        <w:tc>
          <w:tcPr>
            <w:tcW w:w="850" w:type="dxa"/>
            <w:tcBorders>
              <w:top w:val="single" w:sz="4" w:space="0" w:color="17365D"/>
              <w:bottom w:val="single" w:sz="4" w:space="0" w:color="17365D"/>
              <w:right w:val="single" w:sz="4" w:space="0" w:color="17365D"/>
            </w:tcBorders>
            <w:vAlign w:val="center"/>
          </w:tcPr>
          <w:p w:rsidR="008F25E6" w:rsidRPr="00F9496F" w:rsidRDefault="008F25E6" w:rsidP="00A505DF">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6</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7</w:t>
            </w:r>
            <w:r w:rsidR="00A505DF">
              <w:rPr>
                <w:rFonts w:ascii="Times New Roman" w:eastAsia="Times New Roman" w:hAnsi="Times New Roman" w:cs="Times New Roman"/>
                <w:sz w:val="24"/>
                <w:szCs w:val="24"/>
                <w:lang w:val="ro-RO" w:eastAsia="ru-RU"/>
              </w:rPr>
              <w:t>24</w:t>
            </w:r>
          </w:p>
        </w:tc>
        <w:tc>
          <w:tcPr>
            <w:tcW w:w="851"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7</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631</w:t>
            </w:r>
          </w:p>
        </w:tc>
        <w:tc>
          <w:tcPr>
            <w:tcW w:w="850"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7</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742</w:t>
            </w:r>
          </w:p>
        </w:tc>
        <w:tc>
          <w:tcPr>
            <w:tcW w:w="851"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ind w:left="-108"/>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7</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843</w:t>
            </w:r>
          </w:p>
        </w:tc>
      </w:tr>
      <w:tr w:rsidR="008F25E6" w:rsidRPr="00F9496F" w:rsidTr="008F25E6">
        <w:trPr>
          <w:trHeight w:val="405"/>
        </w:trPr>
        <w:tc>
          <w:tcPr>
            <w:tcW w:w="4253" w:type="dxa"/>
            <w:tcBorders>
              <w:top w:val="single" w:sz="4" w:space="0" w:color="17365D"/>
              <w:right w:val="single" w:sz="4" w:space="0" w:color="17365D"/>
            </w:tcBorders>
            <w:vAlign w:val="center"/>
          </w:tcPr>
          <w:p w:rsidR="008F25E6" w:rsidRPr="00F9496F" w:rsidRDefault="008F25E6" w:rsidP="008F25E6">
            <w:pPr>
              <w:spacing w:after="0" w:line="240" w:lineRule="auto"/>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3. Rata USD Libor pe 6 luni, medie anuală</w:t>
            </w:r>
            <w:r w:rsidRPr="00F9496F">
              <w:rPr>
                <w:rFonts w:ascii="Times New Roman" w:eastAsia="Times New Roman" w:hAnsi="Times New Roman" w:cs="Times New Roman"/>
                <w:sz w:val="24"/>
                <w:szCs w:val="24"/>
                <w:vertAlign w:val="superscript"/>
                <w:lang w:val="ro-RO" w:eastAsia="ru-RU"/>
              </w:rPr>
              <w:t>2</w:t>
            </w:r>
          </w:p>
        </w:tc>
        <w:tc>
          <w:tcPr>
            <w:tcW w:w="850" w:type="dxa"/>
            <w:tcBorders>
              <w:top w:val="single" w:sz="4" w:space="0" w:color="17365D"/>
              <w:left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0,5</w:t>
            </w:r>
            <w:r>
              <w:rPr>
                <w:rFonts w:ascii="Times New Roman" w:eastAsia="Times New Roman" w:hAnsi="Times New Roman" w:cs="Times New Roman"/>
                <w:sz w:val="24"/>
                <w:szCs w:val="24"/>
                <w:lang w:val="ro-RO" w:eastAsia="ru-RU"/>
              </w:rPr>
              <w:t>07</w:t>
            </w:r>
          </w:p>
        </w:tc>
        <w:tc>
          <w:tcPr>
            <w:tcW w:w="851" w:type="dxa"/>
            <w:tcBorders>
              <w:top w:val="single" w:sz="4" w:space="0" w:color="17365D"/>
              <w:lef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0,</w:t>
            </w:r>
            <w:r>
              <w:rPr>
                <w:rFonts w:ascii="Times New Roman" w:eastAsia="Times New Roman" w:hAnsi="Times New Roman" w:cs="Times New Roman"/>
                <w:sz w:val="24"/>
                <w:szCs w:val="24"/>
                <w:lang w:val="ro-RO" w:eastAsia="ru-RU"/>
              </w:rPr>
              <w:t>687</w:t>
            </w:r>
          </w:p>
        </w:tc>
        <w:tc>
          <w:tcPr>
            <w:tcW w:w="850" w:type="dxa"/>
            <w:tcBorders>
              <w:top w:val="single" w:sz="4" w:space="0" w:color="17365D"/>
              <w:right w:val="single" w:sz="4" w:space="0" w:color="17365D"/>
            </w:tcBorders>
            <w:vAlign w:val="center"/>
          </w:tcPr>
          <w:p w:rsidR="008F25E6" w:rsidRPr="00F9496F" w:rsidRDefault="00A505DF" w:rsidP="00A505D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0,409</w:t>
            </w:r>
          </w:p>
        </w:tc>
        <w:tc>
          <w:tcPr>
            <w:tcW w:w="851" w:type="dxa"/>
            <w:tcBorders>
              <w:top w:val="single" w:sz="4" w:space="0" w:color="17365D"/>
              <w:left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c>
          <w:tcPr>
            <w:tcW w:w="850" w:type="dxa"/>
            <w:tcBorders>
              <w:top w:val="single" w:sz="4" w:space="0" w:color="17365D"/>
              <w:left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c>
          <w:tcPr>
            <w:tcW w:w="851" w:type="dxa"/>
            <w:tcBorders>
              <w:top w:val="single" w:sz="4" w:space="0" w:color="17365D"/>
              <w:left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r>
      <w:tr w:rsidR="008F25E6" w:rsidRPr="00F9496F" w:rsidTr="008F25E6">
        <w:trPr>
          <w:trHeight w:val="426"/>
        </w:trPr>
        <w:tc>
          <w:tcPr>
            <w:tcW w:w="4253" w:type="dxa"/>
            <w:tcBorders>
              <w:right w:val="single" w:sz="4" w:space="0" w:color="17365D"/>
            </w:tcBorders>
            <w:vAlign w:val="center"/>
          </w:tcPr>
          <w:p w:rsidR="008F25E6" w:rsidRPr="00F9496F" w:rsidRDefault="008F25E6" w:rsidP="00C853DA">
            <w:pPr>
              <w:spacing w:after="0" w:line="240" w:lineRule="auto"/>
              <w:jc w:val="both"/>
              <w:rPr>
                <w:rFonts w:ascii="Times New Roman" w:eastAsia="Times New Roman" w:hAnsi="Times New Roman" w:cs="Times New Roman"/>
                <w:sz w:val="24"/>
                <w:szCs w:val="24"/>
                <w:vertAlign w:val="superscript"/>
                <w:lang w:val="ro-RO" w:eastAsia="ru-RU"/>
              </w:rPr>
            </w:pPr>
            <w:r w:rsidRPr="00F9496F">
              <w:rPr>
                <w:rFonts w:ascii="Times New Roman" w:eastAsia="Times New Roman" w:hAnsi="Times New Roman" w:cs="Times New Roman"/>
                <w:sz w:val="24"/>
                <w:szCs w:val="24"/>
                <w:lang w:val="ro-RO" w:eastAsia="ru-RU"/>
              </w:rPr>
              <w:t>4. Rata Euribor pe 6 luni, medie anual</w:t>
            </w:r>
            <w:r w:rsidR="00C853DA">
              <w:rPr>
                <w:rFonts w:ascii="Times New Roman" w:eastAsia="Times New Roman" w:hAnsi="Times New Roman" w:cs="Times New Roman"/>
                <w:sz w:val="24"/>
                <w:szCs w:val="24"/>
                <w:lang w:val="ro-RO" w:eastAsia="ru-RU"/>
              </w:rPr>
              <w:t>ă</w:t>
            </w:r>
            <w:r w:rsidR="00C853DA" w:rsidRPr="00F9496F">
              <w:rPr>
                <w:rFonts w:ascii="Times New Roman" w:eastAsia="Times New Roman" w:hAnsi="Times New Roman" w:cs="Times New Roman"/>
                <w:sz w:val="24"/>
                <w:szCs w:val="24"/>
                <w:vertAlign w:val="superscript"/>
                <w:lang w:val="ro-RO" w:eastAsia="ru-RU"/>
              </w:rPr>
              <w:t>2</w:t>
            </w:r>
          </w:p>
        </w:tc>
        <w:tc>
          <w:tcPr>
            <w:tcW w:w="850" w:type="dxa"/>
            <w:tcBorders>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638</w:t>
            </w:r>
          </w:p>
        </w:tc>
        <w:tc>
          <w:tcPr>
            <w:tcW w:w="851" w:type="dxa"/>
            <w:tcBorders>
              <w:left w:val="single" w:sz="4" w:space="0" w:color="17365D"/>
              <w:bottom w:val="single" w:sz="4" w:space="0" w:color="17365D"/>
            </w:tcBorders>
            <w:vAlign w:val="center"/>
          </w:tcPr>
          <w:p w:rsidR="008F25E6" w:rsidRPr="00F9496F" w:rsidRDefault="008F25E6" w:rsidP="00A505D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82</w:t>
            </w:r>
            <w:r w:rsidR="00A505DF">
              <w:rPr>
                <w:rFonts w:ascii="Times New Roman" w:eastAsia="Times New Roman" w:hAnsi="Times New Roman" w:cs="Times New Roman"/>
                <w:sz w:val="24"/>
                <w:szCs w:val="24"/>
                <w:lang w:val="ro-RO" w:eastAsia="ru-RU"/>
              </w:rPr>
              <w:t>4</w:t>
            </w:r>
          </w:p>
        </w:tc>
        <w:tc>
          <w:tcPr>
            <w:tcW w:w="850" w:type="dxa"/>
            <w:tcBorders>
              <w:bottom w:val="single" w:sz="4" w:space="0" w:color="17365D"/>
              <w:right w:val="single" w:sz="4" w:space="0" w:color="17365D"/>
            </w:tcBorders>
            <w:vAlign w:val="center"/>
          </w:tcPr>
          <w:p w:rsidR="008F25E6" w:rsidRPr="00F9496F" w:rsidRDefault="00A505DF" w:rsidP="008F25E6">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0,336</w:t>
            </w:r>
          </w:p>
        </w:tc>
        <w:tc>
          <w:tcPr>
            <w:tcW w:w="851" w:type="dxa"/>
            <w:tcBorders>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c>
          <w:tcPr>
            <w:tcW w:w="850" w:type="dxa"/>
            <w:tcBorders>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c>
          <w:tcPr>
            <w:tcW w:w="851" w:type="dxa"/>
            <w:tcBorders>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r>
      <w:tr w:rsidR="008F25E6" w:rsidRPr="00F9496F" w:rsidTr="008F25E6">
        <w:trPr>
          <w:trHeight w:val="252"/>
        </w:trPr>
        <w:tc>
          <w:tcPr>
            <w:tcW w:w="4253" w:type="dxa"/>
            <w:tcBorders>
              <w:bottom w:val="single" w:sz="4" w:space="0" w:color="17365D"/>
              <w:right w:val="single" w:sz="4" w:space="0" w:color="17365D"/>
            </w:tcBorders>
          </w:tcPr>
          <w:p w:rsidR="008F25E6" w:rsidRPr="00F9496F" w:rsidRDefault="008F25E6" w:rsidP="008F25E6">
            <w:pPr>
              <w:spacing w:after="0" w:line="240" w:lineRule="auto"/>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5. Rata medie</w:t>
            </w:r>
            <w:r>
              <w:rPr>
                <w:rFonts w:ascii="Times New Roman" w:eastAsia="Times New Roman" w:hAnsi="Times New Roman" w:cs="Times New Roman"/>
                <w:sz w:val="24"/>
                <w:szCs w:val="24"/>
                <w:lang w:val="ro-RO" w:eastAsia="ru-RU"/>
              </w:rPr>
              <w:t xml:space="preserve"> anuală</w:t>
            </w:r>
            <w:r w:rsidRPr="00F9496F">
              <w:rPr>
                <w:rFonts w:ascii="Times New Roman" w:eastAsia="Times New Roman" w:hAnsi="Times New Roman" w:cs="Times New Roman"/>
                <w:sz w:val="24"/>
                <w:szCs w:val="24"/>
                <w:lang w:val="ro-RO" w:eastAsia="ru-RU"/>
              </w:rPr>
              <w:t xml:space="preserve"> ponderată a dobînzii la valorile mobiliare de stat </w:t>
            </w:r>
            <w:r>
              <w:rPr>
                <w:rFonts w:ascii="Times New Roman" w:eastAsia="Times New Roman" w:hAnsi="Times New Roman" w:cs="Times New Roman"/>
                <w:sz w:val="24"/>
                <w:szCs w:val="24"/>
                <w:lang w:val="ro-RO" w:eastAsia="ru-RU"/>
              </w:rPr>
              <w:t xml:space="preserve">emise </w:t>
            </w:r>
            <w:r w:rsidRPr="00F9496F">
              <w:rPr>
                <w:rFonts w:ascii="Times New Roman" w:eastAsia="Times New Roman" w:hAnsi="Times New Roman" w:cs="Times New Roman"/>
                <w:sz w:val="24"/>
                <w:szCs w:val="24"/>
                <w:lang w:val="ro-RO" w:eastAsia="ru-RU"/>
              </w:rPr>
              <w:t>pe piaţa primară internă, %</w:t>
            </w:r>
            <w:r>
              <w:rPr>
                <w:rFonts w:ascii="Times New Roman" w:eastAsia="Times New Roman" w:hAnsi="Times New Roman" w:cs="Times New Roman"/>
                <w:sz w:val="24"/>
                <w:szCs w:val="24"/>
                <w:lang w:val="ro-RO" w:eastAsia="ru-RU"/>
              </w:rPr>
              <w:t xml:space="preserve"> </w:t>
            </w:r>
          </w:p>
        </w:tc>
        <w:tc>
          <w:tcPr>
            <w:tcW w:w="850"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11</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43</w:t>
            </w:r>
          </w:p>
        </w:tc>
        <w:tc>
          <w:tcPr>
            <w:tcW w:w="851" w:type="dxa"/>
            <w:tcBorders>
              <w:top w:val="single" w:sz="4" w:space="0" w:color="17365D"/>
              <w:left w:val="single" w:sz="4" w:space="0" w:color="17365D"/>
              <w:bottom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10</w:t>
            </w:r>
          </w:p>
        </w:tc>
        <w:tc>
          <w:tcPr>
            <w:tcW w:w="850" w:type="dxa"/>
            <w:tcBorders>
              <w:top w:val="single" w:sz="4" w:space="0" w:color="17365D"/>
              <w:bottom w:val="single" w:sz="4" w:space="0" w:color="17365D"/>
              <w:right w:val="single" w:sz="4" w:space="0" w:color="17365D"/>
            </w:tcBorders>
            <w:vAlign w:val="center"/>
          </w:tcPr>
          <w:p w:rsidR="008F25E6" w:rsidRPr="00F9496F" w:rsidRDefault="0011388B" w:rsidP="0011388B">
            <w:pPr>
              <w:spacing w:after="0" w:line="240" w:lineRule="auto"/>
              <w:jc w:val="center"/>
              <w:rPr>
                <w:rFonts w:ascii="Times New Roman" w:eastAsia="Times New Roman" w:hAnsi="Times New Roman" w:cs="Times New Roman"/>
                <w:sz w:val="24"/>
                <w:szCs w:val="24"/>
                <w:lang w:val="ro-RO" w:eastAsia="ru-RU"/>
              </w:rPr>
            </w:pPr>
            <w:r w:rsidRPr="0011388B">
              <w:rPr>
                <w:rFonts w:ascii="Times New Roman" w:eastAsia="Times New Roman" w:hAnsi="Times New Roman" w:cs="Times New Roman"/>
                <w:sz w:val="24"/>
                <w:szCs w:val="24"/>
                <w:lang w:val="ro-RO" w:eastAsia="ru-RU"/>
              </w:rPr>
              <w:t>5</w:t>
            </w:r>
            <w:r w:rsidR="00C853DA" w:rsidRPr="0011388B">
              <w:rPr>
                <w:rFonts w:ascii="Times New Roman" w:eastAsia="Times New Roman" w:hAnsi="Times New Roman" w:cs="Times New Roman"/>
                <w:sz w:val="24"/>
                <w:szCs w:val="24"/>
                <w:lang w:val="ro-RO" w:eastAsia="ru-RU"/>
              </w:rPr>
              <w:t>,</w:t>
            </w:r>
            <w:r w:rsidRPr="0011388B">
              <w:rPr>
                <w:rFonts w:ascii="Times New Roman" w:eastAsia="Times New Roman" w:hAnsi="Times New Roman" w:cs="Times New Roman"/>
                <w:sz w:val="24"/>
                <w:szCs w:val="24"/>
                <w:lang w:val="ro-RO" w:eastAsia="ru-RU"/>
              </w:rPr>
              <w:t>55</w:t>
            </w:r>
          </w:p>
        </w:tc>
        <w:tc>
          <w:tcPr>
            <w:tcW w:w="851"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c>
          <w:tcPr>
            <w:tcW w:w="850"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c>
          <w:tcPr>
            <w:tcW w:w="851" w:type="dxa"/>
            <w:tcBorders>
              <w:top w:val="single" w:sz="4" w:space="0" w:color="17365D"/>
              <w:left w:val="single" w:sz="4" w:space="0" w:color="17365D"/>
              <w:bottom w:val="single" w:sz="4" w:space="0" w:color="17365D"/>
              <w:right w:val="single" w:sz="4" w:space="0" w:color="17365D"/>
            </w:tcBorders>
            <w:vAlign w:val="center"/>
          </w:tcPr>
          <w:p w:rsidR="008F25E6" w:rsidRPr="00F9496F" w:rsidRDefault="008F25E6" w:rsidP="008F25E6">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p>
        </w:tc>
      </w:tr>
    </w:tbl>
    <w:p w:rsidR="008F25E6" w:rsidRPr="00DC071B" w:rsidRDefault="008F25E6" w:rsidP="008F25E6">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val="ro-RO" w:eastAsia="ru-RU"/>
        </w:rPr>
      </w:pPr>
      <w:r w:rsidRPr="00DC071B">
        <w:rPr>
          <w:rFonts w:ascii="Times New Roman" w:eastAsia="Times New Roman" w:hAnsi="Times New Roman" w:cs="Times New Roman"/>
          <w:sz w:val="28"/>
          <w:szCs w:val="28"/>
          <w:u w:val="single"/>
          <w:lang w:val="ro-RO" w:eastAsia="ru-RU"/>
        </w:rPr>
        <w:t>Note:</w:t>
      </w:r>
    </w:p>
    <w:p w:rsidR="008F25E6" w:rsidRDefault="008F25E6" w:rsidP="008F25E6">
      <w:pPr>
        <w:autoSpaceDE w:val="0"/>
        <w:autoSpaceDN w:val="0"/>
        <w:adjustRightInd w:val="0"/>
        <w:spacing w:after="0" w:line="240" w:lineRule="auto"/>
        <w:ind w:firstLine="709"/>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 xml:space="preserve">1. Datele pentru perioada </w:t>
      </w:r>
      <w:r>
        <w:rPr>
          <w:rFonts w:ascii="Times New Roman" w:eastAsia="Times New Roman" w:hAnsi="Times New Roman" w:cs="Times New Roman"/>
          <w:sz w:val="24"/>
          <w:szCs w:val="24"/>
          <w:lang w:val="ro-RO" w:eastAsia="ru-RU"/>
        </w:rPr>
        <w:t xml:space="preserve">anilor </w:t>
      </w:r>
      <w:r w:rsidRPr="00F9496F">
        <w:rPr>
          <w:rFonts w:ascii="Times New Roman" w:eastAsia="Times New Roman" w:hAnsi="Times New Roman" w:cs="Times New Roman"/>
          <w:sz w:val="24"/>
          <w:szCs w:val="24"/>
          <w:lang w:val="ro-RO" w:eastAsia="ru-RU"/>
        </w:rPr>
        <w:t>201</w:t>
      </w:r>
      <w:r w:rsidR="00DC071B">
        <w:rPr>
          <w:rFonts w:ascii="Times New Roman" w:eastAsia="Times New Roman" w:hAnsi="Times New Roman" w:cs="Times New Roman"/>
          <w:sz w:val="24"/>
          <w:szCs w:val="24"/>
          <w:lang w:val="ro-RO" w:eastAsia="ru-RU"/>
        </w:rPr>
        <w:t>4</w:t>
      </w:r>
      <w:r w:rsidRPr="00F9496F">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6</w:t>
      </w:r>
      <w:r w:rsidRPr="00F9496F">
        <w:rPr>
          <w:rFonts w:ascii="Times New Roman" w:eastAsia="Times New Roman" w:hAnsi="Times New Roman" w:cs="Times New Roman"/>
          <w:sz w:val="24"/>
          <w:szCs w:val="24"/>
          <w:lang w:val="ro-RO" w:eastAsia="ru-RU"/>
        </w:rPr>
        <w:t xml:space="preserve"> s</w:t>
      </w:r>
      <w:r>
        <w:rPr>
          <w:rFonts w:ascii="Times New Roman" w:eastAsia="Times New Roman" w:hAnsi="Times New Roman" w:cs="Times New Roman"/>
          <w:sz w:val="24"/>
          <w:szCs w:val="24"/>
          <w:lang w:val="ro-RO" w:eastAsia="ru-RU"/>
        </w:rPr>
        <w:t>u</w:t>
      </w:r>
      <w:r w:rsidRPr="00F9496F">
        <w:rPr>
          <w:rFonts w:ascii="Times New Roman" w:eastAsia="Times New Roman" w:hAnsi="Times New Roman" w:cs="Times New Roman"/>
          <w:sz w:val="24"/>
          <w:szCs w:val="24"/>
          <w:lang w:val="ro-RO" w:eastAsia="ru-RU"/>
        </w:rPr>
        <w:t xml:space="preserve">nt preluate din Prognoza </w:t>
      </w:r>
      <w:r>
        <w:rPr>
          <w:rFonts w:ascii="Times New Roman" w:eastAsia="Times New Roman" w:hAnsi="Times New Roman" w:cs="Times New Roman"/>
          <w:sz w:val="24"/>
          <w:szCs w:val="24"/>
          <w:lang w:val="ro-RO" w:eastAsia="ru-RU"/>
        </w:rPr>
        <w:t>revizuită</w:t>
      </w:r>
      <w:r w:rsidRPr="00F9496F">
        <w:rPr>
          <w:rFonts w:ascii="Times New Roman" w:eastAsia="Times New Roman" w:hAnsi="Times New Roman" w:cs="Times New Roman"/>
          <w:sz w:val="24"/>
          <w:szCs w:val="24"/>
          <w:lang w:val="ro-RO" w:eastAsia="ru-RU"/>
        </w:rPr>
        <w:t xml:space="preserve"> a indicatorilor macroeconomici pentru anii 201</w:t>
      </w:r>
      <w:r>
        <w:rPr>
          <w:rFonts w:ascii="Times New Roman" w:eastAsia="Times New Roman" w:hAnsi="Times New Roman" w:cs="Times New Roman"/>
          <w:sz w:val="24"/>
          <w:szCs w:val="24"/>
          <w:lang w:val="ro-RO" w:eastAsia="ru-RU"/>
        </w:rPr>
        <w:t>4</w:t>
      </w:r>
      <w:r w:rsidRPr="00F9496F">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6</w:t>
      </w:r>
      <w:r w:rsidRPr="00F9496F">
        <w:rPr>
          <w:rFonts w:ascii="Times New Roman" w:eastAsia="Times New Roman" w:hAnsi="Times New Roman" w:cs="Times New Roman"/>
          <w:sz w:val="24"/>
          <w:szCs w:val="24"/>
          <w:lang w:val="ro-RO" w:eastAsia="ru-RU"/>
        </w:rPr>
        <w:t xml:space="preserve">, din </w:t>
      </w:r>
      <w:r>
        <w:rPr>
          <w:rFonts w:ascii="Times New Roman" w:eastAsia="Times New Roman" w:hAnsi="Times New Roman" w:cs="Times New Roman"/>
          <w:sz w:val="24"/>
          <w:szCs w:val="24"/>
          <w:lang w:val="ro-RO" w:eastAsia="ru-RU"/>
        </w:rPr>
        <w:t>02</w:t>
      </w:r>
      <w:r w:rsidRPr="00F9496F">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octombrie</w:t>
      </w:r>
      <w:r w:rsidRPr="00F9496F">
        <w:rPr>
          <w:rFonts w:ascii="Times New Roman" w:eastAsia="Times New Roman" w:hAnsi="Times New Roman" w:cs="Times New Roman"/>
          <w:sz w:val="24"/>
          <w:szCs w:val="24"/>
          <w:lang w:val="ro-RO" w:eastAsia="ru-RU"/>
        </w:rPr>
        <w:t xml:space="preserve"> 201</w:t>
      </w:r>
      <w:r>
        <w:rPr>
          <w:rFonts w:ascii="Times New Roman" w:eastAsia="Times New Roman" w:hAnsi="Times New Roman" w:cs="Times New Roman"/>
          <w:sz w:val="24"/>
          <w:szCs w:val="24"/>
          <w:lang w:val="ro-RO" w:eastAsia="ru-RU"/>
        </w:rPr>
        <w:t>3</w:t>
      </w:r>
      <w:r w:rsidRPr="00F9496F">
        <w:rPr>
          <w:rFonts w:ascii="Times New Roman" w:eastAsia="Times New Roman" w:hAnsi="Times New Roman" w:cs="Times New Roman"/>
          <w:sz w:val="24"/>
          <w:szCs w:val="24"/>
          <w:lang w:val="ro-RO" w:eastAsia="ru-RU"/>
        </w:rPr>
        <w:t>, elaborată de către Ministerul Economiei.</w:t>
      </w:r>
    </w:p>
    <w:p w:rsidR="00F9496F" w:rsidRDefault="008F25E6" w:rsidP="00C853DA">
      <w:pPr>
        <w:autoSpaceDE w:val="0"/>
        <w:autoSpaceDN w:val="0"/>
        <w:adjustRightInd w:val="0"/>
        <w:spacing w:after="0" w:line="240" w:lineRule="auto"/>
        <w:ind w:firstLine="709"/>
        <w:jc w:val="both"/>
        <w:rPr>
          <w:rFonts w:ascii="Times New Roman" w:eastAsia="Times New Roman" w:hAnsi="Times New Roman" w:cs="Times New Roman"/>
          <w:color w:val="0000FF"/>
          <w:sz w:val="24"/>
          <w:szCs w:val="24"/>
          <w:u w:val="single"/>
          <w:lang w:val="ro-RO" w:eastAsia="ru-RU"/>
        </w:rPr>
      </w:pPr>
      <w:r w:rsidRPr="00F9496F">
        <w:rPr>
          <w:rFonts w:ascii="Times New Roman" w:eastAsia="Times New Roman" w:hAnsi="Times New Roman" w:cs="Times New Roman"/>
          <w:sz w:val="24"/>
          <w:szCs w:val="24"/>
          <w:lang w:val="ro-RO" w:eastAsia="ru-RU"/>
        </w:rPr>
        <w:t xml:space="preserve">2. </w:t>
      </w:r>
      <w:r w:rsidRPr="00F9496F">
        <w:rPr>
          <w:rFonts w:ascii="Times New Roman" w:eastAsia="Times New Roman" w:hAnsi="Times New Roman" w:cs="Times New Roman"/>
          <w:sz w:val="24"/>
          <w:szCs w:val="24"/>
          <w:u w:val="single"/>
          <w:lang w:val="ro-RO" w:eastAsia="ru-RU"/>
        </w:rPr>
        <w:t>Sursa</w:t>
      </w:r>
      <w:r w:rsidRPr="00F9496F">
        <w:rPr>
          <w:rFonts w:ascii="Times New Roman" w:eastAsia="Times New Roman" w:hAnsi="Times New Roman" w:cs="Times New Roman"/>
          <w:sz w:val="24"/>
          <w:szCs w:val="24"/>
          <w:lang w:val="ro-RO" w:eastAsia="ru-RU"/>
        </w:rPr>
        <w:t xml:space="preserve">: </w:t>
      </w:r>
      <w:hyperlink r:id="rId8" w:history="1">
        <w:r w:rsidR="00C853DA" w:rsidRPr="00B15F67">
          <w:rPr>
            <w:rStyle w:val="Hyperlink"/>
            <w:rFonts w:ascii="Times New Roman" w:eastAsia="Times New Roman" w:hAnsi="Times New Roman"/>
            <w:sz w:val="24"/>
            <w:szCs w:val="24"/>
            <w:lang w:val="ro-RO" w:eastAsia="ru-RU"/>
          </w:rPr>
          <w:t>http://www.global-rates.com</w:t>
        </w:r>
      </w:hyperlink>
    </w:p>
    <w:p w:rsidR="00C853DA" w:rsidRPr="00625649" w:rsidRDefault="00C853DA" w:rsidP="00C853DA">
      <w:pPr>
        <w:autoSpaceDE w:val="0"/>
        <w:autoSpaceDN w:val="0"/>
        <w:adjustRightInd w:val="0"/>
        <w:spacing w:after="0" w:line="240" w:lineRule="auto"/>
        <w:ind w:firstLine="709"/>
        <w:jc w:val="both"/>
        <w:rPr>
          <w:rFonts w:ascii="Times New Roman" w:eastAsia="Times New Roman" w:hAnsi="Times New Roman" w:cs="Times New Roman"/>
          <w:sz w:val="28"/>
          <w:szCs w:val="28"/>
          <w:highlight w:val="lightGray"/>
          <w:lang w:val="ro-RO" w:eastAsia="ru-RU"/>
        </w:rPr>
      </w:pPr>
    </w:p>
    <w:p w:rsidR="00F9496F" w:rsidRPr="00C83FFA" w:rsidRDefault="00F9496F" w:rsidP="005F06AC">
      <w:pPr>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iCs/>
          <w:sz w:val="28"/>
          <w:szCs w:val="28"/>
          <w:lang w:val="ro-RO" w:eastAsia="ru-RU"/>
        </w:rPr>
      </w:pPr>
      <w:r w:rsidRPr="00C83FFA">
        <w:rPr>
          <w:rFonts w:ascii="Times New Roman" w:eastAsia="Times New Roman" w:hAnsi="Times New Roman" w:cs="Times New Roman"/>
          <w:b/>
          <w:iCs/>
          <w:sz w:val="28"/>
          <w:szCs w:val="28"/>
          <w:lang w:val="ro-RO" w:eastAsia="ru-RU"/>
        </w:rPr>
        <w:t>Politica ratelor</w:t>
      </w:r>
    </w:p>
    <w:p w:rsidR="00C83FFA" w:rsidRPr="00C83FFA" w:rsidRDefault="00C83FFA" w:rsidP="00C83FFA">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highlight w:val="lightGray"/>
          <w:lang w:val="ro-RO" w:eastAsia="ru-RU"/>
        </w:rPr>
      </w:pPr>
      <w:r w:rsidRPr="00C83FFA">
        <w:rPr>
          <w:rFonts w:ascii="Times New Roman" w:eastAsia="Times New Roman" w:hAnsi="Times New Roman" w:cs="Times New Roman"/>
          <w:sz w:val="28"/>
          <w:szCs w:val="28"/>
          <w:lang w:val="ro-RO" w:eastAsia="ru-RU"/>
        </w:rPr>
        <w:t xml:space="preserve">Pe parcursul primelor trei luni ale anului 2013, Consiliul de Administraţie al BNM, cuantificînd perspectivele inflaţiei pe termen scurt şi mediu, precum şi evaluînd riscurile şi provocările ce pot surveni în perioada următoare, a hotărît să menţină rata de bază aplicată la principalele operaţiuni de politică monetară pe termen scurt la nivelul de 4,5 la sută anual, tendinţă stabilită din martie 2012. În aprilie, a fost luată decizia de a diminua rata de bază cu 1,0 p.p. pînă la 3,5 la sută anual, care a rămas constantă </w:t>
      </w:r>
      <w:r>
        <w:rPr>
          <w:rFonts w:ascii="Times New Roman" w:eastAsia="Times New Roman" w:hAnsi="Times New Roman" w:cs="Times New Roman"/>
          <w:sz w:val="28"/>
          <w:szCs w:val="28"/>
          <w:lang w:val="ro-RO" w:eastAsia="ru-RU"/>
        </w:rPr>
        <w:t>inclusiv pînă la situaţia din 31</w:t>
      </w:r>
      <w:r w:rsidRPr="00C83FFA">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decembrie</w:t>
      </w:r>
      <w:r w:rsidRPr="00C83FFA">
        <w:rPr>
          <w:rFonts w:ascii="Times New Roman" w:eastAsia="Times New Roman" w:hAnsi="Times New Roman" w:cs="Times New Roman"/>
          <w:sz w:val="28"/>
          <w:szCs w:val="28"/>
          <w:lang w:val="ro-RO" w:eastAsia="ru-RU"/>
        </w:rPr>
        <w:t xml:space="preserve"> 2013.</w:t>
      </w:r>
    </w:p>
    <w:p w:rsidR="00F9496F" w:rsidRPr="00F9496F" w:rsidRDefault="00F9496F" w:rsidP="00D76CE7">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445627">
        <w:rPr>
          <w:rFonts w:ascii="Times New Roman" w:eastAsia="Times New Roman" w:hAnsi="Times New Roman" w:cs="Times New Roman"/>
          <w:sz w:val="28"/>
          <w:szCs w:val="28"/>
          <w:lang w:val="ro-RO" w:eastAsia="ru-RU"/>
        </w:rPr>
        <w:t xml:space="preserve">În ceea ce priveşte ratele de dobîndă pe pieţele internaţionale </w:t>
      </w:r>
      <w:r w:rsidR="00702140" w:rsidRPr="00445627">
        <w:rPr>
          <w:rFonts w:ascii="Times New Roman" w:eastAsia="Times New Roman" w:hAnsi="Times New Roman" w:cs="Times New Roman"/>
          <w:sz w:val="28"/>
          <w:szCs w:val="28"/>
          <w:lang w:val="ro-RO" w:eastAsia="ru-RU"/>
        </w:rPr>
        <w:t>pe parcrsul anului</w:t>
      </w:r>
      <w:r w:rsidRPr="00445627">
        <w:rPr>
          <w:rFonts w:ascii="Times New Roman" w:eastAsia="Times New Roman" w:hAnsi="Times New Roman" w:cs="Times New Roman"/>
          <w:sz w:val="28"/>
          <w:szCs w:val="28"/>
          <w:lang w:val="ro-RO" w:eastAsia="ru-RU"/>
        </w:rPr>
        <w:t xml:space="preserve"> 201</w:t>
      </w:r>
      <w:r w:rsidR="00702140" w:rsidRPr="00445627">
        <w:rPr>
          <w:rFonts w:ascii="Times New Roman" w:eastAsia="Times New Roman" w:hAnsi="Times New Roman" w:cs="Times New Roman"/>
          <w:sz w:val="28"/>
          <w:szCs w:val="28"/>
          <w:lang w:val="ro-RO" w:eastAsia="ru-RU"/>
        </w:rPr>
        <w:t>3</w:t>
      </w:r>
      <w:r w:rsidRPr="00445627">
        <w:rPr>
          <w:rFonts w:ascii="Times New Roman" w:eastAsia="Times New Roman" w:hAnsi="Times New Roman" w:cs="Times New Roman"/>
          <w:sz w:val="28"/>
          <w:szCs w:val="28"/>
          <w:lang w:val="ro-RO" w:eastAsia="ru-RU"/>
        </w:rPr>
        <w:t>, rata Euribor</w:t>
      </w:r>
      <w:r w:rsidR="00702140" w:rsidRPr="00445627">
        <w:rPr>
          <w:rFonts w:ascii="Times New Roman" w:eastAsia="Times New Roman" w:hAnsi="Times New Roman" w:cs="Times New Roman"/>
          <w:sz w:val="28"/>
          <w:szCs w:val="28"/>
          <w:lang w:val="ro-RO" w:eastAsia="ru-RU"/>
        </w:rPr>
        <w:t xml:space="preserve"> nu a avut o tendință stabilă, înregistrînd atît fluctuații </w:t>
      </w:r>
      <w:r w:rsidRPr="00445627">
        <w:rPr>
          <w:rFonts w:ascii="Times New Roman" w:eastAsia="Times New Roman" w:hAnsi="Times New Roman" w:cs="Times New Roman"/>
          <w:sz w:val="28"/>
          <w:szCs w:val="28"/>
          <w:lang w:val="ro-RO" w:eastAsia="ru-RU"/>
        </w:rPr>
        <w:t>a</w:t>
      </w:r>
      <w:r w:rsidR="00702140" w:rsidRPr="00445627">
        <w:rPr>
          <w:rFonts w:ascii="Times New Roman" w:eastAsia="Times New Roman" w:hAnsi="Times New Roman" w:cs="Times New Roman"/>
          <w:sz w:val="28"/>
          <w:szCs w:val="28"/>
          <w:lang w:val="ro-RO" w:eastAsia="ru-RU"/>
        </w:rPr>
        <w:t>scendente, cît și descendente.</w:t>
      </w:r>
      <w:r w:rsidRPr="00445627">
        <w:rPr>
          <w:rFonts w:ascii="Times New Roman" w:eastAsia="Times New Roman" w:hAnsi="Times New Roman" w:cs="Times New Roman"/>
          <w:sz w:val="28"/>
          <w:szCs w:val="28"/>
          <w:lang w:val="ro-RO" w:eastAsia="ru-RU"/>
        </w:rPr>
        <w:t xml:space="preserve"> </w:t>
      </w:r>
      <w:r w:rsidR="00445627" w:rsidRPr="00445627">
        <w:rPr>
          <w:rFonts w:ascii="Times New Roman" w:eastAsia="Times New Roman" w:hAnsi="Times New Roman" w:cs="Times New Roman"/>
          <w:sz w:val="28"/>
          <w:szCs w:val="28"/>
          <w:lang w:val="ro-RO" w:eastAsia="ru-RU"/>
        </w:rPr>
        <w:t>V</w:t>
      </w:r>
      <w:r w:rsidRPr="00445627">
        <w:rPr>
          <w:rFonts w:ascii="Times New Roman" w:eastAsia="Times New Roman" w:hAnsi="Times New Roman" w:cs="Times New Roman"/>
          <w:sz w:val="28"/>
          <w:szCs w:val="28"/>
          <w:lang w:val="ro-RO" w:eastAsia="ru-RU"/>
        </w:rPr>
        <w:t>aloarea medie din luna decembrie</w:t>
      </w:r>
      <w:r w:rsidR="00445627" w:rsidRPr="00445627">
        <w:rPr>
          <w:rFonts w:ascii="Times New Roman" w:eastAsia="Times New Roman" w:hAnsi="Times New Roman" w:cs="Times New Roman"/>
          <w:sz w:val="28"/>
          <w:szCs w:val="28"/>
          <w:lang w:val="ro-RO" w:eastAsia="ru-RU"/>
        </w:rPr>
        <w:t xml:space="preserve"> 2013</w:t>
      </w:r>
      <w:r w:rsidRPr="00445627">
        <w:rPr>
          <w:rFonts w:ascii="Times New Roman" w:eastAsia="Times New Roman" w:hAnsi="Times New Roman" w:cs="Times New Roman"/>
          <w:sz w:val="28"/>
          <w:szCs w:val="28"/>
          <w:lang w:val="ro-RO" w:eastAsia="ru-RU"/>
        </w:rPr>
        <w:t xml:space="preserve"> </w:t>
      </w:r>
      <w:r w:rsidR="00445627" w:rsidRPr="00445627">
        <w:rPr>
          <w:rFonts w:ascii="Times New Roman" w:eastAsia="Times New Roman" w:hAnsi="Times New Roman" w:cs="Times New Roman"/>
          <w:sz w:val="28"/>
          <w:szCs w:val="28"/>
          <w:lang w:val="ro-RO" w:eastAsia="ru-RU"/>
        </w:rPr>
        <w:t>a constituit</w:t>
      </w:r>
      <w:r w:rsidRPr="00445627">
        <w:rPr>
          <w:rFonts w:ascii="Times New Roman" w:eastAsia="Times New Roman" w:hAnsi="Times New Roman" w:cs="Times New Roman"/>
          <w:sz w:val="28"/>
          <w:szCs w:val="28"/>
          <w:lang w:val="ro-RO" w:eastAsia="ru-RU"/>
        </w:rPr>
        <w:t xml:space="preserve"> </w:t>
      </w:r>
      <w:r w:rsidR="00445627" w:rsidRPr="00445627">
        <w:rPr>
          <w:rFonts w:ascii="Times New Roman" w:eastAsia="Times New Roman" w:hAnsi="Times New Roman" w:cs="Times New Roman"/>
          <w:sz w:val="28"/>
          <w:szCs w:val="28"/>
          <w:lang w:val="ro-RO" w:eastAsia="ru-RU"/>
        </w:rPr>
        <w:t>0</w:t>
      </w:r>
      <w:r w:rsidRPr="00445627">
        <w:rPr>
          <w:rFonts w:ascii="Times New Roman" w:eastAsia="Times New Roman" w:hAnsi="Times New Roman" w:cs="Times New Roman"/>
          <w:sz w:val="28"/>
          <w:szCs w:val="28"/>
          <w:lang w:val="ro-RO" w:eastAsia="ru-RU"/>
        </w:rPr>
        <w:t>,</w:t>
      </w:r>
      <w:r w:rsidR="00445627" w:rsidRPr="00445627">
        <w:rPr>
          <w:rFonts w:ascii="Times New Roman" w:eastAsia="Times New Roman" w:hAnsi="Times New Roman" w:cs="Times New Roman"/>
          <w:sz w:val="28"/>
          <w:szCs w:val="28"/>
          <w:lang w:val="ro-RO" w:eastAsia="ru-RU"/>
        </w:rPr>
        <w:t xml:space="preserve">371%, fiind </w:t>
      </w:r>
      <w:r w:rsidRPr="00445627">
        <w:rPr>
          <w:rFonts w:ascii="Times New Roman" w:eastAsia="Times New Roman" w:hAnsi="Times New Roman" w:cs="Times New Roman"/>
          <w:sz w:val="28"/>
          <w:szCs w:val="28"/>
          <w:lang w:val="ro-RO" w:eastAsia="ru-RU"/>
        </w:rPr>
        <w:t xml:space="preserve">cu </w:t>
      </w:r>
      <w:r w:rsidR="00445627" w:rsidRPr="00445627">
        <w:rPr>
          <w:rFonts w:ascii="Times New Roman" w:eastAsia="Times New Roman" w:hAnsi="Times New Roman" w:cs="Times New Roman"/>
          <w:sz w:val="28"/>
          <w:szCs w:val="28"/>
          <w:lang w:val="ro-RO" w:eastAsia="ru-RU"/>
        </w:rPr>
        <w:t>14</w:t>
      </w:r>
      <w:r w:rsidRPr="00445627">
        <w:rPr>
          <w:rFonts w:ascii="Times New Roman" w:eastAsia="Times New Roman" w:hAnsi="Times New Roman" w:cs="Times New Roman"/>
          <w:sz w:val="28"/>
          <w:szCs w:val="28"/>
          <w:lang w:val="ro-RO" w:eastAsia="ru-RU"/>
        </w:rPr>
        <w:t>,</w:t>
      </w:r>
      <w:r w:rsidR="00445627" w:rsidRPr="00445627">
        <w:rPr>
          <w:rFonts w:ascii="Times New Roman" w:eastAsia="Times New Roman" w:hAnsi="Times New Roman" w:cs="Times New Roman"/>
          <w:sz w:val="28"/>
          <w:szCs w:val="28"/>
          <w:lang w:val="ro-RO" w:eastAsia="ru-RU"/>
        </w:rPr>
        <w:t>5</w:t>
      </w:r>
      <w:r w:rsidRPr="00445627">
        <w:rPr>
          <w:rFonts w:ascii="Times New Roman" w:eastAsia="Times New Roman" w:hAnsi="Times New Roman" w:cs="Times New Roman"/>
          <w:sz w:val="28"/>
          <w:szCs w:val="28"/>
          <w:lang w:val="ro-RO" w:eastAsia="ru-RU"/>
        </w:rPr>
        <w:t xml:space="preserve"> la sută mai mare decît </w:t>
      </w:r>
      <w:r w:rsidR="00445627" w:rsidRPr="00445627">
        <w:rPr>
          <w:rFonts w:ascii="Times New Roman" w:eastAsia="Times New Roman" w:hAnsi="Times New Roman" w:cs="Times New Roman"/>
          <w:sz w:val="28"/>
          <w:szCs w:val="28"/>
          <w:lang w:val="ro-RO" w:eastAsia="ru-RU"/>
        </w:rPr>
        <w:t>valoarea medie din luna decembrie 2012</w:t>
      </w:r>
      <w:r w:rsidRPr="00445627">
        <w:rPr>
          <w:rFonts w:ascii="Times New Roman" w:eastAsia="Times New Roman" w:hAnsi="Times New Roman" w:cs="Times New Roman"/>
          <w:sz w:val="28"/>
          <w:szCs w:val="28"/>
          <w:lang w:val="ro-RO" w:eastAsia="ru-RU"/>
        </w:rPr>
        <w:t xml:space="preserve">. În aceeaşi perioadă rata USD Libor a avut o tendinţă descendentă </w:t>
      </w:r>
      <w:r w:rsidR="00445627" w:rsidRPr="00445627">
        <w:rPr>
          <w:rFonts w:ascii="Times New Roman" w:eastAsia="Times New Roman" w:hAnsi="Times New Roman" w:cs="Times New Roman"/>
          <w:sz w:val="28"/>
          <w:szCs w:val="28"/>
          <w:lang w:val="ro-RO" w:eastAsia="ru-RU"/>
        </w:rPr>
        <w:t>stabilă</w:t>
      </w:r>
      <w:r w:rsidRPr="00445627">
        <w:rPr>
          <w:rFonts w:ascii="Times New Roman" w:eastAsia="Times New Roman" w:hAnsi="Times New Roman" w:cs="Times New Roman"/>
          <w:sz w:val="28"/>
          <w:szCs w:val="28"/>
          <w:lang w:val="ro-RO" w:eastAsia="ru-RU"/>
        </w:rPr>
        <w:t xml:space="preserve">, valoarea medie lunară pentru luna decembrie </w:t>
      </w:r>
      <w:r w:rsidR="00445627" w:rsidRPr="00445627">
        <w:rPr>
          <w:rFonts w:ascii="Times New Roman" w:eastAsia="Times New Roman" w:hAnsi="Times New Roman" w:cs="Times New Roman"/>
          <w:sz w:val="28"/>
          <w:szCs w:val="28"/>
          <w:lang w:val="ro-RO" w:eastAsia="ru-RU"/>
        </w:rPr>
        <w:t>fiind</w:t>
      </w:r>
      <w:r w:rsidRPr="00445627">
        <w:rPr>
          <w:rFonts w:ascii="Times New Roman" w:eastAsia="Times New Roman" w:hAnsi="Times New Roman" w:cs="Times New Roman"/>
          <w:sz w:val="28"/>
          <w:szCs w:val="28"/>
          <w:lang w:val="ro-RO" w:eastAsia="ru-RU"/>
        </w:rPr>
        <w:t xml:space="preserve"> de 0,</w:t>
      </w:r>
      <w:r w:rsidR="00445627" w:rsidRPr="00445627">
        <w:rPr>
          <w:rFonts w:ascii="Times New Roman" w:eastAsia="Times New Roman" w:hAnsi="Times New Roman" w:cs="Times New Roman"/>
          <w:sz w:val="28"/>
          <w:szCs w:val="28"/>
          <w:lang w:val="ro-RO" w:eastAsia="ru-RU"/>
        </w:rPr>
        <w:t>3467</w:t>
      </w:r>
      <w:r w:rsidRPr="00445627">
        <w:rPr>
          <w:rFonts w:ascii="Times New Roman" w:eastAsia="Times New Roman" w:hAnsi="Times New Roman" w:cs="Times New Roman"/>
          <w:sz w:val="28"/>
          <w:szCs w:val="28"/>
          <w:lang w:val="ro-RO" w:eastAsia="ru-RU"/>
        </w:rPr>
        <w:t xml:space="preserve">% sau cu </w:t>
      </w:r>
      <w:r w:rsidR="00445627" w:rsidRPr="00445627">
        <w:rPr>
          <w:rFonts w:ascii="Times New Roman" w:eastAsia="Times New Roman" w:hAnsi="Times New Roman" w:cs="Times New Roman"/>
          <w:sz w:val="28"/>
          <w:szCs w:val="28"/>
          <w:lang w:val="ro-RO" w:eastAsia="ru-RU"/>
        </w:rPr>
        <w:t>32</w:t>
      </w:r>
      <w:r w:rsidRPr="00445627">
        <w:rPr>
          <w:rFonts w:ascii="Times New Roman" w:eastAsia="Times New Roman" w:hAnsi="Times New Roman" w:cs="Times New Roman"/>
          <w:sz w:val="28"/>
          <w:szCs w:val="28"/>
          <w:lang w:val="ro-RO" w:eastAsia="ru-RU"/>
        </w:rPr>
        <w:t>,</w:t>
      </w:r>
      <w:r w:rsidR="00445627" w:rsidRPr="00445627">
        <w:rPr>
          <w:rFonts w:ascii="Times New Roman" w:eastAsia="Times New Roman" w:hAnsi="Times New Roman" w:cs="Times New Roman"/>
          <w:sz w:val="28"/>
          <w:szCs w:val="28"/>
          <w:lang w:val="ro-RO" w:eastAsia="ru-RU"/>
        </w:rPr>
        <w:t>6</w:t>
      </w:r>
      <w:r w:rsidRPr="00445627">
        <w:rPr>
          <w:rFonts w:ascii="Times New Roman" w:eastAsia="Times New Roman" w:hAnsi="Times New Roman" w:cs="Times New Roman"/>
          <w:sz w:val="28"/>
          <w:szCs w:val="28"/>
          <w:lang w:val="ro-RO" w:eastAsia="ru-RU"/>
        </w:rPr>
        <w:t xml:space="preserve"> la sută mai </w:t>
      </w:r>
      <w:r w:rsidR="00445627" w:rsidRPr="00445627">
        <w:rPr>
          <w:rFonts w:ascii="Times New Roman" w:eastAsia="Times New Roman" w:hAnsi="Times New Roman" w:cs="Times New Roman"/>
          <w:sz w:val="28"/>
          <w:szCs w:val="28"/>
          <w:lang w:val="ro-RO" w:eastAsia="ru-RU"/>
        </w:rPr>
        <w:t>puțin</w:t>
      </w:r>
      <w:r w:rsidRPr="00445627">
        <w:rPr>
          <w:rFonts w:ascii="Times New Roman" w:eastAsia="Times New Roman" w:hAnsi="Times New Roman" w:cs="Times New Roman"/>
          <w:sz w:val="28"/>
          <w:szCs w:val="28"/>
          <w:lang w:val="ro-RO" w:eastAsia="ru-RU"/>
        </w:rPr>
        <w:t xml:space="preserve"> decît valoarea </w:t>
      </w:r>
      <w:r w:rsidR="00445627" w:rsidRPr="00445627">
        <w:rPr>
          <w:rFonts w:ascii="Times New Roman" w:eastAsia="Times New Roman" w:hAnsi="Times New Roman" w:cs="Times New Roman"/>
          <w:sz w:val="28"/>
          <w:szCs w:val="28"/>
          <w:lang w:val="ro-RO" w:eastAsia="ru-RU"/>
        </w:rPr>
        <w:t>medie din luna decembrie 2012</w:t>
      </w:r>
      <w:r w:rsidRPr="00445627">
        <w:rPr>
          <w:rFonts w:ascii="Times New Roman" w:eastAsia="Times New Roman" w:hAnsi="Times New Roman" w:cs="Times New Roman"/>
          <w:sz w:val="28"/>
          <w:szCs w:val="28"/>
          <w:lang w:val="ro-RO" w:eastAsia="ru-RU"/>
        </w:rPr>
        <w:t>.</w:t>
      </w:r>
    </w:p>
    <w:p w:rsidR="005D3CDB" w:rsidRDefault="005D3CDB" w:rsidP="00625649">
      <w:pPr>
        <w:keepNext/>
        <w:tabs>
          <w:tab w:val="left" w:pos="993"/>
        </w:tabs>
        <w:spacing w:after="0" w:line="240" w:lineRule="auto"/>
        <w:ind w:firstLine="709"/>
        <w:jc w:val="both"/>
        <w:outlineLvl w:val="1"/>
        <w:rPr>
          <w:rFonts w:ascii="Times New Roman" w:eastAsia="Times New Roman" w:hAnsi="Times New Roman" w:cs="Times New Roman"/>
          <w:b/>
          <w:bCs/>
          <w:iCs/>
          <w:sz w:val="28"/>
          <w:szCs w:val="28"/>
          <w:lang w:val="ro-RO" w:eastAsia="ru-RU"/>
        </w:rPr>
      </w:pPr>
      <w:bookmarkStart w:id="4" w:name="_Toc295653870"/>
      <w:bookmarkStart w:id="5" w:name="_Toc346609562"/>
    </w:p>
    <w:p w:rsidR="00F9496F" w:rsidRPr="00625649" w:rsidRDefault="00F9496F" w:rsidP="00625649">
      <w:pPr>
        <w:keepNext/>
        <w:tabs>
          <w:tab w:val="left" w:pos="993"/>
        </w:tabs>
        <w:spacing w:after="0" w:line="240" w:lineRule="auto"/>
        <w:ind w:firstLine="709"/>
        <w:jc w:val="both"/>
        <w:outlineLvl w:val="1"/>
        <w:rPr>
          <w:rFonts w:ascii="Times New Roman" w:eastAsia="Times New Roman" w:hAnsi="Times New Roman" w:cs="Times New Roman"/>
          <w:b/>
          <w:bCs/>
          <w:iCs/>
          <w:sz w:val="28"/>
          <w:szCs w:val="28"/>
          <w:lang w:val="ro-RO" w:eastAsia="ru-RU"/>
        </w:rPr>
      </w:pPr>
      <w:r w:rsidRPr="00625649">
        <w:rPr>
          <w:rFonts w:ascii="Times New Roman" w:eastAsia="Times New Roman" w:hAnsi="Times New Roman" w:cs="Times New Roman"/>
          <w:b/>
          <w:bCs/>
          <w:iCs/>
          <w:sz w:val="28"/>
          <w:szCs w:val="28"/>
          <w:lang w:val="ro-RO" w:eastAsia="ru-RU"/>
        </w:rPr>
        <w:t>5. Evoluţia curentă a indicatorilor bugetului de stat şi prognoze pe termen mediu</w:t>
      </w:r>
      <w:bookmarkEnd w:id="4"/>
      <w:bookmarkEnd w:id="5"/>
    </w:p>
    <w:p w:rsidR="003C0574" w:rsidRPr="00116EE1" w:rsidRDefault="00B30535"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116EE1">
        <w:rPr>
          <w:rFonts w:ascii="Times New Roman" w:eastAsia="Times New Roman" w:hAnsi="Times New Roman" w:cs="Times New Roman"/>
          <w:sz w:val="28"/>
          <w:szCs w:val="28"/>
          <w:lang w:val="ro-RO"/>
        </w:rPr>
        <w:t>Î</w:t>
      </w:r>
      <w:r w:rsidR="00F9496F" w:rsidRPr="00116EE1">
        <w:rPr>
          <w:rFonts w:ascii="Times New Roman" w:eastAsia="Times New Roman" w:hAnsi="Times New Roman" w:cs="Times New Roman"/>
          <w:sz w:val="28"/>
          <w:szCs w:val="28"/>
          <w:lang w:val="ro-RO"/>
        </w:rPr>
        <w:t xml:space="preserve">n </w:t>
      </w:r>
      <w:r w:rsidRPr="00116EE1">
        <w:rPr>
          <w:rFonts w:ascii="Times New Roman" w:eastAsia="Times New Roman" w:hAnsi="Times New Roman" w:cs="Times New Roman"/>
          <w:sz w:val="28"/>
          <w:szCs w:val="28"/>
          <w:lang w:val="ro-RO"/>
        </w:rPr>
        <w:t xml:space="preserve">ianuarie-noiembrie 2013, la bugetul de stat au fost acumulate venituri în sumă de 19,9 mild. lei, în creștere cu </w:t>
      </w:r>
      <w:r w:rsidR="003C0574" w:rsidRPr="00116EE1">
        <w:rPr>
          <w:rFonts w:ascii="Times New Roman" w:eastAsia="Times New Roman" w:hAnsi="Times New Roman" w:cs="Times New Roman"/>
          <w:sz w:val="28"/>
          <w:szCs w:val="28"/>
          <w:lang w:val="ro-RO"/>
        </w:rPr>
        <w:t>10,3% față de perioada similară a anului 2012.</w:t>
      </w:r>
      <w:r w:rsidR="00F9496F" w:rsidRPr="00116EE1">
        <w:rPr>
          <w:rFonts w:ascii="Times New Roman" w:eastAsia="Times New Roman" w:hAnsi="Times New Roman" w:cs="Times New Roman"/>
          <w:sz w:val="28"/>
          <w:szCs w:val="28"/>
          <w:lang w:val="ro-RO"/>
        </w:rPr>
        <w:t xml:space="preserve"> </w:t>
      </w:r>
      <w:r w:rsidR="00F9496F" w:rsidRPr="00116EE1">
        <w:rPr>
          <w:rFonts w:ascii="Times New Roman" w:eastAsia="Times New Roman" w:hAnsi="Times New Roman" w:cs="Times New Roman"/>
          <w:sz w:val="28"/>
          <w:szCs w:val="28"/>
          <w:lang w:val="ro-RO" w:eastAsia="ru-RU"/>
        </w:rPr>
        <w:t>În ceea ce priveşte ponderea în PIB, veniturile bugetului de stat au constituit 2</w:t>
      </w:r>
      <w:r w:rsidR="003C0574" w:rsidRPr="00116EE1">
        <w:rPr>
          <w:rFonts w:ascii="Times New Roman" w:eastAsia="Times New Roman" w:hAnsi="Times New Roman" w:cs="Times New Roman"/>
          <w:sz w:val="28"/>
          <w:szCs w:val="28"/>
          <w:lang w:val="ro-RO" w:eastAsia="ru-RU"/>
        </w:rPr>
        <w:t>0</w:t>
      </w:r>
      <w:r w:rsidR="00F9496F" w:rsidRPr="00116EE1">
        <w:rPr>
          <w:rFonts w:ascii="Times New Roman" w:eastAsia="Times New Roman" w:hAnsi="Times New Roman" w:cs="Times New Roman"/>
          <w:sz w:val="28"/>
          <w:szCs w:val="28"/>
          <w:lang w:val="ro-RO" w:eastAsia="ru-RU"/>
        </w:rPr>
        <w:t>,</w:t>
      </w:r>
      <w:r w:rsidR="003C0574" w:rsidRPr="00116EE1">
        <w:rPr>
          <w:rFonts w:ascii="Times New Roman" w:eastAsia="Times New Roman" w:hAnsi="Times New Roman" w:cs="Times New Roman"/>
          <w:sz w:val="28"/>
          <w:szCs w:val="28"/>
          <w:lang w:val="ro-RO" w:eastAsia="ru-RU"/>
        </w:rPr>
        <w:t>4</w:t>
      </w:r>
      <w:r w:rsidR="00F9496F" w:rsidRPr="00116EE1">
        <w:rPr>
          <w:rFonts w:ascii="Times New Roman" w:eastAsia="Times New Roman" w:hAnsi="Times New Roman" w:cs="Times New Roman"/>
          <w:sz w:val="28"/>
          <w:szCs w:val="28"/>
          <w:lang w:val="ro-RO" w:eastAsia="ru-RU"/>
        </w:rPr>
        <w:t xml:space="preserve"> la sută, sau cu </w:t>
      </w:r>
      <w:r w:rsidR="003C0574" w:rsidRPr="00116EE1">
        <w:rPr>
          <w:rFonts w:ascii="Times New Roman" w:eastAsia="Times New Roman" w:hAnsi="Times New Roman" w:cs="Times New Roman"/>
          <w:sz w:val="28"/>
          <w:szCs w:val="28"/>
          <w:lang w:val="ro-RO" w:eastAsia="ru-RU"/>
        </w:rPr>
        <w:t>0</w:t>
      </w:r>
      <w:r w:rsidR="00F9496F" w:rsidRPr="00116EE1">
        <w:rPr>
          <w:rFonts w:ascii="Times New Roman" w:eastAsia="Times New Roman" w:hAnsi="Times New Roman" w:cs="Times New Roman"/>
          <w:sz w:val="28"/>
          <w:szCs w:val="28"/>
          <w:lang w:val="ro-RO" w:eastAsia="ru-RU"/>
        </w:rPr>
        <w:t>,</w:t>
      </w:r>
      <w:r w:rsidR="003C0574" w:rsidRPr="00116EE1">
        <w:rPr>
          <w:rFonts w:ascii="Times New Roman" w:eastAsia="Times New Roman" w:hAnsi="Times New Roman" w:cs="Times New Roman"/>
          <w:sz w:val="28"/>
          <w:szCs w:val="28"/>
          <w:lang w:val="ro-RO" w:eastAsia="ru-RU"/>
        </w:rPr>
        <w:t>1</w:t>
      </w:r>
      <w:r w:rsidR="00F9496F" w:rsidRPr="00116EE1">
        <w:rPr>
          <w:rFonts w:ascii="Times New Roman" w:eastAsia="Times New Roman" w:hAnsi="Times New Roman" w:cs="Times New Roman"/>
          <w:sz w:val="28"/>
          <w:szCs w:val="28"/>
          <w:lang w:val="ro-RO" w:eastAsia="ru-RU"/>
        </w:rPr>
        <w:t xml:space="preserve"> p.p. mai puţin faţă de </w:t>
      </w:r>
      <w:r w:rsidR="003C0574" w:rsidRPr="00116EE1">
        <w:rPr>
          <w:rFonts w:ascii="Times New Roman" w:eastAsia="Times New Roman" w:hAnsi="Times New Roman" w:cs="Times New Roman"/>
          <w:sz w:val="28"/>
          <w:szCs w:val="28"/>
          <w:lang w:val="ro-RO" w:eastAsia="ru-RU"/>
        </w:rPr>
        <w:t xml:space="preserve">perioada corespunzătoare a </w:t>
      </w:r>
      <w:r w:rsidR="00F9496F" w:rsidRPr="00116EE1">
        <w:rPr>
          <w:rFonts w:ascii="Times New Roman" w:eastAsia="Times New Roman" w:hAnsi="Times New Roman" w:cs="Times New Roman"/>
          <w:sz w:val="28"/>
          <w:szCs w:val="28"/>
          <w:lang w:val="ro-RO" w:eastAsia="ru-RU"/>
        </w:rPr>
        <w:t>anul</w:t>
      </w:r>
      <w:r w:rsidR="003C0574" w:rsidRPr="00116EE1">
        <w:rPr>
          <w:rFonts w:ascii="Times New Roman" w:eastAsia="Times New Roman" w:hAnsi="Times New Roman" w:cs="Times New Roman"/>
          <w:sz w:val="28"/>
          <w:szCs w:val="28"/>
          <w:lang w:val="ro-RO" w:eastAsia="ru-RU"/>
        </w:rPr>
        <w:t>ui</w:t>
      </w:r>
      <w:r w:rsidR="00F9496F" w:rsidRPr="00116EE1">
        <w:rPr>
          <w:rFonts w:ascii="Times New Roman" w:eastAsia="Times New Roman" w:hAnsi="Times New Roman" w:cs="Times New Roman"/>
          <w:sz w:val="28"/>
          <w:szCs w:val="28"/>
          <w:lang w:val="ro-RO" w:eastAsia="ru-RU"/>
        </w:rPr>
        <w:t xml:space="preserve"> 201</w:t>
      </w:r>
      <w:r w:rsidR="003C0574" w:rsidRPr="00116EE1">
        <w:rPr>
          <w:rFonts w:ascii="Times New Roman" w:eastAsia="Times New Roman" w:hAnsi="Times New Roman" w:cs="Times New Roman"/>
          <w:sz w:val="28"/>
          <w:szCs w:val="28"/>
          <w:lang w:val="ro-RO" w:eastAsia="ru-RU"/>
        </w:rPr>
        <w:t>2</w:t>
      </w:r>
      <w:r w:rsidR="00F9496F" w:rsidRPr="00116EE1">
        <w:rPr>
          <w:rFonts w:ascii="Times New Roman" w:eastAsia="Times New Roman" w:hAnsi="Times New Roman" w:cs="Times New Roman"/>
          <w:sz w:val="28"/>
          <w:szCs w:val="28"/>
          <w:lang w:val="ro-RO" w:eastAsia="ru-RU"/>
        </w:rPr>
        <w:t xml:space="preserve">. </w:t>
      </w:r>
    </w:p>
    <w:p w:rsidR="00F9496F" w:rsidRPr="00116EE1" w:rsidRDefault="00F9496F"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rPr>
      </w:pPr>
      <w:r w:rsidRPr="00116EE1">
        <w:rPr>
          <w:rFonts w:ascii="Times New Roman" w:eastAsia="Times New Roman" w:hAnsi="Times New Roman" w:cs="Times New Roman"/>
          <w:sz w:val="28"/>
          <w:szCs w:val="28"/>
          <w:lang w:val="ro-RO"/>
        </w:rPr>
        <w:t xml:space="preserve">În </w:t>
      </w:r>
      <w:r w:rsidR="00116EE1" w:rsidRPr="00116EE1">
        <w:rPr>
          <w:rFonts w:ascii="Times New Roman" w:eastAsia="Times New Roman" w:hAnsi="Times New Roman" w:cs="Times New Roman"/>
          <w:sz w:val="28"/>
          <w:szCs w:val="28"/>
          <w:lang w:val="ro-RO"/>
        </w:rPr>
        <w:t>aceeași perioadă,</w:t>
      </w:r>
      <w:r w:rsidRPr="00116EE1">
        <w:rPr>
          <w:rFonts w:ascii="Times New Roman" w:eastAsia="Times New Roman" w:hAnsi="Times New Roman" w:cs="Times New Roman"/>
          <w:sz w:val="28"/>
          <w:szCs w:val="28"/>
          <w:lang w:val="ro-RO"/>
        </w:rPr>
        <w:t xml:space="preserve"> dinamica alocării cheltuielilor din bugetul de stat a înregistrat o evoluţie ascendentă, avînd un ritm de creştere de </w:t>
      </w:r>
      <w:r w:rsidR="003C0574" w:rsidRPr="00116EE1">
        <w:rPr>
          <w:rFonts w:ascii="Times New Roman" w:eastAsia="Times New Roman" w:hAnsi="Times New Roman" w:cs="Times New Roman"/>
          <w:sz w:val="28"/>
          <w:szCs w:val="28"/>
          <w:lang w:val="ro-RO"/>
        </w:rPr>
        <w:t>8</w:t>
      </w:r>
      <w:r w:rsidRPr="00116EE1">
        <w:rPr>
          <w:rFonts w:ascii="Times New Roman" w:eastAsia="Times New Roman" w:hAnsi="Times New Roman" w:cs="Times New Roman"/>
          <w:sz w:val="28"/>
          <w:szCs w:val="28"/>
          <w:lang w:val="ro-RO"/>
        </w:rPr>
        <w:t>,</w:t>
      </w:r>
      <w:r w:rsidR="003C0574" w:rsidRPr="00116EE1">
        <w:rPr>
          <w:rFonts w:ascii="Times New Roman" w:eastAsia="Times New Roman" w:hAnsi="Times New Roman" w:cs="Times New Roman"/>
          <w:sz w:val="28"/>
          <w:szCs w:val="28"/>
          <w:lang w:val="ro-RO"/>
        </w:rPr>
        <w:t>1</w:t>
      </w:r>
      <w:r w:rsidRPr="00116EE1">
        <w:rPr>
          <w:rFonts w:ascii="Times New Roman" w:eastAsia="Times New Roman" w:hAnsi="Times New Roman" w:cs="Times New Roman"/>
          <w:sz w:val="28"/>
          <w:szCs w:val="28"/>
          <w:lang w:val="ro-RO"/>
        </w:rPr>
        <w:t xml:space="preserve"> la sută faţă de </w:t>
      </w:r>
      <w:r w:rsidR="003C0574" w:rsidRPr="00116EE1">
        <w:rPr>
          <w:rFonts w:ascii="Times New Roman" w:eastAsia="Times New Roman" w:hAnsi="Times New Roman" w:cs="Times New Roman"/>
          <w:sz w:val="28"/>
          <w:szCs w:val="28"/>
          <w:lang w:val="ro-RO"/>
        </w:rPr>
        <w:t>ianuarie-noiembrie 201</w:t>
      </w:r>
      <w:r w:rsidR="00116EE1" w:rsidRPr="00116EE1">
        <w:rPr>
          <w:rFonts w:ascii="Times New Roman" w:eastAsia="Times New Roman" w:hAnsi="Times New Roman" w:cs="Times New Roman"/>
          <w:sz w:val="28"/>
          <w:szCs w:val="28"/>
          <w:lang w:val="ro-RO"/>
        </w:rPr>
        <w:t>2</w:t>
      </w:r>
      <w:r w:rsidRPr="00116EE1">
        <w:rPr>
          <w:rFonts w:ascii="Times New Roman" w:eastAsia="Times New Roman" w:hAnsi="Times New Roman" w:cs="Times New Roman"/>
          <w:sz w:val="28"/>
          <w:szCs w:val="28"/>
          <w:lang w:val="ro-RO"/>
        </w:rPr>
        <w:t xml:space="preserve">. Cheltuielile bugetului de stat, raportate la PIB, în </w:t>
      </w:r>
      <w:r w:rsidR="00116EE1" w:rsidRPr="00116EE1">
        <w:rPr>
          <w:rFonts w:ascii="Times New Roman" w:eastAsia="Times New Roman" w:hAnsi="Times New Roman" w:cs="Times New Roman"/>
          <w:sz w:val="28"/>
          <w:szCs w:val="28"/>
          <w:lang w:val="ro-RO"/>
        </w:rPr>
        <w:t xml:space="preserve">ianuarie-noiembrie </w:t>
      </w:r>
      <w:r w:rsidRPr="00116EE1">
        <w:rPr>
          <w:rFonts w:ascii="Times New Roman" w:eastAsia="Times New Roman" w:hAnsi="Times New Roman" w:cs="Times New Roman"/>
          <w:sz w:val="28"/>
          <w:szCs w:val="28"/>
          <w:lang w:val="ro-RO"/>
        </w:rPr>
        <w:t>201</w:t>
      </w:r>
      <w:r w:rsidR="00116EE1" w:rsidRPr="00116EE1">
        <w:rPr>
          <w:rFonts w:ascii="Times New Roman" w:eastAsia="Times New Roman" w:hAnsi="Times New Roman" w:cs="Times New Roman"/>
          <w:sz w:val="28"/>
          <w:szCs w:val="28"/>
          <w:lang w:val="ro-RO"/>
        </w:rPr>
        <w:t>3</w:t>
      </w:r>
      <w:r w:rsidRPr="00116EE1">
        <w:rPr>
          <w:rFonts w:ascii="Times New Roman" w:eastAsia="Times New Roman" w:hAnsi="Times New Roman" w:cs="Times New Roman"/>
          <w:sz w:val="28"/>
          <w:szCs w:val="28"/>
          <w:lang w:val="ro-RO"/>
        </w:rPr>
        <w:t xml:space="preserve"> au constituit 2</w:t>
      </w:r>
      <w:r w:rsidR="00116EE1" w:rsidRPr="00116EE1">
        <w:rPr>
          <w:rFonts w:ascii="Times New Roman" w:eastAsia="Times New Roman" w:hAnsi="Times New Roman" w:cs="Times New Roman"/>
          <w:sz w:val="28"/>
          <w:szCs w:val="28"/>
          <w:lang w:val="ro-RO"/>
        </w:rPr>
        <w:t>1</w:t>
      </w:r>
      <w:r w:rsidRPr="00116EE1">
        <w:rPr>
          <w:rFonts w:ascii="Times New Roman" w:eastAsia="Times New Roman" w:hAnsi="Times New Roman" w:cs="Times New Roman"/>
          <w:sz w:val="28"/>
          <w:szCs w:val="28"/>
          <w:lang w:val="ro-RO"/>
        </w:rPr>
        <w:t>,</w:t>
      </w:r>
      <w:r w:rsidR="00116EE1" w:rsidRPr="00116EE1">
        <w:rPr>
          <w:rFonts w:ascii="Times New Roman" w:eastAsia="Times New Roman" w:hAnsi="Times New Roman" w:cs="Times New Roman"/>
          <w:sz w:val="28"/>
          <w:szCs w:val="28"/>
          <w:lang w:val="ro-RO"/>
        </w:rPr>
        <w:t>0</w:t>
      </w:r>
      <w:r w:rsidRPr="00116EE1">
        <w:rPr>
          <w:rFonts w:ascii="Times New Roman" w:eastAsia="Times New Roman" w:hAnsi="Times New Roman" w:cs="Times New Roman"/>
          <w:sz w:val="28"/>
          <w:szCs w:val="28"/>
          <w:lang w:val="ro-RO"/>
        </w:rPr>
        <w:t xml:space="preserve"> la sută, sau cu </w:t>
      </w:r>
      <w:r w:rsidR="00116EE1" w:rsidRPr="00116EE1">
        <w:rPr>
          <w:rFonts w:ascii="Times New Roman" w:eastAsia="Times New Roman" w:hAnsi="Times New Roman" w:cs="Times New Roman"/>
          <w:sz w:val="28"/>
          <w:szCs w:val="28"/>
          <w:lang w:val="ro-RO"/>
        </w:rPr>
        <w:t>0</w:t>
      </w:r>
      <w:r w:rsidRPr="00116EE1">
        <w:rPr>
          <w:rFonts w:ascii="Times New Roman" w:eastAsia="Times New Roman" w:hAnsi="Times New Roman" w:cs="Times New Roman"/>
          <w:sz w:val="28"/>
          <w:szCs w:val="28"/>
          <w:lang w:val="ro-RO"/>
        </w:rPr>
        <w:t>,</w:t>
      </w:r>
      <w:r w:rsidR="00116EE1" w:rsidRPr="00116EE1">
        <w:rPr>
          <w:rFonts w:ascii="Times New Roman" w:eastAsia="Times New Roman" w:hAnsi="Times New Roman" w:cs="Times New Roman"/>
          <w:sz w:val="28"/>
          <w:szCs w:val="28"/>
          <w:lang w:val="ro-RO"/>
        </w:rPr>
        <w:t>5</w:t>
      </w:r>
      <w:r w:rsidRPr="00116EE1">
        <w:rPr>
          <w:rFonts w:ascii="Times New Roman" w:eastAsia="Times New Roman" w:hAnsi="Times New Roman" w:cs="Times New Roman"/>
          <w:sz w:val="28"/>
          <w:szCs w:val="28"/>
          <w:lang w:val="ro-RO"/>
        </w:rPr>
        <w:t xml:space="preserve"> p.p mai puţin decît în </w:t>
      </w:r>
      <w:r w:rsidR="00116EE1" w:rsidRPr="00116EE1">
        <w:rPr>
          <w:rFonts w:ascii="Times New Roman" w:eastAsia="Times New Roman" w:hAnsi="Times New Roman" w:cs="Times New Roman"/>
          <w:sz w:val="28"/>
          <w:szCs w:val="28"/>
          <w:lang w:val="ro-RO"/>
        </w:rPr>
        <w:t xml:space="preserve">aceeași perioadă a </w:t>
      </w:r>
      <w:r w:rsidRPr="00116EE1">
        <w:rPr>
          <w:rFonts w:ascii="Times New Roman" w:eastAsia="Times New Roman" w:hAnsi="Times New Roman" w:cs="Times New Roman"/>
          <w:sz w:val="28"/>
          <w:szCs w:val="28"/>
          <w:lang w:val="ro-RO"/>
        </w:rPr>
        <w:t>anul</w:t>
      </w:r>
      <w:r w:rsidR="00116EE1" w:rsidRPr="00116EE1">
        <w:rPr>
          <w:rFonts w:ascii="Times New Roman" w:eastAsia="Times New Roman" w:hAnsi="Times New Roman" w:cs="Times New Roman"/>
          <w:sz w:val="28"/>
          <w:szCs w:val="28"/>
          <w:lang w:val="ro-RO"/>
        </w:rPr>
        <w:t>ui</w:t>
      </w:r>
      <w:r w:rsidRPr="00116EE1">
        <w:rPr>
          <w:rFonts w:ascii="Times New Roman" w:eastAsia="Times New Roman" w:hAnsi="Times New Roman" w:cs="Times New Roman"/>
          <w:sz w:val="28"/>
          <w:szCs w:val="28"/>
          <w:lang w:val="ro-RO"/>
        </w:rPr>
        <w:t xml:space="preserve"> 201</w:t>
      </w:r>
      <w:r w:rsidR="00116EE1" w:rsidRPr="00116EE1">
        <w:rPr>
          <w:rFonts w:ascii="Times New Roman" w:eastAsia="Times New Roman" w:hAnsi="Times New Roman" w:cs="Times New Roman"/>
          <w:sz w:val="28"/>
          <w:szCs w:val="28"/>
          <w:lang w:val="ro-RO"/>
        </w:rPr>
        <w:t>2</w:t>
      </w:r>
      <w:r w:rsidRPr="00116EE1">
        <w:rPr>
          <w:rFonts w:ascii="Times New Roman" w:eastAsia="Times New Roman" w:hAnsi="Times New Roman" w:cs="Times New Roman"/>
          <w:sz w:val="28"/>
          <w:szCs w:val="28"/>
          <w:lang w:val="ro-RO"/>
        </w:rPr>
        <w:t>.</w:t>
      </w:r>
    </w:p>
    <w:p w:rsidR="00F9496F" w:rsidRPr="0067522A" w:rsidRDefault="00F9496F"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67522A">
        <w:rPr>
          <w:rFonts w:ascii="Times New Roman" w:eastAsia="Times New Roman" w:hAnsi="Times New Roman" w:cs="Times New Roman"/>
          <w:sz w:val="28"/>
          <w:szCs w:val="28"/>
          <w:lang w:val="ro-RO"/>
        </w:rPr>
        <w:t>Drept rezultat al evoluţiei veniturilor şi chelt</w:t>
      </w:r>
      <w:r w:rsidR="00116EE1" w:rsidRPr="0067522A">
        <w:rPr>
          <w:rFonts w:ascii="Times New Roman" w:eastAsia="Times New Roman" w:hAnsi="Times New Roman" w:cs="Times New Roman"/>
          <w:sz w:val="28"/>
          <w:szCs w:val="28"/>
          <w:lang w:val="ro-RO"/>
        </w:rPr>
        <w:t xml:space="preserve">uielilor, în ianuarie-noiembrie </w:t>
      </w:r>
      <w:r w:rsidRPr="0067522A">
        <w:rPr>
          <w:rFonts w:ascii="Times New Roman" w:eastAsia="Times New Roman" w:hAnsi="Times New Roman" w:cs="Times New Roman"/>
          <w:sz w:val="28"/>
          <w:szCs w:val="28"/>
          <w:lang w:val="ro-RO"/>
        </w:rPr>
        <w:t>201</w:t>
      </w:r>
      <w:r w:rsidR="00116EE1" w:rsidRPr="0067522A">
        <w:rPr>
          <w:rFonts w:ascii="Times New Roman" w:eastAsia="Times New Roman" w:hAnsi="Times New Roman" w:cs="Times New Roman"/>
          <w:sz w:val="28"/>
          <w:szCs w:val="28"/>
          <w:lang w:val="ro-RO"/>
        </w:rPr>
        <w:t>3</w:t>
      </w:r>
      <w:r w:rsidRPr="0067522A">
        <w:rPr>
          <w:rFonts w:ascii="Times New Roman" w:eastAsia="Times New Roman" w:hAnsi="Times New Roman" w:cs="Times New Roman"/>
          <w:sz w:val="28"/>
          <w:szCs w:val="28"/>
          <w:lang w:val="ro-RO"/>
        </w:rPr>
        <w:t xml:space="preserve"> executarea bugetului </w:t>
      </w:r>
      <w:r w:rsidR="00116EE1" w:rsidRPr="0067522A">
        <w:rPr>
          <w:rFonts w:ascii="Times New Roman" w:eastAsia="Times New Roman" w:hAnsi="Times New Roman" w:cs="Times New Roman"/>
          <w:sz w:val="28"/>
          <w:szCs w:val="28"/>
          <w:lang w:val="ro-RO"/>
        </w:rPr>
        <w:t xml:space="preserve">de stat </w:t>
      </w:r>
      <w:r w:rsidRPr="0067522A">
        <w:rPr>
          <w:rFonts w:ascii="Times New Roman" w:eastAsia="Times New Roman" w:hAnsi="Times New Roman" w:cs="Times New Roman"/>
          <w:sz w:val="28"/>
          <w:szCs w:val="28"/>
          <w:lang w:val="ro-RO"/>
        </w:rPr>
        <w:t xml:space="preserve">s-a soldat cu un deficit în scădere cu </w:t>
      </w:r>
      <w:r w:rsidR="0067522A" w:rsidRPr="0067522A">
        <w:rPr>
          <w:rFonts w:ascii="Times New Roman" w:eastAsia="Times New Roman" w:hAnsi="Times New Roman" w:cs="Times New Roman"/>
          <w:sz w:val="28"/>
          <w:szCs w:val="28"/>
          <w:lang w:val="ro-RO"/>
        </w:rPr>
        <w:t>36</w:t>
      </w:r>
      <w:r w:rsidRPr="0067522A">
        <w:rPr>
          <w:rFonts w:ascii="Times New Roman" w:eastAsia="Times New Roman" w:hAnsi="Times New Roman" w:cs="Times New Roman"/>
          <w:sz w:val="28"/>
          <w:szCs w:val="28"/>
          <w:lang w:val="ro-RO"/>
        </w:rPr>
        <w:t>,</w:t>
      </w:r>
      <w:r w:rsidR="0067522A" w:rsidRPr="0067522A">
        <w:rPr>
          <w:rFonts w:ascii="Times New Roman" w:eastAsia="Times New Roman" w:hAnsi="Times New Roman" w:cs="Times New Roman"/>
          <w:sz w:val="28"/>
          <w:szCs w:val="28"/>
          <w:lang w:val="ro-RO"/>
        </w:rPr>
        <w:t>1</w:t>
      </w:r>
      <w:r w:rsidRPr="0067522A">
        <w:rPr>
          <w:rFonts w:ascii="Times New Roman" w:eastAsia="Times New Roman" w:hAnsi="Times New Roman" w:cs="Times New Roman"/>
          <w:sz w:val="28"/>
          <w:szCs w:val="28"/>
          <w:lang w:val="ro-RO"/>
        </w:rPr>
        <w:t xml:space="preserve"> la sută faţă de</w:t>
      </w:r>
      <w:r w:rsidR="0067522A" w:rsidRPr="0067522A">
        <w:rPr>
          <w:rFonts w:ascii="Times New Roman" w:eastAsia="Times New Roman" w:hAnsi="Times New Roman" w:cs="Times New Roman"/>
          <w:sz w:val="28"/>
          <w:szCs w:val="28"/>
          <w:lang w:val="ro-RO"/>
        </w:rPr>
        <w:t xml:space="preserve"> </w:t>
      </w:r>
      <w:r w:rsidR="0067522A" w:rsidRPr="0067522A">
        <w:rPr>
          <w:rFonts w:ascii="Times New Roman" w:eastAsia="Times New Roman" w:hAnsi="Times New Roman" w:cs="Times New Roman"/>
          <w:sz w:val="28"/>
          <w:szCs w:val="28"/>
          <w:lang w:val="ro-RO" w:eastAsia="ru-RU"/>
        </w:rPr>
        <w:t xml:space="preserve">perioada corespunzătoare a anului </w:t>
      </w:r>
      <w:r w:rsidRPr="0067522A">
        <w:rPr>
          <w:rFonts w:ascii="Times New Roman" w:eastAsia="Times New Roman" w:hAnsi="Times New Roman" w:cs="Times New Roman"/>
          <w:sz w:val="28"/>
          <w:szCs w:val="28"/>
          <w:lang w:val="ro-RO"/>
        </w:rPr>
        <w:t>201</w:t>
      </w:r>
      <w:r w:rsidR="0067522A" w:rsidRPr="0067522A">
        <w:rPr>
          <w:rFonts w:ascii="Times New Roman" w:eastAsia="Times New Roman" w:hAnsi="Times New Roman" w:cs="Times New Roman"/>
          <w:sz w:val="28"/>
          <w:szCs w:val="28"/>
          <w:lang w:val="ro-RO"/>
        </w:rPr>
        <w:t>2</w:t>
      </w:r>
      <w:r w:rsidRPr="0067522A">
        <w:rPr>
          <w:rFonts w:ascii="Times New Roman" w:eastAsia="Times New Roman" w:hAnsi="Times New Roman" w:cs="Times New Roman"/>
          <w:sz w:val="28"/>
          <w:szCs w:val="28"/>
          <w:lang w:val="ro-RO"/>
        </w:rPr>
        <w:t xml:space="preserve">. Raportat la PIB, acesta reprezintă </w:t>
      </w:r>
      <w:r w:rsidR="0067522A" w:rsidRPr="0067522A">
        <w:rPr>
          <w:rFonts w:ascii="Times New Roman" w:eastAsia="Times New Roman" w:hAnsi="Times New Roman" w:cs="Times New Roman"/>
          <w:sz w:val="28"/>
          <w:szCs w:val="28"/>
          <w:lang w:val="ro-RO"/>
        </w:rPr>
        <w:t>0</w:t>
      </w:r>
      <w:r w:rsidRPr="0067522A">
        <w:rPr>
          <w:rFonts w:ascii="Times New Roman" w:eastAsia="Times New Roman" w:hAnsi="Times New Roman" w:cs="Times New Roman"/>
          <w:sz w:val="28"/>
          <w:szCs w:val="28"/>
          <w:lang w:val="ro-RO"/>
        </w:rPr>
        <w:t>,</w:t>
      </w:r>
      <w:r w:rsidR="0067522A" w:rsidRPr="0067522A">
        <w:rPr>
          <w:rFonts w:ascii="Times New Roman" w:eastAsia="Times New Roman" w:hAnsi="Times New Roman" w:cs="Times New Roman"/>
          <w:sz w:val="28"/>
          <w:szCs w:val="28"/>
          <w:lang w:val="ro-RO"/>
        </w:rPr>
        <w:t>6</w:t>
      </w:r>
      <w:r w:rsidRPr="0067522A">
        <w:rPr>
          <w:rFonts w:ascii="Times New Roman" w:eastAsia="Times New Roman" w:hAnsi="Times New Roman" w:cs="Times New Roman"/>
          <w:sz w:val="28"/>
          <w:szCs w:val="28"/>
          <w:lang w:val="ro-RO"/>
        </w:rPr>
        <w:t xml:space="preserve"> la sută, sau cu 0,</w:t>
      </w:r>
      <w:r w:rsidR="0067522A" w:rsidRPr="0067522A">
        <w:rPr>
          <w:rFonts w:ascii="Times New Roman" w:eastAsia="Times New Roman" w:hAnsi="Times New Roman" w:cs="Times New Roman"/>
          <w:sz w:val="28"/>
          <w:szCs w:val="28"/>
          <w:lang w:val="ro-RO"/>
        </w:rPr>
        <w:t>4</w:t>
      </w:r>
      <w:r w:rsidRPr="0067522A">
        <w:rPr>
          <w:rFonts w:ascii="Times New Roman" w:eastAsia="Times New Roman" w:hAnsi="Times New Roman" w:cs="Times New Roman"/>
          <w:sz w:val="28"/>
          <w:szCs w:val="28"/>
          <w:lang w:val="ro-RO"/>
        </w:rPr>
        <w:t xml:space="preserve"> p.p. mai puţin decît în </w:t>
      </w:r>
      <w:r w:rsidR="0067522A" w:rsidRPr="0067522A">
        <w:rPr>
          <w:rFonts w:ascii="Times New Roman" w:eastAsia="Times New Roman" w:hAnsi="Times New Roman" w:cs="Times New Roman"/>
          <w:sz w:val="28"/>
          <w:szCs w:val="28"/>
          <w:lang w:val="ro-RO"/>
        </w:rPr>
        <w:t>aceeași perioadă a anului 2012</w:t>
      </w:r>
      <w:r w:rsidRPr="0067522A">
        <w:rPr>
          <w:rFonts w:ascii="Times New Roman" w:eastAsia="Times New Roman" w:hAnsi="Times New Roman" w:cs="Times New Roman"/>
          <w:sz w:val="28"/>
          <w:szCs w:val="28"/>
          <w:lang w:val="ro-RO"/>
        </w:rPr>
        <w:t>.</w:t>
      </w:r>
      <w:r w:rsidRPr="0067522A">
        <w:rPr>
          <w:rFonts w:ascii="Times New Roman" w:eastAsia="Times New Roman" w:hAnsi="Times New Roman" w:cs="Times New Roman"/>
          <w:sz w:val="28"/>
          <w:szCs w:val="28"/>
          <w:lang w:val="ro-RO" w:eastAsia="ru-RU"/>
        </w:rPr>
        <w:t xml:space="preserve"> </w:t>
      </w:r>
    </w:p>
    <w:p w:rsidR="00F9496F" w:rsidRPr="009933AA" w:rsidRDefault="00127C66"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9933AA">
        <w:rPr>
          <w:rFonts w:ascii="Times New Roman" w:eastAsia="Times New Roman" w:hAnsi="Times New Roman" w:cs="Times New Roman"/>
          <w:sz w:val="28"/>
          <w:szCs w:val="28"/>
          <w:lang w:val="ro-RO" w:eastAsia="ru-RU"/>
        </w:rPr>
        <w:t xml:space="preserve">Pe termen mediu, </w:t>
      </w:r>
      <w:r w:rsidR="00F9496F" w:rsidRPr="009933AA">
        <w:rPr>
          <w:rFonts w:ascii="Times New Roman" w:eastAsia="Times New Roman" w:hAnsi="Times New Roman" w:cs="Times New Roman"/>
          <w:sz w:val="28"/>
          <w:szCs w:val="28"/>
          <w:lang w:val="ro-RO" w:eastAsia="ru-RU"/>
        </w:rPr>
        <w:t>se prevede o majorare constantă a veniturilor bugetului de stat, în timp ce ponderea acestora în PIB</w:t>
      </w:r>
      <w:r w:rsidR="009933AA">
        <w:rPr>
          <w:rFonts w:ascii="Times New Roman" w:eastAsia="Times New Roman" w:hAnsi="Times New Roman" w:cs="Times New Roman"/>
          <w:sz w:val="28"/>
          <w:szCs w:val="28"/>
          <w:lang w:val="ro-RO" w:eastAsia="ru-RU"/>
        </w:rPr>
        <w:t xml:space="preserve"> va urma o tendinţă în scădere de la 24,3% în anul 2014 pînă la 22,2% în 2016.</w:t>
      </w:r>
    </w:p>
    <w:p w:rsidR="00F9496F" w:rsidRPr="009933AA" w:rsidRDefault="00F9496F"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9933AA">
        <w:rPr>
          <w:rFonts w:ascii="Times New Roman" w:eastAsia="Times New Roman" w:hAnsi="Times New Roman" w:cs="Times New Roman"/>
          <w:sz w:val="28"/>
          <w:szCs w:val="28"/>
          <w:lang w:val="ro-RO" w:eastAsia="ru-RU"/>
        </w:rPr>
        <w:t xml:space="preserve">Similar evoluţiei veniturilor, cheltuielile bugetului de stat vor </w:t>
      </w:r>
      <w:r w:rsidR="009933AA" w:rsidRPr="009933AA">
        <w:rPr>
          <w:rFonts w:ascii="Times New Roman" w:eastAsia="Times New Roman" w:hAnsi="Times New Roman" w:cs="Times New Roman"/>
          <w:sz w:val="28"/>
          <w:szCs w:val="28"/>
          <w:lang w:val="ro-RO" w:eastAsia="ru-RU"/>
        </w:rPr>
        <w:t>avea</w:t>
      </w:r>
      <w:r w:rsidRPr="009933AA">
        <w:rPr>
          <w:rFonts w:ascii="Times New Roman" w:eastAsia="Times New Roman" w:hAnsi="Times New Roman" w:cs="Times New Roman"/>
          <w:sz w:val="28"/>
          <w:szCs w:val="28"/>
          <w:lang w:val="ro-RO" w:eastAsia="ru-RU"/>
        </w:rPr>
        <w:t xml:space="preserve"> o </w:t>
      </w:r>
      <w:r w:rsidR="009933AA" w:rsidRPr="009933AA">
        <w:rPr>
          <w:rFonts w:ascii="Times New Roman" w:eastAsia="Times New Roman" w:hAnsi="Times New Roman" w:cs="Times New Roman"/>
          <w:sz w:val="28"/>
          <w:szCs w:val="28"/>
          <w:lang w:val="ro-RO" w:eastAsia="ru-RU"/>
        </w:rPr>
        <w:t>tendinţă ascendentă</w:t>
      </w:r>
      <w:r w:rsidRPr="009933AA">
        <w:rPr>
          <w:rFonts w:ascii="Times New Roman" w:eastAsia="Times New Roman" w:hAnsi="Times New Roman" w:cs="Times New Roman"/>
          <w:sz w:val="28"/>
          <w:szCs w:val="28"/>
          <w:lang w:val="ro-RO" w:eastAsia="ru-RU"/>
        </w:rPr>
        <w:t xml:space="preserve"> în perioada anilor 201</w:t>
      </w:r>
      <w:r w:rsidR="00127C66" w:rsidRPr="009933AA">
        <w:rPr>
          <w:rFonts w:ascii="Times New Roman" w:eastAsia="Times New Roman" w:hAnsi="Times New Roman" w:cs="Times New Roman"/>
          <w:sz w:val="28"/>
          <w:szCs w:val="28"/>
          <w:lang w:val="ro-RO" w:eastAsia="ru-RU"/>
        </w:rPr>
        <w:t>4</w:t>
      </w:r>
      <w:r w:rsidRPr="009933AA">
        <w:rPr>
          <w:rFonts w:ascii="Times New Roman" w:eastAsia="Times New Roman" w:hAnsi="Times New Roman" w:cs="Times New Roman"/>
          <w:sz w:val="28"/>
          <w:szCs w:val="28"/>
          <w:lang w:val="ro-RO" w:eastAsia="ru-RU"/>
        </w:rPr>
        <w:t>-201</w:t>
      </w:r>
      <w:r w:rsidR="00127C66" w:rsidRPr="009933AA">
        <w:rPr>
          <w:rFonts w:ascii="Times New Roman" w:eastAsia="Times New Roman" w:hAnsi="Times New Roman" w:cs="Times New Roman"/>
          <w:sz w:val="28"/>
          <w:szCs w:val="28"/>
          <w:lang w:val="ro-RO" w:eastAsia="ru-RU"/>
        </w:rPr>
        <w:t>6</w:t>
      </w:r>
      <w:r w:rsidRPr="009933AA">
        <w:rPr>
          <w:rFonts w:ascii="Times New Roman" w:eastAsia="Times New Roman" w:hAnsi="Times New Roman" w:cs="Times New Roman"/>
          <w:sz w:val="28"/>
          <w:szCs w:val="28"/>
          <w:lang w:val="ro-RO" w:eastAsia="ru-RU"/>
        </w:rPr>
        <w:t>.</w:t>
      </w:r>
    </w:p>
    <w:p w:rsidR="00F9496F" w:rsidRPr="00972D29" w:rsidRDefault="00F9496F" w:rsidP="00972D2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972D29">
        <w:rPr>
          <w:rFonts w:ascii="Times New Roman" w:eastAsia="Times New Roman" w:hAnsi="Times New Roman" w:cs="Times New Roman"/>
          <w:sz w:val="28"/>
          <w:szCs w:val="28"/>
          <w:lang w:val="ro-RO" w:eastAsia="ru-RU"/>
        </w:rPr>
        <w:t>Deficitul bugetului de stat</w:t>
      </w:r>
      <w:r w:rsidR="00972D29" w:rsidRPr="00972D29">
        <w:rPr>
          <w:rFonts w:ascii="Times New Roman" w:eastAsia="Times New Roman" w:hAnsi="Times New Roman" w:cs="Times New Roman"/>
          <w:sz w:val="28"/>
          <w:szCs w:val="28"/>
          <w:lang w:val="ro-RO" w:eastAsia="ru-RU"/>
        </w:rPr>
        <w:t xml:space="preserve"> va urma aceeaşi tendinţă, înregistrînd următoarele ritmuri de creştere:</w:t>
      </w:r>
      <w:r w:rsidRPr="00972D29">
        <w:rPr>
          <w:rFonts w:ascii="Times New Roman" w:eastAsia="Times New Roman" w:hAnsi="Times New Roman" w:cs="Times New Roman"/>
          <w:sz w:val="28"/>
          <w:szCs w:val="28"/>
          <w:lang w:val="ro-RO" w:eastAsia="ru-RU"/>
        </w:rPr>
        <w:t xml:space="preserve"> </w:t>
      </w:r>
      <w:r w:rsidR="00972D29" w:rsidRPr="00972D29">
        <w:rPr>
          <w:rFonts w:ascii="Times New Roman" w:eastAsia="Times New Roman" w:hAnsi="Times New Roman" w:cs="Times New Roman"/>
          <w:sz w:val="28"/>
          <w:szCs w:val="28"/>
          <w:lang w:val="ro-RO" w:eastAsia="ru-RU"/>
        </w:rPr>
        <w:t>cu</w:t>
      </w:r>
      <w:r w:rsidR="009933AA" w:rsidRPr="00972D29">
        <w:rPr>
          <w:rFonts w:ascii="Times New Roman" w:eastAsia="Times New Roman" w:hAnsi="Times New Roman" w:cs="Times New Roman"/>
          <w:sz w:val="28"/>
          <w:szCs w:val="28"/>
          <w:lang w:val="ro-RO" w:eastAsia="ru-RU"/>
        </w:rPr>
        <w:t xml:space="preserve"> 27,4% în anul 2014</w:t>
      </w:r>
      <w:r w:rsidR="00972D29" w:rsidRPr="00972D29">
        <w:rPr>
          <w:rFonts w:ascii="Times New Roman" w:eastAsia="Times New Roman" w:hAnsi="Times New Roman" w:cs="Times New Roman"/>
          <w:sz w:val="28"/>
          <w:szCs w:val="28"/>
          <w:lang w:val="ro-RO" w:eastAsia="ru-RU"/>
        </w:rPr>
        <w:t xml:space="preserve"> faţă de anul precedent</w:t>
      </w:r>
      <w:r w:rsidR="009933AA" w:rsidRPr="00972D29">
        <w:rPr>
          <w:rFonts w:ascii="Times New Roman" w:eastAsia="Times New Roman" w:hAnsi="Times New Roman" w:cs="Times New Roman"/>
          <w:sz w:val="28"/>
          <w:szCs w:val="28"/>
          <w:lang w:val="ro-RO" w:eastAsia="ru-RU"/>
        </w:rPr>
        <w:t>,</w:t>
      </w:r>
      <w:r w:rsidR="00972D29" w:rsidRPr="00972D29">
        <w:rPr>
          <w:rFonts w:ascii="Times New Roman" w:eastAsia="Times New Roman" w:hAnsi="Times New Roman" w:cs="Times New Roman"/>
          <w:sz w:val="28"/>
          <w:szCs w:val="28"/>
          <w:lang w:val="ro-RO" w:eastAsia="ru-RU"/>
        </w:rPr>
        <w:t xml:space="preserve"> cu 16,7% în 2015 şi 9,5% în 2016.</w:t>
      </w:r>
      <w:r w:rsidR="009933AA" w:rsidRPr="00972D29">
        <w:rPr>
          <w:rFonts w:ascii="Times New Roman" w:eastAsia="Times New Roman" w:hAnsi="Times New Roman" w:cs="Times New Roman"/>
          <w:sz w:val="28"/>
          <w:szCs w:val="28"/>
          <w:lang w:val="ro-RO" w:eastAsia="ru-RU"/>
        </w:rPr>
        <w:t xml:space="preserve"> </w:t>
      </w:r>
      <w:r w:rsidRPr="00972D29">
        <w:rPr>
          <w:rFonts w:ascii="Times New Roman" w:eastAsia="Times New Roman" w:hAnsi="Times New Roman" w:cs="Times New Roman"/>
          <w:sz w:val="28"/>
          <w:szCs w:val="28"/>
          <w:lang w:val="ro-RO" w:eastAsia="ru-RU"/>
        </w:rPr>
        <w:t xml:space="preserve"> </w:t>
      </w:r>
      <w:r w:rsidR="00972D29" w:rsidRPr="00972D29">
        <w:rPr>
          <w:rFonts w:ascii="Times New Roman" w:eastAsia="Times New Roman" w:hAnsi="Times New Roman" w:cs="Times New Roman"/>
          <w:sz w:val="28"/>
          <w:szCs w:val="28"/>
          <w:lang w:val="ro-RO" w:eastAsia="ru-RU"/>
        </w:rPr>
        <w:t xml:space="preserve">Ca pondere în PIB, deficitul bugetului de stat se va încadra în intervalul de 2,3-2,4 la sută anual. </w:t>
      </w:r>
      <w:r w:rsidRPr="00972D29">
        <w:rPr>
          <w:rFonts w:ascii="Times New Roman" w:eastAsia="Times New Roman" w:hAnsi="Times New Roman" w:cs="Times New Roman"/>
          <w:sz w:val="28"/>
          <w:szCs w:val="28"/>
          <w:lang w:val="ro-RO" w:eastAsia="ru-RU"/>
        </w:rPr>
        <w:t>Totodată, realizarea prognozelor bugetare depinde, în mare măsură, de realitatea prognozelor indicatorilor macroeconomici.</w:t>
      </w:r>
    </w:p>
    <w:p w:rsidR="00625649" w:rsidRDefault="00625649"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val="ro-RO" w:eastAsia="ru-RU"/>
        </w:rPr>
      </w:pPr>
    </w:p>
    <w:p w:rsidR="005F58E5" w:rsidRDefault="005F58E5"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val="ro-RO" w:eastAsia="ru-RU"/>
        </w:rPr>
      </w:pPr>
    </w:p>
    <w:p w:rsidR="005F58E5" w:rsidRDefault="005F58E5"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val="ro-RO" w:eastAsia="ru-RU"/>
        </w:rPr>
      </w:pPr>
    </w:p>
    <w:p w:rsidR="00F9496F" w:rsidRPr="00625649" w:rsidRDefault="00F9496F" w:rsidP="0062564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625649">
        <w:rPr>
          <w:rFonts w:ascii="Times New Roman" w:eastAsia="Times New Roman" w:hAnsi="Times New Roman" w:cs="Times New Roman"/>
          <w:b/>
          <w:sz w:val="28"/>
          <w:szCs w:val="28"/>
          <w:lang w:val="ro-RO" w:eastAsia="ru-RU"/>
        </w:rPr>
        <w:t>6. Ratingul de ţară</w:t>
      </w:r>
    </w:p>
    <w:p w:rsidR="00F9496F" w:rsidRPr="00F9496F" w:rsidRDefault="00F9496F" w:rsidP="00625649">
      <w:pPr>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Cs/>
          <w:sz w:val="28"/>
          <w:szCs w:val="28"/>
          <w:lang w:val="ro-RO" w:eastAsia="ru-RU"/>
        </w:rPr>
      </w:pPr>
      <w:r w:rsidRPr="00481B05">
        <w:rPr>
          <w:rFonts w:ascii="Times New Roman" w:eastAsia="Times New Roman" w:hAnsi="Times New Roman" w:cs="Times New Roman"/>
          <w:sz w:val="28"/>
          <w:szCs w:val="28"/>
          <w:lang w:val="ro-RO" w:eastAsia="ru-RU"/>
        </w:rPr>
        <w:t>În anul 201</w:t>
      </w:r>
      <w:r w:rsidR="00127C66" w:rsidRPr="00481B05">
        <w:rPr>
          <w:rFonts w:ascii="Times New Roman" w:eastAsia="Times New Roman" w:hAnsi="Times New Roman" w:cs="Times New Roman"/>
          <w:sz w:val="28"/>
          <w:szCs w:val="28"/>
          <w:lang w:val="ro-RO" w:eastAsia="ru-RU"/>
        </w:rPr>
        <w:t>3</w:t>
      </w:r>
      <w:r w:rsidRPr="00481B05">
        <w:rPr>
          <w:rFonts w:ascii="Times New Roman" w:eastAsia="Times New Roman" w:hAnsi="Times New Roman" w:cs="Times New Roman"/>
          <w:bCs/>
          <w:sz w:val="28"/>
          <w:szCs w:val="28"/>
          <w:lang w:val="ro-RO" w:eastAsia="ru-RU"/>
        </w:rPr>
        <w:t xml:space="preserve"> </w:t>
      </w:r>
      <w:r w:rsidR="002F0FB7" w:rsidRPr="00481B05">
        <w:rPr>
          <w:rFonts w:ascii="Times New Roman" w:eastAsia="Times New Roman" w:hAnsi="Times New Roman" w:cs="Times New Roman"/>
          <w:bCs/>
          <w:sz w:val="28"/>
          <w:szCs w:val="28"/>
          <w:lang w:val="ro-RO" w:eastAsia="ru-RU"/>
        </w:rPr>
        <w:t xml:space="preserve">raportul agenției de rating </w:t>
      </w:r>
      <w:r w:rsidRPr="005F58E5">
        <w:rPr>
          <w:rFonts w:ascii="Times New Roman" w:eastAsia="Times New Roman" w:hAnsi="Times New Roman" w:cs="Times New Roman"/>
          <w:bCs/>
          <w:sz w:val="28"/>
          <w:szCs w:val="28"/>
          <w:lang w:val="ro-RO" w:eastAsia="ru-RU"/>
        </w:rPr>
        <w:t xml:space="preserve">Moody's a </w:t>
      </w:r>
      <w:r w:rsidR="00127C66" w:rsidRPr="005F58E5">
        <w:rPr>
          <w:rFonts w:ascii="Times New Roman" w:eastAsia="Times New Roman" w:hAnsi="Times New Roman" w:cs="Times New Roman"/>
          <w:bCs/>
          <w:sz w:val="28"/>
          <w:szCs w:val="28"/>
          <w:lang w:val="ro-RO" w:eastAsia="ru-RU"/>
        </w:rPr>
        <w:t>confirmat</w:t>
      </w:r>
      <w:r w:rsidRPr="005F58E5">
        <w:rPr>
          <w:rFonts w:ascii="Times New Roman" w:eastAsia="Times New Roman" w:hAnsi="Times New Roman" w:cs="Times New Roman"/>
          <w:bCs/>
          <w:sz w:val="28"/>
          <w:szCs w:val="28"/>
          <w:lang w:val="ro-RO" w:eastAsia="ru-RU"/>
        </w:rPr>
        <w:t xml:space="preserve"> rating</w:t>
      </w:r>
      <w:r w:rsidR="00127C66" w:rsidRPr="00481B05">
        <w:rPr>
          <w:rFonts w:ascii="Times New Roman" w:eastAsia="Times New Roman" w:hAnsi="Times New Roman" w:cs="Times New Roman"/>
          <w:bCs/>
          <w:sz w:val="28"/>
          <w:szCs w:val="28"/>
          <w:lang w:val="ro-RO" w:eastAsia="ru-RU"/>
        </w:rPr>
        <w:t>-ul</w:t>
      </w:r>
      <w:r w:rsidRPr="00481B05">
        <w:rPr>
          <w:rFonts w:ascii="Times New Roman" w:eastAsia="Times New Roman" w:hAnsi="Times New Roman" w:cs="Times New Roman"/>
          <w:bCs/>
          <w:sz w:val="28"/>
          <w:szCs w:val="28"/>
          <w:lang w:val="ro-RO" w:eastAsia="ru-RU"/>
        </w:rPr>
        <w:t xml:space="preserve"> de B3 </w:t>
      </w:r>
      <w:r w:rsidR="00127C66" w:rsidRPr="00481B05">
        <w:rPr>
          <w:rFonts w:ascii="Times New Roman" w:eastAsia="Times New Roman" w:hAnsi="Times New Roman" w:cs="Times New Roman"/>
          <w:bCs/>
          <w:sz w:val="28"/>
          <w:szCs w:val="28"/>
          <w:lang w:val="ro-RO" w:eastAsia="ru-RU"/>
        </w:rPr>
        <w:t xml:space="preserve">pentru </w:t>
      </w:r>
      <w:r w:rsidRPr="00481B05">
        <w:rPr>
          <w:rFonts w:ascii="Times New Roman" w:eastAsia="Times New Roman" w:hAnsi="Times New Roman" w:cs="Times New Roman"/>
          <w:bCs/>
          <w:sz w:val="28"/>
          <w:szCs w:val="28"/>
          <w:lang w:val="ro-RO" w:eastAsia="ru-RU"/>
        </w:rPr>
        <w:t>Republic</w:t>
      </w:r>
      <w:r w:rsidR="00127C66" w:rsidRPr="00481B05">
        <w:rPr>
          <w:rFonts w:ascii="Times New Roman" w:eastAsia="Times New Roman" w:hAnsi="Times New Roman" w:cs="Times New Roman"/>
          <w:bCs/>
          <w:sz w:val="28"/>
          <w:szCs w:val="28"/>
          <w:lang w:val="ro-RO" w:eastAsia="ru-RU"/>
        </w:rPr>
        <w:t>a</w:t>
      </w:r>
      <w:r w:rsidRPr="00481B05">
        <w:rPr>
          <w:rFonts w:ascii="Times New Roman" w:eastAsia="Times New Roman" w:hAnsi="Times New Roman" w:cs="Times New Roman"/>
          <w:bCs/>
          <w:sz w:val="28"/>
          <w:szCs w:val="28"/>
          <w:lang w:val="ro-RO" w:eastAsia="ru-RU"/>
        </w:rPr>
        <w:t xml:space="preserve"> Moldova, nivel cu şase trepte sub pragul de recomandare de investiţie şi cu perspectivă stabilă. Analiştii agenţiei de rating precizează că rating-ul </w:t>
      </w:r>
      <w:r w:rsidR="00481B05" w:rsidRPr="00481B05">
        <w:rPr>
          <w:rFonts w:ascii="Times New Roman" w:eastAsia="Times New Roman" w:hAnsi="Times New Roman" w:cs="Times New Roman"/>
          <w:bCs/>
          <w:sz w:val="28"/>
          <w:szCs w:val="28"/>
          <w:lang w:val="ro-RO" w:eastAsia="ru-RU"/>
        </w:rPr>
        <w:t>B3 reflectă PIB-ul pe cap de locuitor scăzut al țării, economia de mici dimensiuni, dependența înaltă de remitențe și potențialul de creștere economică viitoare limitat.</w:t>
      </w:r>
    </w:p>
    <w:p w:rsidR="00F9496F" w:rsidRPr="00F9496F" w:rsidRDefault="00F9496F" w:rsidP="00F9496F">
      <w:pPr>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p>
    <w:p w:rsidR="00F9496F" w:rsidRPr="00F9496F" w:rsidRDefault="00F9496F" w:rsidP="00F9496F">
      <w:pPr>
        <w:tabs>
          <w:tab w:val="left" w:pos="90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b/>
          <w:bCs/>
          <w:sz w:val="28"/>
          <w:szCs w:val="28"/>
          <w:lang w:val="ro-RO" w:eastAsia="ru-RU"/>
        </w:rPr>
        <w:t>7. Analiza actualizată a sustenabilităţii datoriei Republicii Moldova</w:t>
      </w:r>
    </w:p>
    <w:p w:rsidR="00F9496F" w:rsidRPr="00C67AE0" w:rsidRDefault="00F9496F" w:rsidP="00F9496F">
      <w:pPr>
        <w:tabs>
          <w:tab w:val="left" w:pos="567"/>
        </w:tabs>
        <w:spacing w:after="0" w:line="240" w:lineRule="auto"/>
        <w:ind w:firstLine="709"/>
        <w:jc w:val="both"/>
        <w:rPr>
          <w:rFonts w:ascii="Times New Roman" w:eastAsia="Times New Roman" w:hAnsi="Times New Roman" w:cs="Times New Roman"/>
          <w:sz w:val="28"/>
          <w:szCs w:val="28"/>
          <w:lang w:val="ro-RO" w:eastAsia="ru-RU"/>
        </w:rPr>
      </w:pPr>
      <w:r w:rsidRPr="00C67AE0">
        <w:rPr>
          <w:rFonts w:ascii="Times New Roman" w:eastAsia="Times New Roman" w:hAnsi="Times New Roman" w:cs="Times New Roman"/>
          <w:bCs/>
          <w:sz w:val="28"/>
          <w:szCs w:val="28"/>
          <w:lang w:val="ro-RO" w:eastAsia="ru-RU"/>
        </w:rPr>
        <w:t>Analiza actualizată a sustenabilităţii datoriei Republicii Moldova a fost</w:t>
      </w:r>
      <w:r w:rsidRPr="00C67AE0">
        <w:rPr>
          <w:rFonts w:ascii="Times New Roman" w:eastAsia="Times New Roman" w:hAnsi="Times New Roman" w:cs="Times New Roman"/>
          <w:b/>
          <w:bCs/>
          <w:sz w:val="28"/>
          <w:szCs w:val="28"/>
          <w:lang w:val="ro-RO" w:eastAsia="ru-RU"/>
        </w:rPr>
        <w:t xml:space="preserve"> </w:t>
      </w:r>
      <w:r w:rsidRPr="00C67AE0">
        <w:rPr>
          <w:rFonts w:ascii="Times New Roman" w:eastAsia="Times New Roman" w:hAnsi="Times New Roman" w:cs="Times New Roman"/>
          <w:bCs/>
          <w:sz w:val="28"/>
          <w:szCs w:val="28"/>
          <w:lang w:val="ro-RO" w:eastAsia="ru-RU"/>
        </w:rPr>
        <w:t xml:space="preserve">elaborată de către Fondul Monetar Internaţional  în anul 2012 şi indică faptul că riscul de îndatorare rămîne scăzut, iar dinamica datoriei publice se încadrează în general în limite sigure. Cu toate acestea, vulnerabilitatea datoriei publice a crescut faţă de evaluarea precedentă, sub influenţa </w:t>
      </w:r>
      <w:r w:rsidRPr="00C67AE0">
        <w:rPr>
          <w:rFonts w:ascii="Times New Roman" w:eastAsia="Times New Roman" w:hAnsi="Times New Roman" w:cs="Times New Roman"/>
          <w:sz w:val="28"/>
          <w:szCs w:val="28"/>
          <w:lang w:val="ro-RO" w:eastAsia="ru-RU"/>
        </w:rPr>
        <w:t>înrăutăţirii condiţiilor mediului extern care a contribuit la diminuarea proiecţiilor indicatorilor macroeconomici pe termen mediu.</w:t>
      </w:r>
    </w:p>
    <w:p w:rsidR="00F9496F" w:rsidRPr="00F9496F" w:rsidRDefault="00F9496F" w:rsidP="00F9496F">
      <w:pPr>
        <w:spacing w:after="0" w:line="240" w:lineRule="auto"/>
        <w:ind w:firstLine="709"/>
        <w:jc w:val="both"/>
        <w:rPr>
          <w:rFonts w:ascii="Times New Roman" w:eastAsia="Times New Roman" w:hAnsi="Times New Roman" w:cs="Times New Roman"/>
          <w:sz w:val="28"/>
          <w:szCs w:val="28"/>
          <w:lang w:val="ro-RO" w:eastAsia="ru-RU"/>
        </w:rPr>
      </w:pPr>
      <w:r w:rsidRPr="00C67AE0">
        <w:rPr>
          <w:rFonts w:ascii="Times New Roman" w:eastAsia="Times New Roman" w:hAnsi="Times New Roman" w:cs="Times New Roman"/>
          <w:sz w:val="28"/>
          <w:szCs w:val="28"/>
          <w:lang w:val="ro-RO" w:eastAsia="ru-RU"/>
        </w:rPr>
        <w:t>Rezultatele analizei indică faptul că toţi indicatorii datoriei publice externe rămîn cu mult sub pragurile prevăzute în cazul tuturor scenariilor alternative. Analiza sugerează că dinamica datoriei publice se încadrează în limite sustenabile, cu excepţia existenţei unui şoc negativ semnificativ şi de lungă durată al creşterii economice. Cu toate acestea, autorităţile publice centrale şi locale ar trebui să continue o politică prudentă de atragere a finanţării.</w:t>
      </w:r>
      <w:bookmarkStart w:id="6" w:name="_Toc295653871"/>
      <w:bookmarkStart w:id="7" w:name="_Toc346609563"/>
    </w:p>
    <w:p w:rsidR="00F9496F" w:rsidRPr="00F9496F" w:rsidRDefault="00F9496F" w:rsidP="00F9496F">
      <w:pPr>
        <w:spacing w:after="0" w:line="240" w:lineRule="auto"/>
        <w:ind w:firstLine="600"/>
        <w:jc w:val="both"/>
        <w:rPr>
          <w:rFonts w:ascii="Times New Roman" w:eastAsia="Times New Roman" w:hAnsi="Times New Roman" w:cs="Times New Roman"/>
          <w:sz w:val="28"/>
          <w:lang w:val="ro-RO" w:eastAsia="ru-RU"/>
        </w:rPr>
      </w:pPr>
    </w:p>
    <w:p w:rsidR="00F9496F" w:rsidRPr="00284E13" w:rsidRDefault="00F9496F" w:rsidP="00284E13">
      <w:pPr>
        <w:keepNext/>
        <w:spacing w:after="0" w:line="240" w:lineRule="auto"/>
        <w:ind w:firstLine="709"/>
        <w:jc w:val="center"/>
        <w:outlineLvl w:val="0"/>
        <w:rPr>
          <w:rFonts w:ascii="Times New Roman" w:eastAsia="Times New Roman" w:hAnsi="Times New Roman" w:cs="Times New Roman"/>
          <w:b/>
          <w:kern w:val="32"/>
          <w:sz w:val="28"/>
          <w:lang w:val="ro-RO" w:eastAsia="ru-RU"/>
        </w:rPr>
      </w:pPr>
      <w:r w:rsidRPr="00284E13">
        <w:rPr>
          <w:rFonts w:ascii="Times New Roman" w:eastAsia="Times New Roman" w:hAnsi="Times New Roman" w:cs="Times New Roman"/>
          <w:b/>
          <w:kern w:val="32"/>
          <w:sz w:val="28"/>
          <w:lang w:val="ro-RO" w:eastAsia="ru-RU"/>
        </w:rPr>
        <w:t>Capitolul I</w:t>
      </w:r>
      <w:r w:rsidR="004A294E" w:rsidRPr="00284E13">
        <w:rPr>
          <w:rFonts w:ascii="Times New Roman" w:eastAsia="Times New Roman" w:hAnsi="Times New Roman" w:cs="Times New Roman"/>
          <w:b/>
          <w:kern w:val="32"/>
          <w:sz w:val="28"/>
          <w:lang w:val="ro-RO" w:eastAsia="ru-RU"/>
        </w:rPr>
        <w:t>V</w:t>
      </w:r>
      <w:r w:rsidRPr="00284E13">
        <w:rPr>
          <w:rFonts w:ascii="Times New Roman" w:eastAsia="Times New Roman" w:hAnsi="Times New Roman" w:cs="Times New Roman"/>
          <w:b/>
          <w:kern w:val="32"/>
          <w:sz w:val="28"/>
          <w:lang w:val="ro-RO" w:eastAsia="ru-RU"/>
        </w:rPr>
        <w:t>. Structura şi dinamica datoriei de stat a Republicii Moldova şi prognoze pe termen mediu</w:t>
      </w:r>
      <w:bookmarkEnd w:id="6"/>
      <w:bookmarkEnd w:id="7"/>
    </w:p>
    <w:p w:rsidR="00F9496F" w:rsidRPr="00284E13" w:rsidRDefault="00F9496F" w:rsidP="00284E13">
      <w:pPr>
        <w:spacing w:after="0" w:line="240" w:lineRule="auto"/>
        <w:ind w:firstLine="709"/>
        <w:rPr>
          <w:rFonts w:ascii="Times New Roman" w:eastAsia="Times New Roman" w:hAnsi="Times New Roman" w:cs="Times New Roman"/>
          <w:sz w:val="24"/>
          <w:szCs w:val="24"/>
          <w:lang w:val="ro-RO" w:eastAsia="ru-RU"/>
        </w:rPr>
      </w:pPr>
    </w:p>
    <w:p w:rsidR="00F9496F" w:rsidRPr="00284E13" w:rsidRDefault="00F9496F" w:rsidP="00284E13">
      <w:pPr>
        <w:keepNext/>
        <w:spacing w:after="0" w:line="240" w:lineRule="auto"/>
        <w:ind w:firstLine="709"/>
        <w:jc w:val="both"/>
        <w:outlineLvl w:val="1"/>
        <w:rPr>
          <w:rFonts w:ascii="Times New Roman" w:eastAsia="Times New Roman" w:hAnsi="Times New Roman" w:cs="Times New Roman"/>
          <w:b/>
          <w:bCs/>
          <w:iCs/>
          <w:sz w:val="28"/>
          <w:szCs w:val="28"/>
          <w:lang w:val="ro-RO" w:eastAsia="ru-RU"/>
        </w:rPr>
      </w:pPr>
      <w:bookmarkStart w:id="8" w:name="_Toc346609564"/>
      <w:r w:rsidRPr="00284E13">
        <w:rPr>
          <w:rFonts w:ascii="Times New Roman" w:eastAsia="Times New Roman" w:hAnsi="Times New Roman" w:cs="Times New Roman"/>
          <w:b/>
          <w:bCs/>
          <w:iCs/>
          <w:sz w:val="28"/>
          <w:szCs w:val="28"/>
          <w:lang w:val="ro-RO" w:eastAsia="ru-RU"/>
        </w:rPr>
        <w:t xml:space="preserve">Secţiunea 1. Instrumentele datoriei de stat </w:t>
      </w:r>
      <w:r w:rsidR="00D80348">
        <w:rPr>
          <w:rFonts w:ascii="Times New Roman" w:eastAsia="Times New Roman" w:hAnsi="Times New Roman" w:cs="Times New Roman"/>
          <w:b/>
          <w:bCs/>
          <w:iCs/>
          <w:sz w:val="28"/>
          <w:szCs w:val="28"/>
          <w:lang w:val="ro-RO" w:eastAsia="ru-RU"/>
        </w:rPr>
        <w:t>în</w:t>
      </w:r>
      <w:r w:rsidRPr="00284E13">
        <w:rPr>
          <w:rFonts w:ascii="Times New Roman" w:eastAsia="Times New Roman" w:hAnsi="Times New Roman" w:cs="Times New Roman"/>
          <w:b/>
          <w:bCs/>
          <w:iCs/>
          <w:sz w:val="28"/>
          <w:szCs w:val="28"/>
          <w:lang w:val="ro-RO" w:eastAsia="ru-RU"/>
        </w:rPr>
        <w:t xml:space="preserve"> perioada anilor 201</w:t>
      </w:r>
      <w:r w:rsidR="0011388B">
        <w:rPr>
          <w:rFonts w:ascii="Times New Roman" w:eastAsia="Times New Roman" w:hAnsi="Times New Roman" w:cs="Times New Roman"/>
          <w:b/>
          <w:bCs/>
          <w:iCs/>
          <w:sz w:val="28"/>
          <w:szCs w:val="28"/>
          <w:lang w:val="ro-RO" w:eastAsia="ru-RU"/>
        </w:rPr>
        <w:t>2</w:t>
      </w:r>
      <w:r w:rsidRPr="00284E13">
        <w:rPr>
          <w:rFonts w:ascii="Times New Roman" w:eastAsia="Times New Roman" w:hAnsi="Times New Roman" w:cs="Times New Roman"/>
          <w:b/>
          <w:bCs/>
          <w:iCs/>
          <w:sz w:val="28"/>
          <w:szCs w:val="28"/>
          <w:lang w:val="ro-RO" w:eastAsia="ru-RU"/>
        </w:rPr>
        <w:t>-201</w:t>
      </w:r>
      <w:bookmarkEnd w:id="8"/>
      <w:r w:rsidR="0011388B">
        <w:rPr>
          <w:rFonts w:ascii="Times New Roman" w:eastAsia="Times New Roman" w:hAnsi="Times New Roman" w:cs="Times New Roman"/>
          <w:b/>
          <w:bCs/>
          <w:iCs/>
          <w:sz w:val="28"/>
          <w:szCs w:val="28"/>
          <w:lang w:val="ro-RO" w:eastAsia="ru-RU"/>
        </w:rPr>
        <w:t>3</w:t>
      </w:r>
    </w:p>
    <w:p w:rsidR="00F9496F" w:rsidRPr="00284E13" w:rsidRDefault="00F9496F" w:rsidP="00284E13">
      <w:pPr>
        <w:tabs>
          <w:tab w:val="left" w:pos="0"/>
        </w:tabs>
        <w:spacing w:after="0" w:line="240" w:lineRule="auto"/>
        <w:ind w:firstLine="709"/>
        <w:jc w:val="both"/>
        <w:rPr>
          <w:rFonts w:ascii="Times New Roman" w:eastAsia="Times New Roman" w:hAnsi="Times New Roman" w:cs="Times New Roman"/>
          <w:noProof/>
          <w:sz w:val="28"/>
          <w:szCs w:val="28"/>
          <w:lang w:val="ro-RO" w:eastAsia="ru-RU"/>
        </w:rPr>
      </w:pPr>
      <w:r w:rsidRPr="00284E13">
        <w:rPr>
          <w:rFonts w:ascii="Times New Roman" w:eastAsia="Times New Roman" w:hAnsi="Times New Roman" w:cs="Times New Roman"/>
          <w:noProof/>
          <w:sz w:val="28"/>
          <w:szCs w:val="28"/>
          <w:lang w:val="ro-RO" w:eastAsia="ru-RU"/>
        </w:rPr>
        <w:t>Instrumentele datoriei de stat externe,</w:t>
      </w:r>
      <w:r w:rsidRPr="00284E13">
        <w:rPr>
          <w:rFonts w:ascii="Times New Roman" w:eastAsia="Times New Roman" w:hAnsi="Times New Roman" w:cs="Times New Roman"/>
          <w:b/>
          <w:noProof/>
          <w:sz w:val="28"/>
          <w:szCs w:val="28"/>
          <w:lang w:val="ro-RO" w:eastAsia="ru-RU"/>
        </w:rPr>
        <w:t xml:space="preserve"> </w:t>
      </w:r>
      <w:r w:rsidRPr="00284E13">
        <w:rPr>
          <w:rFonts w:ascii="Times New Roman" w:eastAsia="Times New Roman" w:hAnsi="Times New Roman" w:cs="Times New Roman"/>
          <w:noProof/>
          <w:sz w:val="28"/>
          <w:szCs w:val="28"/>
          <w:lang w:val="ro-RO" w:eastAsia="ru-RU"/>
        </w:rPr>
        <w:t>în perioada anilor 201</w:t>
      </w:r>
      <w:r w:rsidR="0011388B">
        <w:rPr>
          <w:rFonts w:ascii="Times New Roman" w:eastAsia="Times New Roman" w:hAnsi="Times New Roman" w:cs="Times New Roman"/>
          <w:noProof/>
          <w:sz w:val="28"/>
          <w:szCs w:val="28"/>
          <w:lang w:val="ro-RO" w:eastAsia="ru-RU"/>
        </w:rPr>
        <w:t>2</w:t>
      </w:r>
      <w:r w:rsidRPr="00284E13">
        <w:rPr>
          <w:rFonts w:ascii="Times New Roman" w:eastAsia="Times New Roman" w:hAnsi="Times New Roman" w:cs="Times New Roman"/>
          <w:noProof/>
          <w:sz w:val="28"/>
          <w:szCs w:val="28"/>
          <w:lang w:val="ro-RO" w:eastAsia="ru-RU"/>
        </w:rPr>
        <w:t>-201</w:t>
      </w:r>
      <w:r w:rsidR="0011388B">
        <w:rPr>
          <w:rFonts w:ascii="Times New Roman" w:eastAsia="Times New Roman" w:hAnsi="Times New Roman" w:cs="Times New Roman"/>
          <w:noProof/>
          <w:sz w:val="28"/>
          <w:szCs w:val="28"/>
          <w:lang w:val="ro-RO" w:eastAsia="ru-RU"/>
        </w:rPr>
        <w:t>3</w:t>
      </w:r>
      <w:r w:rsidRPr="00284E13">
        <w:rPr>
          <w:rFonts w:ascii="Times New Roman" w:eastAsia="Times New Roman" w:hAnsi="Times New Roman" w:cs="Times New Roman"/>
          <w:noProof/>
          <w:sz w:val="28"/>
          <w:szCs w:val="28"/>
          <w:lang w:val="ro-RO" w:eastAsia="ru-RU"/>
        </w:rPr>
        <w:t>, au fost următoarele:</w:t>
      </w:r>
      <w:r w:rsidRPr="00284E13">
        <w:rPr>
          <w:rFonts w:ascii="Times New Roman" w:eastAsia="Times New Roman" w:hAnsi="Times New Roman" w:cs="Times New Roman"/>
          <w:b/>
          <w:noProof/>
          <w:sz w:val="28"/>
          <w:szCs w:val="28"/>
          <w:lang w:val="ro-RO" w:eastAsia="ru-RU"/>
        </w:rPr>
        <w:t xml:space="preserve"> </w:t>
      </w:r>
    </w:p>
    <w:p w:rsidR="00F9496F" w:rsidRPr="00284E13" w:rsidRDefault="00F9496F" w:rsidP="00284E13">
      <w:pPr>
        <w:tabs>
          <w:tab w:val="left" w:pos="993"/>
        </w:tabs>
        <w:spacing w:after="0" w:line="240" w:lineRule="auto"/>
        <w:ind w:firstLine="709"/>
        <w:jc w:val="both"/>
        <w:rPr>
          <w:rFonts w:ascii="Times New Roman" w:eastAsia="Times New Roman" w:hAnsi="Times New Roman" w:cs="Times New Roman"/>
          <w:noProof/>
          <w:sz w:val="28"/>
          <w:szCs w:val="28"/>
          <w:lang w:val="ro-RO" w:eastAsia="ru-RU"/>
        </w:rPr>
      </w:pPr>
      <w:r w:rsidRPr="00284E13">
        <w:rPr>
          <w:rFonts w:ascii="Times New Roman" w:eastAsia="Times New Roman" w:hAnsi="Times New Roman" w:cs="Times New Roman"/>
          <w:b/>
          <w:i/>
          <w:noProof/>
          <w:sz w:val="28"/>
          <w:szCs w:val="28"/>
          <w:lang w:val="ro-RO" w:eastAsia="ru-RU"/>
        </w:rPr>
        <w:t>1) Împrumuturi de stat externe.</w:t>
      </w:r>
      <w:r w:rsidRPr="00284E13">
        <w:rPr>
          <w:rFonts w:ascii="Times New Roman" w:eastAsia="Times New Roman" w:hAnsi="Times New Roman" w:cs="Times New Roman"/>
          <w:b/>
          <w:noProof/>
          <w:sz w:val="28"/>
          <w:szCs w:val="28"/>
          <w:lang w:val="ro-RO" w:eastAsia="ru-RU"/>
        </w:rPr>
        <w:t xml:space="preserve"> </w:t>
      </w:r>
      <w:r w:rsidRPr="00284E13">
        <w:rPr>
          <w:rFonts w:ascii="Times New Roman" w:eastAsia="Times New Roman" w:hAnsi="Times New Roman" w:cs="Times New Roman"/>
          <w:noProof/>
          <w:sz w:val="28"/>
          <w:szCs w:val="28"/>
          <w:lang w:val="ro-RO" w:eastAsia="ru-RU"/>
        </w:rPr>
        <w:t>Pe parcursul anilor 201</w:t>
      </w:r>
      <w:r w:rsidR="0011388B">
        <w:rPr>
          <w:rFonts w:ascii="Times New Roman" w:eastAsia="Times New Roman" w:hAnsi="Times New Roman" w:cs="Times New Roman"/>
          <w:noProof/>
          <w:sz w:val="28"/>
          <w:szCs w:val="28"/>
          <w:lang w:val="ro-RO" w:eastAsia="ru-RU"/>
        </w:rPr>
        <w:t>2</w:t>
      </w:r>
      <w:r w:rsidRPr="00284E13">
        <w:rPr>
          <w:rFonts w:ascii="Times New Roman" w:eastAsia="Times New Roman" w:hAnsi="Times New Roman" w:cs="Times New Roman"/>
          <w:noProof/>
          <w:sz w:val="28"/>
          <w:szCs w:val="28"/>
          <w:lang w:val="ro-RO" w:eastAsia="ru-RU"/>
        </w:rPr>
        <w:t>-201</w:t>
      </w:r>
      <w:r w:rsidR="0011388B">
        <w:rPr>
          <w:rFonts w:ascii="Times New Roman" w:eastAsia="Times New Roman" w:hAnsi="Times New Roman" w:cs="Times New Roman"/>
          <w:noProof/>
          <w:sz w:val="28"/>
          <w:szCs w:val="28"/>
          <w:lang w:val="ro-RO" w:eastAsia="ru-RU"/>
        </w:rPr>
        <w:t>3</w:t>
      </w:r>
      <w:r w:rsidRPr="00284E13">
        <w:rPr>
          <w:rFonts w:ascii="Times New Roman" w:eastAsia="Times New Roman" w:hAnsi="Times New Roman" w:cs="Times New Roman"/>
          <w:noProof/>
          <w:sz w:val="28"/>
          <w:szCs w:val="28"/>
          <w:lang w:val="ro-RO" w:eastAsia="ru-RU"/>
        </w:rPr>
        <w:t xml:space="preserve">, împrumuturile de stat au ocupat ponderea majoritară în structura datoriei de stat externe. </w:t>
      </w:r>
      <w:r w:rsidR="00A55F44">
        <w:rPr>
          <w:rFonts w:ascii="Times New Roman" w:eastAsia="Times New Roman" w:hAnsi="Times New Roman" w:cs="Times New Roman"/>
          <w:noProof/>
          <w:sz w:val="28"/>
          <w:szCs w:val="28"/>
          <w:lang w:val="ro-RO" w:eastAsia="ru-RU"/>
        </w:rPr>
        <w:t>Soldul acestora s-a majo</w:t>
      </w:r>
      <w:r w:rsidR="00EC33CF">
        <w:rPr>
          <w:rFonts w:ascii="Times New Roman" w:eastAsia="Times New Roman" w:hAnsi="Times New Roman" w:cs="Times New Roman"/>
          <w:noProof/>
          <w:sz w:val="28"/>
          <w:szCs w:val="28"/>
          <w:lang w:val="ro-RO" w:eastAsia="ru-RU"/>
        </w:rPr>
        <w:t>rat la sfîrşitul anului 201</w:t>
      </w:r>
      <w:r w:rsidR="00BF3938">
        <w:rPr>
          <w:rFonts w:ascii="Times New Roman" w:eastAsia="Times New Roman" w:hAnsi="Times New Roman" w:cs="Times New Roman"/>
          <w:noProof/>
          <w:sz w:val="28"/>
          <w:szCs w:val="28"/>
          <w:lang w:val="ro-RO" w:eastAsia="ru-RU"/>
        </w:rPr>
        <w:t>3</w:t>
      </w:r>
      <w:r w:rsidR="00EC33CF">
        <w:rPr>
          <w:rFonts w:ascii="Times New Roman" w:eastAsia="Times New Roman" w:hAnsi="Times New Roman" w:cs="Times New Roman"/>
          <w:noProof/>
          <w:sz w:val="28"/>
          <w:szCs w:val="28"/>
          <w:lang w:val="ro-RO" w:eastAsia="ru-RU"/>
        </w:rPr>
        <w:t xml:space="preserve"> </w:t>
      </w:r>
      <w:r w:rsidR="00A55F44">
        <w:rPr>
          <w:rFonts w:ascii="Times New Roman" w:eastAsia="Times New Roman" w:hAnsi="Times New Roman" w:cs="Times New Roman"/>
          <w:noProof/>
          <w:sz w:val="28"/>
          <w:szCs w:val="28"/>
          <w:lang w:val="ro-RO" w:eastAsia="ru-RU"/>
        </w:rPr>
        <w:t xml:space="preserve">cu </w:t>
      </w:r>
      <w:r w:rsidR="00A55F44" w:rsidRPr="00BF3938">
        <w:rPr>
          <w:rFonts w:ascii="Times New Roman" w:eastAsia="Times New Roman" w:hAnsi="Times New Roman" w:cs="Times New Roman"/>
          <w:noProof/>
          <w:sz w:val="28"/>
          <w:szCs w:val="28"/>
          <w:lang w:val="ro-RO" w:eastAsia="ru-RU"/>
        </w:rPr>
        <w:t>1</w:t>
      </w:r>
      <w:r w:rsidR="00BF3938" w:rsidRPr="00BF3938">
        <w:rPr>
          <w:rFonts w:ascii="Times New Roman" w:eastAsia="Times New Roman" w:hAnsi="Times New Roman" w:cs="Times New Roman"/>
          <w:noProof/>
          <w:sz w:val="28"/>
          <w:szCs w:val="28"/>
          <w:lang w:val="ro-RO" w:eastAsia="ru-RU"/>
        </w:rPr>
        <w:t>3</w:t>
      </w:r>
      <w:r w:rsidR="00A55F44" w:rsidRPr="00BF3938">
        <w:rPr>
          <w:rFonts w:ascii="Times New Roman" w:eastAsia="Times New Roman" w:hAnsi="Times New Roman" w:cs="Times New Roman"/>
          <w:noProof/>
          <w:sz w:val="28"/>
          <w:szCs w:val="28"/>
          <w:lang w:val="ro-RO" w:eastAsia="ru-RU"/>
        </w:rPr>
        <w:t>,</w:t>
      </w:r>
      <w:r w:rsidR="00BF3938" w:rsidRPr="00BF3938">
        <w:rPr>
          <w:rFonts w:ascii="Times New Roman" w:eastAsia="Times New Roman" w:hAnsi="Times New Roman" w:cs="Times New Roman"/>
          <w:noProof/>
          <w:sz w:val="28"/>
          <w:szCs w:val="28"/>
          <w:lang w:val="ro-RO" w:eastAsia="ru-RU"/>
        </w:rPr>
        <w:t>0</w:t>
      </w:r>
      <w:r w:rsidR="00A55F44" w:rsidRPr="00BF3938">
        <w:rPr>
          <w:rFonts w:ascii="Times New Roman" w:eastAsia="Times New Roman" w:hAnsi="Times New Roman" w:cs="Times New Roman"/>
          <w:noProof/>
          <w:sz w:val="28"/>
          <w:szCs w:val="28"/>
          <w:lang w:val="ro-RO" w:eastAsia="ru-RU"/>
        </w:rPr>
        <w:t xml:space="preserve"> la sută</w:t>
      </w:r>
      <w:r w:rsidR="00A55F44">
        <w:rPr>
          <w:rFonts w:ascii="Times New Roman" w:eastAsia="Times New Roman" w:hAnsi="Times New Roman" w:cs="Times New Roman"/>
          <w:noProof/>
          <w:sz w:val="28"/>
          <w:szCs w:val="28"/>
          <w:lang w:val="ro-RO" w:eastAsia="ru-RU"/>
        </w:rPr>
        <w:t xml:space="preserve"> comparativ cu perioada similară a anului 201</w:t>
      </w:r>
      <w:r w:rsidR="00BF3938">
        <w:rPr>
          <w:rFonts w:ascii="Times New Roman" w:eastAsia="Times New Roman" w:hAnsi="Times New Roman" w:cs="Times New Roman"/>
          <w:noProof/>
          <w:sz w:val="28"/>
          <w:szCs w:val="28"/>
          <w:lang w:val="ro-RO" w:eastAsia="ru-RU"/>
        </w:rPr>
        <w:t>2</w:t>
      </w:r>
      <w:r w:rsidR="00A55F44">
        <w:rPr>
          <w:rFonts w:ascii="Times New Roman" w:eastAsia="Times New Roman" w:hAnsi="Times New Roman" w:cs="Times New Roman"/>
          <w:noProof/>
          <w:sz w:val="28"/>
          <w:szCs w:val="28"/>
          <w:lang w:val="ro-RO" w:eastAsia="ru-RU"/>
        </w:rPr>
        <w:t xml:space="preserve">. </w:t>
      </w:r>
      <w:r w:rsidRPr="00284E13">
        <w:rPr>
          <w:rFonts w:ascii="Times New Roman" w:eastAsia="Times New Roman" w:hAnsi="Times New Roman" w:cs="Times New Roman"/>
          <w:noProof/>
          <w:sz w:val="28"/>
          <w:szCs w:val="28"/>
          <w:lang w:val="ro-RO" w:eastAsia="ru-RU"/>
        </w:rPr>
        <w:t>În ce priveşte structura</w:t>
      </w:r>
      <w:r w:rsidR="00A410C1">
        <w:rPr>
          <w:rFonts w:ascii="Times New Roman" w:eastAsia="Times New Roman" w:hAnsi="Times New Roman" w:cs="Times New Roman"/>
          <w:noProof/>
          <w:sz w:val="28"/>
          <w:szCs w:val="28"/>
          <w:lang w:val="ro-RO" w:eastAsia="ru-RU"/>
        </w:rPr>
        <w:t xml:space="preserve"> pe creditori a</w:t>
      </w:r>
      <w:r w:rsidRPr="00284E13">
        <w:rPr>
          <w:rFonts w:ascii="Times New Roman" w:eastAsia="Times New Roman" w:hAnsi="Times New Roman" w:cs="Times New Roman"/>
          <w:noProof/>
          <w:sz w:val="28"/>
          <w:szCs w:val="28"/>
          <w:lang w:val="ro-RO" w:eastAsia="ru-RU"/>
        </w:rPr>
        <w:t xml:space="preserve"> împrumuturilor de stat externe, acestea sînt preponderent de la instituţiile multilaterale, care, </w:t>
      </w:r>
      <w:r w:rsidRPr="00BF3938">
        <w:rPr>
          <w:rFonts w:ascii="Times New Roman" w:eastAsia="Times New Roman" w:hAnsi="Times New Roman" w:cs="Times New Roman"/>
          <w:noProof/>
          <w:sz w:val="28"/>
          <w:szCs w:val="28"/>
          <w:lang w:val="ro-RO" w:eastAsia="ru-RU"/>
        </w:rPr>
        <w:t>conform situaţiei de la sfîrşitul anului 201</w:t>
      </w:r>
      <w:r w:rsidR="00BF3938" w:rsidRPr="00BF3938">
        <w:rPr>
          <w:rFonts w:ascii="Times New Roman" w:eastAsia="Times New Roman" w:hAnsi="Times New Roman" w:cs="Times New Roman"/>
          <w:noProof/>
          <w:sz w:val="28"/>
          <w:szCs w:val="28"/>
          <w:lang w:val="ro-RO" w:eastAsia="ru-RU"/>
        </w:rPr>
        <w:t>3</w:t>
      </w:r>
      <w:r w:rsidRPr="00BF3938">
        <w:rPr>
          <w:rFonts w:ascii="Times New Roman" w:eastAsia="Times New Roman" w:hAnsi="Times New Roman" w:cs="Times New Roman"/>
          <w:noProof/>
          <w:sz w:val="28"/>
          <w:szCs w:val="28"/>
          <w:lang w:val="ro-RO" w:eastAsia="ru-RU"/>
        </w:rPr>
        <w:t xml:space="preserve">, au constituit </w:t>
      </w:r>
      <w:r w:rsidR="00EF32AC" w:rsidRPr="00BF3938">
        <w:rPr>
          <w:rFonts w:ascii="Times New Roman" w:eastAsia="Times New Roman" w:hAnsi="Times New Roman" w:cs="Times New Roman"/>
          <w:noProof/>
          <w:sz w:val="28"/>
          <w:szCs w:val="28"/>
          <w:lang w:val="ro-RO" w:eastAsia="ru-RU"/>
        </w:rPr>
        <w:t>8</w:t>
      </w:r>
      <w:r w:rsidR="00BF3938" w:rsidRPr="00BF3938">
        <w:rPr>
          <w:rFonts w:ascii="Times New Roman" w:eastAsia="Times New Roman" w:hAnsi="Times New Roman" w:cs="Times New Roman"/>
          <w:noProof/>
          <w:sz w:val="28"/>
          <w:szCs w:val="28"/>
          <w:lang w:val="ro-RO" w:eastAsia="ru-RU"/>
        </w:rPr>
        <w:t>3</w:t>
      </w:r>
      <w:r w:rsidRPr="00BF3938">
        <w:rPr>
          <w:rFonts w:ascii="Times New Roman" w:eastAsia="Times New Roman" w:hAnsi="Times New Roman" w:cs="Times New Roman"/>
          <w:noProof/>
          <w:sz w:val="28"/>
          <w:szCs w:val="28"/>
          <w:lang w:val="ro-RO" w:eastAsia="ru-RU"/>
        </w:rPr>
        <w:t>,</w:t>
      </w:r>
      <w:r w:rsidR="00BF3938" w:rsidRPr="00BF3938">
        <w:rPr>
          <w:rFonts w:ascii="Times New Roman" w:eastAsia="Times New Roman" w:hAnsi="Times New Roman" w:cs="Times New Roman"/>
          <w:noProof/>
          <w:sz w:val="28"/>
          <w:szCs w:val="28"/>
          <w:lang w:val="ro-RO" w:eastAsia="ru-RU"/>
        </w:rPr>
        <w:t>8</w:t>
      </w:r>
      <w:r w:rsidRPr="00BF3938">
        <w:rPr>
          <w:rFonts w:ascii="Times New Roman" w:eastAsia="Times New Roman" w:hAnsi="Times New Roman" w:cs="Times New Roman"/>
          <w:noProof/>
          <w:sz w:val="28"/>
          <w:szCs w:val="28"/>
          <w:lang w:val="ro-RO" w:eastAsia="ru-RU"/>
        </w:rPr>
        <w:t xml:space="preserve"> la sută</w:t>
      </w:r>
      <w:r w:rsidR="00BF3938">
        <w:rPr>
          <w:rFonts w:ascii="Times New Roman" w:eastAsia="Times New Roman" w:hAnsi="Times New Roman" w:cs="Times New Roman"/>
          <w:noProof/>
          <w:sz w:val="28"/>
          <w:szCs w:val="28"/>
          <w:lang w:val="ro-RO" w:eastAsia="ru-RU"/>
        </w:rPr>
        <w:t xml:space="preserve"> din soldul împrumuturilor de stat externe</w:t>
      </w:r>
      <w:r w:rsidRPr="00BF3938">
        <w:rPr>
          <w:rFonts w:ascii="Times New Roman" w:eastAsia="Times New Roman" w:hAnsi="Times New Roman" w:cs="Times New Roman"/>
          <w:noProof/>
          <w:sz w:val="28"/>
          <w:szCs w:val="28"/>
          <w:lang w:val="ro-RO" w:eastAsia="ru-RU"/>
        </w:rPr>
        <w:t>.</w:t>
      </w:r>
      <w:r w:rsidRPr="00284E13">
        <w:rPr>
          <w:rFonts w:ascii="Times New Roman" w:eastAsia="Times New Roman" w:hAnsi="Times New Roman" w:cs="Times New Roman"/>
          <w:noProof/>
          <w:sz w:val="28"/>
          <w:szCs w:val="28"/>
          <w:lang w:val="ro-RO" w:eastAsia="ru-RU"/>
        </w:rPr>
        <w:t xml:space="preserve"> Potrivit destinaţiei, împrumuturile de stat externe au fost îndreptate </w:t>
      </w:r>
      <w:r w:rsidR="00EF32AC">
        <w:rPr>
          <w:rFonts w:ascii="Times New Roman" w:eastAsia="Times New Roman" w:hAnsi="Times New Roman" w:cs="Times New Roman"/>
          <w:noProof/>
          <w:sz w:val="28"/>
          <w:szCs w:val="28"/>
          <w:lang w:val="ro-RO" w:eastAsia="ru-RU"/>
        </w:rPr>
        <w:t xml:space="preserve">într-o măsură mai mare </w:t>
      </w:r>
      <w:r w:rsidRPr="00284E13">
        <w:rPr>
          <w:rFonts w:ascii="Times New Roman" w:eastAsia="Times New Roman" w:hAnsi="Times New Roman" w:cs="Times New Roman"/>
          <w:noProof/>
          <w:sz w:val="28"/>
          <w:szCs w:val="28"/>
          <w:lang w:val="ro-RO" w:eastAsia="ru-RU"/>
        </w:rPr>
        <w:t>finanţ</w:t>
      </w:r>
      <w:r w:rsidR="00EF32AC">
        <w:rPr>
          <w:rFonts w:ascii="Times New Roman" w:eastAsia="Times New Roman" w:hAnsi="Times New Roman" w:cs="Times New Roman"/>
          <w:noProof/>
          <w:sz w:val="28"/>
          <w:szCs w:val="28"/>
          <w:lang w:val="ro-RO" w:eastAsia="ru-RU"/>
        </w:rPr>
        <w:t>ă</w:t>
      </w:r>
      <w:r w:rsidRPr="00284E13">
        <w:rPr>
          <w:rFonts w:ascii="Times New Roman" w:eastAsia="Times New Roman" w:hAnsi="Times New Roman" w:cs="Times New Roman"/>
          <w:noProof/>
          <w:sz w:val="28"/>
          <w:szCs w:val="28"/>
          <w:lang w:val="ro-RO" w:eastAsia="ru-RU"/>
        </w:rPr>
        <w:t>r</w:t>
      </w:r>
      <w:r w:rsidR="00EF32AC">
        <w:rPr>
          <w:rFonts w:ascii="Times New Roman" w:eastAsia="Times New Roman" w:hAnsi="Times New Roman" w:cs="Times New Roman"/>
          <w:noProof/>
          <w:sz w:val="28"/>
          <w:szCs w:val="28"/>
          <w:lang w:val="ro-RO" w:eastAsia="ru-RU"/>
        </w:rPr>
        <w:t>ii</w:t>
      </w:r>
      <w:r w:rsidRPr="00284E13">
        <w:rPr>
          <w:rFonts w:ascii="Times New Roman" w:eastAsia="Times New Roman" w:hAnsi="Times New Roman" w:cs="Times New Roman"/>
          <w:noProof/>
          <w:sz w:val="28"/>
          <w:szCs w:val="28"/>
          <w:lang w:val="ro-RO" w:eastAsia="ru-RU"/>
        </w:rPr>
        <w:t xml:space="preserve"> proiectelor, </w:t>
      </w:r>
      <w:r w:rsidR="00EF32AC">
        <w:rPr>
          <w:rFonts w:ascii="Times New Roman" w:eastAsia="Times New Roman" w:hAnsi="Times New Roman" w:cs="Times New Roman"/>
          <w:noProof/>
          <w:sz w:val="28"/>
          <w:szCs w:val="28"/>
          <w:lang w:val="ro-RO" w:eastAsia="ru-RU"/>
        </w:rPr>
        <w:t>dar</w:t>
      </w:r>
      <w:r w:rsidRPr="00284E13">
        <w:rPr>
          <w:rFonts w:ascii="Times New Roman" w:eastAsia="Times New Roman" w:hAnsi="Times New Roman" w:cs="Times New Roman"/>
          <w:noProof/>
          <w:sz w:val="28"/>
          <w:szCs w:val="28"/>
          <w:lang w:val="ro-RO" w:eastAsia="ru-RU"/>
        </w:rPr>
        <w:t xml:space="preserve"> şi pentru suport bugetar. </w:t>
      </w:r>
    </w:p>
    <w:tbl>
      <w:tblPr>
        <w:tblW w:w="0" w:type="auto"/>
        <w:tblInd w:w="108" w:type="dxa"/>
        <w:tblBorders>
          <w:top w:val="single" w:sz="8" w:space="0" w:color="4F81BD"/>
          <w:bottom w:val="single" w:sz="8" w:space="0" w:color="4F81BD"/>
        </w:tblBorders>
        <w:tblLook w:val="00A0"/>
      </w:tblPr>
      <w:tblGrid>
        <w:gridCol w:w="9356"/>
      </w:tblGrid>
      <w:tr w:rsidR="00F9496F" w:rsidRPr="00C32CBE" w:rsidTr="00284E13">
        <w:trPr>
          <w:trHeight w:val="160"/>
        </w:trPr>
        <w:tc>
          <w:tcPr>
            <w:tcW w:w="9356" w:type="dxa"/>
            <w:tcBorders>
              <w:top w:val="double" w:sz="4" w:space="0" w:color="365F91"/>
              <w:left w:val="double" w:sz="4" w:space="0" w:color="365F91"/>
              <w:bottom w:val="double" w:sz="4" w:space="0" w:color="365F91"/>
              <w:right w:val="double" w:sz="4" w:space="0" w:color="365F91"/>
            </w:tcBorders>
          </w:tcPr>
          <w:p w:rsidR="00F9496F" w:rsidRPr="00F9496F" w:rsidRDefault="001474AD" w:rsidP="004C50ED">
            <w:pPr>
              <w:spacing w:after="0" w:line="240" w:lineRule="auto"/>
              <w:ind w:left="34"/>
              <w:jc w:val="right"/>
              <w:rPr>
                <w:rFonts w:ascii="Times New Roman" w:eastAsia="Times New Roman" w:hAnsi="Times New Roman" w:cs="Times New Roman"/>
                <w:b/>
                <w:bCs/>
                <w:noProof/>
                <w:color w:val="365F91"/>
                <w:sz w:val="28"/>
                <w:szCs w:val="28"/>
                <w:lang w:val="ro-RO" w:eastAsia="ru-RU"/>
              </w:rPr>
            </w:pPr>
            <w:r w:rsidRPr="001474AD">
              <w:rPr>
                <w:rFonts w:ascii="Times New Roman" w:eastAsia="Times New Roman" w:hAnsi="Times New Roman" w:cs="Times New Roman"/>
                <w:noProof/>
                <w:sz w:val="24"/>
                <w:szCs w:val="24"/>
                <w:lang w:val="ru-RU" w:eastAsia="ru-RU"/>
              </w:rPr>
              <w:pict>
                <v:shapetype id="_x0000_t202" coordsize="21600,21600" o:spt="202" path="m,l,21600r21600,l21600,xe">
                  <v:stroke joinstyle="miter"/>
                  <v:path gradientshapeok="t" o:connecttype="rect"/>
                </v:shapetype>
                <v:shape id="_x0000_s1045" type="#_x0000_t202" style="position:absolute;left:0;text-align:left;margin-left:16.45pt;margin-top:5.45pt;width:175.5pt;height:58.95pt;z-index:251661312;mso-position-horizontal-relative:text;mso-position-vertical-relative:text" strokecolor="white">
                  <v:textbox style="mso-next-textbox:#_x0000_s1045">
                    <w:txbxContent>
                      <w:p w:rsidR="005F58E5" w:rsidRPr="003626AE" w:rsidRDefault="005F58E5" w:rsidP="003626AE">
                        <w:pPr>
                          <w:spacing w:after="0" w:line="240" w:lineRule="auto"/>
                          <w:rPr>
                            <w:rFonts w:ascii="Times New Roman" w:hAnsi="Times New Roman" w:cs="Times New Roman"/>
                            <w:b/>
                            <w:sz w:val="24"/>
                            <w:lang w:val="ro-RO"/>
                          </w:rPr>
                        </w:pPr>
                        <w:r w:rsidRPr="003626AE">
                          <w:rPr>
                            <w:rFonts w:ascii="Times New Roman" w:hAnsi="Times New Roman" w:cs="Times New Roman"/>
                            <w:b/>
                            <w:sz w:val="24"/>
                            <w:lang w:val="ro-RO"/>
                          </w:rPr>
                          <w:t xml:space="preserve">Structura datoriei de stat externe pe instrumente, </w:t>
                        </w:r>
                      </w:p>
                      <w:p w:rsidR="005F58E5" w:rsidRPr="003626AE" w:rsidRDefault="005F58E5" w:rsidP="003626AE">
                        <w:pPr>
                          <w:spacing w:after="0" w:line="240" w:lineRule="auto"/>
                          <w:rPr>
                            <w:rFonts w:ascii="Times New Roman" w:hAnsi="Times New Roman" w:cs="Times New Roman"/>
                            <w:b/>
                            <w:sz w:val="24"/>
                            <w:lang w:val="ro-RO"/>
                          </w:rPr>
                        </w:pPr>
                        <w:r w:rsidRPr="003626AE">
                          <w:rPr>
                            <w:rFonts w:ascii="Times New Roman" w:hAnsi="Times New Roman" w:cs="Times New Roman"/>
                            <w:b/>
                            <w:sz w:val="24"/>
                            <w:lang w:val="ro-RO"/>
                          </w:rPr>
                          <w:t>201</w:t>
                        </w:r>
                        <w:r>
                          <w:rPr>
                            <w:rFonts w:ascii="Times New Roman" w:hAnsi="Times New Roman" w:cs="Times New Roman"/>
                            <w:b/>
                            <w:sz w:val="24"/>
                            <w:lang w:val="ro-RO"/>
                          </w:rPr>
                          <w:t>2</w:t>
                        </w:r>
                        <w:r w:rsidRPr="003626AE">
                          <w:rPr>
                            <w:rFonts w:ascii="Times New Roman" w:hAnsi="Times New Roman" w:cs="Times New Roman"/>
                            <w:b/>
                            <w:sz w:val="24"/>
                            <w:lang w:val="ro-RO"/>
                          </w:rPr>
                          <w:t>-201</w:t>
                        </w:r>
                        <w:r>
                          <w:rPr>
                            <w:rFonts w:ascii="Times New Roman" w:hAnsi="Times New Roman" w:cs="Times New Roman"/>
                            <w:b/>
                            <w:sz w:val="24"/>
                            <w:lang w:val="ro-RO"/>
                          </w:rPr>
                          <w:t>3 (%)</w:t>
                        </w:r>
                      </w:p>
                    </w:txbxContent>
                  </v:textbox>
                </v:shape>
              </w:pict>
            </w:r>
            <w:r w:rsidR="004C50ED">
              <w:rPr>
                <w:rFonts w:ascii="Times New Roman" w:eastAsia="Times New Roman" w:hAnsi="Times New Roman" w:cs="Times New Roman"/>
                <w:b/>
                <w:bCs/>
                <w:noProof/>
                <w:color w:val="365F91"/>
                <w:sz w:val="28"/>
                <w:szCs w:val="28"/>
              </w:rPr>
              <w:drawing>
                <wp:inline distT="0" distB="0" distL="0" distR="0">
                  <wp:extent cx="2536466" cy="1469315"/>
                  <wp:effectExtent l="1905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2540073" cy="1471404"/>
                          </a:xfrm>
                          <a:prstGeom prst="rect">
                            <a:avLst/>
                          </a:prstGeom>
                          <a:noFill/>
                        </pic:spPr>
                      </pic:pic>
                    </a:graphicData>
                  </a:graphic>
                </wp:inline>
              </w:drawing>
            </w:r>
          </w:p>
        </w:tc>
      </w:tr>
    </w:tbl>
    <w:p w:rsidR="00D80348" w:rsidRPr="00D80348" w:rsidRDefault="00F9496F" w:rsidP="005F06AC">
      <w:pPr>
        <w:numPr>
          <w:ilvl w:val="0"/>
          <w:numId w:val="9"/>
        </w:numPr>
        <w:tabs>
          <w:tab w:val="left" w:pos="0"/>
          <w:tab w:val="left" w:pos="1080"/>
          <w:tab w:val="left" w:pos="1134"/>
        </w:tabs>
        <w:spacing w:after="0" w:line="240" w:lineRule="auto"/>
        <w:ind w:left="0" w:firstLine="709"/>
        <w:jc w:val="both"/>
        <w:rPr>
          <w:rFonts w:ascii="Times New Roman" w:eastAsia="Times New Roman" w:hAnsi="Times New Roman" w:cs="Times New Roman"/>
          <w:b/>
          <w:sz w:val="28"/>
          <w:szCs w:val="28"/>
          <w:lang w:val="ro-RO" w:eastAsia="ru-RU"/>
        </w:rPr>
      </w:pPr>
      <w:r w:rsidRPr="00F9496F">
        <w:rPr>
          <w:rFonts w:ascii="Times New Roman" w:eastAsia="Times New Roman" w:hAnsi="Times New Roman" w:cs="Times New Roman"/>
          <w:b/>
          <w:i/>
          <w:sz w:val="28"/>
          <w:szCs w:val="28"/>
          <w:lang w:val="ro-RO" w:eastAsia="ru-RU"/>
        </w:rPr>
        <w:t xml:space="preserve">Alocarea </w:t>
      </w:r>
      <w:r w:rsidR="00EF32AC">
        <w:rPr>
          <w:rFonts w:ascii="Times New Roman" w:eastAsia="Times New Roman" w:hAnsi="Times New Roman" w:cs="Times New Roman"/>
          <w:b/>
          <w:i/>
          <w:sz w:val="28"/>
          <w:szCs w:val="28"/>
          <w:lang w:val="ro-RO" w:eastAsia="ru-RU"/>
        </w:rPr>
        <w:t>de drepturi</w:t>
      </w:r>
      <w:r w:rsidRPr="00F9496F">
        <w:rPr>
          <w:rFonts w:ascii="Times New Roman" w:eastAsia="Times New Roman" w:hAnsi="Times New Roman" w:cs="Times New Roman"/>
          <w:b/>
          <w:i/>
          <w:sz w:val="28"/>
          <w:szCs w:val="28"/>
          <w:lang w:val="ro-RO" w:eastAsia="ru-RU"/>
        </w:rPr>
        <w:t xml:space="preserve"> speciale de tragere (DST). </w:t>
      </w:r>
      <w:r w:rsidR="009B581D" w:rsidRPr="009B581D">
        <w:rPr>
          <w:rFonts w:ascii="Times New Roman" w:eastAsia="Times New Roman" w:hAnsi="Times New Roman" w:cs="Times New Roman"/>
          <w:sz w:val="28"/>
          <w:szCs w:val="28"/>
          <w:lang w:val="ro-RO" w:eastAsia="ru-RU"/>
        </w:rPr>
        <w:t xml:space="preserve">Reprezintă </w:t>
      </w:r>
      <w:r w:rsidR="009B581D">
        <w:rPr>
          <w:rFonts w:ascii="Times New Roman" w:eastAsia="Times New Roman" w:hAnsi="Times New Roman" w:cs="Times New Roman"/>
          <w:sz w:val="28"/>
          <w:szCs w:val="28"/>
          <w:lang w:val="ro-RO" w:eastAsia="ru-RU"/>
        </w:rPr>
        <w:t>un instrument al</w:t>
      </w:r>
      <w:r w:rsidR="009B581D">
        <w:rPr>
          <w:rFonts w:ascii="Times New Roman" w:eastAsia="Times New Roman" w:hAnsi="Times New Roman" w:cs="Times New Roman"/>
          <w:b/>
          <w:i/>
          <w:sz w:val="28"/>
          <w:szCs w:val="28"/>
          <w:lang w:val="ro-RO" w:eastAsia="ru-RU"/>
        </w:rPr>
        <w:t xml:space="preserve"> </w:t>
      </w:r>
      <w:r w:rsidR="009B581D" w:rsidRPr="009B581D">
        <w:rPr>
          <w:rFonts w:ascii="Times New Roman" w:eastAsia="Times New Roman" w:hAnsi="Times New Roman" w:cs="Times New Roman"/>
          <w:sz w:val="28"/>
          <w:szCs w:val="28"/>
          <w:lang w:val="ro-RO" w:eastAsia="ru-RU"/>
        </w:rPr>
        <w:t>datorie</w:t>
      </w:r>
      <w:r w:rsidR="009B581D">
        <w:rPr>
          <w:rFonts w:ascii="Times New Roman" w:eastAsia="Times New Roman" w:hAnsi="Times New Roman" w:cs="Times New Roman"/>
          <w:sz w:val="28"/>
          <w:szCs w:val="28"/>
          <w:lang w:val="ro-RO" w:eastAsia="ru-RU"/>
        </w:rPr>
        <w:t>i</w:t>
      </w:r>
      <w:r w:rsidR="009B581D" w:rsidRPr="009B581D">
        <w:rPr>
          <w:rFonts w:ascii="Times New Roman" w:eastAsia="Times New Roman" w:hAnsi="Times New Roman" w:cs="Times New Roman"/>
          <w:sz w:val="28"/>
          <w:szCs w:val="28"/>
          <w:lang w:val="ro-RO" w:eastAsia="ru-RU"/>
        </w:rPr>
        <w:t xml:space="preserve"> sub forma activelor de rezervă internaţionale create de către Fondul Monetar Internaţional şi alocate membrilor săi, pentru a-şi completa activele de rezervă </w:t>
      </w:r>
      <w:r w:rsidRPr="00F9496F">
        <w:rPr>
          <w:rFonts w:ascii="Times New Roman" w:eastAsia="Times New Roman" w:hAnsi="Times New Roman" w:cs="Times New Roman"/>
          <w:sz w:val="28"/>
          <w:szCs w:val="28"/>
          <w:lang w:val="ro-RO" w:eastAsia="ru-RU"/>
        </w:rPr>
        <w:t xml:space="preserve">A fost alocată în anul 2009 şi nu necesită de a fi rambursată suma principală, ci doar achitarea dobînzii, calculată în baza unei rate flotante care se modifică săptămînal. </w:t>
      </w:r>
    </w:p>
    <w:p w:rsidR="00F9496F" w:rsidRPr="003626AE" w:rsidRDefault="00F9496F" w:rsidP="005F06AC">
      <w:pPr>
        <w:numPr>
          <w:ilvl w:val="0"/>
          <w:numId w:val="9"/>
        </w:numPr>
        <w:tabs>
          <w:tab w:val="left" w:pos="0"/>
          <w:tab w:val="left" w:pos="960"/>
          <w:tab w:val="left" w:pos="1134"/>
        </w:tabs>
        <w:spacing w:after="0" w:line="240" w:lineRule="auto"/>
        <w:ind w:left="0" w:firstLine="709"/>
        <w:jc w:val="both"/>
        <w:rPr>
          <w:rFonts w:ascii="Times New Roman" w:eastAsia="Times New Roman" w:hAnsi="Times New Roman" w:cs="Times New Roman"/>
          <w:b/>
          <w:sz w:val="28"/>
          <w:szCs w:val="28"/>
          <w:lang w:val="ro-RO" w:eastAsia="ru-RU"/>
        </w:rPr>
      </w:pPr>
      <w:r w:rsidRPr="00F9496F">
        <w:rPr>
          <w:rFonts w:ascii="Times New Roman" w:eastAsia="Times New Roman" w:hAnsi="Times New Roman" w:cs="Times New Roman"/>
          <w:b/>
          <w:i/>
          <w:sz w:val="28"/>
          <w:szCs w:val="28"/>
          <w:lang w:val="ro-RO" w:eastAsia="ru-RU"/>
        </w:rPr>
        <w:t>Garanţii de stat asumate.</w:t>
      </w:r>
      <w:r w:rsidRPr="00F9496F">
        <w:rPr>
          <w:rFonts w:ascii="Times New Roman" w:eastAsia="Times New Roman" w:hAnsi="Times New Roman" w:cs="Times New Roman"/>
          <w:b/>
          <w:sz w:val="28"/>
          <w:szCs w:val="28"/>
          <w:lang w:val="ro-RO" w:eastAsia="ru-RU"/>
        </w:rPr>
        <w:t xml:space="preserve"> </w:t>
      </w:r>
      <w:r w:rsidRPr="00F9496F">
        <w:rPr>
          <w:rFonts w:ascii="Times New Roman" w:eastAsia="Times New Roman" w:hAnsi="Times New Roman" w:cs="Times New Roman"/>
          <w:sz w:val="28"/>
          <w:szCs w:val="28"/>
          <w:lang w:val="ro-RO" w:eastAsia="ru-RU"/>
        </w:rPr>
        <w:t>Soldul garanţiilor de stat externe asumate a urmat o tendinţă descendentă pe parcursul anilor 201</w:t>
      </w:r>
      <w:r w:rsidR="00EC6306">
        <w:rPr>
          <w:rFonts w:ascii="Times New Roman" w:eastAsia="Times New Roman" w:hAnsi="Times New Roman" w:cs="Times New Roman"/>
          <w:sz w:val="28"/>
          <w:szCs w:val="28"/>
          <w:lang w:val="ro-RO" w:eastAsia="ru-RU"/>
        </w:rPr>
        <w:t>2</w:t>
      </w:r>
      <w:r w:rsidRPr="00F9496F">
        <w:rPr>
          <w:rFonts w:ascii="Times New Roman" w:eastAsia="Times New Roman" w:hAnsi="Times New Roman" w:cs="Times New Roman"/>
          <w:sz w:val="28"/>
          <w:szCs w:val="28"/>
          <w:lang w:val="ro-RO" w:eastAsia="ru-RU"/>
        </w:rPr>
        <w:t>-201</w:t>
      </w:r>
      <w:r w:rsidR="00EC6306">
        <w:rPr>
          <w:rFonts w:ascii="Times New Roman" w:eastAsia="Times New Roman" w:hAnsi="Times New Roman" w:cs="Times New Roman"/>
          <w:sz w:val="28"/>
          <w:szCs w:val="28"/>
          <w:lang w:val="ro-RO" w:eastAsia="ru-RU"/>
        </w:rPr>
        <w:t>3</w:t>
      </w:r>
      <w:r w:rsidR="00A55F44">
        <w:rPr>
          <w:rFonts w:ascii="Times New Roman" w:eastAsia="Times New Roman" w:hAnsi="Times New Roman" w:cs="Times New Roman"/>
          <w:sz w:val="28"/>
          <w:szCs w:val="28"/>
          <w:lang w:val="ro-RO" w:eastAsia="ru-RU"/>
        </w:rPr>
        <w:t xml:space="preserve">, înregistrînd o valoare cu </w:t>
      </w:r>
      <w:r w:rsidR="00EC6306" w:rsidRPr="00EC6306">
        <w:rPr>
          <w:rFonts w:ascii="Times New Roman" w:eastAsia="Times New Roman" w:hAnsi="Times New Roman" w:cs="Times New Roman"/>
          <w:sz w:val="28"/>
          <w:szCs w:val="28"/>
          <w:lang w:val="ro-RO" w:eastAsia="ru-RU"/>
        </w:rPr>
        <w:t>31</w:t>
      </w:r>
      <w:r w:rsidR="00A55F44" w:rsidRPr="00EC6306">
        <w:rPr>
          <w:rFonts w:ascii="Times New Roman" w:eastAsia="Times New Roman" w:hAnsi="Times New Roman" w:cs="Times New Roman"/>
          <w:sz w:val="28"/>
          <w:szCs w:val="28"/>
          <w:lang w:val="ro-RO" w:eastAsia="ru-RU"/>
        </w:rPr>
        <w:t>,9%</w:t>
      </w:r>
      <w:r w:rsidR="00A55F44">
        <w:rPr>
          <w:rFonts w:ascii="Times New Roman" w:eastAsia="Times New Roman" w:hAnsi="Times New Roman" w:cs="Times New Roman"/>
          <w:sz w:val="28"/>
          <w:szCs w:val="28"/>
          <w:lang w:val="ro-RO" w:eastAsia="ru-RU"/>
        </w:rPr>
        <w:t xml:space="preserve"> mai mică la sfîrşitul anului 201</w:t>
      </w:r>
      <w:r w:rsidR="00EC6306">
        <w:rPr>
          <w:rFonts w:ascii="Times New Roman" w:eastAsia="Times New Roman" w:hAnsi="Times New Roman" w:cs="Times New Roman"/>
          <w:sz w:val="28"/>
          <w:szCs w:val="28"/>
          <w:lang w:val="ro-RO" w:eastAsia="ru-RU"/>
        </w:rPr>
        <w:t>3</w:t>
      </w:r>
      <w:r w:rsidR="00A55F44">
        <w:rPr>
          <w:rFonts w:ascii="Times New Roman" w:eastAsia="Times New Roman" w:hAnsi="Times New Roman" w:cs="Times New Roman"/>
          <w:sz w:val="28"/>
          <w:szCs w:val="28"/>
          <w:lang w:val="ro-RO" w:eastAsia="ru-RU"/>
        </w:rPr>
        <w:t xml:space="preserve"> comparativ cu finele anului 201</w:t>
      </w:r>
      <w:r w:rsidR="00EC6306">
        <w:rPr>
          <w:rFonts w:ascii="Times New Roman" w:eastAsia="Times New Roman" w:hAnsi="Times New Roman" w:cs="Times New Roman"/>
          <w:sz w:val="28"/>
          <w:szCs w:val="28"/>
          <w:lang w:val="ro-RO" w:eastAsia="ru-RU"/>
        </w:rPr>
        <w:t>2</w:t>
      </w:r>
      <w:r w:rsidRPr="00F9496F">
        <w:rPr>
          <w:rFonts w:ascii="Times New Roman" w:eastAsia="Times New Roman" w:hAnsi="Times New Roman" w:cs="Times New Roman"/>
          <w:sz w:val="28"/>
          <w:szCs w:val="28"/>
          <w:lang w:val="ro-RO" w:eastAsia="ru-RU"/>
        </w:rPr>
        <w:t>. Datorită ponderii mai mici de 1</w:t>
      </w:r>
      <w:r w:rsidR="00FD70AC">
        <w:rPr>
          <w:rFonts w:ascii="Times New Roman" w:eastAsia="Times New Roman" w:hAnsi="Times New Roman" w:cs="Times New Roman"/>
          <w:sz w:val="28"/>
          <w:szCs w:val="28"/>
          <w:lang w:val="ro-RO" w:eastAsia="ru-RU"/>
        </w:rPr>
        <w:t>,0</w:t>
      </w:r>
      <w:r w:rsidRPr="00F9496F">
        <w:rPr>
          <w:rFonts w:ascii="Times New Roman" w:eastAsia="Times New Roman" w:hAnsi="Times New Roman" w:cs="Times New Roman"/>
          <w:sz w:val="28"/>
          <w:szCs w:val="28"/>
          <w:lang w:val="ro-RO" w:eastAsia="ru-RU"/>
        </w:rPr>
        <w:t xml:space="preserve"> la sută din soldul datoriei de stat</w:t>
      </w:r>
      <w:r w:rsidR="00FD70AC">
        <w:rPr>
          <w:rFonts w:ascii="Times New Roman" w:eastAsia="Times New Roman" w:hAnsi="Times New Roman" w:cs="Times New Roman"/>
          <w:sz w:val="28"/>
          <w:szCs w:val="28"/>
          <w:lang w:val="ro-RO" w:eastAsia="ru-RU"/>
        </w:rPr>
        <w:t xml:space="preserve"> externe</w:t>
      </w:r>
      <w:r w:rsidRPr="00F9496F">
        <w:rPr>
          <w:rFonts w:ascii="Times New Roman" w:eastAsia="Times New Roman" w:hAnsi="Times New Roman" w:cs="Times New Roman"/>
          <w:sz w:val="28"/>
          <w:szCs w:val="28"/>
          <w:lang w:val="ro-RO" w:eastAsia="ru-RU"/>
        </w:rPr>
        <w:t xml:space="preserve"> nu prezintă riscuri pentru portofoliul datoriei de stat.</w:t>
      </w:r>
    </w:p>
    <w:p w:rsidR="00F9496F" w:rsidRPr="00C74EDA" w:rsidRDefault="00FD70AC" w:rsidP="00F9496F">
      <w:pPr>
        <w:tabs>
          <w:tab w:val="left" w:pos="960"/>
        </w:tabs>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În aceeaşi perioadă</w:t>
      </w:r>
      <w:r w:rsidR="00C74EDA">
        <w:rPr>
          <w:rFonts w:ascii="Times New Roman" w:eastAsia="Times New Roman" w:hAnsi="Times New Roman" w:cs="Times New Roman"/>
          <w:sz w:val="28"/>
          <w:szCs w:val="28"/>
          <w:lang w:val="ro-RO" w:eastAsia="ru-RU"/>
        </w:rPr>
        <w:t>, datoria de stat internă a fost compusă din următoarele instrumente:</w:t>
      </w:r>
    </w:p>
    <w:p w:rsidR="00F9496F" w:rsidRPr="00F9496F" w:rsidRDefault="00F9496F" w:rsidP="005F06AC">
      <w:pPr>
        <w:numPr>
          <w:ilvl w:val="0"/>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b/>
          <w:bCs/>
          <w:i/>
          <w:sz w:val="28"/>
          <w:szCs w:val="28"/>
          <w:lang w:val="ro-RO" w:eastAsia="ru-RU"/>
        </w:rPr>
        <w:t>Valori mobiliare de stat emise pe piaţa primară.</w:t>
      </w:r>
      <w:r w:rsidRPr="00F9496F">
        <w:rPr>
          <w:rFonts w:ascii="Times New Roman" w:eastAsia="Times New Roman" w:hAnsi="Times New Roman" w:cs="Times New Roman"/>
          <w:b/>
          <w:bCs/>
          <w:sz w:val="28"/>
          <w:szCs w:val="28"/>
          <w:lang w:val="ro-RO" w:eastAsia="ru-RU"/>
        </w:rPr>
        <w:t xml:space="preserve"> </w:t>
      </w:r>
      <w:r w:rsidRPr="00F9496F">
        <w:rPr>
          <w:rFonts w:ascii="Times New Roman" w:eastAsia="Times New Roman" w:hAnsi="Times New Roman" w:cs="Times New Roman"/>
          <w:sz w:val="28"/>
          <w:szCs w:val="28"/>
          <w:lang w:val="ro-RO" w:eastAsia="ru-RU"/>
        </w:rPr>
        <w:t>În perioada 201</w:t>
      </w:r>
      <w:r w:rsidR="00EC6306">
        <w:rPr>
          <w:rFonts w:ascii="Times New Roman" w:eastAsia="Times New Roman" w:hAnsi="Times New Roman" w:cs="Times New Roman"/>
          <w:sz w:val="28"/>
          <w:szCs w:val="28"/>
          <w:lang w:val="ro-RO" w:eastAsia="ru-RU"/>
        </w:rPr>
        <w:t>2</w:t>
      </w:r>
      <w:r w:rsidRPr="00F9496F">
        <w:rPr>
          <w:rFonts w:ascii="Times New Roman" w:eastAsia="Times New Roman" w:hAnsi="Times New Roman" w:cs="Times New Roman"/>
          <w:sz w:val="28"/>
          <w:szCs w:val="28"/>
          <w:lang w:val="ro-RO" w:eastAsia="ru-RU"/>
        </w:rPr>
        <w:t>-201</w:t>
      </w:r>
      <w:r w:rsidR="00EC6306">
        <w:rPr>
          <w:rFonts w:ascii="Times New Roman" w:eastAsia="Times New Roman" w:hAnsi="Times New Roman" w:cs="Times New Roman"/>
          <w:sz w:val="28"/>
          <w:szCs w:val="28"/>
          <w:lang w:val="ro-RO" w:eastAsia="ru-RU"/>
        </w:rPr>
        <w:t>3</w:t>
      </w:r>
      <w:r w:rsidRPr="00F9496F">
        <w:rPr>
          <w:rFonts w:ascii="Times New Roman" w:eastAsia="Times New Roman" w:hAnsi="Times New Roman" w:cs="Times New Roman"/>
          <w:sz w:val="28"/>
          <w:szCs w:val="28"/>
          <w:lang w:val="ro-RO" w:eastAsia="ru-RU"/>
        </w:rPr>
        <w:t>, valorile mobiliare de stat emise pe piaţa primară au deţinut ponderea majoră în portofoliul datoriei de stat interne</w:t>
      </w:r>
      <w:r w:rsidR="00BC1FEC">
        <w:rPr>
          <w:rFonts w:ascii="Times New Roman" w:eastAsia="Times New Roman" w:hAnsi="Times New Roman" w:cs="Times New Roman"/>
          <w:sz w:val="28"/>
          <w:szCs w:val="28"/>
          <w:lang w:val="ro-RO" w:eastAsia="ru-RU"/>
        </w:rPr>
        <w:t xml:space="preserve">, iar soldul acestora s-a majorat cu </w:t>
      </w:r>
      <w:r w:rsidR="00BC1FEC" w:rsidRPr="00EC6306">
        <w:rPr>
          <w:rFonts w:ascii="Times New Roman" w:eastAsia="Times New Roman" w:hAnsi="Times New Roman" w:cs="Times New Roman"/>
          <w:sz w:val="28"/>
          <w:szCs w:val="28"/>
          <w:lang w:val="ro-RO" w:eastAsia="ru-RU"/>
        </w:rPr>
        <w:t>1</w:t>
      </w:r>
      <w:r w:rsidR="00EC6306" w:rsidRPr="00EC6306">
        <w:rPr>
          <w:rFonts w:ascii="Times New Roman" w:eastAsia="Times New Roman" w:hAnsi="Times New Roman" w:cs="Times New Roman"/>
          <w:sz w:val="28"/>
          <w:szCs w:val="28"/>
          <w:lang w:val="ro-RO" w:eastAsia="ru-RU"/>
        </w:rPr>
        <w:t>6</w:t>
      </w:r>
      <w:r w:rsidR="00BC1FEC" w:rsidRPr="00EC6306">
        <w:rPr>
          <w:rFonts w:ascii="Times New Roman" w:eastAsia="Times New Roman" w:hAnsi="Times New Roman" w:cs="Times New Roman"/>
          <w:sz w:val="28"/>
          <w:szCs w:val="28"/>
          <w:lang w:val="ro-RO" w:eastAsia="ru-RU"/>
        </w:rPr>
        <w:t>,</w:t>
      </w:r>
      <w:r w:rsidR="00EC6306">
        <w:rPr>
          <w:rFonts w:ascii="Times New Roman" w:eastAsia="Times New Roman" w:hAnsi="Times New Roman" w:cs="Times New Roman"/>
          <w:sz w:val="28"/>
          <w:szCs w:val="28"/>
          <w:lang w:val="ro-RO" w:eastAsia="ru-RU"/>
        </w:rPr>
        <w:t>0</w:t>
      </w:r>
      <w:r w:rsidR="00BC1FEC">
        <w:rPr>
          <w:rFonts w:ascii="Times New Roman" w:eastAsia="Times New Roman" w:hAnsi="Times New Roman" w:cs="Times New Roman"/>
          <w:sz w:val="28"/>
          <w:szCs w:val="28"/>
          <w:lang w:val="ro-RO" w:eastAsia="ru-RU"/>
        </w:rPr>
        <w:t xml:space="preserve"> la sută la sfîrşitul anului 201</w:t>
      </w:r>
      <w:r w:rsidR="00EC6306">
        <w:rPr>
          <w:rFonts w:ascii="Times New Roman" w:eastAsia="Times New Roman" w:hAnsi="Times New Roman" w:cs="Times New Roman"/>
          <w:sz w:val="28"/>
          <w:szCs w:val="28"/>
          <w:lang w:val="ro-RO" w:eastAsia="ru-RU"/>
        </w:rPr>
        <w:t>3</w:t>
      </w:r>
      <w:r w:rsidR="00BC1FEC">
        <w:rPr>
          <w:rFonts w:ascii="Times New Roman" w:eastAsia="Times New Roman" w:hAnsi="Times New Roman" w:cs="Times New Roman"/>
          <w:sz w:val="28"/>
          <w:szCs w:val="28"/>
          <w:lang w:val="ro-RO" w:eastAsia="ru-RU"/>
        </w:rPr>
        <w:t xml:space="preserve"> comparativ cu anul precedent</w:t>
      </w:r>
      <w:r w:rsidRPr="00F9496F">
        <w:rPr>
          <w:rFonts w:ascii="Times New Roman" w:eastAsia="Times New Roman" w:hAnsi="Times New Roman" w:cs="Times New Roman"/>
          <w:sz w:val="28"/>
          <w:szCs w:val="28"/>
          <w:lang w:val="ro-RO" w:eastAsia="ru-RU"/>
        </w:rPr>
        <w:t xml:space="preserve">. În componenţa </w:t>
      </w:r>
      <w:r w:rsidR="00BC1FEC">
        <w:rPr>
          <w:rFonts w:ascii="Times New Roman" w:eastAsia="Times New Roman" w:hAnsi="Times New Roman" w:cs="Times New Roman"/>
          <w:sz w:val="28"/>
          <w:szCs w:val="28"/>
          <w:lang w:val="ro-RO" w:eastAsia="ru-RU"/>
        </w:rPr>
        <w:t>valorilor mobiliare de stat emise pe piaţa primară</w:t>
      </w:r>
      <w:r w:rsidRPr="00F9496F">
        <w:rPr>
          <w:rFonts w:ascii="Times New Roman" w:eastAsia="Times New Roman" w:hAnsi="Times New Roman" w:cs="Times New Roman"/>
          <w:sz w:val="28"/>
          <w:szCs w:val="28"/>
          <w:lang w:val="ro-RO" w:eastAsia="ru-RU"/>
        </w:rPr>
        <w:t xml:space="preserve"> intră valorile mobiliare de stat pe termen scurt (bonuri de trezorerie cu scadenţa </w:t>
      </w:r>
      <w:r w:rsidRPr="00BC1FEC">
        <w:rPr>
          <w:rFonts w:ascii="Times New Roman" w:eastAsia="Times New Roman" w:hAnsi="Times New Roman" w:cs="Times New Roman"/>
          <w:sz w:val="28"/>
          <w:szCs w:val="28"/>
          <w:lang w:val="ro-RO" w:eastAsia="ru-RU"/>
        </w:rPr>
        <w:t>91, 182 şi 364 zile</w:t>
      </w:r>
      <w:r w:rsidR="00D80348" w:rsidRPr="00BC1FEC">
        <w:rPr>
          <w:rFonts w:ascii="Times New Roman" w:eastAsia="Times New Roman" w:hAnsi="Times New Roman" w:cs="Times New Roman"/>
          <w:sz w:val="28"/>
          <w:szCs w:val="28"/>
          <w:lang w:val="ro-RO" w:eastAsia="ru-RU"/>
        </w:rPr>
        <w:t>)</w:t>
      </w:r>
      <w:r w:rsidR="00D80348">
        <w:rPr>
          <w:rFonts w:ascii="Times New Roman" w:eastAsia="Times New Roman" w:hAnsi="Times New Roman" w:cs="Times New Roman"/>
          <w:sz w:val="28"/>
          <w:szCs w:val="28"/>
          <w:lang w:val="ro-RO" w:eastAsia="ru-RU"/>
        </w:rPr>
        <w:t xml:space="preserve"> </w:t>
      </w:r>
      <w:r w:rsidRPr="00F9496F">
        <w:rPr>
          <w:rFonts w:ascii="Times New Roman" w:eastAsia="Times New Roman" w:hAnsi="Times New Roman" w:cs="Times New Roman"/>
          <w:sz w:val="28"/>
          <w:szCs w:val="28"/>
          <w:lang w:val="ro-RO" w:eastAsia="ru-RU"/>
        </w:rPr>
        <w:t xml:space="preserve">şi valorile mobiliare de stat pe termen mediu (obligaţiuni de stat pe termen de 2 ani şi obligaţiuni de stat plasate prin subscriere). </w:t>
      </w:r>
    </w:p>
    <w:tbl>
      <w:tblPr>
        <w:tblW w:w="0" w:type="auto"/>
        <w:tblInd w:w="108" w:type="dxa"/>
        <w:tblBorders>
          <w:top w:val="single" w:sz="8" w:space="0" w:color="4F81BD"/>
          <w:bottom w:val="single" w:sz="8" w:space="0" w:color="4F81BD"/>
        </w:tblBorders>
        <w:tblLook w:val="00A0"/>
      </w:tblPr>
      <w:tblGrid>
        <w:gridCol w:w="9356"/>
      </w:tblGrid>
      <w:tr w:rsidR="00F9496F" w:rsidRPr="00D80348" w:rsidTr="00284E13">
        <w:tc>
          <w:tcPr>
            <w:tcW w:w="9356" w:type="dxa"/>
            <w:tcBorders>
              <w:top w:val="double" w:sz="4" w:space="0" w:color="365F91"/>
              <w:left w:val="double" w:sz="4" w:space="0" w:color="365F91"/>
              <w:bottom w:val="double" w:sz="4" w:space="0" w:color="365F91"/>
              <w:right w:val="double" w:sz="4" w:space="0" w:color="365F91"/>
            </w:tcBorders>
          </w:tcPr>
          <w:p w:rsidR="00F9496F" w:rsidRPr="00F9496F" w:rsidRDefault="001474AD" w:rsidP="00EC6306">
            <w:pPr>
              <w:spacing w:after="0" w:line="240" w:lineRule="auto"/>
              <w:jc w:val="right"/>
              <w:rPr>
                <w:rFonts w:ascii="Times New Roman" w:eastAsia="Times New Roman" w:hAnsi="Times New Roman" w:cs="Times New Roman"/>
                <w:b/>
                <w:bCs/>
                <w:color w:val="365F91"/>
                <w:sz w:val="28"/>
                <w:szCs w:val="28"/>
                <w:lang w:val="ro-RO" w:eastAsia="ru-RU"/>
              </w:rPr>
            </w:pPr>
            <w:r w:rsidRPr="001474AD">
              <w:rPr>
                <w:rFonts w:ascii="Times New Roman" w:eastAsia="Times New Roman" w:hAnsi="Times New Roman" w:cs="Times New Roman"/>
                <w:noProof/>
                <w:sz w:val="24"/>
                <w:szCs w:val="24"/>
                <w:lang w:val="ru-RU" w:eastAsia="ru-RU"/>
              </w:rPr>
              <w:pict>
                <v:shape id="_x0000_s1046" type="#_x0000_t202" style="position:absolute;left:0;text-align:left;margin-left:15.75pt;margin-top:3.95pt;width:175.5pt;height:72.75pt;z-index:251662336" strokecolor="white">
                  <v:textbox style="mso-next-textbox:#_x0000_s1046">
                    <w:txbxContent>
                      <w:p w:rsidR="005F58E5" w:rsidRPr="00FD70AC" w:rsidRDefault="005F58E5" w:rsidP="00FD70AC">
                        <w:pPr>
                          <w:spacing w:after="0" w:line="240" w:lineRule="auto"/>
                          <w:rPr>
                            <w:rFonts w:ascii="Times New Roman" w:hAnsi="Times New Roman" w:cs="Times New Roman"/>
                            <w:b/>
                            <w:sz w:val="24"/>
                            <w:szCs w:val="24"/>
                            <w:lang w:val="ro-RO"/>
                          </w:rPr>
                        </w:pPr>
                        <w:r w:rsidRPr="00FD70AC">
                          <w:rPr>
                            <w:rFonts w:ascii="Times New Roman" w:hAnsi="Times New Roman" w:cs="Times New Roman"/>
                            <w:b/>
                            <w:sz w:val="24"/>
                            <w:szCs w:val="24"/>
                            <w:lang w:val="ro-RO"/>
                          </w:rPr>
                          <w:t xml:space="preserve">Structura datoriei de stat interne pe instrumente, </w:t>
                        </w:r>
                      </w:p>
                      <w:p w:rsidR="005F58E5" w:rsidRPr="00FD70AC" w:rsidRDefault="005F58E5" w:rsidP="00FD70AC">
                        <w:pPr>
                          <w:spacing w:after="0" w:line="240" w:lineRule="auto"/>
                          <w:rPr>
                            <w:rFonts w:ascii="Times New Roman" w:hAnsi="Times New Roman" w:cs="Times New Roman"/>
                            <w:b/>
                            <w:sz w:val="24"/>
                            <w:szCs w:val="24"/>
                            <w:lang w:val="ro-RO"/>
                          </w:rPr>
                        </w:pPr>
                        <w:r w:rsidRPr="00FD70AC">
                          <w:rPr>
                            <w:rFonts w:ascii="Times New Roman" w:hAnsi="Times New Roman" w:cs="Times New Roman"/>
                            <w:b/>
                            <w:sz w:val="24"/>
                            <w:szCs w:val="24"/>
                            <w:lang w:val="ro-RO"/>
                          </w:rPr>
                          <w:t>201</w:t>
                        </w:r>
                        <w:r>
                          <w:rPr>
                            <w:rFonts w:ascii="Times New Roman" w:hAnsi="Times New Roman" w:cs="Times New Roman"/>
                            <w:b/>
                            <w:sz w:val="24"/>
                            <w:szCs w:val="24"/>
                            <w:lang w:val="ro-RO"/>
                          </w:rPr>
                          <w:t>2-2013 (%)</w:t>
                        </w:r>
                      </w:p>
                    </w:txbxContent>
                  </v:textbox>
                </v:shape>
              </w:pict>
            </w:r>
            <w:r w:rsidR="00EC6306">
              <w:rPr>
                <w:rFonts w:ascii="Times New Roman" w:eastAsia="Times New Roman" w:hAnsi="Times New Roman" w:cs="Times New Roman"/>
                <w:b/>
                <w:noProof/>
                <w:color w:val="365F91"/>
                <w:sz w:val="28"/>
                <w:szCs w:val="28"/>
              </w:rPr>
              <w:drawing>
                <wp:inline distT="0" distB="0" distL="0" distR="0">
                  <wp:extent cx="2571666" cy="1578746"/>
                  <wp:effectExtent l="19050" t="0" r="84" b="0"/>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2570399" cy="1577968"/>
                          </a:xfrm>
                          <a:prstGeom prst="rect">
                            <a:avLst/>
                          </a:prstGeom>
                          <a:noFill/>
                        </pic:spPr>
                      </pic:pic>
                    </a:graphicData>
                  </a:graphic>
                </wp:inline>
              </w:drawing>
            </w:r>
            <w:r w:rsidR="00F9496F" w:rsidRPr="00F9496F">
              <w:rPr>
                <w:rFonts w:ascii="Times New Roman" w:eastAsia="Times New Roman" w:hAnsi="Times New Roman" w:cs="Times New Roman"/>
                <w:b/>
                <w:noProof/>
                <w:color w:val="365F91"/>
                <w:sz w:val="28"/>
                <w:szCs w:val="28"/>
                <w:lang w:val="ro-RO"/>
              </w:rPr>
              <w:t xml:space="preserve">   </w:t>
            </w:r>
          </w:p>
        </w:tc>
      </w:tr>
    </w:tbl>
    <w:p w:rsidR="00D80348" w:rsidRPr="00A55F44" w:rsidRDefault="00F9496F" w:rsidP="005F06AC">
      <w:pPr>
        <w:numPr>
          <w:ilvl w:val="0"/>
          <w:numId w:val="14"/>
        </w:numPr>
        <w:tabs>
          <w:tab w:val="left" w:pos="0"/>
          <w:tab w:val="left" w:pos="993"/>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b/>
          <w:bCs/>
          <w:i/>
          <w:sz w:val="28"/>
          <w:szCs w:val="28"/>
          <w:lang w:val="ro-RO" w:eastAsia="ru-RU"/>
        </w:rPr>
        <w:t>Valori mobiliare de stat convertite.</w:t>
      </w:r>
      <w:r w:rsidRPr="00F9496F">
        <w:rPr>
          <w:rFonts w:ascii="Times New Roman" w:eastAsia="Times New Roman" w:hAnsi="Times New Roman" w:cs="Times New Roman"/>
          <w:b/>
          <w:bCs/>
          <w:sz w:val="28"/>
          <w:szCs w:val="28"/>
          <w:lang w:val="ro-RO" w:eastAsia="ru-RU"/>
        </w:rPr>
        <w:t xml:space="preserve"> </w:t>
      </w:r>
      <w:r w:rsidR="00A55F44" w:rsidRPr="00A55F44">
        <w:rPr>
          <w:rFonts w:ascii="Times New Roman" w:eastAsia="Times New Roman" w:hAnsi="Times New Roman" w:cs="Times New Roman"/>
          <w:bCs/>
          <w:sz w:val="28"/>
          <w:szCs w:val="28"/>
          <w:lang w:val="ro-RO" w:eastAsia="ru-RU"/>
        </w:rPr>
        <w:t>A</w:t>
      </w:r>
      <w:r w:rsidRPr="00F9496F">
        <w:rPr>
          <w:rFonts w:ascii="Times New Roman" w:eastAsia="Times New Roman" w:hAnsi="Times New Roman" w:cs="Times New Roman"/>
          <w:bCs/>
          <w:sz w:val="28"/>
          <w:szCs w:val="28"/>
          <w:lang w:val="ro-RO" w:eastAsia="ru-RU"/>
        </w:rPr>
        <w:t>ceastă datorie</w:t>
      </w:r>
      <w:r w:rsidRPr="00F9496F">
        <w:rPr>
          <w:rFonts w:ascii="Times New Roman" w:eastAsia="Times New Roman" w:hAnsi="Times New Roman" w:cs="Times New Roman"/>
          <w:b/>
          <w:bCs/>
          <w:sz w:val="28"/>
          <w:szCs w:val="28"/>
          <w:lang w:val="ro-RO" w:eastAsia="ru-RU"/>
        </w:rPr>
        <w:t xml:space="preserve"> </w:t>
      </w:r>
      <w:r w:rsidRPr="00F9496F">
        <w:rPr>
          <w:rFonts w:ascii="Times New Roman" w:eastAsia="Times New Roman" w:hAnsi="Times New Roman" w:cs="Times New Roman"/>
          <w:sz w:val="28"/>
          <w:szCs w:val="28"/>
          <w:lang w:val="ro-RO" w:eastAsia="ru-RU"/>
        </w:rPr>
        <w:t>est</w:t>
      </w:r>
      <w:r w:rsidR="001A4C71">
        <w:rPr>
          <w:rFonts w:ascii="Times New Roman" w:eastAsia="Times New Roman" w:hAnsi="Times New Roman" w:cs="Times New Roman"/>
          <w:sz w:val="28"/>
          <w:szCs w:val="28"/>
          <w:lang w:val="ro-RO" w:eastAsia="ru-RU"/>
        </w:rPr>
        <w:t>e reperfectată anual în baza unu</w:t>
      </w:r>
      <w:r w:rsidRPr="00F9496F">
        <w:rPr>
          <w:rFonts w:ascii="Times New Roman" w:eastAsia="Times New Roman" w:hAnsi="Times New Roman" w:cs="Times New Roman"/>
          <w:sz w:val="28"/>
          <w:szCs w:val="28"/>
          <w:lang w:val="ro-RO" w:eastAsia="ru-RU"/>
        </w:rPr>
        <w:t xml:space="preserve">i </w:t>
      </w:r>
      <w:r w:rsidR="001A4C71">
        <w:rPr>
          <w:rFonts w:ascii="Times New Roman" w:eastAsia="Times New Roman" w:hAnsi="Times New Roman" w:cs="Times New Roman"/>
          <w:sz w:val="28"/>
          <w:szCs w:val="28"/>
          <w:lang w:val="ro-RO" w:eastAsia="ru-RU"/>
        </w:rPr>
        <w:t>Acord</w:t>
      </w:r>
      <w:r w:rsidRPr="00F9496F">
        <w:rPr>
          <w:rFonts w:ascii="Times New Roman" w:eastAsia="Times New Roman" w:hAnsi="Times New Roman" w:cs="Times New Roman"/>
          <w:sz w:val="28"/>
          <w:szCs w:val="28"/>
          <w:lang w:val="ro-RO" w:eastAsia="ru-RU"/>
        </w:rPr>
        <w:t xml:space="preserve"> între </w:t>
      </w:r>
      <w:r w:rsidR="001A4C71">
        <w:rPr>
          <w:rFonts w:ascii="Times New Roman" w:eastAsia="Times New Roman" w:hAnsi="Times New Roman" w:cs="Times New Roman"/>
          <w:sz w:val="28"/>
          <w:szCs w:val="28"/>
          <w:lang w:val="ro-RO" w:eastAsia="ru-RU"/>
        </w:rPr>
        <w:t>Ministerul Finanţelor</w:t>
      </w:r>
      <w:r w:rsidRPr="00F9496F">
        <w:rPr>
          <w:rFonts w:ascii="Times New Roman" w:eastAsia="Times New Roman" w:hAnsi="Times New Roman" w:cs="Times New Roman"/>
          <w:sz w:val="28"/>
          <w:szCs w:val="28"/>
          <w:lang w:val="ro-RO" w:eastAsia="ru-RU"/>
        </w:rPr>
        <w:t xml:space="preserve"> şi Banca Naţională a Moldovei la o rată fixă a dobînzii, nefiind expus</w:t>
      </w:r>
      <w:r w:rsidR="001A4C71">
        <w:rPr>
          <w:rFonts w:ascii="Times New Roman" w:eastAsia="Times New Roman" w:hAnsi="Times New Roman" w:cs="Times New Roman"/>
          <w:sz w:val="28"/>
          <w:szCs w:val="28"/>
          <w:lang w:val="ro-RO" w:eastAsia="ru-RU"/>
        </w:rPr>
        <w:t>ă</w:t>
      </w:r>
      <w:r w:rsidRPr="00F9496F">
        <w:rPr>
          <w:rFonts w:ascii="Times New Roman" w:eastAsia="Times New Roman" w:hAnsi="Times New Roman" w:cs="Times New Roman"/>
          <w:sz w:val="28"/>
          <w:szCs w:val="28"/>
          <w:lang w:val="ro-RO" w:eastAsia="ru-RU"/>
        </w:rPr>
        <w:t xml:space="preserve"> riscului de refinanţare. </w:t>
      </w:r>
      <w:r w:rsidR="00BC1FEC">
        <w:rPr>
          <w:rFonts w:ascii="Times New Roman" w:eastAsia="Times New Roman" w:hAnsi="Times New Roman" w:cs="Times New Roman"/>
          <w:sz w:val="28"/>
          <w:szCs w:val="28"/>
          <w:lang w:val="ro-RO" w:eastAsia="ru-RU"/>
        </w:rPr>
        <w:t>La sfîrşitul anului 201</w:t>
      </w:r>
      <w:r w:rsidR="00EC6306">
        <w:rPr>
          <w:rFonts w:ascii="Times New Roman" w:eastAsia="Times New Roman" w:hAnsi="Times New Roman" w:cs="Times New Roman"/>
          <w:sz w:val="28"/>
          <w:szCs w:val="28"/>
          <w:lang w:val="ro-RO" w:eastAsia="ru-RU"/>
        </w:rPr>
        <w:t>3</w:t>
      </w:r>
      <w:r w:rsidRPr="00F9496F">
        <w:rPr>
          <w:rFonts w:ascii="Times New Roman" w:eastAsia="Times New Roman" w:hAnsi="Times New Roman" w:cs="Times New Roman"/>
          <w:sz w:val="28"/>
          <w:szCs w:val="28"/>
          <w:lang w:val="ro-RO" w:eastAsia="ru-RU"/>
        </w:rPr>
        <w:t xml:space="preserve"> soldul valorilor mobiliare de stat convertite </w:t>
      </w:r>
      <w:r w:rsidR="00EC6306">
        <w:rPr>
          <w:rFonts w:ascii="Times New Roman" w:eastAsia="Times New Roman" w:hAnsi="Times New Roman" w:cs="Times New Roman"/>
          <w:sz w:val="28"/>
          <w:szCs w:val="28"/>
          <w:lang w:val="ro-RO" w:eastAsia="ru-RU"/>
        </w:rPr>
        <w:t>a rămas neschimbat</w:t>
      </w:r>
      <w:r w:rsidR="00BC1FEC">
        <w:rPr>
          <w:rFonts w:ascii="Times New Roman" w:eastAsia="Times New Roman" w:hAnsi="Times New Roman" w:cs="Times New Roman"/>
          <w:sz w:val="28"/>
          <w:szCs w:val="28"/>
          <w:lang w:val="ro-RO" w:eastAsia="ru-RU"/>
        </w:rPr>
        <w:t xml:space="preserve"> comparativ cu finele anului 201</w:t>
      </w:r>
      <w:r w:rsidR="00EC6306">
        <w:rPr>
          <w:rFonts w:ascii="Times New Roman" w:eastAsia="Times New Roman" w:hAnsi="Times New Roman" w:cs="Times New Roman"/>
          <w:sz w:val="28"/>
          <w:szCs w:val="28"/>
          <w:lang w:val="ro-RO" w:eastAsia="ru-RU"/>
        </w:rPr>
        <w:t>2</w:t>
      </w:r>
      <w:r w:rsidRPr="00F9496F">
        <w:rPr>
          <w:rFonts w:ascii="Times New Roman" w:eastAsia="Times New Roman" w:hAnsi="Times New Roman" w:cs="Times New Roman"/>
          <w:sz w:val="28"/>
          <w:szCs w:val="28"/>
          <w:lang w:val="ro-RO" w:eastAsia="ru-RU"/>
        </w:rPr>
        <w:t>.</w:t>
      </w:r>
    </w:p>
    <w:p w:rsidR="00F9496F" w:rsidRPr="00F9496F" w:rsidRDefault="00F9496F" w:rsidP="005F06AC">
      <w:pPr>
        <w:numPr>
          <w:ilvl w:val="0"/>
          <w:numId w:val="14"/>
        </w:numPr>
        <w:tabs>
          <w:tab w:val="left" w:pos="0"/>
          <w:tab w:val="left" w:pos="851"/>
          <w:tab w:val="left" w:pos="993"/>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b/>
          <w:bCs/>
          <w:i/>
          <w:sz w:val="28"/>
          <w:szCs w:val="28"/>
          <w:lang w:val="ro-RO" w:eastAsia="ru-RU"/>
        </w:rPr>
        <w:t>Valori mobiliare de stat emise pentru asigurarea stabilităţii financiare.</w:t>
      </w:r>
      <w:r w:rsidRPr="00F9496F">
        <w:rPr>
          <w:rFonts w:ascii="Times New Roman" w:eastAsia="Times New Roman" w:hAnsi="Times New Roman" w:cs="Times New Roman"/>
          <w:b/>
          <w:bCs/>
          <w:sz w:val="28"/>
          <w:szCs w:val="28"/>
          <w:lang w:val="ro-RO" w:eastAsia="ru-RU"/>
        </w:rPr>
        <w:t xml:space="preserve"> </w:t>
      </w:r>
      <w:r w:rsidRPr="00F9496F">
        <w:rPr>
          <w:rFonts w:ascii="Times New Roman" w:eastAsia="Times New Roman" w:hAnsi="Times New Roman" w:cs="Times New Roman"/>
          <w:bCs/>
          <w:sz w:val="28"/>
          <w:szCs w:val="28"/>
          <w:lang w:val="ro-RO" w:eastAsia="ru-RU"/>
        </w:rPr>
        <w:t>Acest instrument a fos</w:t>
      </w:r>
      <w:r w:rsidR="00BC1FEC">
        <w:rPr>
          <w:rFonts w:ascii="Times New Roman" w:eastAsia="Times New Roman" w:hAnsi="Times New Roman" w:cs="Times New Roman"/>
          <w:bCs/>
          <w:sz w:val="28"/>
          <w:szCs w:val="28"/>
          <w:lang w:val="ro-RO" w:eastAsia="ru-RU"/>
        </w:rPr>
        <w:t xml:space="preserve">t emis în anul 2011, în scopul </w:t>
      </w:r>
      <w:r w:rsidRPr="00F9496F">
        <w:rPr>
          <w:rFonts w:ascii="Times New Roman" w:eastAsia="Times New Roman" w:hAnsi="Times New Roman" w:cs="Times New Roman"/>
          <w:bCs/>
          <w:sz w:val="28"/>
          <w:szCs w:val="28"/>
          <w:lang w:val="ro-RO" w:eastAsia="ru-RU"/>
        </w:rPr>
        <w:t>prelu</w:t>
      </w:r>
      <w:r w:rsidR="00BC1FEC">
        <w:rPr>
          <w:rFonts w:ascii="Times New Roman" w:eastAsia="Times New Roman" w:hAnsi="Times New Roman" w:cs="Times New Roman"/>
          <w:bCs/>
          <w:sz w:val="28"/>
          <w:szCs w:val="28"/>
          <w:lang w:val="ro-RO" w:eastAsia="ru-RU"/>
        </w:rPr>
        <w:t>ă</w:t>
      </w:r>
      <w:r w:rsidRPr="00F9496F">
        <w:rPr>
          <w:rFonts w:ascii="Times New Roman" w:eastAsia="Times New Roman" w:hAnsi="Times New Roman" w:cs="Times New Roman"/>
          <w:bCs/>
          <w:sz w:val="28"/>
          <w:szCs w:val="28"/>
          <w:lang w:val="ro-RO" w:eastAsia="ru-RU"/>
        </w:rPr>
        <w:t>r</w:t>
      </w:r>
      <w:r w:rsidR="00BC1FEC">
        <w:rPr>
          <w:rFonts w:ascii="Times New Roman" w:eastAsia="Times New Roman" w:hAnsi="Times New Roman" w:cs="Times New Roman"/>
          <w:bCs/>
          <w:sz w:val="28"/>
          <w:szCs w:val="28"/>
          <w:lang w:val="ro-RO" w:eastAsia="ru-RU"/>
        </w:rPr>
        <w:t>ii</w:t>
      </w:r>
      <w:r w:rsidRPr="00F9496F">
        <w:rPr>
          <w:rFonts w:ascii="Times New Roman" w:eastAsia="Times New Roman" w:hAnsi="Times New Roman" w:cs="Times New Roman"/>
          <w:bCs/>
          <w:sz w:val="28"/>
          <w:szCs w:val="28"/>
          <w:lang w:val="ro-RO" w:eastAsia="ru-RU"/>
        </w:rPr>
        <w:t xml:space="preserve"> </w:t>
      </w:r>
      <w:r w:rsidR="00A55F44">
        <w:rPr>
          <w:rFonts w:ascii="Times New Roman" w:eastAsia="Times New Roman" w:hAnsi="Times New Roman" w:cs="Times New Roman"/>
          <w:bCs/>
          <w:sz w:val="28"/>
          <w:szCs w:val="28"/>
          <w:lang w:val="ro-RO" w:eastAsia="ru-RU"/>
        </w:rPr>
        <w:t xml:space="preserve">creanţei ,,Băncii de Economii” </w:t>
      </w:r>
      <w:r w:rsidRPr="00F9496F">
        <w:rPr>
          <w:rFonts w:ascii="Times New Roman" w:eastAsia="Times New Roman" w:hAnsi="Times New Roman" w:cs="Times New Roman"/>
          <w:bCs/>
          <w:sz w:val="28"/>
          <w:szCs w:val="28"/>
          <w:lang w:val="ro-RO" w:eastAsia="ru-RU"/>
        </w:rPr>
        <w:t>S.A. faţă de BC,,Investprivatbank” S.A. în proces de lichidare. Obligaţiunile de stat emise pentru asigurarea stabilităţii financiare au o maturitate de 4,2 ani şi o rată fixă a dobînzii de 0,01%, nefiind astfel expuse riscurilor financiare.</w:t>
      </w:r>
      <w:r w:rsidR="00BC1FEC">
        <w:rPr>
          <w:rFonts w:ascii="Times New Roman" w:eastAsia="Times New Roman" w:hAnsi="Times New Roman" w:cs="Times New Roman"/>
          <w:bCs/>
          <w:sz w:val="28"/>
          <w:szCs w:val="28"/>
          <w:lang w:val="ro-RO" w:eastAsia="ru-RU"/>
        </w:rPr>
        <w:t xml:space="preserve"> Soldul v</w:t>
      </w:r>
      <w:r w:rsidR="00BC1FEC" w:rsidRPr="00BC1FEC">
        <w:rPr>
          <w:rFonts w:ascii="Times New Roman" w:eastAsia="Times New Roman" w:hAnsi="Times New Roman" w:cs="Times New Roman"/>
          <w:bCs/>
          <w:sz w:val="28"/>
          <w:szCs w:val="28"/>
          <w:lang w:val="ro-RO" w:eastAsia="ru-RU"/>
        </w:rPr>
        <w:t>alori</w:t>
      </w:r>
      <w:r w:rsidR="00BC1FEC">
        <w:rPr>
          <w:rFonts w:ascii="Times New Roman" w:eastAsia="Times New Roman" w:hAnsi="Times New Roman" w:cs="Times New Roman"/>
          <w:bCs/>
          <w:sz w:val="28"/>
          <w:szCs w:val="28"/>
          <w:lang w:val="ro-RO" w:eastAsia="ru-RU"/>
        </w:rPr>
        <w:t>lor</w:t>
      </w:r>
      <w:r w:rsidR="00BC1FEC" w:rsidRPr="00BC1FEC">
        <w:rPr>
          <w:rFonts w:ascii="Times New Roman" w:eastAsia="Times New Roman" w:hAnsi="Times New Roman" w:cs="Times New Roman"/>
          <w:bCs/>
          <w:sz w:val="28"/>
          <w:szCs w:val="28"/>
          <w:lang w:val="ro-RO" w:eastAsia="ru-RU"/>
        </w:rPr>
        <w:t xml:space="preserve"> mobiliare de stat emise pentru asigurarea stabilităţii financiare</w:t>
      </w:r>
      <w:r w:rsidR="00BC1FEC">
        <w:rPr>
          <w:rFonts w:ascii="Times New Roman" w:eastAsia="Times New Roman" w:hAnsi="Times New Roman" w:cs="Times New Roman"/>
          <w:bCs/>
          <w:sz w:val="28"/>
          <w:szCs w:val="28"/>
          <w:lang w:val="ro-RO" w:eastAsia="ru-RU"/>
        </w:rPr>
        <w:t xml:space="preserve"> s-a diminuat cu </w:t>
      </w:r>
      <w:r w:rsidR="00EC6306" w:rsidRPr="00EC6306">
        <w:rPr>
          <w:rFonts w:ascii="Times New Roman" w:eastAsia="Times New Roman" w:hAnsi="Times New Roman" w:cs="Times New Roman"/>
          <w:bCs/>
          <w:sz w:val="28"/>
          <w:szCs w:val="28"/>
          <w:lang w:val="ro-RO" w:eastAsia="ru-RU"/>
        </w:rPr>
        <w:t>33</w:t>
      </w:r>
      <w:r w:rsidR="00BC1FEC" w:rsidRPr="00EC6306">
        <w:rPr>
          <w:rFonts w:ascii="Times New Roman" w:eastAsia="Times New Roman" w:hAnsi="Times New Roman" w:cs="Times New Roman"/>
          <w:bCs/>
          <w:sz w:val="28"/>
          <w:szCs w:val="28"/>
          <w:lang w:val="ro-RO" w:eastAsia="ru-RU"/>
        </w:rPr>
        <w:t>,</w:t>
      </w:r>
      <w:r w:rsidR="00EC6306" w:rsidRPr="00EC6306">
        <w:rPr>
          <w:rFonts w:ascii="Times New Roman" w:eastAsia="Times New Roman" w:hAnsi="Times New Roman" w:cs="Times New Roman"/>
          <w:bCs/>
          <w:sz w:val="28"/>
          <w:szCs w:val="28"/>
          <w:lang w:val="ro-RO" w:eastAsia="ru-RU"/>
        </w:rPr>
        <w:t>3</w:t>
      </w:r>
      <w:r w:rsidR="00BC1FEC">
        <w:rPr>
          <w:rFonts w:ascii="Times New Roman" w:eastAsia="Times New Roman" w:hAnsi="Times New Roman" w:cs="Times New Roman"/>
          <w:bCs/>
          <w:sz w:val="28"/>
          <w:szCs w:val="28"/>
          <w:lang w:val="ro-RO" w:eastAsia="ru-RU"/>
        </w:rPr>
        <w:t xml:space="preserve"> la sută la sfîrşitul anului 201</w:t>
      </w:r>
      <w:r w:rsidR="00EC6306">
        <w:rPr>
          <w:rFonts w:ascii="Times New Roman" w:eastAsia="Times New Roman" w:hAnsi="Times New Roman" w:cs="Times New Roman"/>
          <w:bCs/>
          <w:sz w:val="28"/>
          <w:szCs w:val="28"/>
          <w:lang w:val="ro-RO" w:eastAsia="ru-RU"/>
        </w:rPr>
        <w:t>3</w:t>
      </w:r>
      <w:r w:rsidR="00BC1FEC">
        <w:rPr>
          <w:rFonts w:ascii="Times New Roman" w:eastAsia="Times New Roman" w:hAnsi="Times New Roman" w:cs="Times New Roman"/>
          <w:bCs/>
          <w:sz w:val="28"/>
          <w:szCs w:val="28"/>
          <w:lang w:val="ro-RO" w:eastAsia="ru-RU"/>
        </w:rPr>
        <w:t xml:space="preserve"> comparativ cu sfîrşitul anului 201</w:t>
      </w:r>
      <w:r w:rsidR="00EC6306">
        <w:rPr>
          <w:rFonts w:ascii="Times New Roman" w:eastAsia="Times New Roman" w:hAnsi="Times New Roman" w:cs="Times New Roman"/>
          <w:bCs/>
          <w:sz w:val="28"/>
          <w:szCs w:val="28"/>
          <w:lang w:val="ro-RO" w:eastAsia="ru-RU"/>
        </w:rPr>
        <w:t>2</w:t>
      </w:r>
      <w:r w:rsidR="00BC1FEC">
        <w:rPr>
          <w:rFonts w:ascii="Times New Roman" w:eastAsia="Times New Roman" w:hAnsi="Times New Roman" w:cs="Times New Roman"/>
          <w:bCs/>
          <w:sz w:val="28"/>
          <w:szCs w:val="28"/>
          <w:lang w:val="ro-RO" w:eastAsia="ru-RU"/>
        </w:rPr>
        <w:t>.</w:t>
      </w:r>
    </w:p>
    <w:p w:rsidR="00234278" w:rsidRDefault="00234278" w:rsidP="00F9496F">
      <w:pPr>
        <w:keepNext/>
        <w:spacing w:after="0" w:line="240" w:lineRule="auto"/>
        <w:ind w:firstLine="709"/>
        <w:jc w:val="both"/>
        <w:outlineLvl w:val="1"/>
        <w:rPr>
          <w:rFonts w:ascii="Times New Roman" w:eastAsia="Times New Roman" w:hAnsi="Times New Roman" w:cs="Times New Roman"/>
          <w:b/>
          <w:bCs/>
          <w:iCs/>
          <w:sz w:val="28"/>
          <w:szCs w:val="28"/>
          <w:lang w:val="ro-RO" w:eastAsia="ru-RU"/>
        </w:rPr>
      </w:pPr>
      <w:bookmarkStart w:id="9" w:name="_Toc346609565"/>
      <w:r w:rsidRPr="00BA5797">
        <w:rPr>
          <w:rFonts w:ascii="Times New Roman" w:eastAsia="Times New Roman" w:hAnsi="Times New Roman" w:cs="Times New Roman"/>
          <w:b/>
          <w:bCs/>
          <w:iCs/>
          <w:sz w:val="28"/>
          <w:szCs w:val="28"/>
          <w:lang w:val="ro-RO" w:eastAsia="ru-RU"/>
        </w:rPr>
        <w:t>Secţiunea 2.</w:t>
      </w:r>
      <w:bookmarkStart w:id="10" w:name="_Toc295654091"/>
      <w:bookmarkStart w:id="11" w:name="_Toc330302152"/>
      <w:bookmarkStart w:id="12" w:name="_Toc330302376"/>
      <w:bookmarkStart w:id="13" w:name="_Toc338754945"/>
      <w:bookmarkStart w:id="14" w:name="_Toc338756006"/>
      <w:bookmarkStart w:id="15" w:name="_Toc343678671"/>
      <w:r w:rsidRPr="00BA5797">
        <w:rPr>
          <w:rFonts w:ascii="Times New Roman" w:eastAsia="Times New Roman" w:hAnsi="Times New Roman" w:cs="Times New Roman"/>
          <w:sz w:val="24"/>
          <w:szCs w:val="24"/>
          <w:lang w:val="ro-RO" w:eastAsia="ru-RU"/>
        </w:rPr>
        <w:t xml:space="preserve"> </w:t>
      </w:r>
      <w:r w:rsidRPr="00BA5797">
        <w:rPr>
          <w:rFonts w:ascii="Times New Roman" w:eastAsia="Times New Roman" w:hAnsi="Times New Roman" w:cs="Times New Roman"/>
          <w:b/>
          <w:bCs/>
          <w:iCs/>
          <w:sz w:val="28"/>
          <w:szCs w:val="28"/>
          <w:lang w:val="ro-RO" w:eastAsia="ru-RU"/>
        </w:rPr>
        <w:t>Strategii alternative de asigurare a necesităților de finanțare</w:t>
      </w:r>
      <w:bookmarkEnd w:id="10"/>
      <w:bookmarkEnd w:id="11"/>
      <w:bookmarkEnd w:id="12"/>
      <w:bookmarkEnd w:id="13"/>
      <w:bookmarkEnd w:id="14"/>
      <w:bookmarkEnd w:id="15"/>
    </w:p>
    <w:p w:rsidR="005F0A35" w:rsidRDefault="005F0A35" w:rsidP="005F0A35">
      <w:pPr>
        <w:keepNext/>
        <w:spacing w:after="0" w:line="240" w:lineRule="auto"/>
        <w:ind w:firstLine="709"/>
        <w:jc w:val="both"/>
        <w:outlineLvl w:val="1"/>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 xml:space="preserve">În prezent, </w:t>
      </w:r>
      <w:r w:rsidRPr="005F0A35">
        <w:rPr>
          <w:rFonts w:ascii="Times New Roman" w:eastAsia="Times New Roman" w:hAnsi="Times New Roman" w:cs="Times New Roman"/>
          <w:bCs/>
          <w:iCs/>
          <w:sz w:val="28"/>
          <w:szCs w:val="28"/>
          <w:lang w:val="ro-RO" w:eastAsia="ru-RU"/>
        </w:rPr>
        <w:t xml:space="preserve">structura datoriei de stat nu este ferită de riscuri, însă reieșind din condițiile existente și anumite constrîngeri, </w:t>
      </w:r>
      <w:r>
        <w:rPr>
          <w:rFonts w:ascii="Times New Roman" w:eastAsia="Times New Roman" w:hAnsi="Times New Roman" w:cs="Times New Roman"/>
          <w:bCs/>
          <w:iCs/>
          <w:sz w:val="28"/>
          <w:szCs w:val="28"/>
          <w:lang w:val="ro-RO" w:eastAsia="ru-RU"/>
        </w:rPr>
        <w:t>ponderea instrumentelor de finanţare</w:t>
      </w:r>
      <w:r w:rsidRPr="005F0A35">
        <w:rPr>
          <w:rFonts w:ascii="Times New Roman" w:eastAsia="Times New Roman" w:hAnsi="Times New Roman" w:cs="Times New Roman"/>
          <w:bCs/>
          <w:iCs/>
          <w:sz w:val="28"/>
          <w:szCs w:val="28"/>
          <w:lang w:val="ro-RO" w:eastAsia="ru-RU"/>
        </w:rPr>
        <w:t xml:space="preserve"> nu poate fi modificată semnificativ. </w:t>
      </w:r>
      <w:r w:rsidR="008B2B95">
        <w:rPr>
          <w:rFonts w:ascii="Times New Roman" w:eastAsia="Times New Roman" w:hAnsi="Times New Roman" w:cs="Times New Roman"/>
          <w:bCs/>
          <w:iCs/>
          <w:sz w:val="28"/>
          <w:szCs w:val="28"/>
          <w:lang w:val="ro-RO" w:eastAsia="ru-RU"/>
        </w:rPr>
        <w:t xml:space="preserve">Din acest motiv, a fost utilizat instrumentul analitic MTDS, care permite </w:t>
      </w:r>
      <w:r w:rsidR="00A11271">
        <w:rPr>
          <w:rFonts w:ascii="Times New Roman" w:eastAsia="Times New Roman" w:hAnsi="Times New Roman" w:cs="Times New Roman"/>
          <w:bCs/>
          <w:iCs/>
          <w:sz w:val="28"/>
          <w:szCs w:val="28"/>
          <w:lang w:val="ro-RO" w:eastAsia="ru-RU"/>
        </w:rPr>
        <w:t>analiza mai multor strategii de finanţare</w:t>
      </w:r>
      <w:r w:rsidR="00F6237D">
        <w:rPr>
          <w:rFonts w:ascii="Times New Roman" w:eastAsia="Times New Roman" w:hAnsi="Times New Roman" w:cs="Times New Roman"/>
          <w:bCs/>
          <w:iCs/>
          <w:sz w:val="28"/>
          <w:szCs w:val="28"/>
          <w:lang w:val="ro-RO" w:eastAsia="ru-RU"/>
        </w:rPr>
        <w:t xml:space="preserve"> pe termen mediu</w:t>
      </w:r>
      <w:r w:rsidR="00A11271">
        <w:rPr>
          <w:rFonts w:ascii="Times New Roman" w:eastAsia="Times New Roman" w:hAnsi="Times New Roman" w:cs="Times New Roman"/>
          <w:bCs/>
          <w:iCs/>
          <w:sz w:val="28"/>
          <w:szCs w:val="28"/>
          <w:lang w:val="ro-RO" w:eastAsia="ru-RU"/>
        </w:rPr>
        <w:t xml:space="preserve"> care pot fi comparate din punct de vedere al costurilor şi riscurilor aferente. Selectarea unei strategii de finanţare are la bază selectarea ponderii finanţării interne faţă de cea externă în total finanţare, precum şi selectarea ponderii instrumentelor</w:t>
      </w:r>
      <w:r w:rsidR="00187809">
        <w:rPr>
          <w:rFonts w:ascii="Times New Roman" w:eastAsia="Times New Roman" w:hAnsi="Times New Roman" w:cs="Times New Roman"/>
          <w:bCs/>
          <w:iCs/>
          <w:sz w:val="28"/>
          <w:szCs w:val="28"/>
          <w:lang w:val="ro-RO" w:eastAsia="ru-RU"/>
        </w:rPr>
        <w:t xml:space="preserve"> separat în cadrul finanţării interne şi a celei externe.</w:t>
      </w:r>
      <w:r w:rsidR="00A11271">
        <w:rPr>
          <w:rFonts w:ascii="Times New Roman" w:eastAsia="Times New Roman" w:hAnsi="Times New Roman" w:cs="Times New Roman"/>
          <w:bCs/>
          <w:iCs/>
          <w:sz w:val="28"/>
          <w:szCs w:val="28"/>
          <w:lang w:val="ro-RO" w:eastAsia="ru-RU"/>
        </w:rPr>
        <w:t xml:space="preserve"> </w:t>
      </w:r>
      <w:r w:rsidR="00187809">
        <w:rPr>
          <w:rFonts w:ascii="Times New Roman" w:eastAsia="Times New Roman" w:hAnsi="Times New Roman" w:cs="Times New Roman"/>
          <w:bCs/>
          <w:iCs/>
          <w:sz w:val="28"/>
          <w:szCs w:val="28"/>
          <w:lang w:val="ro-RO" w:eastAsia="ru-RU"/>
        </w:rPr>
        <w:t xml:space="preserve">Instrumentele sunt </w:t>
      </w:r>
      <w:r w:rsidR="00A11271">
        <w:rPr>
          <w:rFonts w:ascii="Times New Roman" w:eastAsia="Times New Roman" w:hAnsi="Times New Roman" w:cs="Times New Roman"/>
          <w:bCs/>
          <w:iCs/>
          <w:sz w:val="28"/>
          <w:szCs w:val="28"/>
          <w:lang w:val="ro-RO" w:eastAsia="ru-RU"/>
        </w:rPr>
        <w:t>grupate în dependenţă de caracteristici cum ar fi maturitate şi rată a dobînzii</w:t>
      </w:r>
      <w:r w:rsidR="00187809">
        <w:rPr>
          <w:rFonts w:ascii="Times New Roman" w:eastAsia="Times New Roman" w:hAnsi="Times New Roman" w:cs="Times New Roman"/>
          <w:bCs/>
          <w:iCs/>
          <w:sz w:val="28"/>
          <w:szCs w:val="28"/>
          <w:lang w:val="ro-RO" w:eastAsia="ru-RU"/>
        </w:rPr>
        <w:t xml:space="preserve"> şi au la bază atît instrumentele de datorie existente în </w:t>
      </w:r>
      <w:r w:rsidR="00F6237D">
        <w:rPr>
          <w:rFonts w:ascii="Times New Roman" w:eastAsia="Times New Roman" w:hAnsi="Times New Roman" w:cs="Times New Roman"/>
          <w:bCs/>
          <w:iCs/>
          <w:sz w:val="28"/>
          <w:szCs w:val="28"/>
          <w:lang w:val="ro-RO" w:eastAsia="ru-RU"/>
        </w:rPr>
        <w:t>portofoliul</w:t>
      </w:r>
      <w:r w:rsidR="00187809">
        <w:rPr>
          <w:rFonts w:ascii="Times New Roman" w:eastAsia="Times New Roman" w:hAnsi="Times New Roman" w:cs="Times New Roman"/>
          <w:bCs/>
          <w:iCs/>
          <w:sz w:val="28"/>
          <w:szCs w:val="28"/>
          <w:lang w:val="ro-RO" w:eastAsia="ru-RU"/>
        </w:rPr>
        <w:t xml:space="preserve"> datoriei, cît şi instrumente potenţiale, care ar putea fi contractate sau emise în viitor. </w:t>
      </w:r>
    </w:p>
    <w:p w:rsidR="00187809" w:rsidRDefault="00187809" w:rsidP="005F0A35">
      <w:pPr>
        <w:keepNext/>
        <w:spacing w:after="0" w:line="240" w:lineRule="auto"/>
        <w:ind w:firstLine="709"/>
        <w:jc w:val="both"/>
        <w:outlineLvl w:val="1"/>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La elaborarea Programului, au fost analizate patru strategii alternative de finanţare:</w:t>
      </w:r>
      <w:r w:rsidR="00DF03E3">
        <w:rPr>
          <w:rFonts w:ascii="Times New Roman" w:eastAsia="Times New Roman" w:hAnsi="Times New Roman" w:cs="Times New Roman"/>
          <w:bCs/>
          <w:iCs/>
          <w:sz w:val="28"/>
          <w:szCs w:val="28"/>
          <w:lang w:val="ro-RO" w:eastAsia="ru-RU"/>
        </w:rPr>
        <w:t xml:space="preserve"> </w:t>
      </w:r>
      <w:r w:rsidR="00DF03E3" w:rsidRPr="00DF03E3">
        <w:rPr>
          <w:rFonts w:ascii="Times New Roman" w:eastAsia="Times New Roman" w:hAnsi="Times New Roman" w:cs="Times New Roman"/>
          <w:bCs/>
          <w:iCs/>
          <w:sz w:val="28"/>
          <w:szCs w:val="28"/>
          <w:u w:val="single"/>
          <w:lang w:val="ro-RO" w:eastAsia="ru-RU"/>
        </w:rPr>
        <w:t>Strategia de bază</w:t>
      </w:r>
      <w:r w:rsidR="00DF03E3">
        <w:rPr>
          <w:rFonts w:ascii="Times New Roman" w:eastAsia="Times New Roman" w:hAnsi="Times New Roman" w:cs="Times New Roman"/>
          <w:bCs/>
          <w:iCs/>
          <w:sz w:val="28"/>
          <w:szCs w:val="28"/>
          <w:lang w:val="ro-RO" w:eastAsia="ru-RU"/>
        </w:rPr>
        <w:t xml:space="preserve">, reieşind din condiţiile curente de piaţă, </w:t>
      </w:r>
      <w:r w:rsidR="00DF03E3">
        <w:rPr>
          <w:rFonts w:ascii="Times New Roman" w:eastAsia="Times New Roman" w:hAnsi="Times New Roman" w:cs="Times New Roman"/>
          <w:bCs/>
          <w:iCs/>
          <w:sz w:val="28"/>
          <w:szCs w:val="28"/>
          <w:u w:val="single"/>
          <w:lang w:val="ro-RO" w:eastAsia="ru-RU"/>
        </w:rPr>
        <w:t>S</w:t>
      </w:r>
      <w:r w:rsidR="00DF03E3" w:rsidRPr="00DF03E3">
        <w:rPr>
          <w:rFonts w:ascii="Times New Roman" w:eastAsia="Times New Roman" w:hAnsi="Times New Roman" w:cs="Times New Roman"/>
          <w:bCs/>
          <w:iCs/>
          <w:sz w:val="28"/>
          <w:szCs w:val="28"/>
          <w:u w:val="single"/>
          <w:lang w:val="ro-RO" w:eastAsia="ru-RU"/>
        </w:rPr>
        <w:t>trategia</w:t>
      </w:r>
      <w:r w:rsidR="00DF03E3">
        <w:rPr>
          <w:rFonts w:ascii="Times New Roman" w:eastAsia="Times New Roman" w:hAnsi="Times New Roman" w:cs="Times New Roman"/>
          <w:bCs/>
          <w:iCs/>
          <w:sz w:val="28"/>
          <w:szCs w:val="28"/>
          <w:u w:val="single"/>
          <w:lang w:val="ro-RO" w:eastAsia="ru-RU"/>
        </w:rPr>
        <w:t xml:space="preserve"> II</w:t>
      </w:r>
      <w:r w:rsidR="00DF03E3" w:rsidRPr="00DF03E3">
        <w:rPr>
          <w:rFonts w:ascii="Times New Roman" w:eastAsia="Times New Roman" w:hAnsi="Times New Roman" w:cs="Times New Roman"/>
          <w:bCs/>
          <w:iCs/>
          <w:sz w:val="28"/>
          <w:szCs w:val="28"/>
          <w:lang w:val="ro-RO" w:eastAsia="ru-RU"/>
        </w:rPr>
        <w:t>, bazată pe majorarea</w:t>
      </w:r>
      <w:r w:rsidR="00DF03E3">
        <w:rPr>
          <w:rFonts w:ascii="Times New Roman" w:eastAsia="Times New Roman" w:hAnsi="Times New Roman" w:cs="Times New Roman"/>
          <w:bCs/>
          <w:iCs/>
          <w:sz w:val="28"/>
          <w:szCs w:val="28"/>
          <w:lang w:val="ro-RO" w:eastAsia="ru-RU"/>
        </w:rPr>
        <w:t xml:space="preserve"> ponderii finanţării interne, </w:t>
      </w:r>
      <w:r w:rsidR="00DF03E3" w:rsidRPr="00DF03E3">
        <w:rPr>
          <w:rFonts w:ascii="Times New Roman" w:eastAsia="Times New Roman" w:hAnsi="Times New Roman" w:cs="Times New Roman"/>
          <w:bCs/>
          <w:iCs/>
          <w:sz w:val="28"/>
          <w:szCs w:val="28"/>
          <w:u w:val="single"/>
          <w:lang w:val="ro-RO" w:eastAsia="ru-RU"/>
        </w:rPr>
        <w:t>Strategia III</w:t>
      </w:r>
      <w:r w:rsidR="00DF03E3">
        <w:rPr>
          <w:rFonts w:ascii="Times New Roman" w:eastAsia="Times New Roman" w:hAnsi="Times New Roman" w:cs="Times New Roman"/>
          <w:bCs/>
          <w:iCs/>
          <w:sz w:val="28"/>
          <w:szCs w:val="28"/>
          <w:lang w:val="ro-RO" w:eastAsia="ru-RU"/>
        </w:rPr>
        <w:t xml:space="preserve">, bazată pe majorarea finanţării externe la condiţii concesionale şi </w:t>
      </w:r>
      <w:r w:rsidR="00DF03E3" w:rsidRPr="00DF03E3">
        <w:rPr>
          <w:rFonts w:ascii="Times New Roman" w:eastAsia="Times New Roman" w:hAnsi="Times New Roman" w:cs="Times New Roman"/>
          <w:bCs/>
          <w:iCs/>
          <w:sz w:val="28"/>
          <w:szCs w:val="28"/>
          <w:u w:val="single"/>
          <w:lang w:val="ro-RO" w:eastAsia="ru-RU"/>
        </w:rPr>
        <w:t>Strategia IV</w:t>
      </w:r>
      <w:r w:rsidR="00DF03E3">
        <w:rPr>
          <w:rFonts w:ascii="Times New Roman" w:eastAsia="Times New Roman" w:hAnsi="Times New Roman" w:cs="Times New Roman"/>
          <w:bCs/>
          <w:iCs/>
          <w:sz w:val="28"/>
          <w:szCs w:val="28"/>
          <w:lang w:val="ro-RO" w:eastAsia="ru-RU"/>
        </w:rPr>
        <w:t>, bazată pe diminuarea finanţării externe</w:t>
      </w:r>
      <w:r w:rsidR="00DF03E3" w:rsidRPr="00DF03E3">
        <w:rPr>
          <w:rFonts w:ascii="Times New Roman" w:eastAsia="Times New Roman" w:hAnsi="Times New Roman" w:cs="Times New Roman"/>
          <w:bCs/>
          <w:iCs/>
          <w:sz w:val="28"/>
          <w:szCs w:val="28"/>
          <w:lang w:val="ro-RO" w:eastAsia="ru-RU"/>
        </w:rPr>
        <w:t xml:space="preserve"> </w:t>
      </w:r>
      <w:r w:rsidR="00DF03E3">
        <w:rPr>
          <w:rFonts w:ascii="Times New Roman" w:eastAsia="Times New Roman" w:hAnsi="Times New Roman" w:cs="Times New Roman"/>
          <w:bCs/>
          <w:iCs/>
          <w:sz w:val="28"/>
          <w:szCs w:val="28"/>
          <w:lang w:val="ro-RO" w:eastAsia="ru-RU"/>
        </w:rPr>
        <w:t>la condiţii concesionale.</w:t>
      </w:r>
    </w:p>
    <w:p w:rsidR="00EE03C5" w:rsidRDefault="009A1DD4" w:rsidP="005F0A35">
      <w:pPr>
        <w:keepNext/>
        <w:spacing w:after="0" w:line="240" w:lineRule="auto"/>
        <w:ind w:firstLine="709"/>
        <w:jc w:val="both"/>
        <w:outlineLvl w:val="1"/>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În rezultatul simulărilor modelului</w:t>
      </w:r>
      <w:r w:rsidR="00B026AB">
        <w:rPr>
          <w:rFonts w:ascii="Times New Roman" w:eastAsia="Times New Roman" w:hAnsi="Times New Roman" w:cs="Times New Roman"/>
          <w:bCs/>
          <w:iCs/>
          <w:sz w:val="28"/>
          <w:szCs w:val="28"/>
          <w:lang w:val="ro-RO" w:eastAsia="ru-RU"/>
        </w:rPr>
        <w:t xml:space="preserve"> MTDS, au fost calculaţi indicatorii de cost</w:t>
      </w:r>
      <w:r w:rsidR="00AC0698">
        <w:rPr>
          <w:rFonts w:ascii="Times New Roman" w:eastAsia="Times New Roman" w:hAnsi="Times New Roman" w:cs="Times New Roman"/>
          <w:bCs/>
          <w:iCs/>
          <w:sz w:val="28"/>
          <w:szCs w:val="28"/>
          <w:lang w:val="ro-RO" w:eastAsia="ru-RU"/>
        </w:rPr>
        <w:t>, risc şi sustenabilitate pentru soldul datoriei obţinut în rezultatul aplicării fiecărei strategii în parte.</w:t>
      </w:r>
      <w:r w:rsidR="00EE03C5">
        <w:rPr>
          <w:rFonts w:ascii="Times New Roman" w:eastAsia="Times New Roman" w:hAnsi="Times New Roman" w:cs="Times New Roman"/>
          <w:bCs/>
          <w:iCs/>
          <w:sz w:val="28"/>
          <w:szCs w:val="28"/>
          <w:lang w:val="ro-RO" w:eastAsia="ru-RU"/>
        </w:rPr>
        <w:t xml:space="preserve"> Astfel, cele mai mici costuri, dar şi riscuri mai optime îi sunt asociate Strategiei </w:t>
      </w:r>
      <w:r w:rsidR="00DF03E3">
        <w:rPr>
          <w:rFonts w:ascii="Times New Roman" w:eastAsia="Times New Roman" w:hAnsi="Times New Roman" w:cs="Times New Roman"/>
          <w:bCs/>
          <w:iCs/>
          <w:sz w:val="28"/>
          <w:szCs w:val="28"/>
          <w:lang w:val="ro-RO" w:eastAsia="ru-RU"/>
        </w:rPr>
        <w:t>de bază</w:t>
      </w:r>
      <w:r w:rsidR="00EE03C5">
        <w:rPr>
          <w:rFonts w:ascii="Times New Roman" w:eastAsia="Times New Roman" w:hAnsi="Times New Roman" w:cs="Times New Roman"/>
          <w:bCs/>
          <w:iCs/>
          <w:sz w:val="28"/>
          <w:szCs w:val="28"/>
          <w:lang w:val="ro-RO" w:eastAsia="ru-RU"/>
        </w:rPr>
        <w:t>, după care urmează Strategia III, Strategia II şi Strategia IV.</w:t>
      </w:r>
      <w:r w:rsidR="00FB3BB8">
        <w:rPr>
          <w:rFonts w:ascii="Times New Roman" w:eastAsia="Times New Roman" w:hAnsi="Times New Roman" w:cs="Times New Roman"/>
          <w:bCs/>
          <w:iCs/>
          <w:sz w:val="28"/>
          <w:szCs w:val="28"/>
          <w:lang w:val="ro-RO" w:eastAsia="ru-RU"/>
        </w:rPr>
        <w:t xml:space="preserve"> </w:t>
      </w:r>
      <w:r w:rsidR="00FC365C">
        <w:rPr>
          <w:rFonts w:ascii="Times New Roman" w:eastAsia="Times New Roman" w:hAnsi="Times New Roman" w:cs="Times New Roman"/>
          <w:bCs/>
          <w:iCs/>
          <w:sz w:val="28"/>
          <w:szCs w:val="28"/>
          <w:lang w:val="ro-RO" w:eastAsia="ru-RU"/>
        </w:rPr>
        <w:t xml:space="preserve">Respectiv, urmează a fi implementată Strategia </w:t>
      </w:r>
      <w:r w:rsidR="00DF03E3">
        <w:rPr>
          <w:rFonts w:ascii="Times New Roman" w:eastAsia="Times New Roman" w:hAnsi="Times New Roman" w:cs="Times New Roman"/>
          <w:bCs/>
          <w:iCs/>
          <w:sz w:val="28"/>
          <w:szCs w:val="28"/>
          <w:lang w:val="ro-RO" w:eastAsia="ru-RU"/>
        </w:rPr>
        <w:t>de bază</w:t>
      </w:r>
      <w:r w:rsidR="00FC365C">
        <w:rPr>
          <w:rFonts w:ascii="Times New Roman" w:eastAsia="Times New Roman" w:hAnsi="Times New Roman" w:cs="Times New Roman"/>
          <w:bCs/>
          <w:iCs/>
          <w:sz w:val="28"/>
          <w:szCs w:val="28"/>
          <w:lang w:val="ro-RO" w:eastAsia="ru-RU"/>
        </w:rPr>
        <w:t>, iar sursele de finanţare şi caracteristicile soldului datoriei sunt descrise mai in detalii în secţiunile care urmează.</w:t>
      </w:r>
    </w:p>
    <w:p w:rsidR="00EE03C5" w:rsidRPr="00EE03C5" w:rsidRDefault="00EE03C5" w:rsidP="00EE03C5">
      <w:pPr>
        <w:keepNext/>
        <w:spacing w:after="0" w:line="240" w:lineRule="auto"/>
        <w:ind w:firstLine="709"/>
        <w:jc w:val="both"/>
        <w:outlineLvl w:val="1"/>
        <w:rPr>
          <w:rFonts w:ascii="Times New Roman" w:eastAsia="Times New Roman" w:hAnsi="Times New Roman" w:cs="Times New Roman"/>
          <w:bCs/>
          <w:iCs/>
          <w:sz w:val="28"/>
          <w:szCs w:val="28"/>
          <w:lang w:val="ro-RO" w:eastAsia="ru-RU"/>
        </w:rPr>
      </w:pPr>
      <w:r w:rsidRPr="00EE03C5">
        <w:rPr>
          <w:rFonts w:ascii="Times New Roman" w:eastAsia="Times New Roman" w:hAnsi="Times New Roman" w:cs="Times New Roman"/>
          <w:bCs/>
          <w:iCs/>
          <w:sz w:val="28"/>
          <w:szCs w:val="28"/>
          <w:lang w:val="ro-RO" w:eastAsia="ru-RU"/>
        </w:rPr>
        <w:t xml:space="preserve">În </w:t>
      </w:r>
      <w:r w:rsidR="00FC365C">
        <w:rPr>
          <w:rFonts w:ascii="Times New Roman" w:eastAsia="Times New Roman" w:hAnsi="Times New Roman" w:cs="Times New Roman"/>
          <w:bCs/>
          <w:iCs/>
          <w:sz w:val="28"/>
          <w:szCs w:val="28"/>
          <w:lang w:val="ro-RO" w:eastAsia="ru-RU"/>
        </w:rPr>
        <w:t>concluzie</w:t>
      </w:r>
      <w:r w:rsidRPr="00EE03C5">
        <w:rPr>
          <w:rFonts w:ascii="Times New Roman" w:eastAsia="Times New Roman" w:hAnsi="Times New Roman" w:cs="Times New Roman"/>
          <w:bCs/>
          <w:iCs/>
          <w:sz w:val="28"/>
          <w:szCs w:val="28"/>
          <w:lang w:val="ro-RO" w:eastAsia="ru-RU"/>
        </w:rPr>
        <w:t>, asemenea exerciții permit anticiparea asumării anumitor costuri și riscuri virtuale înainte de a purcede la modificarea instrumentelor utilizate de asigurare a necesităților de finanțare în realitate.</w:t>
      </w:r>
      <w:r w:rsidR="00FC365C">
        <w:rPr>
          <w:rFonts w:ascii="Times New Roman" w:eastAsia="Times New Roman" w:hAnsi="Times New Roman" w:cs="Times New Roman"/>
          <w:bCs/>
          <w:iCs/>
          <w:sz w:val="28"/>
          <w:szCs w:val="28"/>
          <w:lang w:val="ro-RO" w:eastAsia="ru-RU"/>
        </w:rPr>
        <w:t xml:space="preserve"> De asemenea, avînd mai multe alternative de finanţare, poate fi aleasă cea optimă care ar asigura implementarea eficientă a obiectivelor în domeniul managementului datoriei de stat.</w:t>
      </w:r>
      <w:r w:rsidRPr="00EE03C5">
        <w:rPr>
          <w:rFonts w:ascii="Times New Roman" w:eastAsia="Times New Roman" w:hAnsi="Times New Roman" w:cs="Times New Roman"/>
          <w:bCs/>
          <w:iCs/>
          <w:sz w:val="28"/>
          <w:szCs w:val="28"/>
          <w:lang w:val="ro-RO" w:eastAsia="ru-RU"/>
        </w:rPr>
        <w:t xml:space="preserve"> </w:t>
      </w:r>
    </w:p>
    <w:p w:rsidR="009A1DD4" w:rsidRDefault="00EE03C5" w:rsidP="005F0A35">
      <w:pPr>
        <w:keepNext/>
        <w:spacing w:after="0" w:line="240" w:lineRule="auto"/>
        <w:ind w:firstLine="709"/>
        <w:jc w:val="both"/>
        <w:outlineLvl w:val="1"/>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 xml:space="preserve"> </w:t>
      </w:r>
      <w:r w:rsidR="00AC0698">
        <w:rPr>
          <w:rFonts w:ascii="Times New Roman" w:eastAsia="Times New Roman" w:hAnsi="Times New Roman" w:cs="Times New Roman"/>
          <w:bCs/>
          <w:iCs/>
          <w:sz w:val="28"/>
          <w:szCs w:val="28"/>
          <w:lang w:val="ro-RO" w:eastAsia="ru-RU"/>
        </w:rPr>
        <w:t xml:space="preserve"> </w:t>
      </w:r>
      <w:r w:rsidR="00B026AB">
        <w:rPr>
          <w:rFonts w:ascii="Times New Roman" w:eastAsia="Times New Roman" w:hAnsi="Times New Roman" w:cs="Times New Roman"/>
          <w:bCs/>
          <w:iCs/>
          <w:sz w:val="28"/>
          <w:szCs w:val="28"/>
          <w:lang w:val="ro-RO" w:eastAsia="ru-RU"/>
        </w:rPr>
        <w:t xml:space="preserve"> </w:t>
      </w:r>
    </w:p>
    <w:p w:rsidR="00F9496F" w:rsidRPr="00284E13" w:rsidRDefault="00F9496F" w:rsidP="00F9496F">
      <w:pPr>
        <w:keepNext/>
        <w:spacing w:after="0" w:line="240" w:lineRule="auto"/>
        <w:ind w:firstLine="709"/>
        <w:jc w:val="both"/>
        <w:outlineLvl w:val="1"/>
        <w:rPr>
          <w:rFonts w:ascii="Times New Roman" w:eastAsia="Times New Roman" w:hAnsi="Times New Roman" w:cs="Times New Roman"/>
          <w:b/>
          <w:bCs/>
          <w:iCs/>
          <w:sz w:val="28"/>
          <w:szCs w:val="28"/>
          <w:lang w:val="ro-RO" w:eastAsia="ru-RU"/>
        </w:rPr>
      </w:pPr>
      <w:r w:rsidRPr="00284E13">
        <w:rPr>
          <w:rFonts w:ascii="Times New Roman" w:eastAsia="Times New Roman" w:hAnsi="Times New Roman" w:cs="Times New Roman"/>
          <w:b/>
          <w:bCs/>
          <w:iCs/>
          <w:sz w:val="28"/>
          <w:szCs w:val="28"/>
          <w:lang w:val="ro-RO" w:eastAsia="ru-RU"/>
        </w:rPr>
        <w:t xml:space="preserve">Secţiunea </w:t>
      </w:r>
      <w:r w:rsidR="00234278">
        <w:rPr>
          <w:rFonts w:ascii="Times New Roman" w:eastAsia="Times New Roman" w:hAnsi="Times New Roman" w:cs="Times New Roman"/>
          <w:b/>
          <w:bCs/>
          <w:iCs/>
          <w:sz w:val="28"/>
          <w:szCs w:val="28"/>
          <w:lang w:val="ro-RO" w:eastAsia="ru-RU"/>
        </w:rPr>
        <w:t>3</w:t>
      </w:r>
      <w:r w:rsidRPr="00284E13">
        <w:rPr>
          <w:rFonts w:ascii="Times New Roman" w:eastAsia="Times New Roman" w:hAnsi="Times New Roman" w:cs="Times New Roman"/>
          <w:b/>
          <w:bCs/>
          <w:iCs/>
          <w:sz w:val="28"/>
          <w:szCs w:val="28"/>
          <w:lang w:val="ro-RO" w:eastAsia="ru-RU"/>
        </w:rPr>
        <w:t>. Dinamica datoriei de stat în perioada anilor 201</w:t>
      </w:r>
      <w:r w:rsidR="00BC1FEC">
        <w:rPr>
          <w:rFonts w:ascii="Times New Roman" w:eastAsia="Times New Roman" w:hAnsi="Times New Roman" w:cs="Times New Roman"/>
          <w:b/>
          <w:bCs/>
          <w:iCs/>
          <w:sz w:val="28"/>
          <w:szCs w:val="28"/>
          <w:lang w:val="ro-RO" w:eastAsia="ru-RU"/>
        </w:rPr>
        <w:t>1</w:t>
      </w:r>
      <w:r w:rsidRPr="00284E13">
        <w:rPr>
          <w:rFonts w:ascii="Times New Roman" w:eastAsia="Times New Roman" w:hAnsi="Times New Roman" w:cs="Times New Roman"/>
          <w:b/>
          <w:bCs/>
          <w:iCs/>
          <w:sz w:val="28"/>
          <w:szCs w:val="28"/>
          <w:lang w:val="ro-RO" w:eastAsia="ru-RU"/>
        </w:rPr>
        <w:t>-201</w:t>
      </w:r>
      <w:bookmarkEnd w:id="9"/>
      <w:r w:rsidR="00BC1FEC">
        <w:rPr>
          <w:rFonts w:ascii="Times New Roman" w:eastAsia="Times New Roman" w:hAnsi="Times New Roman" w:cs="Times New Roman"/>
          <w:b/>
          <w:bCs/>
          <w:iCs/>
          <w:sz w:val="28"/>
          <w:szCs w:val="28"/>
          <w:lang w:val="ro-RO" w:eastAsia="ru-RU"/>
        </w:rPr>
        <w:t>6</w:t>
      </w:r>
    </w:p>
    <w:p w:rsidR="005E19A9" w:rsidRDefault="00F9496F" w:rsidP="005E19A9">
      <w:pPr>
        <w:tabs>
          <w:tab w:val="left" w:pos="0"/>
          <w:tab w:val="left" w:pos="720"/>
        </w:tabs>
        <w:spacing w:after="0" w:line="240" w:lineRule="auto"/>
        <w:ind w:firstLine="709"/>
        <w:jc w:val="both"/>
        <w:rPr>
          <w:rFonts w:ascii="Times New Roman" w:eastAsia="Times New Roman" w:hAnsi="Times New Roman" w:cs="Times New Roman"/>
          <w:color w:val="000000"/>
          <w:sz w:val="28"/>
          <w:szCs w:val="28"/>
          <w:lang w:val="ro-RO" w:eastAsia="ru-RU"/>
        </w:rPr>
      </w:pPr>
      <w:r w:rsidRPr="00284E13">
        <w:rPr>
          <w:rFonts w:ascii="Times New Roman" w:eastAsia="Times New Roman" w:hAnsi="Times New Roman" w:cs="Times New Roman"/>
          <w:color w:val="000000"/>
          <w:sz w:val="28"/>
          <w:szCs w:val="28"/>
          <w:lang w:val="ro-RO" w:eastAsia="ru-RU"/>
        </w:rPr>
        <w:t xml:space="preserve">1. Soldul datoriei de stat </w:t>
      </w:r>
      <w:r w:rsidR="00EC33CF">
        <w:rPr>
          <w:rFonts w:ascii="Times New Roman" w:eastAsia="Times New Roman" w:hAnsi="Times New Roman" w:cs="Times New Roman"/>
          <w:color w:val="000000"/>
          <w:sz w:val="28"/>
          <w:szCs w:val="28"/>
          <w:lang w:val="ro-RO" w:eastAsia="ru-RU"/>
        </w:rPr>
        <w:t>la sfîrşitul</w:t>
      </w:r>
      <w:r w:rsidR="00EC33CF" w:rsidRPr="00284E13">
        <w:rPr>
          <w:rFonts w:ascii="Times New Roman" w:eastAsia="Times New Roman" w:hAnsi="Times New Roman" w:cs="Times New Roman"/>
          <w:color w:val="000000"/>
          <w:sz w:val="28"/>
          <w:szCs w:val="28"/>
          <w:lang w:val="ro-RO" w:eastAsia="ru-RU"/>
        </w:rPr>
        <w:t xml:space="preserve"> anul</w:t>
      </w:r>
      <w:r w:rsidR="00EC33CF">
        <w:rPr>
          <w:rFonts w:ascii="Times New Roman" w:eastAsia="Times New Roman" w:hAnsi="Times New Roman" w:cs="Times New Roman"/>
          <w:color w:val="000000"/>
          <w:sz w:val="28"/>
          <w:szCs w:val="28"/>
          <w:lang w:val="ro-RO" w:eastAsia="ru-RU"/>
        </w:rPr>
        <w:t>ui</w:t>
      </w:r>
      <w:r w:rsidR="00EC33CF" w:rsidRPr="00284E13">
        <w:rPr>
          <w:rFonts w:ascii="Times New Roman" w:eastAsia="Times New Roman" w:hAnsi="Times New Roman" w:cs="Times New Roman"/>
          <w:color w:val="000000"/>
          <w:sz w:val="28"/>
          <w:szCs w:val="28"/>
          <w:lang w:val="ro-RO" w:eastAsia="ru-RU"/>
        </w:rPr>
        <w:t xml:space="preserve"> 201</w:t>
      </w:r>
      <w:r w:rsidR="00936232">
        <w:rPr>
          <w:rFonts w:ascii="Times New Roman" w:eastAsia="Times New Roman" w:hAnsi="Times New Roman" w:cs="Times New Roman"/>
          <w:color w:val="000000"/>
          <w:sz w:val="28"/>
          <w:szCs w:val="28"/>
          <w:lang w:val="ro-RO" w:eastAsia="ru-RU"/>
        </w:rPr>
        <w:t>3</w:t>
      </w:r>
      <w:r w:rsidR="00EC33CF">
        <w:rPr>
          <w:rFonts w:ascii="Times New Roman" w:eastAsia="Times New Roman" w:hAnsi="Times New Roman" w:cs="Times New Roman"/>
          <w:color w:val="000000"/>
          <w:sz w:val="28"/>
          <w:szCs w:val="28"/>
          <w:lang w:val="ro-RO" w:eastAsia="ru-RU"/>
        </w:rPr>
        <w:t xml:space="preserve"> </w:t>
      </w:r>
      <w:r w:rsidRPr="00284E13">
        <w:rPr>
          <w:rFonts w:ascii="Times New Roman" w:eastAsia="Times New Roman" w:hAnsi="Times New Roman" w:cs="Times New Roman"/>
          <w:color w:val="000000"/>
          <w:sz w:val="28"/>
          <w:szCs w:val="28"/>
          <w:lang w:val="ro-RO" w:eastAsia="ru-RU"/>
        </w:rPr>
        <w:t xml:space="preserve">s-a majorat </w:t>
      </w:r>
      <w:r w:rsidR="00936232">
        <w:rPr>
          <w:rFonts w:ascii="Times New Roman" w:eastAsia="Times New Roman" w:hAnsi="Times New Roman" w:cs="Times New Roman"/>
          <w:color w:val="000000"/>
          <w:sz w:val="28"/>
          <w:szCs w:val="28"/>
          <w:lang w:val="ro-RO" w:eastAsia="ru-RU"/>
        </w:rPr>
        <w:t>comparativ cu anul 2012</w:t>
      </w:r>
      <w:r w:rsidRPr="00284E13">
        <w:rPr>
          <w:rFonts w:ascii="Times New Roman" w:eastAsia="Times New Roman" w:hAnsi="Times New Roman" w:cs="Times New Roman"/>
          <w:color w:val="000000"/>
          <w:sz w:val="28"/>
          <w:szCs w:val="28"/>
          <w:lang w:val="ro-RO" w:eastAsia="ru-RU"/>
        </w:rPr>
        <w:t xml:space="preserve">, cu </w:t>
      </w:r>
      <w:r w:rsidR="00EC33CF">
        <w:rPr>
          <w:rFonts w:ascii="Times New Roman" w:eastAsia="Times New Roman" w:hAnsi="Times New Roman" w:cs="Times New Roman"/>
          <w:color w:val="000000"/>
          <w:sz w:val="28"/>
          <w:szCs w:val="28"/>
          <w:lang w:val="ro-RO" w:eastAsia="ru-RU"/>
        </w:rPr>
        <w:t>1</w:t>
      </w:r>
      <w:r w:rsidR="00936232">
        <w:rPr>
          <w:rFonts w:ascii="Times New Roman" w:eastAsia="Times New Roman" w:hAnsi="Times New Roman" w:cs="Times New Roman"/>
          <w:color w:val="000000"/>
          <w:sz w:val="28"/>
          <w:szCs w:val="28"/>
          <w:lang w:val="ro-RO" w:eastAsia="ru-RU"/>
        </w:rPr>
        <w:t>1</w:t>
      </w:r>
      <w:r w:rsidRPr="00284E13">
        <w:rPr>
          <w:rFonts w:ascii="Times New Roman" w:eastAsia="Times New Roman" w:hAnsi="Times New Roman" w:cs="Times New Roman"/>
          <w:color w:val="000000"/>
          <w:sz w:val="28"/>
          <w:szCs w:val="28"/>
          <w:lang w:val="ro-RO" w:eastAsia="ru-RU"/>
        </w:rPr>
        <w:t>,</w:t>
      </w:r>
      <w:r w:rsidR="00936232">
        <w:rPr>
          <w:rFonts w:ascii="Times New Roman" w:eastAsia="Times New Roman" w:hAnsi="Times New Roman" w:cs="Times New Roman"/>
          <w:color w:val="000000"/>
          <w:sz w:val="28"/>
          <w:szCs w:val="28"/>
          <w:lang w:val="ro-RO" w:eastAsia="ru-RU"/>
        </w:rPr>
        <w:t>0</w:t>
      </w:r>
      <w:r w:rsidRPr="00284E13">
        <w:rPr>
          <w:rFonts w:ascii="Times New Roman" w:eastAsia="Times New Roman" w:hAnsi="Times New Roman" w:cs="Times New Roman"/>
          <w:color w:val="000000"/>
          <w:sz w:val="28"/>
          <w:szCs w:val="28"/>
          <w:lang w:val="ro-RO" w:eastAsia="ru-RU"/>
        </w:rPr>
        <w:t xml:space="preserve"> la sută. </w:t>
      </w:r>
      <w:r w:rsidR="005E19A9" w:rsidRPr="005E19A9">
        <w:rPr>
          <w:rFonts w:ascii="Times New Roman" w:eastAsia="Times New Roman" w:hAnsi="Times New Roman" w:cs="Times New Roman"/>
          <w:color w:val="000000"/>
          <w:sz w:val="28"/>
          <w:szCs w:val="28"/>
          <w:lang w:val="ro-RO" w:eastAsia="ru-RU"/>
        </w:rPr>
        <w:t>Această evoluţie are la bază creşterea soldului datoriei de stat externe</w:t>
      </w:r>
      <w:r w:rsidR="00E74779">
        <w:rPr>
          <w:rFonts w:ascii="Times New Roman" w:eastAsia="Times New Roman" w:hAnsi="Times New Roman" w:cs="Times New Roman"/>
          <w:color w:val="000000"/>
          <w:sz w:val="28"/>
          <w:szCs w:val="28"/>
          <w:lang w:val="ro-RO" w:eastAsia="ru-RU"/>
        </w:rPr>
        <w:t xml:space="preserve"> exprimat în lei moldovenești</w:t>
      </w:r>
      <w:r w:rsidR="005E19A9" w:rsidRPr="005E19A9">
        <w:rPr>
          <w:rFonts w:ascii="Times New Roman" w:eastAsia="Times New Roman" w:hAnsi="Times New Roman" w:cs="Times New Roman"/>
          <w:i/>
          <w:color w:val="000000"/>
          <w:sz w:val="28"/>
          <w:szCs w:val="28"/>
          <w:lang w:val="ro-RO" w:eastAsia="ru-RU"/>
        </w:rPr>
        <w:t xml:space="preserve"> </w:t>
      </w:r>
      <w:r w:rsidR="005E19A9" w:rsidRPr="005E19A9">
        <w:rPr>
          <w:rFonts w:ascii="Times New Roman" w:eastAsia="Times New Roman" w:hAnsi="Times New Roman" w:cs="Times New Roman"/>
          <w:color w:val="000000"/>
          <w:sz w:val="28"/>
          <w:szCs w:val="28"/>
          <w:lang w:val="ro-RO" w:eastAsia="ru-RU"/>
        </w:rPr>
        <w:t>cu 12,</w:t>
      </w:r>
      <w:r w:rsidR="00936232">
        <w:rPr>
          <w:rFonts w:ascii="Times New Roman" w:eastAsia="Times New Roman" w:hAnsi="Times New Roman" w:cs="Times New Roman"/>
          <w:color w:val="000000"/>
          <w:sz w:val="28"/>
          <w:szCs w:val="28"/>
          <w:lang w:val="ro-RO" w:eastAsia="ru-RU"/>
        </w:rPr>
        <w:t>1</w:t>
      </w:r>
      <w:r w:rsidR="005E19A9" w:rsidRPr="005E19A9">
        <w:rPr>
          <w:rFonts w:ascii="Times New Roman" w:eastAsia="Times New Roman" w:hAnsi="Times New Roman" w:cs="Times New Roman"/>
          <w:color w:val="000000"/>
          <w:sz w:val="28"/>
          <w:szCs w:val="28"/>
          <w:lang w:val="ro-RO" w:eastAsia="ru-RU"/>
        </w:rPr>
        <w:t xml:space="preserve"> la sută, precum şi a soldului datoriei de stat interne cu </w:t>
      </w:r>
      <w:r w:rsidR="00936232">
        <w:rPr>
          <w:rFonts w:ascii="Times New Roman" w:eastAsia="Times New Roman" w:hAnsi="Times New Roman" w:cs="Times New Roman"/>
          <w:color w:val="000000"/>
          <w:sz w:val="28"/>
          <w:szCs w:val="28"/>
          <w:lang w:val="ro-RO" w:eastAsia="ru-RU"/>
        </w:rPr>
        <w:t>8</w:t>
      </w:r>
      <w:r w:rsidR="005E19A9" w:rsidRPr="005E19A9">
        <w:rPr>
          <w:rFonts w:ascii="Times New Roman" w:eastAsia="Times New Roman" w:hAnsi="Times New Roman" w:cs="Times New Roman"/>
          <w:color w:val="000000"/>
          <w:sz w:val="28"/>
          <w:szCs w:val="28"/>
          <w:lang w:val="ro-RO" w:eastAsia="ru-RU"/>
        </w:rPr>
        <w:t>,4% în anul 201</w:t>
      </w:r>
      <w:r w:rsidR="00936232">
        <w:rPr>
          <w:rFonts w:ascii="Times New Roman" w:eastAsia="Times New Roman" w:hAnsi="Times New Roman" w:cs="Times New Roman"/>
          <w:color w:val="000000"/>
          <w:sz w:val="28"/>
          <w:szCs w:val="28"/>
          <w:lang w:val="ro-RO" w:eastAsia="ru-RU"/>
        </w:rPr>
        <w:t>3</w:t>
      </w:r>
      <w:r w:rsidR="005E19A9" w:rsidRPr="005E19A9">
        <w:rPr>
          <w:rFonts w:ascii="Times New Roman" w:eastAsia="Times New Roman" w:hAnsi="Times New Roman" w:cs="Times New Roman"/>
          <w:color w:val="000000"/>
          <w:sz w:val="28"/>
          <w:szCs w:val="28"/>
          <w:lang w:val="ro-RO" w:eastAsia="ru-RU"/>
        </w:rPr>
        <w:t xml:space="preserve"> faţă de 201</w:t>
      </w:r>
      <w:r w:rsidR="00936232">
        <w:rPr>
          <w:rFonts w:ascii="Times New Roman" w:eastAsia="Times New Roman" w:hAnsi="Times New Roman" w:cs="Times New Roman"/>
          <w:color w:val="000000"/>
          <w:sz w:val="28"/>
          <w:szCs w:val="28"/>
          <w:lang w:val="ro-RO" w:eastAsia="ru-RU"/>
        </w:rPr>
        <w:t>2</w:t>
      </w:r>
      <w:r w:rsidR="005E19A9" w:rsidRPr="005E19A9">
        <w:rPr>
          <w:rFonts w:ascii="Times New Roman" w:eastAsia="Times New Roman" w:hAnsi="Times New Roman" w:cs="Times New Roman"/>
          <w:color w:val="000000"/>
          <w:sz w:val="28"/>
          <w:szCs w:val="28"/>
          <w:lang w:val="ro-RO" w:eastAsia="ru-RU"/>
        </w:rPr>
        <w:t>.</w:t>
      </w:r>
      <w:r w:rsidR="005E19A9">
        <w:rPr>
          <w:rFonts w:ascii="Times New Roman" w:eastAsia="Times New Roman" w:hAnsi="Times New Roman" w:cs="Times New Roman"/>
          <w:color w:val="000000"/>
          <w:sz w:val="28"/>
          <w:szCs w:val="28"/>
          <w:lang w:val="ro-RO" w:eastAsia="ru-RU"/>
        </w:rPr>
        <w:t xml:space="preserve"> </w:t>
      </w:r>
    </w:p>
    <w:p w:rsidR="005F58E5" w:rsidRPr="00284E13" w:rsidRDefault="005F58E5" w:rsidP="005F58E5">
      <w:pPr>
        <w:tabs>
          <w:tab w:val="left" w:pos="0"/>
          <w:tab w:val="left" w:pos="720"/>
        </w:tabs>
        <w:spacing w:after="0" w:line="240" w:lineRule="auto"/>
        <w:ind w:firstLine="709"/>
        <w:jc w:val="both"/>
        <w:rPr>
          <w:rFonts w:ascii="Times New Roman" w:eastAsia="Times New Roman" w:hAnsi="Times New Roman" w:cs="Times New Roman"/>
          <w:sz w:val="28"/>
          <w:szCs w:val="28"/>
          <w:lang w:val="ro-RO" w:eastAsia="ru-RU"/>
        </w:rPr>
      </w:pPr>
      <w:r w:rsidRPr="00284E13">
        <w:rPr>
          <w:rFonts w:ascii="Times New Roman" w:eastAsia="Times New Roman" w:hAnsi="Times New Roman" w:cs="Times New Roman"/>
          <w:sz w:val="28"/>
          <w:szCs w:val="28"/>
          <w:lang w:val="ro-RO" w:eastAsia="ru-RU"/>
        </w:rPr>
        <w:t>Pe perioada prognozată a anilor 201</w:t>
      </w:r>
      <w:r>
        <w:rPr>
          <w:rFonts w:ascii="Times New Roman" w:eastAsia="Times New Roman" w:hAnsi="Times New Roman" w:cs="Times New Roman"/>
          <w:sz w:val="28"/>
          <w:szCs w:val="28"/>
          <w:lang w:val="ro-RO" w:eastAsia="ru-RU"/>
        </w:rPr>
        <w:t>4</w:t>
      </w:r>
      <w:r w:rsidRPr="00284E13">
        <w:rPr>
          <w:rFonts w:ascii="Times New Roman" w:eastAsia="Times New Roman" w:hAnsi="Times New Roman" w:cs="Times New Roman"/>
          <w:sz w:val="28"/>
          <w:szCs w:val="28"/>
          <w:lang w:val="ro-RO" w:eastAsia="ru-RU"/>
        </w:rPr>
        <w:t>-201</w:t>
      </w:r>
      <w:r>
        <w:rPr>
          <w:rFonts w:ascii="Times New Roman" w:eastAsia="Times New Roman" w:hAnsi="Times New Roman" w:cs="Times New Roman"/>
          <w:sz w:val="28"/>
          <w:szCs w:val="28"/>
          <w:lang w:val="ro-RO" w:eastAsia="ru-RU"/>
        </w:rPr>
        <w:t>6</w:t>
      </w:r>
      <w:r w:rsidRPr="00284E13">
        <w:rPr>
          <w:rFonts w:ascii="Times New Roman" w:eastAsia="Times New Roman" w:hAnsi="Times New Roman" w:cs="Times New Roman"/>
          <w:sz w:val="28"/>
          <w:szCs w:val="28"/>
          <w:lang w:val="ro-RO" w:eastAsia="ru-RU"/>
        </w:rPr>
        <w:t>, se prevede o majorare constantă a datoriei de stat, susţinută</w:t>
      </w:r>
      <w:r>
        <w:rPr>
          <w:rFonts w:ascii="Times New Roman" w:eastAsia="Times New Roman" w:hAnsi="Times New Roman" w:cs="Times New Roman"/>
          <w:sz w:val="28"/>
          <w:szCs w:val="28"/>
          <w:lang w:val="ro-RO" w:eastAsia="ru-RU"/>
        </w:rPr>
        <w:t xml:space="preserve"> îndeosebi</w:t>
      </w:r>
      <w:r w:rsidRPr="00284E13">
        <w:rPr>
          <w:rFonts w:ascii="Times New Roman" w:eastAsia="Times New Roman" w:hAnsi="Times New Roman" w:cs="Times New Roman"/>
          <w:sz w:val="28"/>
          <w:szCs w:val="28"/>
          <w:lang w:val="ro-RO" w:eastAsia="ru-RU"/>
        </w:rPr>
        <w:t xml:space="preserve"> de evoluţia ascendentă a datoriei de stat externe, precum şi de majorarea în ritmuri mai lente a datoriei de stat interne. </w:t>
      </w:r>
    </w:p>
    <w:p w:rsidR="005F58E5" w:rsidRDefault="005F58E5" w:rsidP="005E19A9">
      <w:pPr>
        <w:tabs>
          <w:tab w:val="left" w:pos="0"/>
          <w:tab w:val="left" w:pos="720"/>
        </w:tabs>
        <w:spacing w:after="0" w:line="240" w:lineRule="auto"/>
        <w:ind w:firstLine="709"/>
        <w:jc w:val="both"/>
        <w:rPr>
          <w:rFonts w:ascii="Times New Roman" w:eastAsia="Times New Roman" w:hAnsi="Times New Roman" w:cs="Times New Roman"/>
          <w:color w:val="000000"/>
          <w:sz w:val="28"/>
          <w:szCs w:val="28"/>
          <w:lang w:val="ro-RO" w:eastAsia="ru-RU"/>
        </w:rPr>
      </w:pPr>
    </w:p>
    <w:tbl>
      <w:tblPr>
        <w:tblW w:w="0" w:type="auto"/>
        <w:tblInd w:w="108" w:type="dxa"/>
        <w:tblBorders>
          <w:top w:val="single" w:sz="8" w:space="0" w:color="4F81BD"/>
          <w:bottom w:val="single" w:sz="8" w:space="0" w:color="4F81BD"/>
        </w:tblBorders>
        <w:tblLook w:val="00A0"/>
      </w:tblPr>
      <w:tblGrid>
        <w:gridCol w:w="9356"/>
      </w:tblGrid>
      <w:tr w:rsidR="00F9496F" w:rsidRPr="00F9496F" w:rsidTr="00D443C2">
        <w:trPr>
          <w:trHeight w:val="2324"/>
        </w:trPr>
        <w:tc>
          <w:tcPr>
            <w:tcW w:w="9356" w:type="dxa"/>
            <w:tcBorders>
              <w:top w:val="double" w:sz="4" w:space="0" w:color="365F91"/>
              <w:left w:val="double" w:sz="4" w:space="0" w:color="365F91"/>
              <w:bottom w:val="double" w:sz="4" w:space="0" w:color="365F91"/>
              <w:right w:val="double" w:sz="4" w:space="0" w:color="365F91"/>
            </w:tcBorders>
          </w:tcPr>
          <w:p w:rsidR="00F9496F" w:rsidRPr="00F9496F" w:rsidRDefault="001474AD" w:rsidP="00EC6306">
            <w:pPr>
              <w:spacing w:after="0" w:line="240" w:lineRule="auto"/>
              <w:jc w:val="right"/>
              <w:rPr>
                <w:rFonts w:ascii="Times New Roman" w:eastAsia="Times New Roman" w:hAnsi="Times New Roman" w:cs="Times New Roman"/>
                <w:b/>
                <w:bCs/>
                <w:color w:val="365F91"/>
                <w:sz w:val="28"/>
                <w:szCs w:val="28"/>
                <w:lang w:val="ro-RO" w:eastAsia="ru-RU"/>
              </w:rPr>
            </w:pPr>
            <w:r w:rsidRPr="001474AD">
              <w:rPr>
                <w:rFonts w:ascii="Times New Roman" w:eastAsia="Times New Roman" w:hAnsi="Times New Roman" w:cs="Times New Roman"/>
                <w:noProof/>
                <w:sz w:val="24"/>
                <w:szCs w:val="24"/>
                <w:lang w:val="ru-RU" w:eastAsia="ru-RU"/>
              </w:rPr>
              <w:pict>
                <v:shape id="_x0000_s1047" type="#_x0000_t202" style="position:absolute;left:0;text-align:left;margin-left:15.75pt;margin-top:6.95pt;width:163.15pt;height:38.25pt;z-index:251663360;mso-position-horizontal-relative:text;mso-position-vertical-relative:text" strokecolor="white">
                  <v:textbox style="mso-next-textbox:#_x0000_s1047">
                    <w:txbxContent>
                      <w:p w:rsidR="005F58E5" w:rsidRPr="00BC1FEC" w:rsidRDefault="005F58E5" w:rsidP="00BC1FEC">
                        <w:pPr>
                          <w:spacing w:line="240" w:lineRule="auto"/>
                          <w:rPr>
                            <w:rFonts w:ascii="Times New Roman" w:hAnsi="Times New Roman" w:cs="Times New Roman"/>
                            <w:b/>
                            <w:sz w:val="24"/>
                            <w:lang w:val="ro-RO"/>
                          </w:rPr>
                        </w:pPr>
                        <w:r w:rsidRPr="00BC1FEC">
                          <w:rPr>
                            <w:rFonts w:ascii="Times New Roman" w:hAnsi="Times New Roman" w:cs="Times New Roman"/>
                            <w:b/>
                            <w:sz w:val="24"/>
                            <w:lang w:val="ro-RO"/>
                          </w:rPr>
                          <w:t>Evoluţia datoriei de stat</w:t>
                        </w:r>
                        <w:r>
                          <w:rPr>
                            <w:rFonts w:ascii="Times New Roman" w:hAnsi="Times New Roman" w:cs="Times New Roman"/>
                            <w:b/>
                            <w:sz w:val="24"/>
                            <w:lang w:val="ro-RO"/>
                          </w:rPr>
                          <w:t xml:space="preserve"> în perioada 2011</w:t>
                        </w:r>
                        <w:r w:rsidRPr="00BC1FEC">
                          <w:rPr>
                            <w:rFonts w:ascii="Times New Roman" w:hAnsi="Times New Roman" w:cs="Times New Roman"/>
                            <w:b/>
                            <w:sz w:val="24"/>
                            <w:lang w:val="ro-RO"/>
                          </w:rPr>
                          <w:t>-201</w:t>
                        </w:r>
                        <w:r>
                          <w:rPr>
                            <w:rFonts w:ascii="Times New Roman" w:hAnsi="Times New Roman" w:cs="Times New Roman"/>
                            <w:b/>
                            <w:sz w:val="24"/>
                            <w:lang w:val="ro-RO"/>
                          </w:rPr>
                          <w:t>6</w:t>
                        </w:r>
                        <w:r w:rsidRPr="00BC1FEC">
                          <w:rPr>
                            <w:rFonts w:ascii="Times New Roman" w:hAnsi="Times New Roman" w:cs="Times New Roman"/>
                            <w:b/>
                            <w:sz w:val="24"/>
                            <w:lang w:val="ro-RO"/>
                          </w:rPr>
                          <w:t xml:space="preserve"> </w:t>
                        </w:r>
                        <w:r>
                          <w:rPr>
                            <w:rFonts w:ascii="Times New Roman" w:hAnsi="Times New Roman" w:cs="Times New Roman"/>
                            <w:b/>
                            <w:sz w:val="24"/>
                            <w:lang w:val="ro-RO"/>
                          </w:rPr>
                          <w:t>(</w:t>
                        </w:r>
                        <w:r w:rsidRPr="00BC1FEC">
                          <w:rPr>
                            <w:rFonts w:ascii="Times New Roman" w:hAnsi="Times New Roman" w:cs="Times New Roman"/>
                            <w:b/>
                            <w:sz w:val="24"/>
                            <w:lang w:val="ro-RO"/>
                          </w:rPr>
                          <w:t>mil. lei</w:t>
                        </w:r>
                        <w:r>
                          <w:rPr>
                            <w:rFonts w:ascii="Times New Roman" w:hAnsi="Times New Roman" w:cs="Times New Roman"/>
                            <w:b/>
                            <w:sz w:val="24"/>
                            <w:lang w:val="ro-RO"/>
                          </w:rPr>
                          <w:t>)</w:t>
                        </w:r>
                      </w:p>
                    </w:txbxContent>
                  </v:textbox>
                </v:shape>
              </w:pict>
            </w:r>
            <w:r w:rsidR="00EC6306">
              <w:rPr>
                <w:rFonts w:ascii="Times New Roman" w:eastAsia="Times New Roman" w:hAnsi="Times New Roman" w:cs="Times New Roman"/>
                <w:b/>
                <w:bCs/>
                <w:noProof/>
                <w:color w:val="365F91"/>
                <w:sz w:val="28"/>
                <w:szCs w:val="28"/>
              </w:rPr>
              <w:drawing>
                <wp:inline distT="0" distB="0" distL="0" distR="0">
                  <wp:extent cx="2724150" cy="1679944"/>
                  <wp:effectExtent l="19050" t="0" r="0" b="0"/>
                  <wp:docPr id="1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srcRect/>
                          <a:stretch>
                            <a:fillRect/>
                          </a:stretch>
                        </pic:blipFill>
                        <pic:spPr bwMode="auto">
                          <a:xfrm>
                            <a:off x="0" y="0"/>
                            <a:ext cx="2727297" cy="1681885"/>
                          </a:xfrm>
                          <a:prstGeom prst="rect">
                            <a:avLst/>
                          </a:prstGeom>
                          <a:noFill/>
                        </pic:spPr>
                      </pic:pic>
                    </a:graphicData>
                  </a:graphic>
                </wp:inline>
              </w:drawing>
            </w:r>
          </w:p>
        </w:tc>
      </w:tr>
    </w:tbl>
    <w:p w:rsidR="00F9496F" w:rsidRPr="00F9496F" w:rsidRDefault="00F9496F" w:rsidP="00F9496F">
      <w:pPr>
        <w:tabs>
          <w:tab w:val="left" w:pos="60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2</w:t>
      </w:r>
      <w:r w:rsidRPr="005E19A9">
        <w:rPr>
          <w:rFonts w:ascii="Times New Roman" w:eastAsia="Times New Roman" w:hAnsi="Times New Roman" w:cs="Times New Roman"/>
          <w:sz w:val="28"/>
          <w:szCs w:val="28"/>
          <w:lang w:val="ro-RO" w:eastAsia="ru-RU"/>
        </w:rPr>
        <w:t xml:space="preserve">. </w:t>
      </w:r>
      <w:r w:rsidR="005E19A9" w:rsidRPr="005E19A9">
        <w:rPr>
          <w:rFonts w:ascii="Times New Roman" w:eastAsia="Times New Roman" w:hAnsi="Times New Roman" w:cs="Times New Roman"/>
          <w:sz w:val="28"/>
          <w:szCs w:val="28"/>
          <w:lang w:val="ro-RO" w:eastAsia="ru-RU"/>
        </w:rPr>
        <w:t>Structura datoriei de stat, la sfîrşitul anului 201</w:t>
      </w:r>
      <w:r w:rsidR="00936232">
        <w:rPr>
          <w:rFonts w:ascii="Times New Roman" w:eastAsia="Times New Roman" w:hAnsi="Times New Roman" w:cs="Times New Roman"/>
          <w:sz w:val="28"/>
          <w:szCs w:val="28"/>
          <w:lang w:val="ro-RO" w:eastAsia="ru-RU"/>
        </w:rPr>
        <w:t>3</w:t>
      </w:r>
      <w:r w:rsidR="005E19A9" w:rsidRPr="005E19A9">
        <w:rPr>
          <w:rFonts w:ascii="Times New Roman" w:eastAsia="Times New Roman" w:hAnsi="Times New Roman" w:cs="Times New Roman"/>
          <w:sz w:val="28"/>
          <w:szCs w:val="28"/>
          <w:lang w:val="ro-RO" w:eastAsia="ru-RU"/>
        </w:rPr>
        <w:t xml:space="preserve"> indică o majorare</w:t>
      </w:r>
      <w:r w:rsidR="00936232">
        <w:rPr>
          <w:rFonts w:ascii="Times New Roman" w:eastAsia="Times New Roman" w:hAnsi="Times New Roman" w:cs="Times New Roman"/>
          <w:sz w:val="28"/>
          <w:szCs w:val="28"/>
          <w:lang w:val="ro-RO" w:eastAsia="ru-RU"/>
        </w:rPr>
        <w:t xml:space="preserve"> cu 0,7 p.p.</w:t>
      </w:r>
      <w:r w:rsidR="005E19A9" w:rsidRPr="005E19A9">
        <w:rPr>
          <w:rFonts w:ascii="Times New Roman" w:eastAsia="Times New Roman" w:hAnsi="Times New Roman" w:cs="Times New Roman"/>
          <w:sz w:val="28"/>
          <w:szCs w:val="28"/>
          <w:lang w:val="ro-RO" w:eastAsia="ru-RU"/>
        </w:rPr>
        <w:t xml:space="preserve"> a ponderii datoriei de stat externe</w:t>
      </w:r>
      <w:r w:rsidR="00936232" w:rsidRPr="00936232">
        <w:rPr>
          <w:rFonts w:ascii="Times New Roman" w:eastAsia="Times New Roman" w:hAnsi="Times New Roman" w:cs="Times New Roman"/>
          <w:sz w:val="28"/>
          <w:szCs w:val="28"/>
          <w:lang w:val="ro-RO" w:eastAsia="ru-RU"/>
        </w:rPr>
        <w:t xml:space="preserve"> </w:t>
      </w:r>
      <w:r w:rsidR="00936232">
        <w:rPr>
          <w:rFonts w:ascii="Times New Roman" w:eastAsia="Times New Roman" w:hAnsi="Times New Roman" w:cs="Times New Roman"/>
          <w:sz w:val="28"/>
          <w:szCs w:val="28"/>
          <w:lang w:val="ro-RO" w:eastAsia="ru-RU"/>
        </w:rPr>
        <w:t>comparativ cu anul 20</w:t>
      </w:r>
      <w:r w:rsidR="00936232" w:rsidRPr="005E19A9">
        <w:rPr>
          <w:rFonts w:ascii="Times New Roman" w:eastAsia="Times New Roman" w:hAnsi="Times New Roman" w:cs="Times New Roman"/>
          <w:sz w:val="28"/>
          <w:szCs w:val="28"/>
          <w:lang w:val="ro-RO" w:eastAsia="ru-RU"/>
        </w:rPr>
        <w:t>1</w:t>
      </w:r>
      <w:r w:rsidR="00936232">
        <w:rPr>
          <w:rFonts w:ascii="Times New Roman" w:eastAsia="Times New Roman" w:hAnsi="Times New Roman" w:cs="Times New Roman"/>
          <w:sz w:val="28"/>
          <w:szCs w:val="28"/>
          <w:lang w:val="ro-RO" w:eastAsia="ru-RU"/>
        </w:rPr>
        <w:t>2</w:t>
      </w:r>
      <w:r w:rsidR="005E19A9" w:rsidRPr="005E19A9">
        <w:rPr>
          <w:rFonts w:ascii="Times New Roman" w:eastAsia="Times New Roman" w:hAnsi="Times New Roman" w:cs="Times New Roman"/>
          <w:sz w:val="28"/>
          <w:szCs w:val="28"/>
          <w:lang w:val="ro-RO" w:eastAsia="ru-RU"/>
        </w:rPr>
        <w:t xml:space="preserve">, astfel încît aceasta a </w:t>
      </w:r>
      <w:r w:rsidR="00936232">
        <w:rPr>
          <w:rFonts w:ascii="Times New Roman" w:eastAsia="Times New Roman" w:hAnsi="Times New Roman" w:cs="Times New Roman"/>
          <w:sz w:val="28"/>
          <w:szCs w:val="28"/>
          <w:lang w:val="ro-RO" w:eastAsia="ru-RU"/>
        </w:rPr>
        <w:t>atins</w:t>
      </w:r>
      <w:r w:rsidR="005E19A9" w:rsidRPr="005E19A9">
        <w:rPr>
          <w:rFonts w:ascii="Times New Roman" w:eastAsia="Times New Roman" w:hAnsi="Times New Roman" w:cs="Times New Roman"/>
          <w:sz w:val="28"/>
          <w:szCs w:val="28"/>
          <w:lang w:val="ro-RO" w:eastAsia="ru-RU"/>
        </w:rPr>
        <w:t xml:space="preserve"> nivelul de 7</w:t>
      </w:r>
      <w:r w:rsidR="00936232">
        <w:rPr>
          <w:rFonts w:ascii="Times New Roman" w:eastAsia="Times New Roman" w:hAnsi="Times New Roman" w:cs="Times New Roman"/>
          <w:sz w:val="28"/>
          <w:szCs w:val="28"/>
          <w:lang w:val="ro-RO" w:eastAsia="ru-RU"/>
        </w:rPr>
        <w:t>1,6</w:t>
      </w:r>
      <w:r w:rsidR="005E19A9" w:rsidRPr="005E19A9">
        <w:rPr>
          <w:rFonts w:ascii="Times New Roman" w:eastAsia="Times New Roman" w:hAnsi="Times New Roman" w:cs="Times New Roman"/>
          <w:sz w:val="28"/>
          <w:szCs w:val="28"/>
          <w:lang w:val="ro-RO" w:eastAsia="ru-RU"/>
        </w:rPr>
        <w:t xml:space="preserve"> la sută în</w:t>
      </w:r>
      <w:r w:rsidR="00936232">
        <w:rPr>
          <w:rFonts w:ascii="Times New Roman" w:eastAsia="Times New Roman" w:hAnsi="Times New Roman" w:cs="Times New Roman"/>
          <w:sz w:val="28"/>
          <w:szCs w:val="28"/>
          <w:lang w:val="ro-RO" w:eastAsia="ru-RU"/>
        </w:rPr>
        <w:t xml:space="preserve"> totalul datoriei de stat</w:t>
      </w:r>
      <w:r w:rsidR="005E19A9" w:rsidRPr="005E19A9">
        <w:rPr>
          <w:rFonts w:ascii="Times New Roman" w:eastAsia="Times New Roman" w:hAnsi="Times New Roman" w:cs="Times New Roman"/>
          <w:sz w:val="28"/>
          <w:szCs w:val="28"/>
          <w:lang w:val="ro-RO" w:eastAsia="ru-RU"/>
        </w:rPr>
        <w:t>. Pe termen mediu, această tendinţă</w:t>
      </w:r>
      <w:r w:rsidR="00936232">
        <w:rPr>
          <w:rFonts w:ascii="Times New Roman" w:eastAsia="Times New Roman" w:hAnsi="Times New Roman" w:cs="Times New Roman"/>
          <w:sz w:val="28"/>
          <w:szCs w:val="28"/>
          <w:lang w:val="ro-RO" w:eastAsia="ru-RU"/>
        </w:rPr>
        <w:t xml:space="preserve"> de majorare a ponderii datoriei de stat externe</w:t>
      </w:r>
      <w:r w:rsidR="005E19A9" w:rsidRPr="005E19A9">
        <w:rPr>
          <w:rFonts w:ascii="Times New Roman" w:eastAsia="Times New Roman" w:hAnsi="Times New Roman" w:cs="Times New Roman"/>
          <w:sz w:val="28"/>
          <w:szCs w:val="28"/>
          <w:lang w:val="ro-RO" w:eastAsia="ru-RU"/>
        </w:rPr>
        <w:t xml:space="preserve"> se va menţine.</w:t>
      </w:r>
      <w:r w:rsidR="005E19A9">
        <w:rPr>
          <w:rFonts w:ascii="Times New Roman" w:eastAsia="Times New Roman" w:hAnsi="Times New Roman" w:cs="Times New Roman"/>
          <w:sz w:val="28"/>
          <w:szCs w:val="28"/>
          <w:lang w:val="ro-RO" w:eastAsia="ru-RU"/>
        </w:rPr>
        <w:t xml:space="preserve"> </w:t>
      </w:r>
    </w:p>
    <w:tbl>
      <w:tblPr>
        <w:tblW w:w="0" w:type="auto"/>
        <w:tblInd w:w="108" w:type="dxa"/>
        <w:tblBorders>
          <w:top w:val="single" w:sz="8" w:space="0" w:color="4F81BD"/>
          <w:bottom w:val="single" w:sz="8" w:space="0" w:color="4F81BD"/>
        </w:tblBorders>
        <w:tblLook w:val="00A0"/>
      </w:tblPr>
      <w:tblGrid>
        <w:gridCol w:w="9356"/>
      </w:tblGrid>
      <w:tr w:rsidR="00F9496F" w:rsidRPr="008F25E6" w:rsidTr="005E19A9">
        <w:trPr>
          <w:trHeight w:val="2231"/>
        </w:trPr>
        <w:tc>
          <w:tcPr>
            <w:tcW w:w="9356" w:type="dxa"/>
            <w:tcBorders>
              <w:top w:val="double" w:sz="4" w:space="0" w:color="365F91"/>
              <w:left w:val="double" w:sz="4" w:space="0" w:color="365F91"/>
              <w:bottom w:val="double" w:sz="4" w:space="0" w:color="365F91"/>
              <w:right w:val="double" w:sz="4" w:space="0" w:color="365F91"/>
            </w:tcBorders>
          </w:tcPr>
          <w:p w:rsidR="00F9496F" w:rsidRPr="00F9496F" w:rsidRDefault="001474AD" w:rsidP="00727BC5">
            <w:pPr>
              <w:spacing w:after="0" w:line="240" w:lineRule="auto"/>
              <w:ind w:left="4254"/>
              <w:jc w:val="right"/>
              <w:rPr>
                <w:rFonts w:ascii="Times New Roman" w:eastAsia="Times New Roman" w:hAnsi="Times New Roman" w:cs="Times New Roman"/>
                <w:b/>
                <w:bCs/>
                <w:color w:val="365F91"/>
                <w:sz w:val="28"/>
                <w:szCs w:val="28"/>
                <w:highlight w:val="yellow"/>
                <w:lang w:val="ro-RO" w:eastAsia="ru-RU"/>
              </w:rPr>
            </w:pPr>
            <w:r w:rsidRPr="001474AD">
              <w:rPr>
                <w:rFonts w:ascii="Times New Roman" w:eastAsia="Times New Roman" w:hAnsi="Times New Roman" w:cs="Times New Roman"/>
                <w:noProof/>
                <w:sz w:val="24"/>
                <w:szCs w:val="24"/>
                <w:lang w:val="ru-RU" w:eastAsia="ru-RU"/>
              </w:rPr>
              <w:pict>
                <v:shape id="_x0000_s1048" type="#_x0000_t202" style="position:absolute;left:0;text-align:left;margin-left:15.75pt;margin-top:2.9pt;width:175.5pt;height:38.65pt;z-index:251664384;mso-position-horizontal-relative:text;mso-position-vertical-relative:text" strokecolor="white">
                  <v:textbox style="mso-next-textbox:#_x0000_s1048">
                    <w:txbxContent>
                      <w:p w:rsidR="005F58E5" w:rsidRPr="00BC1FEC" w:rsidRDefault="005F58E5" w:rsidP="00BC1FEC">
                        <w:pPr>
                          <w:spacing w:line="240" w:lineRule="auto"/>
                          <w:rPr>
                            <w:rFonts w:ascii="Times New Roman" w:hAnsi="Times New Roman" w:cs="Times New Roman"/>
                            <w:b/>
                            <w:sz w:val="24"/>
                            <w:lang w:val="ro-RO"/>
                          </w:rPr>
                        </w:pPr>
                        <w:r w:rsidRPr="00BC1FEC">
                          <w:rPr>
                            <w:rFonts w:ascii="Times New Roman" w:hAnsi="Times New Roman" w:cs="Times New Roman"/>
                            <w:b/>
                            <w:sz w:val="24"/>
                            <w:lang w:val="ro-RO"/>
                          </w:rPr>
                          <w:t>Structura datoriei de stat</w:t>
                        </w:r>
                        <w:r>
                          <w:rPr>
                            <w:rFonts w:ascii="Times New Roman" w:hAnsi="Times New Roman" w:cs="Times New Roman"/>
                            <w:b/>
                            <w:sz w:val="24"/>
                            <w:lang w:val="ro-RO"/>
                          </w:rPr>
                          <w:t xml:space="preserve"> în perioada 2011-2016</w:t>
                        </w:r>
                        <w:r w:rsidRPr="00BC1FEC">
                          <w:rPr>
                            <w:rFonts w:ascii="Times New Roman" w:hAnsi="Times New Roman" w:cs="Times New Roman"/>
                            <w:b/>
                            <w:sz w:val="24"/>
                            <w:lang w:val="ro-RO"/>
                          </w:rPr>
                          <w:t xml:space="preserve"> </w:t>
                        </w:r>
                        <w:r>
                          <w:rPr>
                            <w:rFonts w:ascii="Times New Roman" w:hAnsi="Times New Roman" w:cs="Times New Roman"/>
                            <w:b/>
                            <w:sz w:val="24"/>
                            <w:lang w:val="ro-RO"/>
                          </w:rPr>
                          <w:t>(</w:t>
                        </w:r>
                        <w:r w:rsidRPr="00BC1FEC">
                          <w:rPr>
                            <w:rFonts w:ascii="Times New Roman" w:hAnsi="Times New Roman" w:cs="Times New Roman"/>
                            <w:b/>
                            <w:sz w:val="24"/>
                            <w:lang w:val="ro-RO"/>
                          </w:rPr>
                          <w:t>%</w:t>
                        </w:r>
                        <w:r>
                          <w:rPr>
                            <w:rFonts w:ascii="Times New Roman" w:hAnsi="Times New Roman" w:cs="Times New Roman"/>
                            <w:b/>
                            <w:sz w:val="24"/>
                            <w:lang w:val="ro-RO"/>
                          </w:rPr>
                          <w:t>)</w:t>
                        </w:r>
                      </w:p>
                    </w:txbxContent>
                  </v:textbox>
                </v:shape>
              </w:pict>
            </w:r>
            <w:r w:rsidR="00727BC5">
              <w:rPr>
                <w:rFonts w:ascii="Times New Roman" w:eastAsia="Times New Roman" w:hAnsi="Times New Roman" w:cs="Times New Roman"/>
                <w:noProof/>
                <w:sz w:val="28"/>
                <w:szCs w:val="28"/>
              </w:rPr>
              <w:drawing>
                <wp:inline distT="0" distB="0" distL="0" distR="0">
                  <wp:extent cx="2724150" cy="1701209"/>
                  <wp:effectExtent l="19050" t="0" r="0" b="0"/>
                  <wp:docPr id="1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srcRect/>
                          <a:stretch>
                            <a:fillRect/>
                          </a:stretch>
                        </pic:blipFill>
                        <pic:spPr bwMode="auto">
                          <a:xfrm>
                            <a:off x="0" y="0"/>
                            <a:ext cx="2729349" cy="1704456"/>
                          </a:xfrm>
                          <a:prstGeom prst="rect">
                            <a:avLst/>
                          </a:prstGeom>
                          <a:noFill/>
                        </pic:spPr>
                      </pic:pic>
                    </a:graphicData>
                  </a:graphic>
                </wp:inline>
              </w:drawing>
            </w:r>
            <w:r w:rsidR="00F9496F" w:rsidRPr="00F9496F">
              <w:rPr>
                <w:rFonts w:ascii="Times New Roman" w:eastAsia="Times New Roman" w:hAnsi="Times New Roman" w:cs="Times New Roman"/>
                <w:noProof/>
                <w:sz w:val="28"/>
                <w:szCs w:val="28"/>
                <w:lang w:val="ro-RO"/>
              </w:rPr>
              <w:t xml:space="preserve">       </w:t>
            </w:r>
          </w:p>
        </w:tc>
      </w:tr>
    </w:tbl>
    <w:p w:rsidR="00F9496F" w:rsidRPr="00F9496F" w:rsidRDefault="00F9496F" w:rsidP="00F9496F">
      <w:pPr>
        <w:tabs>
          <w:tab w:val="left" w:pos="60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3. Ponderea datoriei de stat în PIB va urma o diminuare constantă pe parcursul anilor 201</w:t>
      </w:r>
      <w:r w:rsidR="008C60C7">
        <w:rPr>
          <w:rFonts w:ascii="Times New Roman" w:eastAsia="Times New Roman" w:hAnsi="Times New Roman" w:cs="Times New Roman"/>
          <w:sz w:val="28"/>
          <w:szCs w:val="28"/>
          <w:lang w:val="ro-RO" w:eastAsia="ru-RU"/>
        </w:rPr>
        <w:t>4</w:t>
      </w:r>
      <w:r w:rsidRPr="00F9496F">
        <w:rPr>
          <w:rFonts w:ascii="Times New Roman" w:eastAsia="Times New Roman" w:hAnsi="Times New Roman" w:cs="Times New Roman"/>
          <w:sz w:val="28"/>
          <w:szCs w:val="28"/>
          <w:lang w:val="ro-RO" w:eastAsia="ru-RU"/>
        </w:rPr>
        <w:t>-201</w:t>
      </w:r>
      <w:r w:rsidR="00D973E7">
        <w:rPr>
          <w:rFonts w:ascii="Times New Roman" w:eastAsia="Times New Roman" w:hAnsi="Times New Roman" w:cs="Times New Roman"/>
          <w:sz w:val="28"/>
          <w:szCs w:val="28"/>
          <w:lang w:val="ro-RO" w:eastAsia="ru-RU"/>
        </w:rPr>
        <w:t>6</w:t>
      </w:r>
      <w:r w:rsidRPr="00F9496F">
        <w:rPr>
          <w:rFonts w:ascii="Times New Roman" w:eastAsia="Times New Roman" w:hAnsi="Times New Roman" w:cs="Times New Roman"/>
          <w:sz w:val="28"/>
          <w:szCs w:val="28"/>
          <w:lang w:val="ro-RO" w:eastAsia="ru-RU"/>
        </w:rPr>
        <w:t>. Această evoluţie se datorează majorării în ritmuri mai rapide a valorii PIB-ului comparativ cu volumul datoriei de stat.</w:t>
      </w:r>
    </w:p>
    <w:tbl>
      <w:tblPr>
        <w:tblW w:w="0" w:type="auto"/>
        <w:tblInd w:w="108" w:type="dxa"/>
        <w:tblBorders>
          <w:top w:val="single" w:sz="8" w:space="0" w:color="4F81BD"/>
          <w:bottom w:val="single" w:sz="8" w:space="0" w:color="4F81BD"/>
        </w:tblBorders>
        <w:tblLook w:val="00A0"/>
      </w:tblPr>
      <w:tblGrid>
        <w:gridCol w:w="9356"/>
      </w:tblGrid>
      <w:tr w:rsidR="00F9496F" w:rsidRPr="00F9496F" w:rsidTr="00D443C2">
        <w:tc>
          <w:tcPr>
            <w:tcW w:w="9356" w:type="dxa"/>
            <w:tcBorders>
              <w:top w:val="double" w:sz="4" w:space="0" w:color="365F91"/>
              <w:left w:val="double" w:sz="4" w:space="0" w:color="365F91"/>
              <w:bottom w:val="double" w:sz="4" w:space="0" w:color="365F91"/>
              <w:right w:val="double" w:sz="4" w:space="0" w:color="365F91"/>
            </w:tcBorders>
          </w:tcPr>
          <w:p w:rsidR="00F9496F" w:rsidRPr="00F9496F" w:rsidRDefault="005E19A9" w:rsidP="00F9496F">
            <w:pPr>
              <w:spacing w:after="0" w:line="240" w:lineRule="auto"/>
              <w:ind w:left="4254" w:firstLine="600"/>
              <w:jc w:val="both"/>
              <w:rPr>
                <w:rFonts w:ascii="Times New Roman" w:eastAsia="Times New Roman" w:hAnsi="Times New Roman" w:cs="Times New Roman"/>
                <w:b/>
                <w:bCs/>
                <w:color w:val="365F91"/>
                <w:sz w:val="28"/>
                <w:szCs w:val="28"/>
                <w:highlight w:val="yellow"/>
                <w:lang w:val="ro-RO" w:eastAsia="ru-RU"/>
              </w:rPr>
            </w:pPr>
            <w:r w:rsidRPr="005E19A9">
              <w:rPr>
                <w:rFonts w:ascii="Times New Roman" w:eastAsia="Times New Roman" w:hAnsi="Times New Roman" w:cs="Times New Roman"/>
                <w:b/>
                <w:bCs/>
                <w:noProof/>
                <w:color w:val="365F91"/>
                <w:sz w:val="28"/>
                <w:szCs w:val="28"/>
              </w:rPr>
              <w:drawing>
                <wp:anchor distT="0" distB="0" distL="114300" distR="114300" simplePos="0" relativeHeight="251678720" behindDoc="0" locked="0" layoutInCell="1" allowOverlap="1">
                  <wp:simplePos x="0" y="0"/>
                  <wp:positionH relativeFrom="column">
                    <wp:posOffset>3080385</wp:posOffset>
                  </wp:positionH>
                  <wp:positionV relativeFrom="paragraph">
                    <wp:posOffset>0</wp:posOffset>
                  </wp:positionV>
                  <wp:extent cx="2713355" cy="1583690"/>
                  <wp:effectExtent l="19050" t="0" r="0" b="0"/>
                  <wp:wrapSquare wrapText="bothSides"/>
                  <wp:docPr id="12" name="Picture 8"/>
                  <wp:cNvGraphicFramePr/>
                  <a:graphic xmlns:a="http://schemas.openxmlformats.org/drawingml/2006/main">
                    <a:graphicData uri="http://schemas.openxmlformats.org/drawingml/2006/picture">
                      <pic:pic xmlns:pic="http://schemas.openxmlformats.org/drawingml/2006/picture">
                        <pic:nvPicPr>
                          <pic:cNvPr id="39" name="Picture 38"/>
                          <pic:cNvPicPr>
                            <a:picLocks noChangeAspect="1"/>
                          </pic:cNvPicPr>
                        </pic:nvPicPr>
                        <pic:blipFill>
                          <a:blip r:embed="rId13" cstate="print"/>
                          <a:stretch>
                            <a:fillRect/>
                          </a:stretch>
                        </pic:blipFill>
                        <pic:spPr>
                          <a:xfrm>
                            <a:off x="0" y="0"/>
                            <a:ext cx="2713355" cy="1583690"/>
                          </a:xfrm>
                          <a:prstGeom prst="rect">
                            <a:avLst/>
                          </a:prstGeom>
                        </pic:spPr>
                      </pic:pic>
                    </a:graphicData>
                  </a:graphic>
                </wp:anchor>
              </w:drawing>
            </w:r>
            <w:r w:rsidR="001474AD" w:rsidRPr="001474AD">
              <w:rPr>
                <w:rFonts w:ascii="Times New Roman" w:eastAsia="Times New Roman" w:hAnsi="Times New Roman" w:cs="Times New Roman"/>
                <w:noProof/>
                <w:sz w:val="24"/>
                <w:szCs w:val="24"/>
                <w:lang w:val="ru-RU" w:eastAsia="ru-RU"/>
              </w:rPr>
              <w:pict>
                <v:shape id="_x0000_s1049" type="#_x0000_t202" style="position:absolute;left:0;text-align:left;margin-left:15.75pt;margin-top:3.9pt;width:197.85pt;height:46.2pt;z-index:251665408;mso-position-horizontal-relative:text;mso-position-vertical-relative:text" strokecolor="white">
                  <v:textbox style="mso-next-textbox:#_x0000_s1049">
                    <w:txbxContent>
                      <w:p w:rsidR="005F58E5" w:rsidRPr="00BC1FEC" w:rsidRDefault="005F58E5" w:rsidP="00BC1FEC">
                        <w:pPr>
                          <w:spacing w:line="240" w:lineRule="auto"/>
                          <w:rPr>
                            <w:rFonts w:ascii="Times New Roman" w:hAnsi="Times New Roman" w:cs="Times New Roman"/>
                            <w:b/>
                            <w:sz w:val="24"/>
                            <w:lang w:val="ro-RO"/>
                          </w:rPr>
                        </w:pPr>
                        <w:r w:rsidRPr="00BC1FEC">
                          <w:rPr>
                            <w:rFonts w:ascii="Times New Roman" w:hAnsi="Times New Roman" w:cs="Times New Roman"/>
                            <w:b/>
                            <w:sz w:val="24"/>
                            <w:lang w:val="ro-RO"/>
                          </w:rPr>
                          <w:t>Evoluţia ponderii datoriei de stat în PIB în perioada 201</w:t>
                        </w:r>
                        <w:r>
                          <w:rPr>
                            <w:rFonts w:ascii="Times New Roman" w:hAnsi="Times New Roman" w:cs="Times New Roman"/>
                            <w:b/>
                            <w:sz w:val="24"/>
                            <w:lang w:val="ro-RO"/>
                          </w:rPr>
                          <w:t>1-2016</w:t>
                        </w:r>
                        <w:r w:rsidRPr="00BC1FEC">
                          <w:rPr>
                            <w:rFonts w:ascii="Times New Roman" w:hAnsi="Times New Roman" w:cs="Times New Roman"/>
                            <w:b/>
                            <w:sz w:val="24"/>
                            <w:lang w:val="ro-RO"/>
                          </w:rPr>
                          <w:t xml:space="preserve"> </w:t>
                        </w:r>
                        <w:r>
                          <w:rPr>
                            <w:rFonts w:ascii="Times New Roman" w:hAnsi="Times New Roman" w:cs="Times New Roman"/>
                            <w:b/>
                            <w:sz w:val="24"/>
                            <w:lang w:val="ro-RO"/>
                          </w:rPr>
                          <w:t>(</w:t>
                        </w:r>
                        <w:r w:rsidRPr="00BC1FEC">
                          <w:rPr>
                            <w:rFonts w:ascii="Times New Roman" w:hAnsi="Times New Roman" w:cs="Times New Roman"/>
                            <w:b/>
                            <w:sz w:val="24"/>
                            <w:lang w:val="ro-RO"/>
                          </w:rPr>
                          <w:t>%</w:t>
                        </w:r>
                        <w:r>
                          <w:rPr>
                            <w:rFonts w:ascii="Times New Roman" w:hAnsi="Times New Roman" w:cs="Times New Roman"/>
                            <w:b/>
                            <w:sz w:val="24"/>
                            <w:lang w:val="ro-RO"/>
                          </w:rPr>
                          <w:t>)</w:t>
                        </w:r>
                      </w:p>
                    </w:txbxContent>
                  </v:textbox>
                </v:shape>
              </w:pict>
            </w:r>
          </w:p>
        </w:tc>
      </w:tr>
    </w:tbl>
    <w:p w:rsidR="00F9496F" w:rsidRPr="00F9496F" w:rsidRDefault="00F9496F" w:rsidP="007F7B33">
      <w:pPr>
        <w:tabs>
          <w:tab w:val="left" w:pos="60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 xml:space="preserve">4. </w:t>
      </w:r>
      <w:r w:rsidR="00D973E7" w:rsidRPr="00B210BB">
        <w:rPr>
          <w:rFonts w:ascii="Times New Roman" w:eastAsia="Times New Roman" w:hAnsi="Times New Roman" w:cs="Times New Roman"/>
          <w:sz w:val="28"/>
          <w:szCs w:val="28"/>
          <w:lang w:val="ro-RO" w:eastAsia="ru-RU"/>
        </w:rPr>
        <w:t xml:space="preserve">Serviciul datoriei de stat s-a </w:t>
      </w:r>
      <w:r w:rsidR="00936232">
        <w:rPr>
          <w:rFonts w:ascii="Times New Roman" w:eastAsia="Times New Roman" w:hAnsi="Times New Roman" w:cs="Times New Roman"/>
          <w:sz w:val="28"/>
          <w:szCs w:val="28"/>
          <w:lang w:val="ro-RO" w:eastAsia="ru-RU"/>
        </w:rPr>
        <w:t>diminuat</w:t>
      </w:r>
      <w:r w:rsidR="00D973E7" w:rsidRPr="00B210BB">
        <w:rPr>
          <w:rFonts w:ascii="Times New Roman" w:eastAsia="Times New Roman" w:hAnsi="Times New Roman" w:cs="Times New Roman"/>
          <w:sz w:val="28"/>
          <w:szCs w:val="28"/>
          <w:lang w:val="ro-RO" w:eastAsia="ru-RU"/>
        </w:rPr>
        <w:t xml:space="preserve"> cu </w:t>
      </w:r>
      <w:r w:rsidR="00936232">
        <w:rPr>
          <w:rFonts w:ascii="Times New Roman" w:eastAsia="Times New Roman" w:hAnsi="Times New Roman" w:cs="Times New Roman"/>
          <w:sz w:val="28"/>
          <w:szCs w:val="28"/>
          <w:lang w:val="ro-RO" w:eastAsia="ru-RU"/>
        </w:rPr>
        <w:t>26</w:t>
      </w:r>
      <w:r w:rsidR="00D973E7" w:rsidRPr="00B210BB">
        <w:rPr>
          <w:rFonts w:ascii="Times New Roman" w:eastAsia="Times New Roman" w:hAnsi="Times New Roman" w:cs="Times New Roman"/>
          <w:sz w:val="28"/>
          <w:szCs w:val="28"/>
          <w:lang w:val="ro-RO" w:eastAsia="ru-RU"/>
        </w:rPr>
        <w:t>,</w:t>
      </w:r>
      <w:r w:rsidR="00936232">
        <w:rPr>
          <w:rFonts w:ascii="Times New Roman" w:eastAsia="Times New Roman" w:hAnsi="Times New Roman" w:cs="Times New Roman"/>
          <w:sz w:val="28"/>
          <w:szCs w:val="28"/>
          <w:lang w:val="ro-RO" w:eastAsia="ru-RU"/>
        </w:rPr>
        <w:t>1</w:t>
      </w:r>
      <w:r w:rsidR="00D973E7" w:rsidRPr="00B210BB">
        <w:rPr>
          <w:rFonts w:ascii="Times New Roman" w:eastAsia="Times New Roman" w:hAnsi="Times New Roman" w:cs="Times New Roman"/>
          <w:sz w:val="28"/>
          <w:szCs w:val="28"/>
          <w:lang w:val="ro-RO" w:eastAsia="ru-RU"/>
        </w:rPr>
        <w:t xml:space="preserve"> la sută la sfîrşitul anului 201</w:t>
      </w:r>
      <w:r w:rsidR="00936232">
        <w:rPr>
          <w:rFonts w:ascii="Times New Roman" w:eastAsia="Times New Roman" w:hAnsi="Times New Roman" w:cs="Times New Roman"/>
          <w:sz w:val="28"/>
          <w:szCs w:val="28"/>
          <w:lang w:val="ro-RO" w:eastAsia="ru-RU"/>
        </w:rPr>
        <w:t>3</w:t>
      </w:r>
      <w:r w:rsidR="00B210BB" w:rsidRPr="00B210BB">
        <w:rPr>
          <w:rFonts w:ascii="Times New Roman" w:eastAsia="Times New Roman" w:hAnsi="Times New Roman" w:cs="Times New Roman"/>
          <w:sz w:val="28"/>
          <w:szCs w:val="28"/>
          <w:lang w:val="ro-RO" w:eastAsia="ru-RU"/>
        </w:rPr>
        <w:t>.</w:t>
      </w:r>
      <w:r w:rsidR="00B210BB">
        <w:rPr>
          <w:rFonts w:ascii="Times New Roman" w:eastAsia="Times New Roman" w:hAnsi="Times New Roman" w:cs="Times New Roman"/>
          <w:sz w:val="28"/>
          <w:szCs w:val="28"/>
          <w:lang w:val="ro-RO" w:eastAsia="ru-RU"/>
        </w:rPr>
        <w:t xml:space="preserve"> Această evoluție are la bază diminuarea serviciului datoriei de stat </w:t>
      </w:r>
      <w:r w:rsidR="007F7B33">
        <w:rPr>
          <w:rFonts w:ascii="Times New Roman" w:eastAsia="Times New Roman" w:hAnsi="Times New Roman" w:cs="Times New Roman"/>
          <w:sz w:val="28"/>
          <w:szCs w:val="28"/>
          <w:lang w:val="ro-RO" w:eastAsia="ru-RU"/>
        </w:rPr>
        <w:t>in</w:t>
      </w:r>
      <w:r w:rsidR="00B210BB">
        <w:rPr>
          <w:rFonts w:ascii="Times New Roman" w:eastAsia="Times New Roman" w:hAnsi="Times New Roman" w:cs="Times New Roman"/>
          <w:sz w:val="28"/>
          <w:szCs w:val="28"/>
          <w:lang w:val="ro-RO" w:eastAsia="ru-RU"/>
        </w:rPr>
        <w:t xml:space="preserve">terne cu </w:t>
      </w:r>
      <w:r w:rsidR="007F7B33">
        <w:rPr>
          <w:rFonts w:ascii="Times New Roman" w:eastAsia="Times New Roman" w:hAnsi="Times New Roman" w:cs="Times New Roman"/>
          <w:sz w:val="28"/>
          <w:szCs w:val="28"/>
          <w:lang w:val="ro-RO" w:eastAsia="ru-RU"/>
        </w:rPr>
        <w:t>37</w:t>
      </w:r>
      <w:r w:rsidR="00B210BB">
        <w:rPr>
          <w:rFonts w:ascii="Times New Roman" w:eastAsia="Times New Roman" w:hAnsi="Times New Roman" w:cs="Times New Roman"/>
          <w:sz w:val="28"/>
          <w:szCs w:val="28"/>
          <w:lang w:val="ro-RO" w:eastAsia="ru-RU"/>
        </w:rPr>
        <w:t>,</w:t>
      </w:r>
      <w:r w:rsidR="007F7B33">
        <w:rPr>
          <w:rFonts w:ascii="Times New Roman" w:eastAsia="Times New Roman" w:hAnsi="Times New Roman" w:cs="Times New Roman"/>
          <w:sz w:val="28"/>
          <w:szCs w:val="28"/>
          <w:lang w:val="ro-RO" w:eastAsia="ru-RU"/>
        </w:rPr>
        <w:t>4</w:t>
      </w:r>
      <w:r w:rsidR="00B210BB">
        <w:rPr>
          <w:rFonts w:ascii="Times New Roman" w:eastAsia="Times New Roman" w:hAnsi="Times New Roman" w:cs="Times New Roman"/>
          <w:sz w:val="28"/>
          <w:szCs w:val="28"/>
          <w:lang w:val="ro-RO" w:eastAsia="ru-RU"/>
        </w:rPr>
        <w:t>%</w:t>
      </w:r>
      <w:r w:rsidR="00CD3E25">
        <w:rPr>
          <w:rFonts w:ascii="Times New Roman" w:eastAsia="Times New Roman" w:hAnsi="Times New Roman" w:cs="Times New Roman"/>
          <w:sz w:val="28"/>
          <w:szCs w:val="28"/>
          <w:lang w:val="ro-RO" w:eastAsia="ru-RU"/>
        </w:rPr>
        <w:t xml:space="preserve"> </w:t>
      </w:r>
      <w:r w:rsidR="007F7B33" w:rsidRPr="007F7B33">
        <w:rPr>
          <w:rFonts w:ascii="Times New Roman" w:eastAsia="Times New Roman" w:hAnsi="Times New Roman" w:cs="Times New Roman"/>
          <w:sz w:val="28"/>
          <w:szCs w:val="28"/>
          <w:lang w:val="ro-RO" w:eastAsia="ru-RU"/>
        </w:rPr>
        <w:t>în legătură cu micşorarea ratelor dobînzii la VMS comercializate pe piaţa primară, ce concomitent a atras după sine şi micşorarea ratelor dobînzii la VMS convertite.</w:t>
      </w:r>
      <w:r w:rsidR="007F7B33">
        <w:rPr>
          <w:rFonts w:ascii="Times New Roman" w:eastAsia="Times New Roman" w:hAnsi="Times New Roman" w:cs="Times New Roman"/>
          <w:sz w:val="28"/>
          <w:szCs w:val="28"/>
          <w:lang w:val="ro-RO" w:eastAsia="ru-RU"/>
        </w:rPr>
        <w:t xml:space="preserve"> </w:t>
      </w:r>
      <w:r w:rsidR="00CD3E25">
        <w:rPr>
          <w:rFonts w:ascii="Times New Roman" w:eastAsia="Times New Roman" w:hAnsi="Times New Roman" w:cs="Times New Roman"/>
          <w:sz w:val="28"/>
          <w:szCs w:val="28"/>
          <w:lang w:val="ro-RO" w:eastAsia="ru-RU"/>
        </w:rPr>
        <w:t xml:space="preserve">În aceeași perioadă, </w:t>
      </w:r>
      <w:r w:rsidR="00B210BB">
        <w:rPr>
          <w:rFonts w:ascii="Times New Roman" w:eastAsia="Times New Roman" w:hAnsi="Times New Roman" w:cs="Times New Roman"/>
          <w:sz w:val="28"/>
          <w:szCs w:val="28"/>
          <w:lang w:val="ro-RO" w:eastAsia="ru-RU"/>
        </w:rPr>
        <w:t xml:space="preserve">serviciul datoriei de stat </w:t>
      </w:r>
      <w:r w:rsidR="007F7B33">
        <w:rPr>
          <w:rFonts w:ascii="Times New Roman" w:eastAsia="Times New Roman" w:hAnsi="Times New Roman" w:cs="Times New Roman"/>
          <w:sz w:val="28"/>
          <w:szCs w:val="28"/>
          <w:lang w:val="ro-RO" w:eastAsia="ru-RU"/>
        </w:rPr>
        <w:t>ex</w:t>
      </w:r>
      <w:r w:rsidR="00B210BB">
        <w:rPr>
          <w:rFonts w:ascii="Times New Roman" w:eastAsia="Times New Roman" w:hAnsi="Times New Roman" w:cs="Times New Roman"/>
          <w:sz w:val="28"/>
          <w:szCs w:val="28"/>
          <w:lang w:val="ro-RO" w:eastAsia="ru-RU"/>
        </w:rPr>
        <w:t>terne</w:t>
      </w:r>
      <w:r w:rsidR="00CD3E25">
        <w:rPr>
          <w:rFonts w:ascii="Times New Roman" w:eastAsia="Times New Roman" w:hAnsi="Times New Roman" w:cs="Times New Roman"/>
          <w:sz w:val="28"/>
          <w:szCs w:val="28"/>
          <w:lang w:val="ro-RO" w:eastAsia="ru-RU"/>
        </w:rPr>
        <w:t xml:space="preserve"> s-a majorat </w:t>
      </w:r>
      <w:r w:rsidR="00B210BB">
        <w:rPr>
          <w:rFonts w:ascii="Times New Roman" w:eastAsia="Times New Roman" w:hAnsi="Times New Roman" w:cs="Times New Roman"/>
          <w:sz w:val="28"/>
          <w:szCs w:val="28"/>
          <w:lang w:val="ro-RO" w:eastAsia="ru-RU"/>
        </w:rPr>
        <w:t xml:space="preserve">cu </w:t>
      </w:r>
      <w:r w:rsidR="007F7B33">
        <w:rPr>
          <w:rFonts w:ascii="Times New Roman" w:eastAsia="Times New Roman" w:hAnsi="Times New Roman" w:cs="Times New Roman"/>
          <w:sz w:val="28"/>
          <w:szCs w:val="28"/>
          <w:lang w:val="ro-RO" w:eastAsia="ru-RU"/>
        </w:rPr>
        <w:t>5</w:t>
      </w:r>
      <w:r w:rsidR="00B210BB">
        <w:rPr>
          <w:rFonts w:ascii="Times New Roman" w:eastAsia="Times New Roman" w:hAnsi="Times New Roman" w:cs="Times New Roman"/>
          <w:sz w:val="28"/>
          <w:szCs w:val="28"/>
          <w:lang w:val="ro-RO" w:eastAsia="ru-RU"/>
        </w:rPr>
        <w:t xml:space="preserve">,4 la sută. </w:t>
      </w:r>
    </w:p>
    <w:p w:rsidR="00F9496F" w:rsidRPr="00F9496F" w:rsidRDefault="00F9496F" w:rsidP="00A21DA8">
      <w:pPr>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În perioada anilor 201</w:t>
      </w:r>
      <w:r w:rsidR="00A21DA8">
        <w:rPr>
          <w:rFonts w:ascii="Times New Roman" w:eastAsia="Times New Roman" w:hAnsi="Times New Roman" w:cs="Times New Roman"/>
          <w:sz w:val="28"/>
          <w:szCs w:val="28"/>
          <w:lang w:val="ro-RO" w:eastAsia="ru-RU"/>
        </w:rPr>
        <w:t>4</w:t>
      </w:r>
      <w:r w:rsidRPr="00F9496F">
        <w:rPr>
          <w:rFonts w:ascii="Times New Roman" w:eastAsia="Times New Roman" w:hAnsi="Times New Roman" w:cs="Times New Roman"/>
          <w:sz w:val="28"/>
          <w:szCs w:val="28"/>
          <w:lang w:val="ro-RO" w:eastAsia="ru-RU"/>
        </w:rPr>
        <w:t>-201</w:t>
      </w:r>
      <w:r w:rsidR="00A21DA8">
        <w:rPr>
          <w:rFonts w:ascii="Times New Roman" w:eastAsia="Times New Roman" w:hAnsi="Times New Roman" w:cs="Times New Roman"/>
          <w:sz w:val="28"/>
          <w:szCs w:val="28"/>
          <w:lang w:val="ro-RO" w:eastAsia="ru-RU"/>
        </w:rPr>
        <w:t>6</w:t>
      </w:r>
      <w:r w:rsidRPr="00F9496F">
        <w:rPr>
          <w:rFonts w:ascii="Times New Roman" w:eastAsia="Times New Roman" w:hAnsi="Times New Roman" w:cs="Times New Roman"/>
          <w:sz w:val="28"/>
          <w:szCs w:val="28"/>
          <w:lang w:val="ro-RO" w:eastAsia="ru-RU"/>
        </w:rPr>
        <w:t xml:space="preserve">, sumele destinate serviciului datoriei de stat vor urma o tendinţă </w:t>
      </w:r>
      <w:r w:rsidR="00A21DA8">
        <w:rPr>
          <w:rFonts w:ascii="Times New Roman" w:eastAsia="Times New Roman" w:hAnsi="Times New Roman" w:cs="Times New Roman"/>
          <w:sz w:val="28"/>
          <w:szCs w:val="28"/>
          <w:lang w:val="ro-RO" w:eastAsia="ru-RU"/>
        </w:rPr>
        <w:t>ascendentă moderată</w:t>
      </w:r>
      <w:r w:rsidR="00A61038">
        <w:rPr>
          <w:rFonts w:ascii="Times New Roman" w:eastAsia="Times New Roman" w:hAnsi="Times New Roman" w:cs="Times New Roman"/>
          <w:sz w:val="28"/>
          <w:szCs w:val="28"/>
          <w:lang w:val="ro-RO" w:eastAsia="ru-RU"/>
        </w:rPr>
        <w:t>, susținută îndeosebi de evoluția serviciului datoriei de stat interne</w:t>
      </w:r>
      <w:r w:rsidRPr="00F9496F">
        <w:rPr>
          <w:rFonts w:ascii="Times New Roman" w:eastAsia="Times New Roman" w:hAnsi="Times New Roman" w:cs="Times New Roman"/>
          <w:sz w:val="28"/>
          <w:szCs w:val="28"/>
          <w:lang w:val="ro-RO" w:eastAsia="ru-RU"/>
        </w:rPr>
        <w:t>.</w:t>
      </w:r>
      <w:r w:rsidR="00A61038">
        <w:rPr>
          <w:rFonts w:ascii="Times New Roman" w:eastAsia="Times New Roman" w:hAnsi="Times New Roman" w:cs="Times New Roman"/>
          <w:sz w:val="28"/>
          <w:szCs w:val="28"/>
          <w:lang w:val="ro-RO" w:eastAsia="ru-RU"/>
        </w:rPr>
        <w:t xml:space="preserve"> Astfel,</w:t>
      </w:r>
      <w:r w:rsidRPr="00F9496F">
        <w:rPr>
          <w:rFonts w:ascii="Times New Roman" w:eastAsia="Times New Roman" w:hAnsi="Times New Roman" w:cs="Times New Roman"/>
          <w:sz w:val="28"/>
          <w:szCs w:val="28"/>
          <w:lang w:val="ro-RO" w:eastAsia="ru-RU"/>
        </w:rPr>
        <w:t xml:space="preserve"> </w:t>
      </w:r>
      <w:r w:rsidR="00A61038">
        <w:rPr>
          <w:rFonts w:ascii="Times New Roman" w:eastAsia="Times New Roman" w:hAnsi="Times New Roman" w:cs="Times New Roman"/>
          <w:sz w:val="28"/>
          <w:szCs w:val="28"/>
          <w:lang w:val="ro-RO" w:eastAsia="ru-RU"/>
        </w:rPr>
        <w:t>s</w:t>
      </w:r>
      <w:r w:rsidR="00A61038" w:rsidRPr="00F9496F">
        <w:rPr>
          <w:rFonts w:ascii="Times New Roman" w:eastAsia="Times New Roman" w:hAnsi="Times New Roman" w:cs="Times New Roman"/>
          <w:sz w:val="28"/>
          <w:szCs w:val="28"/>
          <w:lang w:val="ro-RO" w:eastAsia="ru-RU"/>
        </w:rPr>
        <w:t>erviciul datoriei de stat interne</w:t>
      </w:r>
      <w:r w:rsidR="00A61038">
        <w:rPr>
          <w:rFonts w:ascii="Times New Roman" w:eastAsia="Times New Roman" w:hAnsi="Times New Roman" w:cs="Times New Roman"/>
          <w:sz w:val="28"/>
          <w:szCs w:val="28"/>
          <w:lang w:val="ro-RO" w:eastAsia="ru-RU"/>
        </w:rPr>
        <w:t xml:space="preserve"> va înregistra o majorare continuă în perioada anilor 2014-2016</w:t>
      </w:r>
      <w:r w:rsidR="00A61038" w:rsidRPr="00A61038">
        <w:rPr>
          <w:rFonts w:ascii="Times New Roman" w:eastAsia="Times New Roman" w:hAnsi="Times New Roman" w:cs="Times New Roman"/>
          <w:sz w:val="28"/>
          <w:szCs w:val="28"/>
          <w:lang w:val="ro-RO" w:eastAsia="ru-RU"/>
        </w:rPr>
        <w:t xml:space="preserve"> </w:t>
      </w:r>
      <w:r w:rsidR="00A61038" w:rsidRPr="00F9496F">
        <w:rPr>
          <w:rFonts w:ascii="Times New Roman" w:eastAsia="Times New Roman" w:hAnsi="Times New Roman" w:cs="Times New Roman"/>
          <w:sz w:val="28"/>
          <w:szCs w:val="28"/>
          <w:lang w:val="ro-RO" w:eastAsia="ru-RU"/>
        </w:rPr>
        <w:t xml:space="preserve">în condiţiile păstrării ratelor de dobîndă la valorile mobiliare de stat în limitele </w:t>
      </w:r>
      <w:r w:rsidR="00A61038">
        <w:rPr>
          <w:rFonts w:ascii="Times New Roman" w:eastAsia="Times New Roman" w:hAnsi="Times New Roman" w:cs="Times New Roman"/>
          <w:sz w:val="28"/>
          <w:szCs w:val="28"/>
          <w:lang w:val="ro-RO" w:eastAsia="ru-RU"/>
        </w:rPr>
        <w:t>prognozate. În aceeași perioadă,</w:t>
      </w:r>
      <w:r w:rsidR="00A61038" w:rsidRPr="00A61038">
        <w:rPr>
          <w:rFonts w:ascii="Times New Roman" w:eastAsia="Times New Roman" w:hAnsi="Times New Roman" w:cs="Times New Roman"/>
          <w:sz w:val="28"/>
          <w:szCs w:val="28"/>
          <w:lang w:val="ro-RO" w:eastAsia="ru-RU"/>
        </w:rPr>
        <w:t xml:space="preserve"> </w:t>
      </w:r>
      <w:r w:rsidR="00A61038">
        <w:rPr>
          <w:rFonts w:ascii="Times New Roman" w:eastAsia="Times New Roman" w:hAnsi="Times New Roman" w:cs="Times New Roman"/>
          <w:sz w:val="28"/>
          <w:szCs w:val="28"/>
          <w:lang w:val="ro-RO" w:eastAsia="ru-RU"/>
        </w:rPr>
        <w:t>serviciul datoriei de stat externe</w:t>
      </w:r>
      <w:r w:rsidR="00A21DA8">
        <w:rPr>
          <w:rFonts w:ascii="Times New Roman" w:eastAsia="Times New Roman" w:hAnsi="Times New Roman" w:cs="Times New Roman"/>
          <w:sz w:val="28"/>
          <w:szCs w:val="28"/>
          <w:lang w:val="ro-RO" w:eastAsia="ru-RU"/>
        </w:rPr>
        <w:t xml:space="preserve"> se </w:t>
      </w:r>
      <w:r w:rsidR="00A61038">
        <w:rPr>
          <w:rFonts w:ascii="Times New Roman" w:eastAsia="Times New Roman" w:hAnsi="Times New Roman" w:cs="Times New Roman"/>
          <w:sz w:val="28"/>
          <w:szCs w:val="28"/>
          <w:lang w:val="ro-RO" w:eastAsia="ru-RU"/>
        </w:rPr>
        <w:t xml:space="preserve">va </w:t>
      </w:r>
      <w:r w:rsidR="00A21DA8">
        <w:rPr>
          <w:rFonts w:ascii="Times New Roman" w:eastAsia="Times New Roman" w:hAnsi="Times New Roman" w:cs="Times New Roman"/>
          <w:sz w:val="28"/>
          <w:szCs w:val="28"/>
          <w:lang w:val="ro-RO" w:eastAsia="ru-RU"/>
        </w:rPr>
        <w:t>majora în anul 2014, după care va urma o diminuare în anii 2015 și 2016.</w:t>
      </w:r>
      <w:r w:rsidRPr="00F9496F">
        <w:rPr>
          <w:rFonts w:ascii="Times New Roman" w:eastAsia="Times New Roman" w:hAnsi="Times New Roman" w:cs="Times New Roman"/>
          <w:sz w:val="28"/>
          <w:szCs w:val="28"/>
          <w:lang w:val="ro-RO" w:eastAsia="ru-RU"/>
        </w:rPr>
        <w:t xml:space="preserve"> </w:t>
      </w:r>
    </w:p>
    <w:p w:rsidR="00F9496F" w:rsidRPr="00F9496F" w:rsidRDefault="00F9496F" w:rsidP="00F9496F">
      <w:pPr>
        <w:tabs>
          <w:tab w:val="left" w:pos="600"/>
        </w:tabs>
        <w:spacing w:after="0" w:line="240" w:lineRule="auto"/>
        <w:ind w:firstLine="709"/>
        <w:jc w:val="both"/>
        <w:rPr>
          <w:rFonts w:ascii="Times New Roman" w:eastAsia="Times New Roman" w:hAnsi="Times New Roman" w:cs="Times New Roman"/>
          <w:color w:val="000000"/>
          <w:sz w:val="28"/>
          <w:szCs w:val="28"/>
          <w:lang w:val="ro-RO" w:eastAsia="ru-RU"/>
        </w:rPr>
      </w:pPr>
      <w:r w:rsidRPr="00F9496F">
        <w:rPr>
          <w:rFonts w:ascii="Times New Roman" w:eastAsia="Times New Roman" w:hAnsi="Times New Roman" w:cs="Times New Roman"/>
          <w:color w:val="000000"/>
          <w:sz w:val="28"/>
          <w:szCs w:val="28"/>
          <w:lang w:val="ro-RO" w:eastAsia="ru-RU"/>
        </w:rPr>
        <w:t>5. Ponderea serviciului datoriei de stat în veniturile pe componenta de bază a bugetului de stat (VBBS),</w:t>
      </w:r>
      <w:r w:rsidRPr="00F9496F">
        <w:rPr>
          <w:rFonts w:ascii="Times New Roman" w:eastAsia="Times New Roman" w:hAnsi="Times New Roman" w:cs="Times New Roman"/>
          <w:b/>
          <w:color w:val="000000"/>
          <w:sz w:val="28"/>
          <w:szCs w:val="28"/>
          <w:lang w:val="ro-RO" w:eastAsia="ru-RU"/>
        </w:rPr>
        <w:t xml:space="preserve"> </w:t>
      </w:r>
      <w:r w:rsidRPr="00F9496F">
        <w:rPr>
          <w:rFonts w:ascii="Times New Roman" w:eastAsia="Times New Roman" w:hAnsi="Times New Roman" w:cs="Times New Roman"/>
          <w:color w:val="000000"/>
          <w:sz w:val="28"/>
          <w:szCs w:val="28"/>
          <w:lang w:val="ro-RO" w:eastAsia="ru-RU"/>
        </w:rPr>
        <w:t xml:space="preserve">a înregistrat </w:t>
      </w:r>
      <w:r w:rsidR="007F7B33">
        <w:rPr>
          <w:rFonts w:ascii="Times New Roman" w:eastAsia="Times New Roman" w:hAnsi="Times New Roman" w:cs="Times New Roman"/>
          <w:color w:val="000000"/>
          <w:sz w:val="28"/>
          <w:szCs w:val="28"/>
          <w:lang w:val="ro-RO" w:eastAsia="ru-RU"/>
        </w:rPr>
        <w:t>2</w:t>
      </w:r>
      <w:r w:rsidRPr="00F9496F">
        <w:rPr>
          <w:rFonts w:ascii="Times New Roman" w:eastAsia="Times New Roman" w:hAnsi="Times New Roman" w:cs="Times New Roman"/>
          <w:color w:val="000000"/>
          <w:sz w:val="28"/>
          <w:szCs w:val="28"/>
          <w:lang w:val="ro-RO" w:eastAsia="ru-RU"/>
        </w:rPr>
        <w:t>,</w:t>
      </w:r>
      <w:r w:rsidR="007F7B33">
        <w:rPr>
          <w:rFonts w:ascii="Times New Roman" w:eastAsia="Times New Roman" w:hAnsi="Times New Roman" w:cs="Times New Roman"/>
          <w:color w:val="000000"/>
          <w:sz w:val="28"/>
          <w:szCs w:val="28"/>
          <w:lang w:val="ro-RO" w:eastAsia="ru-RU"/>
        </w:rPr>
        <w:t>4</w:t>
      </w:r>
      <w:r w:rsidRPr="00F9496F">
        <w:rPr>
          <w:rFonts w:ascii="Times New Roman" w:eastAsia="Times New Roman" w:hAnsi="Times New Roman" w:cs="Times New Roman"/>
          <w:color w:val="000000"/>
          <w:sz w:val="28"/>
          <w:szCs w:val="28"/>
          <w:lang w:val="ro-RO" w:eastAsia="ru-RU"/>
        </w:rPr>
        <w:t>%, la sfîrşitul anului 201</w:t>
      </w:r>
      <w:r w:rsidR="007F7B33">
        <w:rPr>
          <w:rFonts w:ascii="Times New Roman" w:eastAsia="Times New Roman" w:hAnsi="Times New Roman" w:cs="Times New Roman"/>
          <w:color w:val="000000"/>
          <w:sz w:val="28"/>
          <w:szCs w:val="28"/>
          <w:lang w:val="ro-RO" w:eastAsia="ru-RU"/>
        </w:rPr>
        <w:t>3</w:t>
      </w:r>
      <w:r w:rsidRPr="00F9496F">
        <w:rPr>
          <w:rFonts w:ascii="Times New Roman" w:eastAsia="Times New Roman" w:hAnsi="Times New Roman" w:cs="Times New Roman"/>
          <w:color w:val="000000"/>
          <w:sz w:val="28"/>
          <w:szCs w:val="28"/>
          <w:lang w:val="ro-RO" w:eastAsia="ru-RU"/>
        </w:rPr>
        <w:t xml:space="preserve">, cu </w:t>
      </w:r>
      <w:r w:rsidR="007F7B33">
        <w:rPr>
          <w:rFonts w:ascii="Times New Roman" w:eastAsia="Times New Roman" w:hAnsi="Times New Roman" w:cs="Times New Roman"/>
          <w:color w:val="000000"/>
          <w:sz w:val="28"/>
          <w:szCs w:val="28"/>
          <w:lang w:val="ro-RO" w:eastAsia="ru-RU"/>
        </w:rPr>
        <w:t>1</w:t>
      </w:r>
      <w:r w:rsidRPr="00F9496F">
        <w:rPr>
          <w:rFonts w:ascii="Times New Roman" w:eastAsia="Times New Roman" w:hAnsi="Times New Roman" w:cs="Times New Roman"/>
          <w:color w:val="000000"/>
          <w:sz w:val="28"/>
          <w:szCs w:val="28"/>
          <w:lang w:val="ro-RO" w:eastAsia="ru-RU"/>
        </w:rPr>
        <w:t>,</w:t>
      </w:r>
      <w:r w:rsidR="00A61038">
        <w:rPr>
          <w:rFonts w:ascii="Times New Roman" w:eastAsia="Times New Roman" w:hAnsi="Times New Roman" w:cs="Times New Roman"/>
          <w:color w:val="000000"/>
          <w:sz w:val="28"/>
          <w:szCs w:val="28"/>
          <w:lang w:val="ro-RO" w:eastAsia="ru-RU"/>
        </w:rPr>
        <w:t>3</w:t>
      </w:r>
      <w:r w:rsidRPr="00F9496F">
        <w:rPr>
          <w:rFonts w:ascii="Times New Roman" w:eastAsia="Times New Roman" w:hAnsi="Times New Roman" w:cs="Times New Roman"/>
          <w:color w:val="000000"/>
          <w:sz w:val="28"/>
          <w:szCs w:val="28"/>
          <w:lang w:val="ro-RO" w:eastAsia="ru-RU"/>
        </w:rPr>
        <w:t xml:space="preserve"> p.p. mai </w:t>
      </w:r>
      <w:r w:rsidR="00A61038">
        <w:rPr>
          <w:rFonts w:ascii="Times New Roman" w:eastAsia="Times New Roman" w:hAnsi="Times New Roman" w:cs="Times New Roman"/>
          <w:color w:val="000000"/>
          <w:sz w:val="28"/>
          <w:szCs w:val="28"/>
          <w:lang w:val="ro-RO" w:eastAsia="ru-RU"/>
        </w:rPr>
        <w:t>puțin</w:t>
      </w:r>
      <w:r w:rsidRPr="00F9496F">
        <w:rPr>
          <w:rFonts w:ascii="Times New Roman" w:eastAsia="Times New Roman" w:hAnsi="Times New Roman" w:cs="Times New Roman"/>
          <w:color w:val="000000"/>
          <w:sz w:val="28"/>
          <w:szCs w:val="28"/>
          <w:lang w:val="ro-RO" w:eastAsia="ru-RU"/>
        </w:rPr>
        <w:t xml:space="preserve"> </w:t>
      </w:r>
      <w:r w:rsidR="00A61038">
        <w:rPr>
          <w:rFonts w:ascii="Times New Roman" w:eastAsia="Times New Roman" w:hAnsi="Times New Roman" w:cs="Times New Roman"/>
          <w:color w:val="000000"/>
          <w:sz w:val="28"/>
          <w:szCs w:val="28"/>
          <w:lang w:val="ro-RO" w:eastAsia="ru-RU"/>
        </w:rPr>
        <w:t>față de finele</w:t>
      </w:r>
      <w:r w:rsidRPr="00F9496F">
        <w:rPr>
          <w:rFonts w:ascii="Times New Roman" w:eastAsia="Times New Roman" w:hAnsi="Times New Roman" w:cs="Times New Roman"/>
          <w:color w:val="000000"/>
          <w:sz w:val="28"/>
          <w:szCs w:val="28"/>
          <w:lang w:val="ro-RO" w:eastAsia="ru-RU"/>
        </w:rPr>
        <w:t xml:space="preserve"> anului </w:t>
      </w:r>
      <w:r w:rsidR="00A61038">
        <w:rPr>
          <w:rFonts w:ascii="Times New Roman" w:eastAsia="Times New Roman" w:hAnsi="Times New Roman" w:cs="Times New Roman"/>
          <w:color w:val="000000"/>
          <w:sz w:val="28"/>
          <w:szCs w:val="28"/>
          <w:lang w:val="ro-RO" w:eastAsia="ru-RU"/>
        </w:rPr>
        <w:t>201</w:t>
      </w:r>
      <w:r w:rsidR="007F7B33">
        <w:rPr>
          <w:rFonts w:ascii="Times New Roman" w:eastAsia="Times New Roman" w:hAnsi="Times New Roman" w:cs="Times New Roman"/>
          <w:color w:val="000000"/>
          <w:sz w:val="28"/>
          <w:szCs w:val="28"/>
          <w:lang w:val="ro-RO" w:eastAsia="ru-RU"/>
        </w:rPr>
        <w:t>2</w:t>
      </w:r>
      <w:r w:rsidRPr="00F9496F">
        <w:rPr>
          <w:rFonts w:ascii="Times New Roman" w:eastAsia="Times New Roman" w:hAnsi="Times New Roman" w:cs="Times New Roman"/>
          <w:color w:val="000000"/>
          <w:sz w:val="28"/>
          <w:szCs w:val="28"/>
          <w:lang w:val="ro-RO" w:eastAsia="ru-RU"/>
        </w:rPr>
        <w:t xml:space="preserve">. În </w:t>
      </w:r>
      <w:r w:rsidR="00D646AC">
        <w:rPr>
          <w:rFonts w:ascii="Times New Roman" w:eastAsia="Times New Roman" w:hAnsi="Times New Roman" w:cs="Times New Roman"/>
          <w:color w:val="000000"/>
          <w:sz w:val="28"/>
          <w:szCs w:val="28"/>
          <w:lang w:val="ro-RO" w:eastAsia="ru-RU"/>
        </w:rPr>
        <w:t>perioada</w:t>
      </w:r>
      <w:r w:rsidRPr="00F9496F">
        <w:rPr>
          <w:rFonts w:ascii="Times New Roman" w:eastAsia="Times New Roman" w:hAnsi="Times New Roman" w:cs="Times New Roman"/>
          <w:color w:val="000000"/>
          <w:sz w:val="28"/>
          <w:szCs w:val="28"/>
          <w:lang w:val="ro-RO" w:eastAsia="ru-RU"/>
        </w:rPr>
        <w:t xml:space="preserve"> ani</w:t>
      </w:r>
      <w:r w:rsidR="00D646AC">
        <w:rPr>
          <w:rFonts w:ascii="Times New Roman" w:eastAsia="Times New Roman" w:hAnsi="Times New Roman" w:cs="Times New Roman"/>
          <w:color w:val="000000"/>
          <w:sz w:val="28"/>
          <w:szCs w:val="28"/>
          <w:lang w:val="ro-RO" w:eastAsia="ru-RU"/>
        </w:rPr>
        <w:t>lor</w:t>
      </w:r>
      <w:r w:rsidRPr="00F9496F">
        <w:rPr>
          <w:rFonts w:ascii="Times New Roman" w:eastAsia="Times New Roman" w:hAnsi="Times New Roman" w:cs="Times New Roman"/>
          <w:color w:val="000000"/>
          <w:sz w:val="28"/>
          <w:szCs w:val="28"/>
          <w:lang w:val="ro-RO" w:eastAsia="ru-RU"/>
        </w:rPr>
        <w:t xml:space="preserve"> 201</w:t>
      </w:r>
      <w:r w:rsidR="00B0788F">
        <w:rPr>
          <w:rFonts w:ascii="Times New Roman" w:eastAsia="Times New Roman" w:hAnsi="Times New Roman" w:cs="Times New Roman"/>
          <w:color w:val="000000"/>
          <w:sz w:val="28"/>
          <w:szCs w:val="28"/>
          <w:lang w:val="ro-RO" w:eastAsia="ru-RU"/>
        </w:rPr>
        <w:t>4</w:t>
      </w:r>
      <w:r w:rsidRPr="00F9496F">
        <w:rPr>
          <w:rFonts w:ascii="Times New Roman" w:eastAsia="Times New Roman" w:hAnsi="Times New Roman" w:cs="Times New Roman"/>
          <w:color w:val="000000"/>
          <w:sz w:val="28"/>
          <w:szCs w:val="28"/>
          <w:lang w:val="ro-RO" w:eastAsia="ru-RU"/>
        </w:rPr>
        <w:t>-201</w:t>
      </w:r>
      <w:r w:rsidR="00D646AC">
        <w:rPr>
          <w:rFonts w:ascii="Times New Roman" w:eastAsia="Times New Roman" w:hAnsi="Times New Roman" w:cs="Times New Roman"/>
          <w:color w:val="000000"/>
          <w:sz w:val="28"/>
          <w:szCs w:val="28"/>
          <w:lang w:val="ro-RO" w:eastAsia="ru-RU"/>
        </w:rPr>
        <w:t>6</w:t>
      </w:r>
      <w:r w:rsidRPr="00F9496F">
        <w:rPr>
          <w:rFonts w:ascii="Times New Roman" w:eastAsia="Times New Roman" w:hAnsi="Times New Roman" w:cs="Times New Roman"/>
          <w:color w:val="000000"/>
          <w:sz w:val="28"/>
          <w:szCs w:val="28"/>
          <w:lang w:val="ro-RO" w:eastAsia="ru-RU"/>
        </w:rPr>
        <w:t xml:space="preserve">, </w:t>
      </w:r>
      <w:r w:rsidR="00B0788F">
        <w:rPr>
          <w:rFonts w:ascii="Times New Roman" w:eastAsia="Times New Roman" w:hAnsi="Times New Roman" w:cs="Times New Roman"/>
          <w:color w:val="000000"/>
          <w:sz w:val="28"/>
          <w:szCs w:val="28"/>
          <w:lang w:val="ro-RO" w:eastAsia="ru-RU"/>
        </w:rPr>
        <w:t xml:space="preserve">se estimează că </w:t>
      </w:r>
      <w:r w:rsidRPr="00F9496F">
        <w:rPr>
          <w:rFonts w:ascii="Times New Roman" w:eastAsia="Times New Roman" w:hAnsi="Times New Roman" w:cs="Times New Roman"/>
          <w:color w:val="000000"/>
          <w:sz w:val="28"/>
          <w:szCs w:val="28"/>
          <w:lang w:val="ro-RO" w:eastAsia="ru-RU"/>
        </w:rPr>
        <w:t xml:space="preserve">ponderea serviciului datoriei de stat în VBBS </w:t>
      </w:r>
      <w:r w:rsidR="00B0788F">
        <w:rPr>
          <w:rFonts w:ascii="Times New Roman" w:eastAsia="Times New Roman" w:hAnsi="Times New Roman" w:cs="Times New Roman"/>
          <w:color w:val="000000"/>
          <w:sz w:val="28"/>
          <w:szCs w:val="28"/>
          <w:lang w:val="ro-RO" w:eastAsia="ru-RU"/>
        </w:rPr>
        <w:t>se va încadra în intervalul de 2</w:t>
      </w:r>
      <w:r w:rsidRPr="00F9496F">
        <w:rPr>
          <w:rFonts w:ascii="Times New Roman" w:eastAsia="Times New Roman" w:hAnsi="Times New Roman" w:cs="Times New Roman"/>
          <w:color w:val="000000"/>
          <w:sz w:val="28"/>
          <w:szCs w:val="28"/>
          <w:lang w:val="ro-RO" w:eastAsia="ru-RU"/>
        </w:rPr>
        <w:t>,</w:t>
      </w:r>
      <w:r w:rsidR="00B0788F">
        <w:rPr>
          <w:rFonts w:ascii="Times New Roman" w:eastAsia="Times New Roman" w:hAnsi="Times New Roman" w:cs="Times New Roman"/>
          <w:color w:val="000000"/>
          <w:sz w:val="28"/>
          <w:szCs w:val="28"/>
          <w:lang w:val="ro-RO" w:eastAsia="ru-RU"/>
        </w:rPr>
        <w:t>8-3,0</w:t>
      </w:r>
      <w:r w:rsidRPr="00F9496F">
        <w:rPr>
          <w:rFonts w:ascii="Times New Roman" w:eastAsia="Times New Roman" w:hAnsi="Times New Roman" w:cs="Times New Roman"/>
          <w:color w:val="000000"/>
          <w:sz w:val="28"/>
          <w:szCs w:val="28"/>
          <w:lang w:val="ro-RO" w:eastAsia="ru-RU"/>
        </w:rPr>
        <w:t xml:space="preserve"> la sută </w:t>
      </w:r>
      <w:r w:rsidR="00B0788F">
        <w:rPr>
          <w:rFonts w:ascii="Times New Roman" w:eastAsia="Times New Roman" w:hAnsi="Times New Roman" w:cs="Times New Roman"/>
          <w:color w:val="000000"/>
          <w:sz w:val="28"/>
          <w:szCs w:val="28"/>
          <w:lang w:val="ro-RO" w:eastAsia="ru-RU"/>
        </w:rPr>
        <w:t>anual</w:t>
      </w:r>
      <w:r w:rsidRPr="00F9496F">
        <w:rPr>
          <w:rFonts w:ascii="Times New Roman" w:eastAsia="Times New Roman" w:hAnsi="Times New Roman" w:cs="Times New Roman"/>
          <w:color w:val="000000"/>
          <w:sz w:val="28"/>
          <w:szCs w:val="28"/>
          <w:lang w:val="ro-RO" w:eastAsia="ru-RU"/>
        </w:rPr>
        <w:t>.</w:t>
      </w:r>
    </w:p>
    <w:tbl>
      <w:tblPr>
        <w:tblW w:w="9356" w:type="dxa"/>
        <w:tblInd w:w="108" w:type="dxa"/>
        <w:tblBorders>
          <w:top w:val="single" w:sz="8" w:space="0" w:color="4F81BD"/>
          <w:bottom w:val="single" w:sz="8" w:space="0" w:color="4F81BD"/>
        </w:tblBorders>
        <w:tblLook w:val="00A0"/>
      </w:tblPr>
      <w:tblGrid>
        <w:gridCol w:w="9356"/>
      </w:tblGrid>
      <w:tr w:rsidR="00F9496F" w:rsidRPr="00F26F48" w:rsidTr="00D443C2">
        <w:trPr>
          <w:trHeight w:val="2760"/>
        </w:trPr>
        <w:tc>
          <w:tcPr>
            <w:tcW w:w="9356" w:type="dxa"/>
            <w:tcBorders>
              <w:top w:val="double" w:sz="4" w:space="0" w:color="365F91"/>
              <w:left w:val="double" w:sz="4" w:space="0" w:color="365F91"/>
              <w:bottom w:val="double" w:sz="4" w:space="0" w:color="365F91"/>
              <w:right w:val="double" w:sz="4" w:space="0" w:color="365F91"/>
            </w:tcBorders>
          </w:tcPr>
          <w:p w:rsidR="00F9496F" w:rsidRPr="00F9496F" w:rsidRDefault="001474AD" w:rsidP="00936232">
            <w:pPr>
              <w:spacing w:after="0" w:line="240" w:lineRule="auto"/>
              <w:jc w:val="right"/>
              <w:rPr>
                <w:rFonts w:ascii="Times New Roman" w:eastAsia="Times New Roman" w:hAnsi="Times New Roman" w:cs="Times New Roman"/>
                <w:b/>
                <w:bCs/>
                <w:color w:val="000000"/>
                <w:sz w:val="28"/>
                <w:szCs w:val="28"/>
                <w:highlight w:val="yellow"/>
                <w:lang w:val="ro-RO" w:eastAsia="ru-RU"/>
              </w:rPr>
            </w:pPr>
            <w:r w:rsidRPr="001474AD">
              <w:rPr>
                <w:rFonts w:ascii="Times New Roman" w:eastAsia="Times New Roman" w:hAnsi="Times New Roman" w:cs="Times New Roman"/>
                <w:noProof/>
                <w:sz w:val="24"/>
                <w:szCs w:val="24"/>
                <w:lang w:val="ru-RU" w:eastAsia="ru-RU"/>
              </w:rPr>
              <w:pict>
                <v:shape id="_x0000_s1051" type="#_x0000_t202" style="position:absolute;left:0;text-align:left;margin-left:17.25pt;margin-top:5.95pt;width:200.55pt;height:82.75pt;z-index:251667456;mso-position-horizontal-relative:text;mso-position-vertical-relative:text" strokecolor="white">
                  <v:textbox style="mso-next-textbox:#_x0000_s1051">
                    <w:txbxContent>
                      <w:p w:rsidR="005F58E5" w:rsidRPr="00120F4A" w:rsidRDefault="005F58E5" w:rsidP="00120F4A">
                        <w:pPr>
                          <w:spacing w:after="0" w:line="240" w:lineRule="auto"/>
                          <w:rPr>
                            <w:rFonts w:ascii="Times New Roman" w:hAnsi="Times New Roman" w:cs="Times New Roman"/>
                            <w:b/>
                            <w:sz w:val="24"/>
                            <w:lang w:val="ro-RO"/>
                          </w:rPr>
                        </w:pPr>
                        <w:r w:rsidRPr="00A61038">
                          <w:rPr>
                            <w:rFonts w:ascii="Times New Roman" w:hAnsi="Times New Roman" w:cs="Times New Roman"/>
                            <w:b/>
                            <w:sz w:val="24"/>
                            <w:lang w:val="ro-RO"/>
                          </w:rPr>
                          <w:t>Evoluţia serviciului datoriei de stat, în valori nominale şi în veniturile pe componenta de bază a bugetului</w:t>
                        </w:r>
                        <w:r>
                          <w:rPr>
                            <w:rFonts w:ascii="Times New Roman" w:hAnsi="Times New Roman" w:cs="Times New Roman"/>
                            <w:b/>
                            <w:sz w:val="24"/>
                            <w:lang w:val="ro-RO"/>
                          </w:rPr>
                          <w:t xml:space="preserve"> de stat,</w:t>
                        </w:r>
                        <w:r w:rsidRPr="00A61038">
                          <w:rPr>
                            <w:rFonts w:ascii="Times New Roman" w:hAnsi="Times New Roman" w:cs="Times New Roman"/>
                            <w:b/>
                            <w:sz w:val="24"/>
                            <w:lang w:val="ro-RO"/>
                          </w:rPr>
                          <w:t xml:space="preserve"> 2011-2016 (mil. lei)</w:t>
                        </w:r>
                      </w:p>
                    </w:txbxContent>
                  </v:textbox>
                </v:shape>
              </w:pict>
            </w:r>
            <w:r w:rsidR="00936232">
              <w:rPr>
                <w:rFonts w:ascii="Times New Roman" w:eastAsia="Times New Roman" w:hAnsi="Times New Roman" w:cs="Times New Roman"/>
                <w:b/>
                <w:noProof/>
                <w:color w:val="000000"/>
                <w:sz w:val="28"/>
                <w:szCs w:val="28"/>
              </w:rPr>
              <w:drawing>
                <wp:inline distT="0" distB="0" distL="0" distR="0">
                  <wp:extent cx="2628457" cy="1818167"/>
                  <wp:effectExtent l="19050" t="0" r="443"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2637300" cy="1824284"/>
                          </a:xfrm>
                          <a:prstGeom prst="rect">
                            <a:avLst/>
                          </a:prstGeom>
                          <a:noFill/>
                        </pic:spPr>
                      </pic:pic>
                    </a:graphicData>
                  </a:graphic>
                </wp:inline>
              </w:drawing>
            </w:r>
            <w:r w:rsidR="00F9496F" w:rsidRPr="00F9496F">
              <w:rPr>
                <w:rFonts w:ascii="Times New Roman" w:eastAsia="Times New Roman" w:hAnsi="Times New Roman" w:cs="Times New Roman"/>
                <w:b/>
                <w:noProof/>
                <w:color w:val="000000"/>
                <w:sz w:val="28"/>
                <w:szCs w:val="28"/>
                <w:lang w:val="ro-RO"/>
              </w:rPr>
              <w:t xml:space="preserve"> </w:t>
            </w:r>
          </w:p>
        </w:tc>
      </w:tr>
    </w:tbl>
    <w:p w:rsidR="00F9496F" w:rsidRPr="00F9496F" w:rsidRDefault="00F9496F" w:rsidP="005F06AC">
      <w:pPr>
        <w:numPr>
          <w:ilvl w:val="0"/>
          <w:numId w:val="18"/>
        </w:numPr>
        <w:tabs>
          <w:tab w:val="left" w:pos="900"/>
          <w:tab w:val="left" w:pos="993"/>
        </w:tabs>
        <w:spacing w:after="0" w:line="240" w:lineRule="auto"/>
        <w:ind w:left="0"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Structura serviciului datoriei de</w:t>
      </w:r>
      <w:r w:rsidRPr="00F9496F">
        <w:rPr>
          <w:rFonts w:ascii="Times New Roman" w:eastAsia="Times New Roman" w:hAnsi="Times New Roman" w:cs="Times New Roman"/>
          <w:b/>
          <w:sz w:val="28"/>
          <w:szCs w:val="28"/>
          <w:lang w:val="ro-RO" w:eastAsia="ru-RU"/>
        </w:rPr>
        <w:t xml:space="preserve"> </w:t>
      </w:r>
      <w:r w:rsidRPr="00F9496F">
        <w:rPr>
          <w:rFonts w:ascii="Times New Roman" w:eastAsia="Times New Roman" w:hAnsi="Times New Roman" w:cs="Times New Roman"/>
          <w:sz w:val="28"/>
          <w:szCs w:val="28"/>
          <w:lang w:val="ro-RO" w:eastAsia="ru-RU"/>
        </w:rPr>
        <w:t>stat evidenţiază ponderea majoră a serviciului datoriei de stat interne, care depăşeşte nivelul de 60 la sută din serviciul total al datoriei de stat. La sfîrşitul anului 201</w:t>
      </w:r>
      <w:r w:rsidR="00223BE7">
        <w:rPr>
          <w:rFonts w:ascii="Times New Roman" w:eastAsia="Times New Roman" w:hAnsi="Times New Roman" w:cs="Times New Roman"/>
          <w:sz w:val="28"/>
          <w:szCs w:val="28"/>
          <w:lang w:val="ro-RO" w:eastAsia="ru-RU"/>
        </w:rPr>
        <w:t>3</w:t>
      </w:r>
      <w:r w:rsidRPr="00F9496F">
        <w:rPr>
          <w:rFonts w:ascii="Times New Roman" w:eastAsia="Times New Roman" w:hAnsi="Times New Roman" w:cs="Times New Roman"/>
          <w:sz w:val="28"/>
          <w:szCs w:val="28"/>
          <w:lang w:val="ro-RO" w:eastAsia="ru-RU"/>
        </w:rPr>
        <w:t xml:space="preserve">, ponderea serviciului datoriei de stat interne a atins valoarea de </w:t>
      </w:r>
      <w:r w:rsidR="00223BE7">
        <w:rPr>
          <w:rFonts w:ascii="Times New Roman" w:eastAsia="Times New Roman" w:hAnsi="Times New Roman" w:cs="Times New Roman"/>
          <w:sz w:val="28"/>
          <w:szCs w:val="28"/>
          <w:lang w:val="ro-RO" w:eastAsia="ru-RU"/>
        </w:rPr>
        <w:t>62</w:t>
      </w:r>
      <w:r w:rsidRPr="00F9496F">
        <w:rPr>
          <w:rFonts w:ascii="Times New Roman" w:eastAsia="Times New Roman" w:hAnsi="Times New Roman" w:cs="Times New Roman"/>
          <w:sz w:val="28"/>
          <w:szCs w:val="28"/>
          <w:lang w:val="ro-RO" w:eastAsia="ru-RU"/>
        </w:rPr>
        <w:t>,</w:t>
      </w:r>
      <w:r w:rsidR="00223BE7">
        <w:rPr>
          <w:rFonts w:ascii="Times New Roman" w:eastAsia="Times New Roman" w:hAnsi="Times New Roman" w:cs="Times New Roman"/>
          <w:sz w:val="28"/>
          <w:szCs w:val="28"/>
          <w:lang w:val="ro-RO" w:eastAsia="ru-RU"/>
        </w:rPr>
        <w:t>2</w:t>
      </w:r>
      <w:r w:rsidRPr="00F9496F">
        <w:rPr>
          <w:rFonts w:ascii="Times New Roman" w:eastAsia="Times New Roman" w:hAnsi="Times New Roman" w:cs="Times New Roman"/>
          <w:sz w:val="28"/>
          <w:szCs w:val="28"/>
          <w:lang w:val="ro-RO" w:eastAsia="ru-RU"/>
        </w:rPr>
        <w:t>%,</w:t>
      </w:r>
      <w:r w:rsidR="00223BE7">
        <w:rPr>
          <w:rFonts w:ascii="Times New Roman" w:eastAsia="Times New Roman" w:hAnsi="Times New Roman" w:cs="Times New Roman"/>
          <w:sz w:val="28"/>
          <w:szCs w:val="28"/>
          <w:lang w:val="ro-RO" w:eastAsia="ru-RU"/>
        </w:rPr>
        <w:t xml:space="preserve"> cu 11,3 p.p. mai puţin decît la finele anului 2012.</w:t>
      </w:r>
      <w:r w:rsidRPr="00F9496F">
        <w:rPr>
          <w:rFonts w:ascii="Times New Roman" w:eastAsia="Times New Roman" w:hAnsi="Times New Roman" w:cs="Times New Roman"/>
          <w:sz w:val="28"/>
          <w:szCs w:val="28"/>
          <w:lang w:val="ro-RO" w:eastAsia="ru-RU"/>
        </w:rPr>
        <w:t xml:space="preserve"> </w:t>
      </w:r>
      <w:r w:rsidR="00223BE7">
        <w:rPr>
          <w:rFonts w:ascii="Times New Roman" w:eastAsia="Times New Roman" w:hAnsi="Times New Roman" w:cs="Times New Roman"/>
          <w:sz w:val="28"/>
          <w:szCs w:val="28"/>
          <w:lang w:val="ro-RO" w:eastAsia="ru-RU"/>
        </w:rPr>
        <w:t>În perioada 2014-2016, se prevede o</w:t>
      </w:r>
      <w:r w:rsidR="00632173">
        <w:rPr>
          <w:rFonts w:ascii="Times New Roman" w:eastAsia="Times New Roman" w:hAnsi="Times New Roman" w:cs="Times New Roman"/>
          <w:sz w:val="28"/>
          <w:szCs w:val="28"/>
          <w:lang w:val="ro-RO" w:eastAsia="ru-RU"/>
        </w:rPr>
        <w:t xml:space="preserve"> tendință ascendentă </w:t>
      </w:r>
      <w:r w:rsidR="00223BE7">
        <w:rPr>
          <w:rFonts w:ascii="Times New Roman" w:eastAsia="Times New Roman" w:hAnsi="Times New Roman" w:cs="Times New Roman"/>
          <w:sz w:val="28"/>
          <w:szCs w:val="28"/>
          <w:lang w:val="ro-RO" w:eastAsia="ru-RU"/>
        </w:rPr>
        <w:t>a ponderii serviciului datoriei de stat interne</w:t>
      </w:r>
      <w:r w:rsidR="00632173">
        <w:rPr>
          <w:rFonts w:ascii="Times New Roman" w:eastAsia="Times New Roman" w:hAnsi="Times New Roman" w:cs="Times New Roman"/>
          <w:sz w:val="28"/>
          <w:szCs w:val="28"/>
          <w:lang w:val="ro-RO" w:eastAsia="ru-RU"/>
        </w:rPr>
        <w:t xml:space="preserve">, astfel încît la finele anului 2016 </w:t>
      </w:r>
      <w:r w:rsidR="00223BE7">
        <w:rPr>
          <w:rFonts w:ascii="Times New Roman" w:eastAsia="Times New Roman" w:hAnsi="Times New Roman" w:cs="Times New Roman"/>
          <w:sz w:val="28"/>
          <w:szCs w:val="28"/>
          <w:lang w:val="ro-RO" w:eastAsia="ru-RU"/>
        </w:rPr>
        <w:t>acesta</w:t>
      </w:r>
      <w:r w:rsidR="00632173">
        <w:rPr>
          <w:rFonts w:ascii="Times New Roman" w:eastAsia="Times New Roman" w:hAnsi="Times New Roman" w:cs="Times New Roman"/>
          <w:sz w:val="28"/>
          <w:szCs w:val="28"/>
          <w:lang w:val="ro-RO" w:eastAsia="ru-RU"/>
        </w:rPr>
        <w:t xml:space="preserve"> va înregistra 71,4% din total.</w:t>
      </w:r>
    </w:p>
    <w:p w:rsidR="00157DD7" w:rsidRPr="00F9496F" w:rsidRDefault="00F9496F" w:rsidP="00F9496F">
      <w:pPr>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 xml:space="preserve">Astfel, deşi </w:t>
      </w:r>
      <w:r w:rsidR="00632173">
        <w:rPr>
          <w:rFonts w:ascii="Times New Roman" w:eastAsia="Times New Roman" w:hAnsi="Times New Roman" w:cs="Times New Roman"/>
          <w:sz w:val="28"/>
          <w:szCs w:val="28"/>
          <w:lang w:val="ro-RO" w:eastAsia="ru-RU"/>
        </w:rPr>
        <w:t xml:space="preserve">soldul </w:t>
      </w:r>
      <w:r w:rsidRPr="00F9496F">
        <w:rPr>
          <w:rFonts w:ascii="Times New Roman" w:eastAsia="Times New Roman" w:hAnsi="Times New Roman" w:cs="Times New Roman"/>
          <w:sz w:val="28"/>
          <w:szCs w:val="28"/>
          <w:lang w:val="ro-RO" w:eastAsia="ru-RU"/>
        </w:rPr>
        <w:t>datori</w:t>
      </w:r>
      <w:r w:rsidR="00632173">
        <w:rPr>
          <w:rFonts w:ascii="Times New Roman" w:eastAsia="Times New Roman" w:hAnsi="Times New Roman" w:cs="Times New Roman"/>
          <w:sz w:val="28"/>
          <w:szCs w:val="28"/>
          <w:lang w:val="ro-RO" w:eastAsia="ru-RU"/>
        </w:rPr>
        <w:t>ei</w:t>
      </w:r>
      <w:r w:rsidRPr="00F9496F">
        <w:rPr>
          <w:rFonts w:ascii="Times New Roman" w:eastAsia="Times New Roman" w:hAnsi="Times New Roman" w:cs="Times New Roman"/>
          <w:sz w:val="28"/>
          <w:szCs w:val="28"/>
          <w:lang w:val="ro-RO" w:eastAsia="ru-RU"/>
        </w:rPr>
        <w:t xml:space="preserve"> de stat intern</w:t>
      </w:r>
      <w:r w:rsidR="00632173">
        <w:rPr>
          <w:rFonts w:ascii="Times New Roman" w:eastAsia="Times New Roman" w:hAnsi="Times New Roman" w:cs="Times New Roman"/>
          <w:sz w:val="28"/>
          <w:szCs w:val="28"/>
          <w:lang w:val="ro-RO" w:eastAsia="ru-RU"/>
        </w:rPr>
        <w:t>e</w:t>
      </w:r>
      <w:r w:rsidRPr="00F9496F">
        <w:rPr>
          <w:rFonts w:ascii="Times New Roman" w:eastAsia="Times New Roman" w:hAnsi="Times New Roman" w:cs="Times New Roman"/>
          <w:sz w:val="28"/>
          <w:szCs w:val="28"/>
          <w:lang w:val="ro-RO" w:eastAsia="ru-RU"/>
        </w:rPr>
        <w:t xml:space="preserve"> </w:t>
      </w:r>
      <w:r w:rsidR="00632173">
        <w:rPr>
          <w:rFonts w:ascii="Times New Roman" w:eastAsia="Times New Roman" w:hAnsi="Times New Roman" w:cs="Times New Roman"/>
          <w:sz w:val="28"/>
          <w:szCs w:val="28"/>
          <w:lang w:val="ro-RO" w:eastAsia="ru-RU"/>
        </w:rPr>
        <w:t>deține</w:t>
      </w:r>
      <w:r w:rsidRPr="00F9496F">
        <w:rPr>
          <w:rFonts w:ascii="Times New Roman" w:eastAsia="Times New Roman" w:hAnsi="Times New Roman" w:cs="Times New Roman"/>
          <w:sz w:val="28"/>
          <w:szCs w:val="28"/>
          <w:lang w:val="ro-RO" w:eastAsia="ru-RU"/>
        </w:rPr>
        <w:t xml:space="preserve"> o pondere de circa 30 la sută </w:t>
      </w:r>
      <w:r w:rsidR="00632173">
        <w:rPr>
          <w:rFonts w:ascii="Times New Roman" w:eastAsia="Times New Roman" w:hAnsi="Times New Roman" w:cs="Times New Roman"/>
          <w:sz w:val="28"/>
          <w:szCs w:val="28"/>
          <w:lang w:val="ro-RO" w:eastAsia="ru-RU"/>
        </w:rPr>
        <w:t>din</w:t>
      </w:r>
      <w:r w:rsidRPr="00F9496F">
        <w:rPr>
          <w:rFonts w:ascii="Times New Roman" w:eastAsia="Times New Roman" w:hAnsi="Times New Roman" w:cs="Times New Roman"/>
          <w:sz w:val="28"/>
          <w:szCs w:val="28"/>
          <w:lang w:val="ro-RO" w:eastAsia="ru-RU"/>
        </w:rPr>
        <w:t xml:space="preserve"> portofoliul datoriei de stat, aceasta absoarbe în jur de 60 la sută din serviciul datoriei de stat.</w:t>
      </w:r>
    </w:p>
    <w:tbl>
      <w:tblPr>
        <w:tblW w:w="0" w:type="auto"/>
        <w:tblInd w:w="108" w:type="dxa"/>
        <w:tblBorders>
          <w:top w:val="single" w:sz="8" w:space="0" w:color="4F81BD"/>
          <w:bottom w:val="single" w:sz="8" w:space="0" w:color="4F81BD"/>
        </w:tblBorders>
        <w:tblLook w:val="00A0"/>
      </w:tblPr>
      <w:tblGrid>
        <w:gridCol w:w="9356"/>
      </w:tblGrid>
      <w:tr w:rsidR="00F9496F" w:rsidRPr="00F26F48" w:rsidTr="00D443C2">
        <w:tc>
          <w:tcPr>
            <w:tcW w:w="9356" w:type="dxa"/>
            <w:tcBorders>
              <w:top w:val="double" w:sz="4" w:space="0" w:color="365F91"/>
              <w:left w:val="double" w:sz="4" w:space="0" w:color="365F91"/>
              <w:bottom w:val="double" w:sz="4" w:space="0" w:color="365F91"/>
              <w:right w:val="double" w:sz="4" w:space="0" w:color="365F91"/>
            </w:tcBorders>
          </w:tcPr>
          <w:p w:rsidR="00F9496F" w:rsidRPr="00F9496F" w:rsidRDefault="001474AD" w:rsidP="00727BC5">
            <w:pPr>
              <w:spacing w:after="0" w:line="240" w:lineRule="auto"/>
              <w:jc w:val="right"/>
              <w:rPr>
                <w:rFonts w:ascii="Times New Roman" w:eastAsia="Times New Roman" w:hAnsi="Times New Roman" w:cs="Times New Roman"/>
                <w:b/>
                <w:bCs/>
                <w:color w:val="365F91"/>
                <w:sz w:val="28"/>
                <w:szCs w:val="28"/>
                <w:lang w:val="ro-RO" w:eastAsia="ru-RU"/>
              </w:rPr>
            </w:pPr>
            <w:r w:rsidRPr="001474AD">
              <w:rPr>
                <w:rFonts w:ascii="Times New Roman" w:eastAsia="Times New Roman" w:hAnsi="Times New Roman" w:cs="Times New Roman"/>
                <w:noProof/>
                <w:sz w:val="24"/>
                <w:szCs w:val="24"/>
                <w:lang w:val="ru-RU" w:eastAsia="ru-RU"/>
              </w:rPr>
              <w:pict>
                <v:shape id="_x0000_s1050" type="#_x0000_t202" style="position:absolute;left:0;text-align:left;margin-left:17.25pt;margin-top:5.15pt;width:175.5pt;height:44.85pt;z-index:251666432;mso-position-horizontal-relative:text;mso-position-vertical-relative:text" strokecolor="white">
                  <v:textbox style="mso-next-textbox:#_x0000_s1050">
                    <w:txbxContent>
                      <w:p w:rsidR="005F58E5" w:rsidRPr="00120F4A" w:rsidRDefault="005F58E5" w:rsidP="00120F4A">
                        <w:pPr>
                          <w:spacing w:after="0" w:line="240" w:lineRule="auto"/>
                          <w:rPr>
                            <w:rFonts w:ascii="Times New Roman" w:hAnsi="Times New Roman" w:cs="Times New Roman"/>
                            <w:b/>
                            <w:sz w:val="24"/>
                            <w:lang w:val="ro-RO"/>
                          </w:rPr>
                        </w:pPr>
                        <w:r w:rsidRPr="00120F4A">
                          <w:rPr>
                            <w:rFonts w:ascii="Times New Roman" w:hAnsi="Times New Roman" w:cs="Times New Roman"/>
                            <w:b/>
                            <w:sz w:val="24"/>
                            <w:lang w:val="ro-RO"/>
                          </w:rPr>
                          <w:t>Structura serviciului datoriei de stat, 201</w:t>
                        </w:r>
                        <w:r>
                          <w:rPr>
                            <w:rFonts w:ascii="Times New Roman" w:hAnsi="Times New Roman" w:cs="Times New Roman"/>
                            <w:b/>
                            <w:sz w:val="24"/>
                            <w:lang w:val="ro-RO"/>
                          </w:rPr>
                          <w:t>1</w:t>
                        </w:r>
                        <w:r w:rsidRPr="00120F4A">
                          <w:rPr>
                            <w:rFonts w:ascii="Times New Roman" w:hAnsi="Times New Roman" w:cs="Times New Roman"/>
                            <w:b/>
                            <w:sz w:val="24"/>
                            <w:lang w:val="ro-RO"/>
                          </w:rPr>
                          <w:t>-201</w:t>
                        </w:r>
                        <w:r>
                          <w:rPr>
                            <w:rFonts w:ascii="Times New Roman" w:hAnsi="Times New Roman" w:cs="Times New Roman"/>
                            <w:b/>
                            <w:sz w:val="24"/>
                            <w:lang w:val="ro-RO"/>
                          </w:rPr>
                          <w:t>6</w:t>
                        </w:r>
                        <w:r w:rsidRPr="00120F4A">
                          <w:rPr>
                            <w:rFonts w:ascii="Times New Roman" w:hAnsi="Times New Roman" w:cs="Times New Roman"/>
                            <w:b/>
                            <w:sz w:val="24"/>
                            <w:lang w:val="ro-RO"/>
                          </w:rPr>
                          <w:t xml:space="preserve"> </w:t>
                        </w:r>
                        <w:r>
                          <w:rPr>
                            <w:rFonts w:ascii="Times New Roman" w:hAnsi="Times New Roman" w:cs="Times New Roman"/>
                            <w:b/>
                            <w:sz w:val="24"/>
                            <w:lang w:val="ro-RO"/>
                          </w:rPr>
                          <w:t>(</w:t>
                        </w:r>
                        <w:r w:rsidRPr="00120F4A">
                          <w:rPr>
                            <w:rFonts w:ascii="Times New Roman" w:hAnsi="Times New Roman" w:cs="Times New Roman"/>
                            <w:b/>
                            <w:sz w:val="24"/>
                            <w:lang w:val="ro-RO"/>
                          </w:rPr>
                          <w:t>%</w:t>
                        </w:r>
                        <w:r>
                          <w:rPr>
                            <w:rFonts w:ascii="Times New Roman" w:hAnsi="Times New Roman" w:cs="Times New Roman"/>
                            <w:b/>
                            <w:sz w:val="24"/>
                            <w:lang w:val="ro-RO"/>
                          </w:rPr>
                          <w:t>)</w:t>
                        </w:r>
                      </w:p>
                    </w:txbxContent>
                  </v:textbox>
                </v:shape>
              </w:pict>
            </w:r>
            <w:r w:rsidR="00727BC5">
              <w:rPr>
                <w:rFonts w:ascii="Times New Roman" w:eastAsia="Times New Roman" w:hAnsi="Times New Roman" w:cs="Times New Roman"/>
                <w:b/>
                <w:bCs/>
                <w:noProof/>
                <w:color w:val="365F91"/>
                <w:sz w:val="28"/>
                <w:szCs w:val="28"/>
              </w:rPr>
              <w:drawing>
                <wp:inline distT="0" distB="0" distL="0" distR="0">
                  <wp:extent cx="2514201" cy="1516497"/>
                  <wp:effectExtent l="19050" t="0" r="399" b="0"/>
                  <wp:docPr id="1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2519676" cy="1519800"/>
                          </a:xfrm>
                          <a:prstGeom prst="rect">
                            <a:avLst/>
                          </a:prstGeom>
                          <a:noFill/>
                        </pic:spPr>
                      </pic:pic>
                    </a:graphicData>
                  </a:graphic>
                </wp:inline>
              </w:drawing>
            </w:r>
          </w:p>
        </w:tc>
      </w:tr>
    </w:tbl>
    <w:p w:rsidR="005F58E5" w:rsidRDefault="005F58E5" w:rsidP="00F9496F">
      <w:pPr>
        <w:keepNext/>
        <w:spacing w:after="0" w:line="240" w:lineRule="auto"/>
        <w:ind w:firstLine="709"/>
        <w:jc w:val="both"/>
        <w:outlineLvl w:val="1"/>
        <w:rPr>
          <w:rFonts w:ascii="Times New Roman" w:eastAsia="Times New Roman" w:hAnsi="Times New Roman" w:cs="Times New Roman"/>
          <w:b/>
          <w:bCs/>
          <w:iCs/>
          <w:sz w:val="28"/>
          <w:szCs w:val="28"/>
          <w:lang w:val="ro-RO" w:eastAsia="ru-RU"/>
        </w:rPr>
      </w:pPr>
      <w:bookmarkStart w:id="16" w:name="_Toc346609566"/>
    </w:p>
    <w:p w:rsidR="00F9496F" w:rsidRPr="00120F4A" w:rsidRDefault="00F9496F" w:rsidP="00F9496F">
      <w:pPr>
        <w:keepNext/>
        <w:spacing w:after="0" w:line="240" w:lineRule="auto"/>
        <w:ind w:firstLine="709"/>
        <w:jc w:val="both"/>
        <w:outlineLvl w:val="1"/>
        <w:rPr>
          <w:rFonts w:ascii="Times New Roman" w:eastAsia="Times New Roman" w:hAnsi="Times New Roman" w:cs="Times New Roman"/>
          <w:b/>
          <w:bCs/>
          <w:iCs/>
          <w:sz w:val="28"/>
          <w:szCs w:val="28"/>
          <w:highlight w:val="yellow"/>
          <w:lang w:val="ro-RO" w:eastAsia="ru-RU"/>
        </w:rPr>
      </w:pPr>
      <w:r w:rsidRPr="00120F4A">
        <w:rPr>
          <w:rFonts w:ascii="Times New Roman" w:eastAsia="Times New Roman" w:hAnsi="Times New Roman" w:cs="Times New Roman"/>
          <w:b/>
          <w:bCs/>
          <w:iCs/>
          <w:sz w:val="28"/>
          <w:szCs w:val="28"/>
          <w:lang w:val="ro-RO" w:eastAsia="ru-RU"/>
        </w:rPr>
        <w:t xml:space="preserve">Secţiunea </w:t>
      </w:r>
      <w:r w:rsidR="00234278">
        <w:rPr>
          <w:rFonts w:ascii="Times New Roman" w:eastAsia="Times New Roman" w:hAnsi="Times New Roman" w:cs="Times New Roman"/>
          <w:b/>
          <w:bCs/>
          <w:iCs/>
          <w:sz w:val="28"/>
          <w:szCs w:val="28"/>
          <w:lang w:val="ro-RO" w:eastAsia="ru-RU"/>
        </w:rPr>
        <w:t>4</w:t>
      </w:r>
      <w:r w:rsidRPr="00120F4A">
        <w:rPr>
          <w:rFonts w:ascii="Times New Roman" w:eastAsia="Times New Roman" w:hAnsi="Times New Roman" w:cs="Times New Roman"/>
          <w:b/>
          <w:bCs/>
          <w:iCs/>
          <w:sz w:val="28"/>
          <w:szCs w:val="28"/>
          <w:lang w:val="ro-RO" w:eastAsia="ru-RU"/>
        </w:rPr>
        <w:t>.  Prognoza surselor de finanţare în perioada anilor 201</w:t>
      </w:r>
      <w:r w:rsidR="003D1400">
        <w:rPr>
          <w:rFonts w:ascii="Times New Roman" w:eastAsia="Times New Roman" w:hAnsi="Times New Roman" w:cs="Times New Roman"/>
          <w:b/>
          <w:bCs/>
          <w:iCs/>
          <w:sz w:val="28"/>
          <w:szCs w:val="28"/>
          <w:lang w:val="ro-RO" w:eastAsia="ru-RU"/>
        </w:rPr>
        <w:t>4</w:t>
      </w:r>
      <w:r w:rsidRPr="00120F4A">
        <w:rPr>
          <w:rFonts w:ascii="Times New Roman" w:eastAsia="Times New Roman" w:hAnsi="Times New Roman" w:cs="Times New Roman"/>
          <w:b/>
          <w:bCs/>
          <w:iCs/>
          <w:sz w:val="28"/>
          <w:szCs w:val="28"/>
          <w:lang w:val="ro-RO" w:eastAsia="ru-RU"/>
        </w:rPr>
        <w:t xml:space="preserve"> -201</w:t>
      </w:r>
      <w:bookmarkEnd w:id="16"/>
      <w:r w:rsidR="003D1400">
        <w:rPr>
          <w:rFonts w:ascii="Times New Roman" w:eastAsia="Times New Roman" w:hAnsi="Times New Roman" w:cs="Times New Roman"/>
          <w:b/>
          <w:bCs/>
          <w:iCs/>
          <w:sz w:val="28"/>
          <w:szCs w:val="28"/>
          <w:lang w:val="ro-RO" w:eastAsia="ru-RU"/>
        </w:rPr>
        <w:t>6</w:t>
      </w:r>
    </w:p>
    <w:p w:rsidR="00F9496F" w:rsidRPr="005F58E5" w:rsidRDefault="00F9496F" w:rsidP="005F06AC">
      <w:pPr>
        <w:numPr>
          <w:ilvl w:val="0"/>
          <w:numId w:val="15"/>
        </w:numPr>
        <w:tabs>
          <w:tab w:val="left" w:pos="900"/>
        </w:tabs>
        <w:autoSpaceDE w:val="0"/>
        <w:autoSpaceDN w:val="0"/>
        <w:adjustRightInd w:val="0"/>
        <w:spacing w:after="0" w:line="240" w:lineRule="auto"/>
        <w:ind w:left="0" w:firstLine="709"/>
        <w:jc w:val="both"/>
        <w:rPr>
          <w:rFonts w:ascii="Times New Roman" w:eastAsia="Times New Roman" w:hAnsi="Times New Roman" w:cs="Times New Roman"/>
          <w:iCs/>
          <w:sz w:val="28"/>
          <w:szCs w:val="28"/>
          <w:lang w:val="ro-RO" w:eastAsia="ru-RU"/>
        </w:rPr>
      </w:pPr>
      <w:r w:rsidRPr="00F9496F">
        <w:rPr>
          <w:rFonts w:ascii="Times New Roman" w:eastAsia="Times New Roman" w:hAnsi="Times New Roman" w:cs="Times New Roman"/>
          <w:iCs/>
          <w:sz w:val="28"/>
          <w:szCs w:val="28"/>
          <w:lang w:val="ro-RO" w:eastAsia="ru-RU"/>
        </w:rPr>
        <w:t xml:space="preserve"> </w:t>
      </w:r>
      <w:r w:rsidRPr="0094166E">
        <w:rPr>
          <w:rFonts w:ascii="Times New Roman" w:eastAsia="Times New Roman" w:hAnsi="Times New Roman" w:cs="Times New Roman"/>
          <w:iCs/>
          <w:sz w:val="28"/>
          <w:szCs w:val="28"/>
          <w:lang w:val="ro-RO" w:eastAsia="ru-RU"/>
        </w:rPr>
        <w:t xml:space="preserve">Necesităţile de finanţare pe termen mediu ale Guvernului sînt bazate </w:t>
      </w:r>
      <w:r w:rsidR="00632173" w:rsidRPr="0094166E">
        <w:rPr>
          <w:rFonts w:ascii="Times New Roman" w:eastAsia="Times New Roman" w:hAnsi="Times New Roman" w:cs="Times New Roman"/>
          <w:iCs/>
          <w:sz w:val="28"/>
          <w:szCs w:val="28"/>
          <w:lang w:val="ro-RO" w:eastAsia="ru-RU"/>
        </w:rPr>
        <w:t>pe estimările bugetului de stat pentru perioada anilor 2014-2016</w:t>
      </w:r>
      <w:r w:rsidRPr="0094166E">
        <w:rPr>
          <w:rFonts w:ascii="Times New Roman" w:eastAsia="Times New Roman" w:hAnsi="Times New Roman" w:cs="Times New Roman"/>
          <w:iCs/>
          <w:sz w:val="28"/>
          <w:szCs w:val="28"/>
          <w:lang w:val="ro-RO" w:eastAsia="ru-RU"/>
        </w:rPr>
        <w:t xml:space="preserve">. </w:t>
      </w:r>
      <w:r w:rsidR="0094166E" w:rsidRPr="0094166E">
        <w:rPr>
          <w:rFonts w:ascii="Times New Roman" w:eastAsia="Times New Roman" w:hAnsi="Times New Roman" w:cs="Times New Roman"/>
          <w:iCs/>
          <w:sz w:val="28"/>
          <w:szCs w:val="28"/>
          <w:lang w:val="ro-RO" w:eastAsia="ru-RU"/>
        </w:rPr>
        <w:t>Astfel, f</w:t>
      </w:r>
      <w:r w:rsidRPr="0094166E">
        <w:rPr>
          <w:rFonts w:ascii="Times New Roman" w:eastAsia="Times New Roman" w:hAnsi="Times New Roman" w:cs="Times New Roman"/>
          <w:iCs/>
          <w:sz w:val="28"/>
          <w:szCs w:val="28"/>
          <w:lang w:val="ro-RO" w:eastAsia="ru-RU"/>
        </w:rPr>
        <w:t>inanţarea netă constituie unul din principalii factori care contribuie la majorarea sau diminuarea volumului datoriei de stat.</w:t>
      </w:r>
      <w:r w:rsidRPr="00F9496F">
        <w:rPr>
          <w:rFonts w:ascii="Times New Roman" w:eastAsia="Times New Roman" w:hAnsi="Times New Roman" w:cs="Times New Roman"/>
          <w:iCs/>
          <w:sz w:val="28"/>
          <w:szCs w:val="28"/>
          <w:lang w:val="ro-RO" w:eastAsia="ru-RU"/>
        </w:rPr>
        <w:t xml:space="preserve"> În tabelul </w:t>
      </w:r>
      <w:r w:rsidR="00632173">
        <w:rPr>
          <w:rFonts w:ascii="Times New Roman" w:eastAsia="Times New Roman" w:hAnsi="Times New Roman" w:cs="Times New Roman"/>
          <w:iCs/>
          <w:sz w:val="28"/>
          <w:szCs w:val="28"/>
          <w:lang w:val="ro-RO" w:eastAsia="ru-RU"/>
        </w:rPr>
        <w:t>4</w:t>
      </w:r>
      <w:r w:rsidRPr="00F9496F">
        <w:rPr>
          <w:rFonts w:ascii="Times New Roman" w:eastAsia="Times New Roman" w:hAnsi="Times New Roman" w:cs="Times New Roman"/>
          <w:iCs/>
          <w:sz w:val="28"/>
          <w:szCs w:val="28"/>
          <w:lang w:val="ro-RO" w:eastAsia="ru-RU"/>
        </w:rPr>
        <w:t>.1. sînt prezentate estimările deficitului bugetului de stat şi sursele de finanţare a acestuia pentru anii 201</w:t>
      </w:r>
      <w:r w:rsidR="00632173">
        <w:rPr>
          <w:rFonts w:ascii="Times New Roman" w:eastAsia="Times New Roman" w:hAnsi="Times New Roman" w:cs="Times New Roman"/>
          <w:iCs/>
          <w:sz w:val="28"/>
          <w:szCs w:val="28"/>
          <w:lang w:val="ro-RO" w:eastAsia="ru-RU"/>
        </w:rPr>
        <w:t>4</w:t>
      </w:r>
      <w:r w:rsidRPr="00F9496F">
        <w:rPr>
          <w:rFonts w:ascii="Times New Roman" w:eastAsia="Times New Roman" w:hAnsi="Times New Roman" w:cs="Times New Roman"/>
          <w:iCs/>
          <w:sz w:val="28"/>
          <w:szCs w:val="28"/>
          <w:lang w:val="ro-RO" w:eastAsia="ru-RU"/>
        </w:rPr>
        <w:t>-201</w:t>
      </w:r>
      <w:r w:rsidR="00632173">
        <w:rPr>
          <w:rFonts w:ascii="Times New Roman" w:eastAsia="Times New Roman" w:hAnsi="Times New Roman" w:cs="Times New Roman"/>
          <w:iCs/>
          <w:sz w:val="28"/>
          <w:szCs w:val="28"/>
          <w:lang w:val="ro-RO" w:eastAsia="ru-RU"/>
        </w:rPr>
        <w:t>6</w:t>
      </w:r>
      <w:r w:rsidRPr="00F9496F">
        <w:rPr>
          <w:rFonts w:ascii="Times New Roman" w:eastAsia="Times New Roman" w:hAnsi="Times New Roman" w:cs="Times New Roman"/>
          <w:iCs/>
          <w:sz w:val="28"/>
          <w:szCs w:val="28"/>
          <w:lang w:val="ro-RO" w:eastAsia="ru-RU"/>
        </w:rPr>
        <w:t>.</w:t>
      </w:r>
      <w:r w:rsidRPr="00F9496F">
        <w:rPr>
          <w:rFonts w:ascii="Times New Roman" w:eastAsia="Times New Roman" w:hAnsi="Times New Roman" w:cs="Times New Roman"/>
          <w:sz w:val="28"/>
          <w:szCs w:val="28"/>
          <w:lang w:val="ro-RO" w:eastAsia="ru-RU"/>
        </w:rPr>
        <w:t xml:space="preserve"> </w:t>
      </w:r>
    </w:p>
    <w:p w:rsidR="005F58E5" w:rsidRDefault="005F58E5" w:rsidP="005F58E5">
      <w:pPr>
        <w:tabs>
          <w:tab w:val="left" w:pos="900"/>
        </w:tabs>
        <w:autoSpaceDE w:val="0"/>
        <w:autoSpaceDN w:val="0"/>
        <w:adjustRightInd w:val="0"/>
        <w:spacing w:after="0" w:line="240" w:lineRule="auto"/>
        <w:jc w:val="both"/>
        <w:rPr>
          <w:rFonts w:ascii="Times New Roman" w:eastAsia="Times New Roman" w:hAnsi="Times New Roman" w:cs="Times New Roman"/>
          <w:sz w:val="28"/>
          <w:szCs w:val="28"/>
          <w:lang w:val="ro-RO" w:eastAsia="ru-RU"/>
        </w:rPr>
      </w:pPr>
    </w:p>
    <w:p w:rsidR="005F58E5" w:rsidRDefault="005F58E5" w:rsidP="005F58E5">
      <w:pPr>
        <w:tabs>
          <w:tab w:val="left" w:pos="900"/>
        </w:tabs>
        <w:autoSpaceDE w:val="0"/>
        <w:autoSpaceDN w:val="0"/>
        <w:adjustRightInd w:val="0"/>
        <w:spacing w:after="0" w:line="240" w:lineRule="auto"/>
        <w:jc w:val="both"/>
        <w:rPr>
          <w:rFonts w:ascii="Times New Roman" w:eastAsia="Times New Roman" w:hAnsi="Times New Roman" w:cs="Times New Roman"/>
          <w:sz w:val="28"/>
          <w:szCs w:val="28"/>
          <w:lang w:val="ro-RO" w:eastAsia="ru-RU"/>
        </w:rPr>
      </w:pPr>
    </w:p>
    <w:p w:rsidR="005F58E5" w:rsidRDefault="005F58E5" w:rsidP="005F58E5">
      <w:pPr>
        <w:tabs>
          <w:tab w:val="left" w:pos="900"/>
        </w:tabs>
        <w:autoSpaceDE w:val="0"/>
        <w:autoSpaceDN w:val="0"/>
        <w:adjustRightInd w:val="0"/>
        <w:spacing w:after="0" w:line="240" w:lineRule="auto"/>
        <w:jc w:val="both"/>
        <w:rPr>
          <w:rFonts w:ascii="Times New Roman" w:eastAsia="Times New Roman" w:hAnsi="Times New Roman" w:cs="Times New Roman"/>
          <w:sz w:val="28"/>
          <w:szCs w:val="28"/>
          <w:lang w:val="ro-RO" w:eastAsia="ru-RU"/>
        </w:rPr>
      </w:pPr>
    </w:p>
    <w:p w:rsidR="005F58E5" w:rsidRPr="00FD70AC" w:rsidRDefault="005F58E5" w:rsidP="005F58E5">
      <w:pPr>
        <w:tabs>
          <w:tab w:val="left" w:pos="900"/>
        </w:tabs>
        <w:autoSpaceDE w:val="0"/>
        <w:autoSpaceDN w:val="0"/>
        <w:adjustRightInd w:val="0"/>
        <w:spacing w:after="0" w:line="240" w:lineRule="auto"/>
        <w:jc w:val="both"/>
        <w:rPr>
          <w:rFonts w:ascii="Times New Roman" w:eastAsia="Times New Roman" w:hAnsi="Times New Roman" w:cs="Times New Roman"/>
          <w:iCs/>
          <w:sz w:val="28"/>
          <w:szCs w:val="28"/>
          <w:lang w:val="ro-RO" w:eastAsia="ru-RU"/>
        </w:rPr>
      </w:pPr>
    </w:p>
    <w:p w:rsidR="00F9496F" w:rsidRPr="00120F4A" w:rsidRDefault="00120F4A" w:rsidP="003D1400">
      <w:pPr>
        <w:tabs>
          <w:tab w:val="left" w:pos="900"/>
        </w:tabs>
        <w:autoSpaceDE w:val="0"/>
        <w:autoSpaceDN w:val="0"/>
        <w:adjustRightInd w:val="0"/>
        <w:spacing w:after="0" w:line="240" w:lineRule="auto"/>
        <w:ind w:left="7560"/>
        <w:jc w:val="right"/>
        <w:rPr>
          <w:rFonts w:ascii="Times New Roman" w:eastAsia="Times New Roman" w:hAnsi="Times New Roman" w:cs="Times New Roman"/>
          <w:iCs/>
          <w:sz w:val="28"/>
          <w:szCs w:val="28"/>
          <w:lang w:val="ro-RO" w:eastAsia="ru-RU"/>
        </w:rPr>
      </w:pPr>
      <w:r>
        <w:rPr>
          <w:rFonts w:ascii="Times New Roman" w:eastAsia="Times New Roman" w:hAnsi="Times New Roman" w:cs="Times New Roman"/>
          <w:sz w:val="28"/>
          <w:szCs w:val="28"/>
          <w:lang w:val="ro-RO" w:eastAsia="ru-RU"/>
        </w:rPr>
        <w:t>Tabelul  4</w:t>
      </w:r>
      <w:r w:rsidR="00F9496F" w:rsidRPr="00120F4A">
        <w:rPr>
          <w:rFonts w:ascii="Times New Roman" w:eastAsia="Times New Roman" w:hAnsi="Times New Roman" w:cs="Times New Roman"/>
          <w:sz w:val="28"/>
          <w:szCs w:val="28"/>
          <w:lang w:val="ro-RO" w:eastAsia="ru-RU"/>
        </w:rPr>
        <w:t>.1.</w:t>
      </w:r>
    </w:p>
    <w:p w:rsidR="00F9496F" w:rsidRPr="00120F4A" w:rsidRDefault="00F9496F" w:rsidP="00F9496F">
      <w:pPr>
        <w:tabs>
          <w:tab w:val="left" w:pos="540"/>
          <w:tab w:val="left" w:pos="900"/>
        </w:tabs>
        <w:spacing w:after="0" w:line="240" w:lineRule="auto"/>
        <w:ind w:firstLine="709"/>
        <w:jc w:val="both"/>
        <w:rPr>
          <w:rFonts w:ascii="Times New Roman" w:eastAsia="Times New Roman" w:hAnsi="Times New Roman" w:cs="Times New Roman"/>
          <w:sz w:val="28"/>
          <w:szCs w:val="28"/>
          <w:lang w:val="ro-RO" w:eastAsia="ru-RU"/>
        </w:rPr>
      </w:pPr>
      <w:r w:rsidRPr="00120F4A">
        <w:rPr>
          <w:rFonts w:ascii="Times New Roman" w:eastAsia="Times New Roman" w:hAnsi="Times New Roman" w:cs="Times New Roman"/>
          <w:sz w:val="28"/>
          <w:szCs w:val="28"/>
          <w:lang w:val="ro-RO" w:eastAsia="ru-RU"/>
        </w:rPr>
        <w:t>Prognoza surselor de finanţare, în perioada 201</w:t>
      </w:r>
      <w:r w:rsidR="00120F4A" w:rsidRPr="00120F4A">
        <w:rPr>
          <w:rFonts w:ascii="Times New Roman" w:eastAsia="Times New Roman" w:hAnsi="Times New Roman" w:cs="Times New Roman"/>
          <w:sz w:val="28"/>
          <w:szCs w:val="28"/>
          <w:lang w:val="ro-RO" w:eastAsia="ru-RU"/>
        </w:rPr>
        <w:t>4-2016</w:t>
      </w:r>
    </w:p>
    <w:tbl>
      <w:tblPr>
        <w:tblW w:w="9271"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7"/>
        <w:gridCol w:w="1276"/>
        <w:gridCol w:w="1417"/>
        <w:gridCol w:w="1418"/>
        <w:gridCol w:w="1503"/>
      </w:tblGrid>
      <w:tr w:rsidR="00F9496F" w:rsidRPr="00D443C2" w:rsidTr="00D443C2">
        <w:trPr>
          <w:trHeight w:val="315"/>
          <w:jc w:val="center"/>
        </w:trPr>
        <w:tc>
          <w:tcPr>
            <w:tcW w:w="3657" w:type="dxa"/>
            <w:noWrap/>
            <w:vAlign w:val="center"/>
          </w:tcPr>
          <w:p w:rsidR="00F9496F" w:rsidRPr="00120F4A" w:rsidRDefault="00F9496F" w:rsidP="00F9496F">
            <w:pPr>
              <w:spacing w:after="0" w:line="240" w:lineRule="auto"/>
              <w:jc w:val="both"/>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Indicator</w:t>
            </w:r>
          </w:p>
        </w:tc>
        <w:tc>
          <w:tcPr>
            <w:tcW w:w="1276" w:type="dxa"/>
            <w:noWrap/>
            <w:vAlign w:val="center"/>
          </w:tcPr>
          <w:p w:rsidR="00F9496F" w:rsidRPr="00120F4A" w:rsidRDefault="00F9496F" w:rsidP="00F9496F">
            <w:pPr>
              <w:spacing w:after="0" w:line="240" w:lineRule="auto"/>
              <w:jc w:val="center"/>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Unitatea de măsură</w:t>
            </w:r>
          </w:p>
        </w:tc>
        <w:tc>
          <w:tcPr>
            <w:tcW w:w="1417" w:type="dxa"/>
            <w:vAlign w:val="center"/>
          </w:tcPr>
          <w:p w:rsidR="00F9496F" w:rsidRPr="00120F4A" w:rsidRDefault="00F9496F" w:rsidP="00120F4A">
            <w:pPr>
              <w:spacing w:after="0" w:line="240" w:lineRule="auto"/>
              <w:jc w:val="center"/>
              <w:rPr>
                <w:rFonts w:ascii="Times New Roman" w:eastAsia="Times New Roman" w:hAnsi="Times New Roman" w:cs="Times New Roman"/>
                <w:color w:val="000000"/>
                <w:sz w:val="24"/>
                <w:szCs w:val="24"/>
                <w:lang w:val="ro-RO" w:eastAsia="ru-RU"/>
              </w:rPr>
            </w:pPr>
            <w:r w:rsidRPr="00120F4A">
              <w:rPr>
                <w:rFonts w:ascii="Times New Roman" w:eastAsia="Times New Roman" w:hAnsi="Times New Roman" w:cs="Times New Roman"/>
                <w:color w:val="000000"/>
                <w:sz w:val="24"/>
                <w:szCs w:val="24"/>
                <w:lang w:val="ro-RO" w:eastAsia="ru-RU"/>
              </w:rPr>
              <w:t>201</w:t>
            </w:r>
            <w:r w:rsidR="00120F4A" w:rsidRPr="00120F4A">
              <w:rPr>
                <w:rFonts w:ascii="Times New Roman" w:eastAsia="Times New Roman" w:hAnsi="Times New Roman" w:cs="Times New Roman"/>
                <w:color w:val="000000"/>
                <w:sz w:val="24"/>
                <w:szCs w:val="24"/>
                <w:lang w:val="ro-RO" w:eastAsia="ru-RU"/>
              </w:rPr>
              <w:t>4</w:t>
            </w:r>
          </w:p>
        </w:tc>
        <w:tc>
          <w:tcPr>
            <w:tcW w:w="1418" w:type="dxa"/>
            <w:noWrap/>
            <w:vAlign w:val="center"/>
          </w:tcPr>
          <w:p w:rsidR="00F9496F" w:rsidRPr="00120F4A" w:rsidRDefault="00F9496F" w:rsidP="00120F4A">
            <w:pPr>
              <w:spacing w:after="0" w:line="240" w:lineRule="auto"/>
              <w:jc w:val="center"/>
              <w:rPr>
                <w:rFonts w:ascii="Times New Roman" w:eastAsia="Times New Roman" w:hAnsi="Times New Roman" w:cs="Times New Roman"/>
                <w:color w:val="000000"/>
                <w:sz w:val="24"/>
                <w:szCs w:val="24"/>
                <w:lang w:val="ro-RO" w:eastAsia="ru-RU"/>
              </w:rPr>
            </w:pPr>
            <w:r w:rsidRPr="00120F4A">
              <w:rPr>
                <w:rFonts w:ascii="Times New Roman" w:eastAsia="Times New Roman" w:hAnsi="Times New Roman" w:cs="Times New Roman"/>
                <w:color w:val="000000"/>
                <w:sz w:val="24"/>
                <w:szCs w:val="24"/>
                <w:lang w:val="ro-RO" w:eastAsia="ru-RU"/>
              </w:rPr>
              <w:t>201</w:t>
            </w:r>
            <w:r w:rsidR="00120F4A" w:rsidRPr="00120F4A">
              <w:rPr>
                <w:rFonts w:ascii="Times New Roman" w:eastAsia="Times New Roman" w:hAnsi="Times New Roman" w:cs="Times New Roman"/>
                <w:color w:val="000000"/>
                <w:sz w:val="24"/>
                <w:szCs w:val="24"/>
                <w:lang w:val="ro-RO" w:eastAsia="ru-RU"/>
              </w:rPr>
              <w:t>5</w:t>
            </w:r>
          </w:p>
        </w:tc>
        <w:tc>
          <w:tcPr>
            <w:tcW w:w="1503" w:type="dxa"/>
            <w:noWrap/>
            <w:vAlign w:val="center"/>
          </w:tcPr>
          <w:p w:rsidR="00F9496F" w:rsidRPr="00120F4A" w:rsidRDefault="00F9496F" w:rsidP="00120F4A">
            <w:pPr>
              <w:spacing w:after="0" w:line="240" w:lineRule="auto"/>
              <w:jc w:val="center"/>
              <w:rPr>
                <w:rFonts w:ascii="Times New Roman" w:eastAsia="Times New Roman" w:hAnsi="Times New Roman" w:cs="Times New Roman"/>
                <w:color w:val="000000"/>
                <w:sz w:val="24"/>
                <w:szCs w:val="24"/>
                <w:lang w:val="ro-RO" w:eastAsia="ru-RU"/>
              </w:rPr>
            </w:pPr>
            <w:r w:rsidRPr="00120F4A">
              <w:rPr>
                <w:rFonts w:ascii="Times New Roman" w:eastAsia="Times New Roman" w:hAnsi="Times New Roman" w:cs="Times New Roman"/>
                <w:color w:val="000000"/>
                <w:sz w:val="24"/>
                <w:szCs w:val="24"/>
                <w:lang w:val="ro-RO" w:eastAsia="ru-RU"/>
              </w:rPr>
              <w:t>201</w:t>
            </w:r>
            <w:r w:rsidR="00120F4A" w:rsidRPr="00120F4A">
              <w:rPr>
                <w:rFonts w:ascii="Times New Roman" w:eastAsia="Times New Roman" w:hAnsi="Times New Roman" w:cs="Times New Roman"/>
                <w:color w:val="000000"/>
                <w:sz w:val="24"/>
                <w:szCs w:val="24"/>
                <w:lang w:val="ro-RO" w:eastAsia="ru-RU"/>
              </w:rPr>
              <w:t>6</w:t>
            </w:r>
          </w:p>
        </w:tc>
      </w:tr>
      <w:tr w:rsidR="009E5784" w:rsidRPr="00D443C2" w:rsidTr="00D443C2">
        <w:trPr>
          <w:trHeight w:val="315"/>
          <w:jc w:val="center"/>
        </w:trPr>
        <w:tc>
          <w:tcPr>
            <w:tcW w:w="3657" w:type="dxa"/>
            <w:noWrap/>
            <w:vAlign w:val="center"/>
          </w:tcPr>
          <w:p w:rsidR="009E5784" w:rsidRPr="00120F4A" w:rsidRDefault="009E5784" w:rsidP="00F9496F">
            <w:pPr>
              <w:spacing w:after="0" w:line="240" w:lineRule="auto"/>
              <w:jc w:val="both"/>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Deficit primar</w:t>
            </w:r>
          </w:p>
        </w:tc>
        <w:tc>
          <w:tcPr>
            <w:tcW w:w="1276" w:type="dxa"/>
            <w:noWrap/>
            <w:vAlign w:val="center"/>
          </w:tcPr>
          <w:p w:rsidR="009E5784" w:rsidRPr="00120F4A" w:rsidRDefault="009E5784" w:rsidP="00120F4A">
            <w:pPr>
              <w:spacing w:after="0" w:line="240" w:lineRule="auto"/>
              <w:jc w:val="center"/>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mil.lei</w:t>
            </w:r>
          </w:p>
        </w:tc>
        <w:tc>
          <w:tcPr>
            <w:tcW w:w="1417" w:type="dxa"/>
            <w:vAlign w:val="bottom"/>
          </w:tcPr>
          <w:p w:rsidR="009E5784" w:rsidRPr="009E5784" w:rsidRDefault="009E5784" w:rsidP="002C6849">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 xml:space="preserve">1 </w:t>
            </w:r>
            <w:r w:rsidR="002C6849">
              <w:rPr>
                <w:rFonts w:ascii="Times New Roman" w:hAnsi="Times New Roman" w:cs="Times New Roman"/>
                <w:color w:val="000000"/>
                <w:sz w:val="24"/>
              </w:rPr>
              <w:t>743</w:t>
            </w:r>
            <w:r w:rsidRPr="009E5784">
              <w:rPr>
                <w:rFonts w:ascii="Times New Roman" w:hAnsi="Times New Roman" w:cs="Times New Roman"/>
                <w:color w:val="000000"/>
                <w:sz w:val="24"/>
              </w:rPr>
              <w:t>,</w:t>
            </w:r>
            <w:r w:rsidR="002C6849">
              <w:rPr>
                <w:rFonts w:ascii="Times New Roman" w:hAnsi="Times New Roman" w:cs="Times New Roman"/>
                <w:color w:val="000000"/>
                <w:sz w:val="24"/>
              </w:rPr>
              <w:t>7</w:t>
            </w:r>
          </w:p>
        </w:tc>
        <w:tc>
          <w:tcPr>
            <w:tcW w:w="1418" w:type="dxa"/>
            <w:noWrap/>
            <w:vAlign w:val="bottom"/>
          </w:tcPr>
          <w:p w:rsidR="009E5784" w:rsidRPr="009E5784" w:rsidRDefault="002C6849" w:rsidP="002C684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rPr>
              <w:t>2</w:t>
            </w:r>
            <w:r w:rsidR="009E5784" w:rsidRPr="009E5784">
              <w:rPr>
                <w:rFonts w:ascii="Times New Roman" w:hAnsi="Times New Roman" w:cs="Times New Roman"/>
                <w:color w:val="000000"/>
                <w:sz w:val="24"/>
              </w:rPr>
              <w:t xml:space="preserve"> </w:t>
            </w:r>
            <w:r>
              <w:rPr>
                <w:rFonts w:ascii="Times New Roman" w:hAnsi="Times New Roman" w:cs="Times New Roman"/>
                <w:color w:val="000000"/>
                <w:sz w:val="24"/>
              </w:rPr>
              <w:t>054</w:t>
            </w:r>
            <w:r w:rsidR="009E5784" w:rsidRPr="009E5784">
              <w:rPr>
                <w:rFonts w:ascii="Times New Roman" w:hAnsi="Times New Roman" w:cs="Times New Roman"/>
                <w:color w:val="000000"/>
                <w:sz w:val="24"/>
              </w:rPr>
              <w:t>,</w:t>
            </w:r>
            <w:r>
              <w:rPr>
                <w:rFonts w:ascii="Times New Roman" w:hAnsi="Times New Roman" w:cs="Times New Roman"/>
                <w:color w:val="000000"/>
                <w:sz w:val="24"/>
              </w:rPr>
              <w:t>4</w:t>
            </w:r>
          </w:p>
        </w:tc>
        <w:tc>
          <w:tcPr>
            <w:tcW w:w="1503" w:type="dxa"/>
            <w:noWrap/>
            <w:vAlign w:val="bottom"/>
          </w:tcPr>
          <w:p w:rsidR="009E5784" w:rsidRPr="009E5784" w:rsidRDefault="002C6849" w:rsidP="002C684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rPr>
              <w:t>2</w:t>
            </w:r>
            <w:r w:rsidR="009E5784" w:rsidRPr="009E5784">
              <w:rPr>
                <w:rFonts w:ascii="Times New Roman" w:hAnsi="Times New Roman" w:cs="Times New Roman"/>
                <w:color w:val="000000"/>
                <w:sz w:val="24"/>
              </w:rPr>
              <w:t xml:space="preserve"> </w:t>
            </w:r>
            <w:r>
              <w:rPr>
                <w:rFonts w:ascii="Times New Roman" w:hAnsi="Times New Roman" w:cs="Times New Roman"/>
                <w:color w:val="000000"/>
                <w:sz w:val="24"/>
              </w:rPr>
              <w:t>308</w:t>
            </w:r>
            <w:r w:rsidR="009E5784" w:rsidRPr="009E5784">
              <w:rPr>
                <w:rFonts w:ascii="Times New Roman" w:hAnsi="Times New Roman" w:cs="Times New Roman"/>
                <w:color w:val="000000"/>
                <w:sz w:val="24"/>
              </w:rPr>
              <w:t>,</w:t>
            </w:r>
            <w:r>
              <w:rPr>
                <w:rFonts w:ascii="Times New Roman" w:hAnsi="Times New Roman" w:cs="Times New Roman"/>
                <w:color w:val="000000"/>
                <w:sz w:val="24"/>
              </w:rPr>
              <w:t>6</w:t>
            </w:r>
          </w:p>
        </w:tc>
      </w:tr>
      <w:tr w:rsidR="009E5784" w:rsidRPr="00D443C2" w:rsidTr="00D443C2">
        <w:trPr>
          <w:trHeight w:val="202"/>
          <w:jc w:val="center"/>
        </w:trPr>
        <w:tc>
          <w:tcPr>
            <w:tcW w:w="3657" w:type="dxa"/>
            <w:noWrap/>
            <w:vAlign w:val="center"/>
          </w:tcPr>
          <w:p w:rsidR="009E5784" w:rsidRPr="00120F4A" w:rsidRDefault="009E5784" w:rsidP="00F9496F">
            <w:pPr>
              <w:spacing w:after="0" w:line="240" w:lineRule="auto"/>
              <w:jc w:val="both"/>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Plăţi de dobîndă</w:t>
            </w:r>
          </w:p>
        </w:tc>
        <w:tc>
          <w:tcPr>
            <w:tcW w:w="1276" w:type="dxa"/>
            <w:noWrap/>
            <w:vAlign w:val="center"/>
          </w:tcPr>
          <w:p w:rsidR="009E5784" w:rsidRPr="00120F4A" w:rsidRDefault="009E5784" w:rsidP="00120F4A">
            <w:pPr>
              <w:spacing w:after="0" w:line="240" w:lineRule="auto"/>
              <w:jc w:val="center"/>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mil.lei</w:t>
            </w:r>
          </w:p>
        </w:tc>
        <w:tc>
          <w:tcPr>
            <w:tcW w:w="1417" w:type="dxa"/>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659,4</w:t>
            </w:r>
          </w:p>
        </w:tc>
        <w:tc>
          <w:tcPr>
            <w:tcW w:w="1418" w:type="dxa"/>
            <w:noWrap/>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749,6</w:t>
            </w:r>
          </w:p>
        </w:tc>
        <w:tc>
          <w:tcPr>
            <w:tcW w:w="1503" w:type="dxa"/>
            <w:noWrap/>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761,4</w:t>
            </w:r>
          </w:p>
        </w:tc>
      </w:tr>
      <w:tr w:rsidR="009E5784" w:rsidRPr="00D443C2" w:rsidTr="00D443C2">
        <w:trPr>
          <w:trHeight w:val="315"/>
          <w:jc w:val="center"/>
        </w:trPr>
        <w:tc>
          <w:tcPr>
            <w:tcW w:w="3657" w:type="dxa"/>
            <w:noWrap/>
            <w:vAlign w:val="center"/>
          </w:tcPr>
          <w:p w:rsidR="009E5784" w:rsidRPr="00120F4A" w:rsidRDefault="009E5784" w:rsidP="00632173">
            <w:pPr>
              <w:spacing w:after="0" w:line="240" w:lineRule="auto"/>
              <w:jc w:val="both"/>
              <w:rPr>
                <w:rFonts w:ascii="Times New Roman" w:eastAsia="Times New Roman" w:hAnsi="Times New Roman" w:cs="Times New Roman"/>
                <w:i/>
                <w:color w:val="000000"/>
                <w:sz w:val="24"/>
                <w:szCs w:val="24"/>
                <w:lang w:val="ro-RO"/>
              </w:rPr>
            </w:pPr>
            <w:r w:rsidRPr="00120F4A">
              <w:rPr>
                <w:rFonts w:ascii="Times New Roman" w:eastAsia="Times New Roman" w:hAnsi="Times New Roman" w:cs="Times New Roman"/>
                <w:i/>
                <w:color w:val="000000"/>
                <w:sz w:val="24"/>
                <w:szCs w:val="24"/>
                <w:lang w:val="ro-RO"/>
              </w:rPr>
              <w:t xml:space="preserve">Deficit  </w:t>
            </w:r>
            <w:r>
              <w:rPr>
                <w:rFonts w:ascii="Times New Roman" w:eastAsia="Times New Roman" w:hAnsi="Times New Roman" w:cs="Times New Roman"/>
                <w:i/>
                <w:color w:val="000000"/>
                <w:sz w:val="24"/>
                <w:szCs w:val="24"/>
                <w:lang w:val="ro-RO"/>
              </w:rPr>
              <w:t>general al bugetului de stat</w:t>
            </w:r>
          </w:p>
        </w:tc>
        <w:tc>
          <w:tcPr>
            <w:tcW w:w="1276" w:type="dxa"/>
            <w:noWrap/>
            <w:vAlign w:val="center"/>
          </w:tcPr>
          <w:p w:rsidR="009E5784" w:rsidRPr="006F6FFF" w:rsidRDefault="009E5784" w:rsidP="00120F4A">
            <w:pPr>
              <w:spacing w:after="0" w:line="240" w:lineRule="auto"/>
              <w:jc w:val="center"/>
              <w:rPr>
                <w:rFonts w:ascii="Times New Roman" w:eastAsia="Times New Roman" w:hAnsi="Times New Roman" w:cs="Times New Roman"/>
                <w:i/>
                <w:color w:val="000000"/>
                <w:sz w:val="24"/>
                <w:szCs w:val="24"/>
                <w:lang w:val="ro-RO"/>
              </w:rPr>
            </w:pPr>
            <w:r w:rsidRPr="006F6FFF">
              <w:rPr>
                <w:rFonts w:ascii="Times New Roman" w:eastAsia="Times New Roman" w:hAnsi="Times New Roman" w:cs="Times New Roman"/>
                <w:i/>
                <w:color w:val="000000"/>
                <w:sz w:val="24"/>
                <w:szCs w:val="24"/>
                <w:lang w:val="ro-RO"/>
              </w:rPr>
              <w:t>mil.lei</w:t>
            </w:r>
          </w:p>
        </w:tc>
        <w:tc>
          <w:tcPr>
            <w:tcW w:w="1417" w:type="dxa"/>
            <w:vAlign w:val="bottom"/>
          </w:tcPr>
          <w:p w:rsidR="009E5784" w:rsidRPr="00CF0274" w:rsidRDefault="002C6849" w:rsidP="002C6849">
            <w:pPr>
              <w:spacing w:after="0" w:line="240" w:lineRule="auto"/>
              <w:jc w:val="right"/>
              <w:rPr>
                <w:rFonts w:ascii="Times New Roman" w:hAnsi="Times New Roman" w:cs="Times New Roman"/>
                <w:i/>
                <w:color w:val="000000"/>
                <w:sz w:val="24"/>
                <w:szCs w:val="24"/>
              </w:rPr>
            </w:pPr>
            <w:r w:rsidRPr="00CF0274">
              <w:rPr>
                <w:rFonts w:ascii="Times New Roman" w:hAnsi="Times New Roman" w:cs="Times New Roman"/>
                <w:i/>
                <w:color w:val="000000"/>
                <w:sz w:val="24"/>
              </w:rPr>
              <w:t>2</w:t>
            </w:r>
            <w:r w:rsidR="009E5784" w:rsidRPr="00CF0274">
              <w:rPr>
                <w:rFonts w:ascii="Times New Roman" w:hAnsi="Times New Roman" w:cs="Times New Roman"/>
                <w:i/>
                <w:color w:val="000000"/>
                <w:sz w:val="24"/>
              </w:rPr>
              <w:t xml:space="preserve"> </w:t>
            </w:r>
            <w:r w:rsidRPr="00CF0274">
              <w:rPr>
                <w:rFonts w:ascii="Times New Roman" w:hAnsi="Times New Roman" w:cs="Times New Roman"/>
                <w:i/>
                <w:color w:val="000000"/>
                <w:sz w:val="24"/>
              </w:rPr>
              <w:t>403</w:t>
            </w:r>
            <w:r w:rsidR="009E5784" w:rsidRPr="00CF0274">
              <w:rPr>
                <w:rFonts w:ascii="Times New Roman" w:hAnsi="Times New Roman" w:cs="Times New Roman"/>
                <w:i/>
                <w:color w:val="000000"/>
                <w:sz w:val="24"/>
              </w:rPr>
              <w:t>,</w:t>
            </w:r>
            <w:r w:rsidRPr="00CF0274">
              <w:rPr>
                <w:rFonts w:ascii="Times New Roman" w:hAnsi="Times New Roman" w:cs="Times New Roman"/>
                <w:i/>
                <w:color w:val="000000"/>
                <w:sz w:val="24"/>
              </w:rPr>
              <w:t>1</w:t>
            </w:r>
          </w:p>
        </w:tc>
        <w:tc>
          <w:tcPr>
            <w:tcW w:w="1418" w:type="dxa"/>
            <w:noWrap/>
            <w:vAlign w:val="bottom"/>
          </w:tcPr>
          <w:p w:rsidR="009E5784" w:rsidRPr="00CF0274" w:rsidRDefault="002C6849" w:rsidP="002C6849">
            <w:pPr>
              <w:spacing w:after="0" w:line="240" w:lineRule="auto"/>
              <w:jc w:val="right"/>
              <w:rPr>
                <w:rFonts w:ascii="Times New Roman" w:hAnsi="Times New Roman" w:cs="Times New Roman"/>
                <w:i/>
                <w:color w:val="000000"/>
                <w:sz w:val="24"/>
                <w:szCs w:val="24"/>
              </w:rPr>
            </w:pPr>
            <w:r w:rsidRPr="00CF0274">
              <w:rPr>
                <w:rFonts w:ascii="Times New Roman" w:hAnsi="Times New Roman" w:cs="Times New Roman"/>
                <w:i/>
                <w:color w:val="000000"/>
                <w:sz w:val="24"/>
              </w:rPr>
              <w:t>2</w:t>
            </w:r>
            <w:r w:rsidR="009E5784" w:rsidRPr="00CF0274">
              <w:rPr>
                <w:rFonts w:ascii="Times New Roman" w:hAnsi="Times New Roman" w:cs="Times New Roman"/>
                <w:i/>
                <w:color w:val="000000"/>
                <w:sz w:val="24"/>
              </w:rPr>
              <w:t xml:space="preserve"> </w:t>
            </w:r>
            <w:r w:rsidRPr="00CF0274">
              <w:rPr>
                <w:rFonts w:ascii="Times New Roman" w:hAnsi="Times New Roman" w:cs="Times New Roman"/>
                <w:i/>
                <w:color w:val="000000"/>
                <w:sz w:val="24"/>
              </w:rPr>
              <w:t>804</w:t>
            </w:r>
            <w:r w:rsidR="009E5784" w:rsidRPr="00CF0274">
              <w:rPr>
                <w:rFonts w:ascii="Times New Roman" w:hAnsi="Times New Roman" w:cs="Times New Roman"/>
                <w:i/>
                <w:color w:val="000000"/>
                <w:sz w:val="24"/>
              </w:rPr>
              <w:t>,</w:t>
            </w:r>
            <w:r w:rsidRPr="00CF0274">
              <w:rPr>
                <w:rFonts w:ascii="Times New Roman" w:hAnsi="Times New Roman" w:cs="Times New Roman"/>
                <w:i/>
                <w:color w:val="000000"/>
                <w:sz w:val="24"/>
              </w:rPr>
              <w:t>0</w:t>
            </w:r>
          </w:p>
        </w:tc>
        <w:tc>
          <w:tcPr>
            <w:tcW w:w="1503" w:type="dxa"/>
            <w:noWrap/>
            <w:vAlign w:val="bottom"/>
          </w:tcPr>
          <w:p w:rsidR="009E5784" w:rsidRPr="00CF0274" w:rsidRDefault="002C6849" w:rsidP="002C6849">
            <w:pPr>
              <w:spacing w:after="0" w:line="240" w:lineRule="auto"/>
              <w:jc w:val="right"/>
              <w:rPr>
                <w:rFonts w:ascii="Times New Roman" w:hAnsi="Times New Roman" w:cs="Times New Roman"/>
                <w:i/>
                <w:color w:val="000000"/>
                <w:sz w:val="24"/>
                <w:szCs w:val="24"/>
              </w:rPr>
            </w:pPr>
            <w:r w:rsidRPr="00CF0274">
              <w:rPr>
                <w:rFonts w:ascii="Times New Roman" w:hAnsi="Times New Roman" w:cs="Times New Roman"/>
                <w:i/>
                <w:color w:val="000000"/>
                <w:sz w:val="24"/>
              </w:rPr>
              <w:t>3</w:t>
            </w:r>
            <w:r w:rsidR="009E5784" w:rsidRPr="00CF0274">
              <w:rPr>
                <w:rFonts w:ascii="Times New Roman" w:hAnsi="Times New Roman" w:cs="Times New Roman"/>
                <w:i/>
                <w:color w:val="000000"/>
                <w:sz w:val="24"/>
              </w:rPr>
              <w:t xml:space="preserve"> </w:t>
            </w:r>
            <w:r w:rsidRPr="00CF0274">
              <w:rPr>
                <w:rFonts w:ascii="Times New Roman" w:hAnsi="Times New Roman" w:cs="Times New Roman"/>
                <w:i/>
                <w:color w:val="000000"/>
                <w:sz w:val="24"/>
              </w:rPr>
              <w:t>070</w:t>
            </w:r>
            <w:r w:rsidR="009E5784" w:rsidRPr="00CF0274">
              <w:rPr>
                <w:rFonts w:ascii="Times New Roman" w:hAnsi="Times New Roman" w:cs="Times New Roman"/>
                <w:i/>
                <w:color w:val="000000"/>
                <w:sz w:val="24"/>
              </w:rPr>
              <w:t>,</w:t>
            </w:r>
            <w:r w:rsidRPr="00CF0274">
              <w:rPr>
                <w:rFonts w:ascii="Times New Roman" w:hAnsi="Times New Roman" w:cs="Times New Roman"/>
                <w:i/>
                <w:color w:val="000000"/>
                <w:sz w:val="24"/>
              </w:rPr>
              <w:t>0</w:t>
            </w:r>
          </w:p>
        </w:tc>
      </w:tr>
      <w:tr w:rsidR="009E5784" w:rsidRPr="00D443C2" w:rsidTr="00D443C2">
        <w:trPr>
          <w:trHeight w:val="110"/>
          <w:jc w:val="center"/>
        </w:trPr>
        <w:tc>
          <w:tcPr>
            <w:tcW w:w="3657" w:type="dxa"/>
            <w:noWrap/>
            <w:vAlign w:val="center"/>
          </w:tcPr>
          <w:p w:rsidR="009E5784" w:rsidRPr="00120F4A" w:rsidRDefault="009E5784" w:rsidP="00F9496F">
            <w:pPr>
              <w:spacing w:after="0" w:line="240" w:lineRule="auto"/>
              <w:jc w:val="both"/>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Privatizare</w:t>
            </w:r>
          </w:p>
        </w:tc>
        <w:tc>
          <w:tcPr>
            <w:tcW w:w="1276" w:type="dxa"/>
            <w:noWrap/>
            <w:vAlign w:val="center"/>
          </w:tcPr>
          <w:p w:rsidR="009E5784" w:rsidRPr="00120F4A" w:rsidRDefault="009E5784" w:rsidP="00120F4A">
            <w:pPr>
              <w:spacing w:after="0" w:line="240" w:lineRule="auto"/>
              <w:jc w:val="center"/>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mil.lei</w:t>
            </w:r>
          </w:p>
        </w:tc>
        <w:tc>
          <w:tcPr>
            <w:tcW w:w="1417" w:type="dxa"/>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240,0</w:t>
            </w:r>
          </w:p>
        </w:tc>
        <w:tc>
          <w:tcPr>
            <w:tcW w:w="1418" w:type="dxa"/>
            <w:noWrap/>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540,0</w:t>
            </w:r>
          </w:p>
        </w:tc>
        <w:tc>
          <w:tcPr>
            <w:tcW w:w="1503" w:type="dxa"/>
            <w:noWrap/>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220,0</w:t>
            </w:r>
          </w:p>
        </w:tc>
      </w:tr>
      <w:tr w:rsidR="009E5784" w:rsidRPr="00D443C2" w:rsidTr="00D443C2">
        <w:trPr>
          <w:trHeight w:val="89"/>
          <w:jc w:val="center"/>
        </w:trPr>
        <w:tc>
          <w:tcPr>
            <w:tcW w:w="3657" w:type="dxa"/>
            <w:noWrap/>
            <w:vAlign w:val="center"/>
          </w:tcPr>
          <w:p w:rsidR="009E5784" w:rsidRPr="00120F4A" w:rsidRDefault="009E5784" w:rsidP="00F9496F">
            <w:pPr>
              <w:spacing w:after="0" w:line="240" w:lineRule="auto"/>
              <w:jc w:val="both"/>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Alte surse</w:t>
            </w:r>
          </w:p>
        </w:tc>
        <w:tc>
          <w:tcPr>
            <w:tcW w:w="1276" w:type="dxa"/>
            <w:noWrap/>
            <w:vAlign w:val="center"/>
          </w:tcPr>
          <w:p w:rsidR="009E5784" w:rsidRPr="00120F4A" w:rsidRDefault="009E5784" w:rsidP="00120F4A">
            <w:pPr>
              <w:spacing w:after="0" w:line="240" w:lineRule="auto"/>
              <w:jc w:val="center"/>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mil.lei</w:t>
            </w:r>
          </w:p>
        </w:tc>
        <w:tc>
          <w:tcPr>
            <w:tcW w:w="1417" w:type="dxa"/>
            <w:vAlign w:val="bottom"/>
          </w:tcPr>
          <w:p w:rsidR="009E5784" w:rsidRPr="002C6849" w:rsidRDefault="002C6849" w:rsidP="002C6849">
            <w:pPr>
              <w:spacing w:after="0" w:line="240" w:lineRule="auto"/>
              <w:jc w:val="right"/>
              <w:rPr>
                <w:rFonts w:ascii="Times New Roman" w:hAnsi="Times New Roman" w:cs="Times New Roman"/>
                <w:color w:val="000000"/>
                <w:sz w:val="24"/>
                <w:szCs w:val="24"/>
                <w:highlight w:val="yellow"/>
              </w:rPr>
            </w:pPr>
            <w:r w:rsidRPr="002C6849">
              <w:rPr>
                <w:rFonts w:ascii="Times New Roman" w:hAnsi="Times New Roman" w:cs="Times New Roman"/>
                <w:color w:val="000000"/>
                <w:sz w:val="24"/>
              </w:rPr>
              <w:t>269</w:t>
            </w:r>
            <w:r w:rsidR="009E5784" w:rsidRPr="002C6849">
              <w:rPr>
                <w:rFonts w:ascii="Times New Roman" w:hAnsi="Times New Roman" w:cs="Times New Roman"/>
                <w:color w:val="000000"/>
                <w:sz w:val="24"/>
              </w:rPr>
              <w:t>,</w:t>
            </w:r>
            <w:r w:rsidRPr="002C6849">
              <w:rPr>
                <w:rFonts w:ascii="Times New Roman" w:hAnsi="Times New Roman" w:cs="Times New Roman"/>
                <w:color w:val="000000"/>
                <w:sz w:val="24"/>
              </w:rPr>
              <w:t>5</w:t>
            </w:r>
          </w:p>
        </w:tc>
        <w:tc>
          <w:tcPr>
            <w:tcW w:w="1418" w:type="dxa"/>
            <w:noWrap/>
            <w:vAlign w:val="bottom"/>
          </w:tcPr>
          <w:p w:rsidR="009E5784" w:rsidRPr="002C6849" w:rsidRDefault="002C6849" w:rsidP="002C6849">
            <w:pPr>
              <w:spacing w:after="0" w:line="240" w:lineRule="auto"/>
              <w:jc w:val="right"/>
              <w:rPr>
                <w:rFonts w:ascii="Times New Roman" w:hAnsi="Times New Roman" w:cs="Times New Roman"/>
                <w:color w:val="000000"/>
                <w:sz w:val="24"/>
                <w:szCs w:val="24"/>
                <w:highlight w:val="yellow"/>
              </w:rPr>
            </w:pPr>
            <w:r w:rsidRPr="002C6849">
              <w:rPr>
                <w:rFonts w:ascii="Times New Roman" w:hAnsi="Times New Roman" w:cs="Times New Roman"/>
                <w:color w:val="000000"/>
                <w:sz w:val="24"/>
              </w:rPr>
              <w:t>372</w:t>
            </w:r>
            <w:r w:rsidR="009E5784" w:rsidRPr="002C6849">
              <w:rPr>
                <w:rFonts w:ascii="Times New Roman" w:hAnsi="Times New Roman" w:cs="Times New Roman"/>
                <w:color w:val="000000"/>
                <w:sz w:val="24"/>
              </w:rPr>
              <w:t>,</w:t>
            </w:r>
            <w:r w:rsidRPr="002C6849">
              <w:rPr>
                <w:rFonts w:ascii="Times New Roman" w:hAnsi="Times New Roman" w:cs="Times New Roman"/>
                <w:color w:val="000000"/>
                <w:sz w:val="24"/>
              </w:rPr>
              <w:t>4</w:t>
            </w:r>
          </w:p>
        </w:tc>
        <w:tc>
          <w:tcPr>
            <w:tcW w:w="1503" w:type="dxa"/>
            <w:noWrap/>
            <w:vAlign w:val="bottom"/>
          </w:tcPr>
          <w:p w:rsidR="009E5784" w:rsidRPr="002C6849" w:rsidRDefault="002C6849" w:rsidP="009E5784">
            <w:pPr>
              <w:spacing w:after="0" w:line="240" w:lineRule="auto"/>
              <w:jc w:val="right"/>
              <w:rPr>
                <w:rFonts w:ascii="Times New Roman" w:hAnsi="Times New Roman" w:cs="Times New Roman"/>
                <w:color w:val="000000"/>
                <w:sz w:val="24"/>
                <w:szCs w:val="24"/>
                <w:highlight w:val="yellow"/>
              </w:rPr>
            </w:pPr>
            <w:r w:rsidRPr="002C6849">
              <w:rPr>
                <w:rFonts w:ascii="Times New Roman" w:hAnsi="Times New Roman" w:cs="Times New Roman"/>
                <w:color w:val="000000"/>
                <w:sz w:val="24"/>
              </w:rPr>
              <w:t>295</w:t>
            </w:r>
            <w:r w:rsidR="009E5784" w:rsidRPr="002C6849">
              <w:rPr>
                <w:rFonts w:ascii="Times New Roman" w:hAnsi="Times New Roman" w:cs="Times New Roman"/>
                <w:color w:val="000000"/>
                <w:sz w:val="24"/>
              </w:rPr>
              <w:t>,8</w:t>
            </w:r>
          </w:p>
        </w:tc>
      </w:tr>
      <w:tr w:rsidR="009E5784" w:rsidRPr="00D443C2" w:rsidTr="009E5784">
        <w:trPr>
          <w:trHeight w:val="330"/>
          <w:jc w:val="center"/>
        </w:trPr>
        <w:tc>
          <w:tcPr>
            <w:tcW w:w="3657" w:type="dxa"/>
            <w:noWrap/>
            <w:vAlign w:val="center"/>
          </w:tcPr>
          <w:p w:rsidR="009E5784" w:rsidRPr="00120F4A" w:rsidRDefault="009E5784" w:rsidP="00F9496F">
            <w:pPr>
              <w:spacing w:after="0" w:line="240" w:lineRule="auto"/>
              <w:jc w:val="both"/>
              <w:rPr>
                <w:rFonts w:ascii="Times New Roman" w:eastAsia="Times New Roman" w:hAnsi="Times New Roman" w:cs="Times New Roman"/>
                <w:i/>
                <w:iCs/>
                <w:color w:val="000000"/>
                <w:sz w:val="24"/>
                <w:szCs w:val="24"/>
                <w:lang w:val="ro-RO"/>
              </w:rPr>
            </w:pPr>
            <w:r w:rsidRPr="00120F4A">
              <w:rPr>
                <w:rFonts w:ascii="Times New Roman" w:eastAsia="Times New Roman" w:hAnsi="Times New Roman" w:cs="Times New Roman"/>
                <w:i/>
                <w:iCs/>
                <w:color w:val="000000"/>
                <w:sz w:val="24"/>
                <w:szCs w:val="24"/>
                <w:lang w:val="ro-RO"/>
              </w:rPr>
              <w:t xml:space="preserve">Necesităţi de finanţare </w:t>
            </w:r>
          </w:p>
        </w:tc>
        <w:tc>
          <w:tcPr>
            <w:tcW w:w="1276" w:type="dxa"/>
            <w:noWrap/>
            <w:vAlign w:val="center"/>
          </w:tcPr>
          <w:p w:rsidR="009E5784" w:rsidRPr="006F6FFF" w:rsidRDefault="009E5784" w:rsidP="00120F4A">
            <w:pPr>
              <w:spacing w:after="0" w:line="240" w:lineRule="auto"/>
              <w:jc w:val="center"/>
              <w:rPr>
                <w:rFonts w:ascii="Times New Roman" w:eastAsia="Times New Roman" w:hAnsi="Times New Roman" w:cs="Times New Roman"/>
                <w:i/>
                <w:iCs/>
                <w:color w:val="000000"/>
                <w:sz w:val="24"/>
                <w:szCs w:val="24"/>
                <w:lang w:val="ro-RO"/>
              </w:rPr>
            </w:pPr>
            <w:r w:rsidRPr="006F6FFF">
              <w:rPr>
                <w:rFonts w:ascii="Times New Roman" w:eastAsia="Times New Roman" w:hAnsi="Times New Roman" w:cs="Times New Roman"/>
                <w:i/>
                <w:color w:val="000000"/>
                <w:sz w:val="24"/>
                <w:szCs w:val="24"/>
                <w:lang w:val="ro-RO"/>
              </w:rPr>
              <w:t>mil.lei</w:t>
            </w:r>
          </w:p>
        </w:tc>
        <w:tc>
          <w:tcPr>
            <w:tcW w:w="1417" w:type="dxa"/>
            <w:vAlign w:val="bottom"/>
          </w:tcPr>
          <w:p w:rsidR="009E5784" w:rsidRPr="00CF0274" w:rsidRDefault="009E5784" w:rsidP="009E5784">
            <w:pPr>
              <w:spacing w:after="0" w:line="240" w:lineRule="auto"/>
              <w:jc w:val="right"/>
              <w:rPr>
                <w:rFonts w:ascii="Times New Roman" w:hAnsi="Times New Roman" w:cs="Times New Roman"/>
                <w:i/>
                <w:color w:val="000000"/>
                <w:sz w:val="24"/>
                <w:szCs w:val="24"/>
              </w:rPr>
            </w:pPr>
            <w:r w:rsidRPr="00CF0274">
              <w:rPr>
                <w:rFonts w:ascii="Times New Roman" w:hAnsi="Times New Roman" w:cs="Times New Roman"/>
                <w:i/>
                <w:color w:val="000000"/>
                <w:sz w:val="24"/>
              </w:rPr>
              <w:t>1 893,6</w:t>
            </w:r>
          </w:p>
        </w:tc>
        <w:tc>
          <w:tcPr>
            <w:tcW w:w="1418" w:type="dxa"/>
            <w:noWrap/>
            <w:vAlign w:val="bottom"/>
          </w:tcPr>
          <w:p w:rsidR="009E5784" w:rsidRPr="00CF0274" w:rsidRDefault="009E5784" w:rsidP="009E5784">
            <w:pPr>
              <w:spacing w:after="0" w:line="240" w:lineRule="auto"/>
              <w:jc w:val="right"/>
              <w:rPr>
                <w:rFonts w:ascii="Times New Roman" w:hAnsi="Times New Roman" w:cs="Times New Roman"/>
                <w:i/>
                <w:color w:val="000000"/>
                <w:sz w:val="24"/>
                <w:szCs w:val="24"/>
              </w:rPr>
            </w:pPr>
            <w:r w:rsidRPr="00CF0274">
              <w:rPr>
                <w:rFonts w:ascii="Times New Roman" w:hAnsi="Times New Roman" w:cs="Times New Roman"/>
                <w:i/>
                <w:color w:val="000000"/>
                <w:sz w:val="24"/>
              </w:rPr>
              <w:t>1 891,6</w:t>
            </w:r>
          </w:p>
        </w:tc>
        <w:tc>
          <w:tcPr>
            <w:tcW w:w="1503" w:type="dxa"/>
            <w:noWrap/>
            <w:vAlign w:val="bottom"/>
          </w:tcPr>
          <w:p w:rsidR="009E5784" w:rsidRPr="00CF0274" w:rsidRDefault="009E5784" w:rsidP="009E5784">
            <w:pPr>
              <w:spacing w:after="0" w:line="240" w:lineRule="auto"/>
              <w:jc w:val="right"/>
              <w:rPr>
                <w:rFonts w:ascii="Times New Roman" w:hAnsi="Times New Roman" w:cs="Times New Roman"/>
                <w:i/>
                <w:color w:val="000000"/>
                <w:sz w:val="24"/>
                <w:szCs w:val="24"/>
              </w:rPr>
            </w:pPr>
            <w:r w:rsidRPr="00CF0274">
              <w:rPr>
                <w:rFonts w:ascii="Times New Roman" w:hAnsi="Times New Roman" w:cs="Times New Roman"/>
                <w:i/>
                <w:color w:val="000000"/>
                <w:sz w:val="24"/>
              </w:rPr>
              <w:t>2 554,2</w:t>
            </w:r>
          </w:p>
        </w:tc>
      </w:tr>
      <w:tr w:rsidR="009E5784" w:rsidRPr="00D443C2" w:rsidTr="00D443C2">
        <w:trPr>
          <w:trHeight w:val="262"/>
          <w:jc w:val="center"/>
        </w:trPr>
        <w:tc>
          <w:tcPr>
            <w:tcW w:w="3657" w:type="dxa"/>
            <w:noWrap/>
            <w:vAlign w:val="center"/>
          </w:tcPr>
          <w:p w:rsidR="009E5784" w:rsidRPr="00120F4A" w:rsidRDefault="009E5784" w:rsidP="00F9496F">
            <w:pPr>
              <w:spacing w:after="0" w:line="240" w:lineRule="auto"/>
              <w:jc w:val="both"/>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Finanţare externă</w:t>
            </w:r>
            <w:r>
              <w:rPr>
                <w:rFonts w:ascii="Times New Roman" w:eastAsia="Times New Roman" w:hAnsi="Times New Roman" w:cs="Times New Roman"/>
                <w:color w:val="000000"/>
                <w:sz w:val="24"/>
                <w:szCs w:val="24"/>
                <w:lang w:val="ro-RO"/>
              </w:rPr>
              <w:t xml:space="preserve"> netă</w:t>
            </w:r>
          </w:p>
        </w:tc>
        <w:tc>
          <w:tcPr>
            <w:tcW w:w="1276" w:type="dxa"/>
            <w:noWrap/>
            <w:vAlign w:val="center"/>
          </w:tcPr>
          <w:p w:rsidR="009E5784" w:rsidRPr="00120F4A" w:rsidRDefault="009E5784" w:rsidP="00120F4A">
            <w:pPr>
              <w:spacing w:after="0" w:line="240" w:lineRule="auto"/>
              <w:jc w:val="center"/>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mil.lei</w:t>
            </w:r>
          </w:p>
        </w:tc>
        <w:tc>
          <w:tcPr>
            <w:tcW w:w="1417" w:type="dxa"/>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1 556,7</w:t>
            </w:r>
          </w:p>
        </w:tc>
        <w:tc>
          <w:tcPr>
            <w:tcW w:w="1418" w:type="dxa"/>
            <w:noWrap/>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1 664,7</w:t>
            </w:r>
          </w:p>
        </w:tc>
        <w:tc>
          <w:tcPr>
            <w:tcW w:w="1503" w:type="dxa"/>
            <w:noWrap/>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2 284,2</w:t>
            </w:r>
          </w:p>
        </w:tc>
      </w:tr>
      <w:tr w:rsidR="009E5784" w:rsidRPr="00D443C2" w:rsidTr="00D443C2">
        <w:trPr>
          <w:trHeight w:val="74"/>
          <w:jc w:val="center"/>
        </w:trPr>
        <w:tc>
          <w:tcPr>
            <w:tcW w:w="3657" w:type="dxa"/>
            <w:noWrap/>
            <w:vAlign w:val="center"/>
          </w:tcPr>
          <w:p w:rsidR="009E5784" w:rsidRPr="00120F4A" w:rsidRDefault="009E5784" w:rsidP="00F9496F">
            <w:pPr>
              <w:spacing w:after="0" w:line="240" w:lineRule="auto"/>
              <w:jc w:val="both"/>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Finanţare internă</w:t>
            </w:r>
            <w:r>
              <w:rPr>
                <w:rFonts w:ascii="Times New Roman" w:eastAsia="Times New Roman" w:hAnsi="Times New Roman" w:cs="Times New Roman"/>
                <w:color w:val="000000"/>
                <w:sz w:val="24"/>
                <w:szCs w:val="24"/>
                <w:lang w:val="ro-RO"/>
              </w:rPr>
              <w:t xml:space="preserve"> netă</w:t>
            </w:r>
          </w:p>
        </w:tc>
        <w:tc>
          <w:tcPr>
            <w:tcW w:w="1276" w:type="dxa"/>
            <w:noWrap/>
            <w:vAlign w:val="center"/>
          </w:tcPr>
          <w:p w:rsidR="009E5784" w:rsidRPr="00120F4A" w:rsidRDefault="009E5784" w:rsidP="00120F4A">
            <w:pPr>
              <w:spacing w:after="0" w:line="240" w:lineRule="auto"/>
              <w:jc w:val="center"/>
              <w:rPr>
                <w:rFonts w:ascii="Times New Roman" w:eastAsia="Times New Roman" w:hAnsi="Times New Roman" w:cs="Times New Roman"/>
                <w:color w:val="000000"/>
                <w:sz w:val="24"/>
                <w:szCs w:val="24"/>
                <w:lang w:val="ro-RO"/>
              </w:rPr>
            </w:pPr>
            <w:r w:rsidRPr="00120F4A">
              <w:rPr>
                <w:rFonts w:ascii="Times New Roman" w:eastAsia="Times New Roman" w:hAnsi="Times New Roman" w:cs="Times New Roman"/>
                <w:color w:val="000000"/>
                <w:sz w:val="24"/>
                <w:szCs w:val="24"/>
                <w:lang w:val="ro-RO"/>
              </w:rPr>
              <w:t>mil.lei</w:t>
            </w:r>
          </w:p>
        </w:tc>
        <w:tc>
          <w:tcPr>
            <w:tcW w:w="1417" w:type="dxa"/>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336,9</w:t>
            </w:r>
          </w:p>
        </w:tc>
        <w:tc>
          <w:tcPr>
            <w:tcW w:w="1418" w:type="dxa"/>
            <w:noWrap/>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226,9</w:t>
            </w:r>
          </w:p>
        </w:tc>
        <w:tc>
          <w:tcPr>
            <w:tcW w:w="1503" w:type="dxa"/>
            <w:noWrap/>
            <w:vAlign w:val="bottom"/>
          </w:tcPr>
          <w:p w:rsidR="009E5784" w:rsidRPr="009E5784" w:rsidRDefault="009E5784" w:rsidP="009E5784">
            <w:pPr>
              <w:spacing w:after="0" w:line="240" w:lineRule="auto"/>
              <w:jc w:val="right"/>
              <w:rPr>
                <w:rFonts w:ascii="Times New Roman" w:hAnsi="Times New Roman" w:cs="Times New Roman"/>
                <w:color w:val="000000"/>
                <w:sz w:val="24"/>
                <w:szCs w:val="24"/>
              </w:rPr>
            </w:pPr>
            <w:r w:rsidRPr="009E5784">
              <w:rPr>
                <w:rFonts w:ascii="Times New Roman" w:hAnsi="Times New Roman" w:cs="Times New Roman"/>
                <w:color w:val="000000"/>
                <w:sz w:val="24"/>
              </w:rPr>
              <w:t>270,0</w:t>
            </w:r>
          </w:p>
        </w:tc>
      </w:tr>
    </w:tbl>
    <w:p w:rsidR="00F9496F" w:rsidRPr="00F9496F" w:rsidRDefault="00F9496F"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ab/>
      </w:r>
    </w:p>
    <w:p w:rsidR="00972D29" w:rsidRPr="00F9496F" w:rsidRDefault="00F9496F" w:rsidP="00972D29">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În ce priveşte finanţarea netă pentru perioada anilor 201</w:t>
      </w:r>
      <w:r w:rsidR="006F6FFF">
        <w:rPr>
          <w:rFonts w:ascii="Times New Roman" w:eastAsia="Times New Roman" w:hAnsi="Times New Roman" w:cs="Times New Roman"/>
          <w:sz w:val="28"/>
          <w:szCs w:val="28"/>
          <w:lang w:val="ro-RO" w:eastAsia="ru-RU"/>
        </w:rPr>
        <w:t>4</w:t>
      </w:r>
      <w:r w:rsidRPr="00F9496F">
        <w:rPr>
          <w:rFonts w:ascii="Times New Roman" w:eastAsia="Times New Roman" w:hAnsi="Times New Roman" w:cs="Times New Roman"/>
          <w:sz w:val="28"/>
          <w:szCs w:val="28"/>
          <w:lang w:val="ro-RO" w:eastAsia="ru-RU"/>
        </w:rPr>
        <w:t>-201</w:t>
      </w:r>
      <w:r w:rsidR="006F6FFF">
        <w:rPr>
          <w:rFonts w:ascii="Times New Roman" w:eastAsia="Times New Roman" w:hAnsi="Times New Roman" w:cs="Times New Roman"/>
          <w:sz w:val="28"/>
          <w:szCs w:val="28"/>
          <w:lang w:val="ro-RO" w:eastAsia="ru-RU"/>
        </w:rPr>
        <w:t>6</w:t>
      </w:r>
      <w:r w:rsidRPr="00F9496F">
        <w:rPr>
          <w:rFonts w:ascii="Times New Roman" w:eastAsia="Times New Roman" w:hAnsi="Times New Roman" w:cs="Times New Roman"/>
          <w:sz w:val="28"/>
          <w:szCs w:val="28"/>
          <w:lang w:val="ro-RO" w:eastAsia="ru-RU"/>
        </w:rPr>
        <w:t xml:space="preserve"> se observă o tendinţă în scădere a surselor interne de finanţare, şi respectiv, acoperirea deficitului </w:t>
      </w:r>
      <w:r w:rsidR="006F6FFF">
        <w:rPr>
          <w:rFonts w:ascii="Times New Roman" w:eastAsia="Times New Roman" w:hAnsi="Times New Roman" w:cs="Times New Roman"/>
          <w:sz w:val="28"/>
          <w:szCs w:val="28"/>
          <w:lang w:val="ro-RO" w:eastAsia="ru-RU"/>
        </w:rPr>
        <w:t xml:space="preserve">general al bugetului de stat </w:t>
      </w:r>
      <w:r w:rsidRPr="00F9496F">
        <w:rPr>
          <w:rFonts w:ascii="Times New Roman" w:eastAsia="Times New Roman" w:hAnsi="Times New Roman" w:cs="Times New Roman"/>
          <w:sz w:val="28"/>
          <w:szCs w:val="28"/>
          <w:lang w:val="ro-RO" w:eastAsia="ru-RU"/>
        </w:rPr>
        <w:t xml:space="preserve">preponderent din surse externe. Această evoluţie relevă dependenţa considerabilă a Republicii Moldova faţă de pieţele financiare externe. </w:t>
      </w:r>
      <w:r w:rsidR="00972D29">
        <w:rPr>
          <w:rFonts w:ascii="Times New Roman" w:eastAsia="Times New Roman" w:hAnsi="Times New Roman" w:cs="Times New Roman"/>
          <w:sz w:val="28"/>
          <w:szCs w:val="28"/>
          <w:lang w:val="ro-RO" w:eastAsia="ru-RU"/>
        </w:rPr>
        <w:t>Astfel,</w:t>
      </w:r>
      <w:r w:rsidR="00972D29" w:rsidRPr="00F9496F">
        <w:rPr>
          <w:rFonts w:ascii="Times New Roman" w:eastAsia="Times New Roman" w:hAnsi="Times New Roman" w:cs="Times New Roman"/>
          <w:sz w:val="28"/>
          <w:szCs w:val="28"/>
          <w:lang w:val="ro-RO" w:eastAsia="ru-RU"/>
        </w:rPr>
        <w:t xml:space="preserve"> finanţarea externă netă</w:t>
      </w:r>
      <w:r w:rsidR="00972D29">
        <w:rPr>
          <w:rFonts w:ascii="Times New Roman" w:eastAsia="Times New Roman" w:hAnsi="Times New Roman" w:cs="Times New Roman"/>
          <w:sz w:val="28"/>
          <w:szCs w:val="28"/>
          <w:lang w:val="ro-RO" w:eastAsia="ru-RU"/>
        </w:rPr>
        <w:t xml:space="preserve"> se va majora cu </w:t>
      </w:r>
      <w:r w:rsidR="00DC22A9">
        <w:rPr>
          <w:rFonts w:ascii="Times New Roman" w:eastAsia="Times New Roman" w:hAnsi="Times New Roman" w:cs="Times New Roman"/>
          <w:sz w:val="28"/>
          <w:szCs w:val="28"/>
          <w:lang w:val="ro-RO" w:eastAsia="ru-RU"/>
        </w:rPr>
        <w:t>84,2%</w:t>
      </w:r>
      <w:r w:rsidR="00972D29">
        <w:rPr>
          <w:rFonts w:ascii="Times New Roman" w:eastAsia="Times New Roman" w:hAnsi="Times New Roman" w:cs="Times New Roman"/>
          <w:sz w:val="28"/>
          <w:szCs w:val="28"/>
          <w:lang w:val="ro-RO" w:eastAsia="ru-RU"/>
        </w:rPr>
        <w:t xml:space="preserve"> la sută în  </w:t>
      </w:r>
      <w:r w:rsidR="00DC22A9">
        <w:rPr>
          <w:rFonts w:ascii="Times New Roman" w:eastAsia="Times New Roman" w:hAnsi="Times New Roman" w:cs="Times New Roman"/>
          <w:sz w:val="28"/>
          <w:szCs w:val="28"/>
          <w:lang w:val="ro-RO" w:eastAsia="ru-RU"/>
        </w:rPr>
        <w:t xml:space="preserve">anul 2014 comparativ cu anul 2013, după care </w:t>
      </w:r>
      <w:r w:rsidR="008C6CF4">
        <w:rPr>
          <w:rFonts w:ascii="Times New Roman" w:eastAsia="Times New Roman" w:hAnsi="Times New Roman" w:cs="Times New Roman"/>
          <w:sz w:val="28"/>
          <w:szCs w:val="28"/>
          <w:lang w:val="ro-RO" w:eastAsia="ru-RU"/>
        </w:rPr>
        <w:t>va urma o majorare mai moderată – cu 6,9% în 2015 şi 37,2% în 2016</w:t>
      </w:r>
      <w:r w:rsidR="00972D29">
        <w:rPr>
          <w:rFonts w:ascii="Times New Roman" w:eastAsia="Times New Roman" w:hAnsi="Times New Roman" w:cs="Times New Roman"/>
          <w:sz w:val="28"/>
          <w:szCs w:val="28"/>
          <w:lang w:val="ro-RO" w:eastAsia="ru-RU"/>
        </w:rPr>
        <w:t>.</w:t>
      </w:r>
      <w:r w:rsidR="00972D29" w:rsidRPr="00F9496F">
        <w:rPr>
          <w:rFonts w:ascii="Times New Roman" w:eastAsia="Times New Roman" w:hAnsi="Times New Roman" w:cs="Times New Roman"/>
          <w:sz w:val="28"/>
          <w:szCs w:val="28"/>
          <w:lang w:val="ro-RO" w:eastAsia="ru-RU"/>
        </w:rPr>
        <w:t xml:space="preserve"> </w:t>
      </w:r>
    </w:p>
    <w:p w:rsidR="00F9496F" w:rsidRPr="00F9496F" w:rsidRDefault="00972D29"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În ce priveşte</w:t>
      </w:r>
      <w:r w:rsidR="00F9496F" w:rsidRPr="00F9496F">
        <w:rPr>
          <w:rFonts w:ascii="Times New Roman" w:eastAsia="Times New Roman" w:hAnsi="Times New Roman" w:cs="Times New Roman"/>
          <w:sz w:val="28"/>
          <w:szCs w:val="28"/>
          <w:lang w:val="ro-RO" w:eastAsia="ru-RU"/>
        </w:rPr>
        <w:t xml:space="preserve"> </w:t>
      </w:r>
      <w:r w:rsidR="00F9496F" w:rsidRPr="009E5784">
        <w:rPr>
          <w:rFonts w:ascii="Times New Roman" w:eastAsia="Times New Roman" w:hAnsi="Times New Roman" w:cs="Times New Roman"/>
          <w:sz w:val="28"/>
          <w:szCs w:val="28"/>
          <w:lang w:val="ro-RO" w:eastAsia="ru-RU"/>
        </w:rPr>
        <w:t>finanţarea</w:t>
      </w:r>
      <w:r w:rsidR="00F9496F" w:rsidRPr="00F9496F">
        <w:rPr>
          <w:rFonts w:ascii="Times New Roman" w:eastAsia="Times New Roman" w:hAnsi="Times New Roman" w:cs="Times New Roman"/>
          <w:sz w:val="28"/>
          <w:szCs w:val="28"/>
          <w:lang w:val="ro-RO" w:eastAsia="ru-RU"/>
        </w:rPr>
        <w:t xml:space="preserve"> internă netă</w:t>
      </w:r>
      <w:r>
        <w:rPr>
          <w:rFonts w:ascii="Times New Roman" w:eastAsia="Times New Roman" w:hAnsi="Times New Roman" w:cs="Times New Roman"/>
          <w:sz w:val="28"/>
          <w:szCs w:val="28"/>
          <w:lang w:val="ro-RO" w:eastAsia="ru-RU"/>
        </w:rPr>
        <w:t>, aceasta</w:t>
      </w:r>
      <w:r w:rsidR="00F9496F" w:rsidRPr="00F9496F">
        <w:rPr>
          <w:rFonts w:ascii="Times New Roman" w:eastAsia="Times New Roman" w:hAnsi="Times New Roman" w:cs="Times New Roman"/>
          <w:sz w:val="28"/>
          <w:szCs w:val="28"/>
          <w:lang w:val="ro-RO" w:eastAsia="ru-RU"/>
        </w:rPr>
        <w:t xml:space="preserve"> va indica o diminuare cu </w:t>
      </w:r>
      <w:r w:rsidR="009E5784">
        <w:rPr>
          <w:rFonts w:ascii="Times New Roman" w:eastAsia="Times New Roman" w:hAnsi="Times New Roman" w:cs="Times New Roman"/>
          <w:sz w:val="28"/>
          <w:szCs w:val="28"/>
          <w:lang w:val="ro-RO" w:eastAsia="ru-RU"/>
        </w:rPr>
        <w:t>circa 33</w:t>
      </w:r>
      <w:r w:rsidR="00F9496F" w:rsidRPr="00F9496F">
        <w:rPr>
          <w:rFonts w:ascii="Times New Roman" w:eastAsia="Times New Roman" w:hAnsi="Times New Roman" w:cs="Times New Roman"/>
          <w:sz w:val="28"/>
          <w:szCs w:val="28"/>
          <w:lang w:val="ro-RO" w:eastAsia="ru-RU"/>
        </w:rPr>
        <w:t xml:space="preserve"> la sută</w:t>
      </w:r>
      <w:r w:rsidR="009E5784">
        <w:rPr>
          <w:rFonts w:ascii="Times New Roman" w:eastAsia="Times New Roman" w:hAnsi="Times New Roman" w:cs="Times New Roman"/>
          <w:sz w:val="28"/>
          <w:szCs w:val="28"/>
          <w:lang w:val="ro-RO" w:eastAsia="ru-RU"/>
        </w:rPr>
        <w:t xml:space="preserve"> anual</w:t>
      </w:r>
      <w:r w:rsidR="00F9496F" w:rsidRPr="00F9496F">
        <w:rPr>
          <w:rFonts w:ascii="Times New Roman" w:eastAsia="Times New Roman" w:hAnsi="Times New Roman" w:cs="Times New Roman"/>
          <w:sz w:val="28"/>
          <w:szCs w:val="28"/>
          <w:lang w:val="ro-RO" w:eastAsia="ru-RU"/>
        </w:rPr>
        <w:t xml:space="preserve"> în 2014 </w:t>
      </w:r>
      <w:r w:rsidR="009E5784">
        <w:rPr>
          <w:rFonts w:ascii="Times New Roman" w:eastAsia="Times New Roman" w:hAnsi="Times New Roman" w:cs="Times New Roman"/>
          <w:sz w:val="28"/>
          <w:szCs w:val="28"/>
          <w:lang w:val="ro-RO" w:eastAsia="ru-RU"/>
        </w:rPr>
        <w:t>și</w:t>
      </w:r>
      <w:r w:rsidR="00F9496F" w:rsidRPr="00F9496F">
        <w:rPr>
          <w:rFonts w:ascii="Times New Roman" w:eastAsia="Times New Roman" w:hAnsi="Times New Roman" w:cs="Times New Roman"/>
          <w:sz w:val="28"/>
          <w:szCs w:val="28"/>
          <w:lang w:val="ro-RO" w:eastAsia="ru-RU"/>
        </w:rPr>
        <w:t xml:space="preserve"> 2015</w:t>
      </w:r>
      <w:r w:rsidR="009E5784">
        <w:rPr>
          <w:rFonts w:ascii="Times New Roman" w:eastAsia="Times New Roman" w:hAnsi="Times New Roman" w:cs="Times New Roman"/>
          <w:sz w:val="28"/>
          <w:szCs w:val="28"/>
          <w:lang w:val="ro-RO" w:eastAsia="ru-RU"/>
        </w:rPr>
        <w:t>, după care va urma o majorare de 19 la sută în anul 2016 comparativ cu anul precedent</w:t>
      </w:r>
      <w:r w:rsidR="00F9496F" w:rsidRPr="00F9496F">
        <w:rPr>
          <w:rFonts w:ascii="Times New Roman" w:eastAsia="Times New Roman" w:hAnsi="Times New Roman" w:cs="Times New Roman"/>
          <w:sz w:val="28"/>
          <w:szCs w:val="28"/>
          <w:lang w:val="ro-RO" w:eastAsia="ru-RU"/>
        </w:rPr>
        <w:t xml:space="preserve">. </w:t>
      </w:r>
      <w:r w:rsidRPr="007551EA">
        <w:rPr>
          <w:rFonts w:ascii="Times New Roman" w:eastAsia="Times New Roman" w:hAnsi="Times New Roman" w:cs="Times New Roman"/>
          <w:sz w:val="28"/>
          <w:szCs w:val="28"/>
          <w:lang w:val="ro-RO" w:eastAsia="ru-RU"/>
        </w:rPr>
        <w:t xml:space="preserve">În perioada anilor 2014-2016, finanțarea internă netă din contul emisiunii VMS pe piața primară comparativ cu anul 2012 (560,1 mil. lei) se va diminua cu pînă la 25%, reieșind din cererea instabilă la VMS în decursul anului; scadența scurtă a VMS emise; lipsa investitorilor  instituționali (fonduri de pensii, companii de asigurare și de investiții, etc.) </w:t>
      </w:r>
      <w:r w:rsidR="006B2D5C">
        <w:rPr>
          <w:rFonts w:ascii="Times New Roman" w:eastAsia="Times New Roman" w:hAnsi="Times New Roman" w:cs="Times New Roman"/>
          <w:sz w:val="28"/>
          <w:szCs w:val="28"/>
          <w:lang w:val="ro-RO" w:eastAsia="ru-RU"/>
        </w:rPr>
        <w:t xml:space="preserve">interesaţi </w:t>
      </w:r>
      <w:r w:rsidRPr="007551EA">
        <w:rPr>
          <w:rFonts w:ascii="Times New Roman" w:eastAsia="Times New Roman" w:hAnsi="Times New Roman" w:cs="Times New Roman"/>
          <w:sz w:val="28"/>
          <w:szCs w:val="28"/>
          <w:lang w:val="ro-RO" w:eastAsia="ru-RU"/>
        </w:rPr>
        <w:t>în VMS pe termen mai lung de circulație, precum și constatarea unui grad înalt de îndatorare pe acest segment de piață </w:t>
      </w:r>
      <w:r w:rsidRPr="007551EA">
        <w:rPr>
          <w:rFonts w:ascii="Times New Roman" w:eastAsia="Times New Roman" w:hAnsi="Times New Roman" w:cs="Times New Roman"/>
          <w:b/>
          <w:bCs/>
          <w:sz w:val="28"/>
          <w:szCs w:val="28"/>
          <w:lang w:val="ro-RO" w:eastAsia="ru-RU"/>
        </w:rPr>
        <w:t xml:space="preserve">– </w:t>
      </w:r>
      <w:r w:rsidR="006B2D5C" w:rsidRPr="006B2D5C">
        <w:rPr>
          <w:rFonts w:ascii="Times New Roman" w:eastAsia="Times New Roman" w:hAnsi="Times New Roman" w:cs="Times New Roman"/>
          <w:bCs/>
          <w:sz w:val="28"/>
          <w:szCs w:val="28"/>
          <w:lang w:val="ro-RO" w:eastAsia="ru-RU"/>
        </w:rPr>
        <w:t>4,4 m</w:t>
      </w:r>
      <w:r w:rsidRPr="006B2D5C">
        <w:rPr>
          <w:rFonts w:ascii="Times New Roman" w:eastAsia="Times New Roman" w:hAnsi="Times New Roman" w:cs="Times New Roman"/>
          <w:bCs/>
          <w:sz w:val="28"/>
          <w:szCs w:val="28"/>
          <w:lang w:val="ro-RO" w:eastAsia="ru-RU"/>
        </w:rPr>
        <w:t>lrd</w:t>
      </w:r>
      <w:r w:rsidR="006B2D5C" w:rsidRPr="006B2D5C">
        <w:rPr>
          <w:rFonts w:ascii="Times New Roman" w:eastAsia="Times New Roman" w:hAnsi="Times New Roman" w:cs="Times New Roman"/>
          <w:bCs/>
          <w:sz w:val="28"/>
          <w:szCs w:val="28"/>
          <w:lang w:val="ro-RO" w:eastAsia="ru-RU"/>
        </w:rPr>
        <w:t>.</w:t>
      </w:r>
      <w:r w:rsidRPr="006B2D5C">
        <w:rPr>
          <w:rFonts w:ascii="Times New Roman" w:eastAsia="Times New Roman" w:hAnsi="Times New Roman" w:cs="Times New Roman"/>
          <w:bCs/>
          <w:sz w:val="28"/>
          <w:szCs w:val="28"/>
          <w:lang w:val="ro-RO" w:eastAsia="ru-RU"/>
        </w:rPr>
        <w:t xml:space="preserve"> lei</w:t>
      </w:r>
      <w:r w:rsidRPr="007551EA">
        <w:rPr>
          <w:rFonts w:ascii="Times New Roman" w:eastAsia="Times New Roman" w:hAnsi="Times New Roman" w:cs="Times New Roman"/>
          <w:sz w:val="28"/>
          <w:szCs w:val="28"/>
          <w:lang w:val="ro-RO" w:eastAsia="ru-RU"/>
        </w:rPr>
        <w:t> la situația din 31 decembrie 2013.</w:t>
      </w:r>
      <w:r>
        <w:rPr>
          <w:rFonts w:ascii="Times New Roman" w:eastAsia="Times New Roman" w:hAnsi="Times New Roman" w:cs="Times New Roman"/>
          <w:sz w:val="28"/>
          <w:szCs w:val="28"/>
          <w:lang w:val="ro-RO" w:eastAsia="ru-RU"/>
        </w:rPr>
        <w:t xml:space="preserve"> </w:t>
      </w:r>
    </w:p>
    <w:tbl>
      <w:tblPr>
        <w:tblW w:w="0" w:type="auto"/>
        <w:tblInd w:w="108" w:type="dxa"/>
        <w:tblBorders>
          <w:top w:val="single" w:sz="8" w:space="0" w:color="4F81BD"/>
          <w:bottom w:val="single" w:sz="8" w:space="0" w:color="4F81BD"/>
        </w:tblBorders>
        <w:tblLook w:val="00A0"/>
      </w:tblPr>
      <w:tblGrid>
        <w:gridCol w:w="9356"/>
      </w:tblGrid>
      <w:tr w:rsidR="00F9496F" w:rsidRPr="009E5784" w:rsidTr="000347DD">
        <w:trPr>
          <w:trHeight w:val="2358"/>
        </w:trPr>
        <w:tc>
          <w:tcPr>
            <w:tcW w:w="9356" w:type="dxa"/>
            <w:tcBorders>
              <w:top w:val="double" w:sz="4" w:space="0" w:color="365F91"/>
              <w:left w:val="double" w:sz="4" w:space="0" w:color="365F91"/>
              <w:bottom w:val="double" w:sz="4" w:space="0" w:color="365F91"/>
              <w:right w:val="double" w:sz="4" w:space="0" w:color="365F91"/>
            </w:tcBorders>
          </w:tcPr>
          <w:p w:rsidR="00F9496F" w:rsidRPr="00F9496F" w:rsidRDefault="001474AD" w:rsidP="009E5784">
            <w:pPr>
              <w:tabs>
                <w:tab w:val="left" w:pos="540"/>
              </w:tabs>
              <w:spacing w:after="0" w:line="240" w:lineRule="auto"/>
              <w:ind w:left="3545" w:firstLine="709"/>
              <w:jc w:val="right"/>
              <w:rPr>
                <w:rFonts w:ascii="Times New Roman" w:eastAsia="Times New Roman" w:hAnsi="Times New Roman" w:cs="Times New Roman"/>
                <w:b/>
                <w:bCs/>
                <w:i/>
                <w:color w:val="365F91"/>
                <w:sz w:val="28"/>
                <w:szCs w:val="28"/>
                <w:highlight w:val="red"/>
                <w:lang w:val="ro-RO" w:eastAsia="ru-RU"/>
              </w:rPr>
            </w:pPr>
            <w:r w:rsidRPr="001474AD">
              <w:rPr>
                <w:rFonts w:ascii="Times New Roman" w:eastAsia="Times New Roman" w:hAnsi="Times New Roman" w:cs="Times New Roman"/>
                <w:noProof/>
                <w:sz w:val="24"/>
                <w:szCs w:val="24"/>
                <w:lang w:val="ru-RU" w:eastAsia="ru-RU"/>
              </w:rPr>
              <w:pict>
                <v:shape id="_x0000_s1052" type="#_x0000_t202" style="position:absolute;left:0;text-align:left;margin-left:23.9pt;margin-top:6.25pt;width:193.25pt;height:52.7pt;z-index:251668480;mso-position-horizontal-relative:text;mso-position-vertical-relative:text" strokecolor="white">
                  <v:textbox style="mso-next-textbox:#_x0000_s1052">
                    <w:txbxContent>
                      <w:p w:rsidR="005F58E5" w:rsidRPr="00120F4A" w:rsidRDefault="005F58E5" w:rsidP="00120F4A">
                        <w:pPr>
                          <w:spacing w:after="0" w:line="240" w:lineRule="auto"/>
                          <w:rPr>
                            <w:rFonts w:ascii="Times New Roman" w:hAnsi="Times New Roman" w:cs="Times New Roman"/>
                            <w:b/>
                            <w:sz w:val="24"/>
                            <w:lang w:val="ro-RO"/>
                          </w:rPr>
                        </w:pPr>
                        <w:r w:rsidRPr="00120F4A">
                          <w:rPr>
                            <w:rFonts w:ascii="Times New Roman" w:hAnsi="Times New Roman" w:cs="Times New Roman"/>
                            <w:b/>
                            <w:sz w:val="24"/>
                            <w:lang w:val="ro-RO"/>
                          </w:rPr>
                          <w:t>Finanţarea netă internă şi externă 201</w:t>
                        </w:r>
                        <w:r>
                          <w:rPr>
                            <w:rFonts w:ascii="Times New Roman" w:hAnsi="Times New Roman" w:cs="Times New Roman"/>
                            <w:b/>
                            <w:sz w:val="24"/>
                            <w:lang w:val="ro-RO"/>
                          </w:rPr>
                          <w:t>4</w:t>
                        </w:r>
                        <w:r w:rsidRPr="00120F4A">
                          <w:rPr>
                            <w:rFonts w:ascii="Times New Roman" w:hAnsi="Times New Roman" w:cs="Times New Roman"/>
                            <w:b/>
                            <w:sz w:val="24"/>
                            <w:lang w:val="ro-RO"/>
                          </w:rPr>
                          <w:t>-201</w:t>
                        </w:r>
                        <w:r>
                          <w:rPr>
                            <w:rFonts w:ascii="Times New Roman" w:hAnsi="Times New Roman" w:cs="Times New Roman"/>
                            <w:b/>
                            <w:sz w:val="24"/>
                            <w:lang w:val="ro-RO"/>
                          </w:rPr>
                          <w:t>6 (</w:t>
                        </w:r>
                        <w:r w:rsidRPr="00120F4A">
                          <w:rPr>
                            <w:rFonts w:ascii="Times New Roman" w:hAnsi="Times New Roman" w:cs="Times New Roman"/>
                            <w:b/>
                            <w:sz w:val="24"/>
                            <w:lang w:val="ro-RO"/>
                          </w:rPr>
                          <w:t>mil. lei</w:t>
                        </w:r>
                        <w:r>
                          <w:rPr>
                            <w:rFonts w:ascii="Times New Roman" w:hAnsi="Times New Roman" w:cs="Times New Roman"/>
                            <w:b/>
                            <w:sz w:val="24"/>
                            <w:lang w:val="ro-RO"/>
                          </w:rPr>
                          <w:t>)</w:t>
                        </w:r>
                      </w:p>
                    </w:txbxContent>
                  </v:textbox>
                </v:shape>
              </w:pict>
            </w:r>
            <w:r w:rsidR="009E5784">
              <w:rPr>
                <w:rFonts w:ascii="Times New Roman" w:eastAsia="Times New Roman" w:hAnsi="Times New Roman" w:cs="Times New Roman"/>
                <w:noProof/>
                <w:sz w:val="28"/>
                <w:szCs w:val="28"/>
              </w:rPr>
              <w:drawing>
                <wp:inline distT="0" distB="0" distL="0" distR="0">
                  <wp:extent cx="2594344" cy="1584251"/>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2602201" cy="1589049"/>
                          </a:xfrm>
                          <a:prstGeom prst="rect">
                            <a:avLst/>
                          </a:prstGeom>
                          <a:noFill/>
                        </pic:spPr>
                      </pic:pic>
                    </a:graphicData>
                  </a:graphic>
                </wp:inline>
              </w:drawing>
            </w:r>
            <w:r w:rsidR="000347DD">
              <w:rPr>
                <w:rFonts w:ascii="Times New Roman" w:eastAsia="Times New Roman" w:hAnsi="Times New Roman" w:cs="Times New Roman"/>
                <w:noProof/>
                <w:sz w:val="28"/>
                <w:szCs w:val="28"/>
                <w:lang w:val="ro-RO"/>
              </w:rPr>
              <w:t xml:space="preserve">     </w:t>
            </w:r>
          </w:p>
        </w:tc>
      </w:tr>
    </w:tbl>
    <w:p w:rsidR="00F9496F" w:rsidRPr="00F9496F" w:rsidRDefault="00F9496F" w:rsidP="005F06AC">
      <w:pPr>
        <w:numPr>
          <w:ilvl w:val="0"/>
          <w:numId w:val="15"/>
        </w:numPr>
        <w:tabs>
          <w:tab w:val="left" w:pos="540"/>
          <w:tab w:val="left" w:pos="900"/>
        </w:tabs>
        <w:spacing w:after="0" w:line="240" w:lineRule="auto"/>
        <w:ind w:hanging="11"/>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 xml:space="preserve"> Surse de finanţare externă</w:t>
      </w:r>
    </w:p>
    <w:p w:rsidR="00F9496F" w:rsidRPr="00F9496F" w:rsidRDefault="00F9496F" w:rsidP="00F9496F">
      <w:pPr>
        <w:tabs>
          <w:tab w:val="left" w:pos="540"/>
          <w:tab w:val="left" w:pos="90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În perioada anilor 201</w:t>
      </w:r>
      <w:r w:rsidR="00F553F7">
        <w:rPr>
          <w:rFonts w:ascii="Times New Roman" w:eastAsia="Times New Roman" w:hAnsi="Times New Roman" w:cs="Times New Roman"/>
          <w:sz w:val="28"/>
          <w:szCs w:val="28"/>
          <w:lang w:val="ro-RO" w:eastAsia="ru-RU"/>
        </w:rPr>
        <w:t>4</w:t>
      </w:r>
      <w:r w:rsidRPr="00F9496F">
        <w:rPr>
          <w:rFonts w:ascii="Times New Roman" w:eastAsia="Times New Roman" w:hAnsi="Times New Roman" w:cs="Times New Roman"/>
          <w:sz w:val="28"/>
          <w:szCs w:val="28"/>
          <w:lang w:val="ro-RO" w:eastAsia="ru-RU"/>
        </w:rPr>
        <w:t>-201</w:t>
      </w:r>
      <w:r w:rsidR="00F553F7">
        <w:rPr>
          <w:rFonts w:ascii="Times New Roman" w:eastAsia="Times New Roman" w:hAnsi="Times New Roman" w:cs="Times New Roman"/>
          <w:sz w:val="28"/>
          <w:szCs w:val="28"/>
          <w:lang w:val="ro-RO" w:eastAsia="ru-RU"/>
        </w:rPr>
        <w:t>6</w:t>
      </w:r>
      <w:r w:rsidRPr="00F9496F">
        <w:rPr>
          <w:rFonts w:ascii="Times New Roman" w:eastAsia="Times New Roman" w:hAnsi="Times New Roman" w:cs="Times New Roman"/>
          <w:sz w:val="28"/>
          <w:szCs w:val="28"/>
          <w:lang w:val="ro-RO" w:eastAsia="ru-RU"/>
        </w:rPr>
        <w:t xml:space="preserve"> se estimează că Guvernul va beneficia de</w:t>
      </w:r>
      <w:r w:rsidRPr="00F9496F">
        <w:rPr>
          <w:rFonts w:ascii="Times New Roman" w:eastAsia="Times New Roman" w:hAnsi="Times New Roman" w:cs="Times New Roman"/>
          <w:b/>
          <w:i/>
          <w:sz w:val="28"/>
          <w:szCs w:val="28"/>
          <w:lang w:val="ro-RO" w:eastAsia="ru-RU"/>
        </w:rPr>
        <w:t xml:space="preserve"> </w:t>
      </w:r>
      <w:r w:rsidRPr="00F9496F">
        <w:rPr>
          <w:rFonts w:ascii="Times New Roman" w:eastAsia="Times New Roman" w:hAnsi="Times New Roman" w:cs="Times New Roman"/>
          <w:sz w:val="28"/>
          <w:szCs w:val="28"/>
          <w:lang w:val="ro-RO" w:eastAsia="ru-RU"/>
        </w:rPr>
        <w:t xml:space="preserve">intrări din împrumuturi </w:t>
      </w:r>
      <w:r w:rsidR="00F553F7">
        <w:rPr>
          <w:rFonts w:ascii="Times New Roman" w:eastAsia="Times New Roman" w:hAnsi="Times New Roman" w:cs="Times New Roman"/>
          <w:sz w:val="28"/>
          <w:szCs w:val="28"/>
          <w:lang w:val="ro-RO" w:eastAsia="ru-RU"/>
        </w:rPr>
        <w:t xml:space="preserve">de stat </w:t>
      </w:r>
      <w:r w:rsidRPr="00F9496F">
        <w:rPr>
          <w:rFonts w:ascii="Times New Roman" w:eastAsia="Times New Roman" w:hAnsi="Times New Roman" w:cs="Times New Roman"/>
          <w:sz w:val="28"/>
          <w:szCs w:val="28"/>
          <w:lang w:val="ro-RO" w:eastAsia="ru-RU"/>
        </w:rPr>
        <w:t>externe</w:t>
      </w:r>
      <w:r w:rsidRPr="00F9496F">
        <w:rPr>
          <w:rFonts w:ascii="Times New Roman" w:eastAsia="Times New Roman" w:hAnsi="Times New Roman" w:cs="Times New Roman"/>
          <w:b/>
          <w:i/>
          <w:sz w:val="28"/>
          <w:szCs w:val="28"/>
          <w:lang w:val="ro-RO" w:eastAsia="ru-RU"/>
        </w:rPr>
        <w:t xml:space="preserve"> </w:t>
      </w:r>
      <w:r w:rsidRPr="00F9496F">
        <w:rPr>
          <w:rFonts w:ascii="Times New Roman" w:eastAsia="Times New Roman" w:hAnsi="Times New Roman" w:cs="Times New Roman"/>
          <w:sz w:val="28"/>
          <w:szCs w:val="28"/>
          <w:lang w:val="ro-RO" w:eastAsia="ru-RU"/>
        </w:rPr>
        <w:t xml:space="preserve">în sumă totală de </w:t>
      </w:r>
      <w:r w:rsidR="00F553F7">
        <w:rPr>
          <w:rFonts w:ascii="Times New Roman" w:eastAsia="Times New Roman" w:hAnsi="Times New Roman" w:cs="Times New Roman"/>
          <w:sz w:val="28"/>
          <w:szCs w:val="28"/>
          <w:lang w:val="ro-RO" w:eastAsia="ru-RU"/>
        </w:rPr>
        <w:t>7</w:t>
      </w:r>
      <w:r w:rsidRPr="00F9496F">
        <w:rPr>
          <w:rFonts w:ascii="Times New Roman" w:eastAsia="Times New Roman" w:hAnsi="Times New Roman" w:cs="Times New Roman"/>
          <w:sz w:val="28"/>
          <w:szCs w:val="28"/>
          <w:lang w:val="ro-RO" w:eastAsia="ru-RU"/>
        </w:rPr>
        <w:t> </w:t>
      </w:r>
      <w:r w:rsidR="00F553F7">
        <w:rPr>
          <w:rFonts w:ascii="Times New Roman" w:eastAsia="Times New Roman" w:hAnsi="Times New Roman" w:cs="Times New Roman"/>
          <w:sz w:val="28"/>
          <w:szCs w:val="28"/>
          <w:lang w:val="ro-RO" w:eastAsia="ru-RU"/>
        </w:rPr>
        <w:t>406</w:t>
      </w:r>
      <w:r w:rsidRPr="00F9496F">
        <w:rPr>
          <w:rFonts w:ascii="Times New Roman" w:eastAsia="Times New Roman" w:hAnsi="Times New Roman" w:cs="Times New Roman"/>
          <w:sz w:val="28"/>
          <w:szCs w:val="28"/>
          <w:lang w:val="ro-RO" w:eastAsia="ru-RU"/>
        </w:rPr>
        <w:t>,</w:t>
      </w:r>
      <w:r w:rsidR="00F553F7">
        <w:rPr>
          <w:rFonts w:ascii="Times New Roman" w:eastAsia="Times New Roman" w:hAnsi="Times New Roman" w:cs="Times New Roman"/>
          <w:sz w:val="28"/>
          <w:szCs w:val="28"/>
          <w:lang w:val="ro-RO" w:eastAsia="ru-RU"/>
        </w:rPr>
        <w:t>1</w:t>
      </w:r>
      <w:r w:rsidRPr="00F9496F">
        <w:rPr>
          <w:rFonts w:ascii="Times New Roman" w:eastAsia="Times New Roman" w:hAnsi="Times New Roman" w:cs="Times New Roman"/>
          <w:sz w:val="28"/>
          <w:szCs w:val="28"/>
          <w:lang w:val="ro-RO" w:eastAsia="ru-RU"/>
        </w:rPr>
        <w:t xml:space="preserve"> mil. lei (</w:t>
      </w:r>
      <w:r w:rsidR="00F553F7">
        <w:rPr>
          <w:rFonts w:ascii="Times New Roman" w:eastAsia="Times New Roman" w:hAnsi="Times New Roman" w:cs="Times New Roman"/>
          <w:sz w:val="28"/>
          <w:szCs w:val="28"/>
          <w:lang w:val="ro-RO" w:eastAsia="ru-RU"/>
        </w:rPr>
        <w:t>570</w:t>
      </w:r>
      <w:r w:rsidRPr="00F9496F">
        <w:rPr>
          <w:rFonts w:ascii="Times New Roman" w:eastAsia="Times New Roman" w:hAnsi="Times New Roman" w:cs="Times New Roman"/>
          <w:sz w:val="28"/>
          <w:szCs w:val="28"/>
          <w:lang w:val="ro-RO" w:eastAsia="ru-RU"/>
        </w:rPr>
        <w:t>,</w:t>
      </w:r>
      <w:r w:rsidR="00F553F7">
        <w:rPr>
          <w:rFonts w:ascii="Times New Roman" w:eastAsia="Times New Roman" w:hAnsi="Times New Roman" w:cs="Times New Roman"/>
          <w:sz w:val="28"/>
          <w:szCs w:val="28"/>
          <w:lang w:val="ro-RO" w:eastAsia="ru-RU"/>
        </w:rPr>
        <w:t>8</w:t>
      </w:r>
      <w:r w:rsidRPr="00F9496F">
        <w:rPr>
          <w:rFonts w:ascii="Times New Roman" w:eastAsia="Times New Roman" w:hAnsi="Times New Roman" w:cs="Times New Roman"/>
          <w:sz w:val="28"/>
          <w:szCs w:val="28"/>
          <w:lang w:val="ro-RO" w:eastAsia="ru-RU"/>
        </w:rPr>
        <w:t xml:space="preserve"> mil. dolari SUA). Pentru suport bugetar vor fi îndreptate circa </w:t>
      </w:r>
      <w:r w:rsidR="00F553F7">
        <w:rPr>
          <w:rFonts w:ascii="Times New Roman" w:eastAsia="Times New Roman" w:hAnsi="Times New Roman" w:cs="Times New Roman"/>
          <w:sz w:val="28"/>
          <w:szCs w:val="28"/>
          <w:lang w:val="ro-RO" w:eastAsia="ru-RU"/>
        </w:rPr>
        <w:t>28</w:t>
      </w:r>
      <w:r w:rsidRPr="00F9496F">
        <w:rPr>
          <w:rFonts w:ascii="Times New Roman" w:eastAsia="Times New Roman" w:hAnsi="Times New Roman" w:cs="Times New Roman"/>
          <w:sz w:val="28"/>
          <w:szCs w:val="28"/>
          <w:lang w:val="ro-RO" w:eastAsia="ru-RU"/>
        </w:rPr>
        <w:t>,</w:t>
      </w:r>
      <w:r w:rsidR="00F553F7">
        <w:rPr>
          <w:rFonts w:ascii="Times New Roman" w:eastAsia="Times New Roman" w:hAnsi="Times New Roman" w:cs="Times New Roman"/>
          <w:sz w:val="28"/>
          <w:szCs w:val="28"/>
          <w:lang w:val="ro-RO" w:eastAsia="ru-RU"/>
        </w:rPr>
        <w:t>7</w:t>
      </w:r>
      <w:r w:rsidRPr="00F9496F">
        <w:rPr>
          <w:rFonts w:ascii="Times New Roman" w:eastAsia="Times New Roman" w:hAnsi="Times New Roman" w:cs="Times New Roman"/>
          <w:sz w:val="28"/>
          <w:szCs w:val="28"/>
          <w:lang w:val="ro-RO" w:eastAsia="ru-RU"/>
        </w:rPr>
        <w:t xml:space="preserve">%, iar pentru finanţarea proiectelor – </w:t>
      </w:r>
      <w:r w:rsidR="00F553F7">
        <w:rPr>
          <w:rFonts w:ascii="Times New Roman" w:eastAsia="Times New Roman" w:hAnsi="Times New Roman" w:cs="Times New Roman"/>
          <w:sz w:val="28"/>
          <w:szCs w:val="28"/>
          <w:lang w:val="ro-RO" w:eastAsia="ru-RU"/>
        </w:rPr>
        <w:t>71</w:t>
      </w:r>
      <w:r w:rsidRPr="00F9496F">
        <w:rPr>
          <w:rFonts w:ascii="Times New Roman" w:eastAsia="Times New Roman" w:hAnsi="Times New Roman" w:cs="Times New Roman"/>
          <w:sz w:val="28"/>
          <w:szCs w:val="28"/>
          <w:lang w:val="ro-RO" w:eastAsia="ru-RU"/>
        </w:rPr>
        <w:t>,</w:t>
      </w:r>
      <w:r w:rsidR="00F553F7">
        <w:rPr>
          <w:rFonts w:ascii="Times New Roman" w:eastAsia="Times New Roman" w:hAnsi="Times New Roman" w:cs="Times New Roman"/>
          <w:sz w:val="28"/>
          <w:szCs w:val="28"/>
          <w:lang w:val="ro-RO" w:eastAsia="ru-RU"/>
        </w:rPr>
        <w:t>3</w:t>
      </w:r>
      <w:r w:rsidRPr="00F9496F">
        <w:rPr>
          <w:rFonts w:ascii="Times New Roman" w:eastAsia="Times New Roman" w:hAnsi="Times New Roman" w:cs="Times New Roman"/>
          <w:sz w:val="28"/>
          <w:szCs w:val="28"/>
          <w:lang w:val="ro-RO" w:eastAsia="ru-RU"/>
        </w:rPr>
        <w:t>% din intrările de împrumuturi</w:t>
      </w:r>
      <w:r w:rsidR="00F553F7">
        <w:rPr>
          <w:rFonts w:ascii="Times New Roman" w:eastAsia="Times New Roman" w:hAnsi="Times New Roman" w:cs="Times New Roman"/>
          <w:sz w:val="28"/>
          <w:szCs w:val="28"/>
          <w:lang w:val="ro-RO" w:eastAsia="ru-RU"/>
        </w:rPr>
        <w:t xml:space="preserve"> de stat</w:t>
      </w:r>
      <w:r w:rsidRPr="00F9496F">
        <w:rPr>
          <w:rFonts w:ascii="Times New Roman" w:eastAsia="Times New Roman" w:hAnsi="Times New Roman" w:cs="Times New Roman"/>
          <w:sz w:val="28"/>
          <w:szCs w:val="28"/>
          <w:lang w:val="ro-RO" w:eastAsia="ru-RU"/>
        </w:rPr>
        <w:t xml:space="preserve"> externe. </w:t>
      </w:r>
    </w:p>
    <w:p w:rsidR="00F9496F" w:rsidRPr="00F9496F" w:rsidRDefault="00F9496F" w:rsidP="00F9496F">
      <w:pPr>
        <w:tabs>
          <w:tab w:val="left" w:pos="540"/>
          <w:tab w:val="left" w:pos="90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În proporţie de 9</w:t>
      </w:r>
      <w:r w:rsidR="00F553F7">
        <w:rPr>
          <w:rFonts w:ascii="Times New Roman" w:eastAsia="Times New Roman" w:hAnsi="Times New Roman" w:cs="Times New Roman"/>
          <w:sz w:val="28"/>
          <w:szCs w:val="28"/>
          <w:lang w:val="ro-RO" w:eastAsia="ru-RU"/>
        </w:rPr>
        <w:t>3</w:t>
      </w:r>
      <w:r w:rsidRPr="00F9496F">
        <w:rPr>
          <w:rFonts w:ascii="Times New Roman" w:eastAsia="Times New Roman" w:hAnsi="Times New Roman" w:cs="Times New Roman"/>
          <w:sz w:val="28"/>
          <w:szCs w:val="28"/>
          <w:lang w:val="ro-RO" w:eastAsia="ru-RU"/>
        </w:rPr>
        <w:t xml:space="preserve">,8%, împrumuturile primite vor fi de la instituţiile multilaterale. Iar restul de </w:t>
      </w:r>
      <w:r w:rsidR="00CA6374">
        <w:rPr>
          <w:rFonts w:ascii="Times New Roman" w:eastAsia="Times New Roman" w:hAnsi="Times New Roman" w:cs="Times New Roman"/>
          <w:sz w:val="28"/>
          <w:szCs w:val="28"/>
          <w:lang w:val="ro-RO" w:eastAsia="ru-RU"/>
        </w:rPr>
        <w:t>6</w:t>
      </w:r>
      <w:r w:rsidRPr="00F9496F">
        <w:rPr>
          <w:rFonts w:ascii="Times New Roman" w:eastAsia="Times New Roman" w:hAnsi="Times New Roman" w:cs="Times New Roman"/>
          <w:sz w:val="28"/>
          <w:szCs w:val="28"/>
          <w:lang w:val="ro-RO" w:eastAsia="ru-RU"/>
        </w:rPr>
        <w:t xml:space="preserve">,2% de la instituţiile bilaterale. </w:t>
      </w:r>
    </w:p>
    <w:p w:rsidR="00F9496F" w:rsidRPr="00F9496F" w:rsidRDefault="00F9496F" w:rsidP="00F9496F">
      <w:pPr>
        <w:tabs>
          <w:tab w:val="left" w:pos="540"/>
          <w:tab w:val="left" w:pos="90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Potrivit structurii intrărilor de împrumuturi de stat externe pe creditori</w:t>
      </w:r>
      <w:r w:rsidR="00CA6374">
        <w:rPr>
          <w:rFonts w:ascii="Times New Roman" w:eastAsia="Times New Roman" w:hAnsi="Times New Roman" w:cs="Times New Roman"/>
          <w:sz w:val="28"/>
          <w:szCs w:val="28"/>
          <w:lang w:val="ro-RO" w:eastAsia="ru-RU"/>
        </w:rPr>
        <w:t xml:space="preserve"> multilaterali</w:t>
      </w:r>
      <w:r w:rsidRPr="00F9496F">
        <w:rPr>
          <w:rFonts w:ascii="Times New Roman" w:eastAsia="Times New Roman" w:hAnsi="Times New Roman" w:cs="Times New Roman"/>
          <w:sz w:val="28"/>
          <w:szCs w:val="28"/>
          <w:lang w:val="ro-RO" w:eastAsia="ru-RU"/>
        </w:rPr>
        <w:t xml:space="preserve">, </w:t>
      </w:r>
      <w:r w:rsidR="00CA6374">
        <w:rPr>
          <w:rFonts w:ascii="Times New Roman" w:eastAsia="Times New Roman" w:hAnsi="Times New Roman" w:cs="Times New Roman"/>
          <w:sz w:val="28"/>
          <w:szCs w:val="28"/>
          <w:lang w:val="ro-RO" w:eastAsia="ru-RU"/>
        </w:rPr>
        <w:t>cele mai mari ponderi aparțin</w:t>
      </w:r>
      <w:r w:rsidRPr="00F9496F">
        <w:rPr>
          <w:rFonts w:ascii="Times New Roman" w:eastAsia="Times New Roman" w:hAnsi="Times New Roman" w:cs="Times New Roman"/>
          <w:sz w:val="28"/>
          <w:szCs w:val="28"/>
          <w:lang w:val="ro-RO" w:eastAsia="ru-RU"/>
        </w:rPr>
        <w:t>:</w:t>
      </w:r>
    </w:p>
    <w:p w:rsidR="00F9496F" w:rsidRPr="00F9496F" w:rsidRDefault="00CA6374" w:rsidP="00CA6374">
      <w:pPr>
        <w:tabs>
          <w:tab w:val="left" w:pos="540"/>
          <w:tab w:val="left" w:pos="600"/>
        </w:tabs>
        <w:spacing w:after="0" w:line="240" w:lineRule="auto"/>
        <w:ind w:left="600" w:firstLine="1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 Bă</w:t>
      </w:r>
      <w:r w:rsidR="00F9496F" w:rsidRPr="00F9496F">
        <w:rPr>
          <w:rFonts w:ascii="Times New Roman" w:eastAsia="Times New Roman" w:hAnsi="Times New Roman" w:cs="Times New Roman"/>
          <w:sz w:val="28"/>
          <w:szCs w:val="28"/>
          <w:lang w:val="ro-RO" w:eastAsia="ru-RU"/>
        </w:rPr>
        <w:t>nc</w:t>
      </w:r>
      <w:r>
        <w:rPr>
          <w:rFonts w:ascii="Times New Roman" w:eastAsia="Times New Roman" w:hAnsi="Times New Roman" w:cs="Times New Roman"/>
          <w:sz w:val="28"/>
          <w:szCs w:val="28"/>
          <w:lang w:val="ro-RO" w:eastAsia="ru-RU"/>
        </w:rPr>
        <w:t>ii</w:t>
      </w:r>
      <w:r w:rsidR="00F9496F" w:rsidRPr="00F9496F">
        <w:rPr>
          <w:rFonts w:ascii="Times New Roman" w:eastAsia="Times New Roman" w:hAnsi="Times New Roman" w:cs="Times New Roman"/>
          <w:sz w:val="28"/>
          <w:szCs w:val="28"/>
          <w:lang w:val="ro-RO" w:eastAsia="ru-RU"/>
        </w:rPr>
        <w:t xml:space="preserve"> Europen</w:t>
      </w:r>
      <w:r>
        <w:rPr>
          <w:rFonts w:ascii="Times New Roman" w:eastAsia="Times New Roman" w:hAnsi="Times New Roman" w:cs="Times New Roman"/>
          <w:sz w:val="28"/>
          <w:szCs w:val="28"/>
          <w:lang w:val="ro-RO" w:eastAsia="ru-RU"/>
        </w:rPr>
        <w:t>e</w:t>
      </w:r>
      <w:r w:rsidR="00F9496F" w:rsidRPr="00F9496F">
        <w:rPr>
          <w:rFonts w:ascii="Times New Roman" w:eastAsia="Times New Roman" w:hAnsi="Times New Roman" w:cs="Times New Roman"/>
          <w:sz w:val="28"/>
          <w:szCs w:val="28"/>
          <w:lang w:val="ro-RO" w:eastAsia="ru-RU"/>
        </w:rPr>
        <w:t xml:space="preserve"> de Investiţii cu 3</w:t>
      </w:r>
      <w:r>
        <w:rPr>
          <w:rFonts w:ascii="Times New Roman" w:eastAsia="Times New Roman" w:hAnsi="Times New Roman" w:cs="Times New Roman"/>
          <w:sz w:val="28"/>
          <w:szCs w:val="28"/>
          <w:lang w:val="ro-RO" w:eastAsia="ru-RU"/>
        </w:rPr>
        <w:t>6</w:t>
      </w:r>
      <w:r w:rsidR="00F9496F" w:rsidRPr="00F9496F">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4</w:t>
      </w:r>
      <w:r w:rsidR="00F9496F" w:rsidRPr="00F9496F">
        <w:rPr>
          <w:rFonts w:ascii="Times New Roman" w:eastAsia="Times New Roman" w:hAnsi="Times New Roman" w:cs="Times New Roman"/>
          <w:sz w:val="28"/>
          <w:szCs w:val="28"/>
          <w:lang w:val="ro-RO" w:eastAsia="ru-RU"/>
        </w:rPr>
        <w:t xml:space="preserve"> la sută; </w:t>
      </w:r>
    </w:p>
    <w:p w:rsidR="00F9496F" w:rsidRPr="00F9496F" w:rsidRDefault="00CA6374" w:rsidP="00CA6374">
      <w:pPr>
        <w:tabs>
          <w:tab w:val="left" w:pos="540"/>
          <w:tab w:val="left" w:pos="900"/>
        </w:tabs>
        <w:spacing w:after="0" w:line="240" w:lineRule="auto"/>
        <w:ind w:left="600" w:firstLine="1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b) Asociației Internaționale de Dezvoltare</w:t>
      </w:r>
      <w:r w:rsidR="00F9496F" w:rsidRPr="00F9496F">
        <w:rPr>
          <w:rFonts w:ascii="Times New Roman" w:eastAsia="Times New Roman" w:hAnsi="Times New Roman" w:cs="Times New Roman"/>
          <w:sz w:val="28"/>
          <w:szCs w:val="28"/>
          <w:lang w:val="ro-RO" w:eastAsia="ru-RU"/>
        </w:rPr>
        <w:t xml:space="preserve"> cu 3</w:t>
      </w:r>
      <w:r>
        <w:rPr>
          <w:rFonts w:ascii="Times New Roman" w:eastAsia="Times New Roman" w:hAnsi="Times New Roman" w:cs="Times New Roman"/>
          <w:sz w:val="28"/>
          <w:szCs w:val="28"/>
          <w:lang w:val="ro-RO" w:eastAsia="ru-RU"/>
        </w:rPr>
        <w:t>4</w:t>
      </w:r>
      <w:r w:rsidR="00F9496F" w:rsidRPr="00F9496F">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9</w:t>
      </w:r>
      <w:r w:rsidR="00F9496F" w:rsidRPr="00F9496F">
        <w:rPr>
          <w:rFonts w:ascii="Times New Roman" w:eastAsia="Times New Roman" w:hAnsi="Times New Roman" w:cs="Times New Roman"/>
          <w:sz w:val="28"/>
          <w:szCs w:val="28"/>
          <w:lang w:val="ro-RO" w:eastAsia="ru-RU"/>
        </w:rPr>
        <w:t xml:space="preserve"> la sută; </w:t>
      </w:r>
    </w:p>
    <w:p w:rsidR="00F9496F" w:rsidRPr="00F9496F" w:rsidRDefault="00CA6374" w:rsidP="00CA6374">
      <w:pPr>
        <w:tabs>
          <w:tab w:val="left" w:pos="540"/>
          <w:tab w:val="left" w:pos="900"/>
        </w:tabs>
        <w:spacing w:after="0" w:line="240" w:lineRule="auto"/>
        <w:ind w:left="600" w:firstLine="1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 Bă</w:t>
      </w:r>
      <w:r w:rsidR="00F9496F" w:rsidRPr="00F9496F">
        <w:rPr>
          <w:rFonts w:ascii="Times New Roman" w:eastAsia="Times New Roman" w:hAnsi="Times New Roman" w:cs="Times New Roman"/>
          <w:sz w:val="28"/>
          <w:szCs w:val="28"/>
          <w:lang w:val="ro-RO" w:eastAsia="ru-RU"/>
        </w:rPr>
        <w:t>nc</w:t>
      </w:r>
      <w:r>
        <w:rPr>
          <w:rFonts w:ascii="Times New Roman" w:eastAsia="Times New Roman" w:hAnsi="Times New Roman" w:cs="Times New Roman"/>
          <w:sz w:val="28"/>
          <w:szCs w:val="28"/>
          <w:lang w:val="ro-RO" w:eastAsia="ru-RU"/>
        </w:rPr>
        <w:t>ii</w:t>
      </w:r>
      <w:r w:rsidR="00F9496F" w:rsidRPr="00F9496F">
        <w:rPr>
          <w:rFonts w:ascii="Times New Roman" w:eastAsia="Times New Roman" w:hAnsi="Times New Roman" w:cs="Times New Roman"/>
          <w:sz w:val="28"/>
          <w:szCs w:val="28"/>
          <w:lang w:val="ro-RO" w:eastAsia="ru-RU"/>
        </w:rPr>
        <w:t xml:space="preserve"> Europen</w:t>
      </w:r>
      <w:r>
        <w:rPr>
          <w:rFonts w:ascii="Times New Roman" w:eastAsia="Times New Roman" w:hAnsi="Times New Roman" w:cs="Times New Roman"/>
          <w:sz w:val="28"/>
          <w:szCs w:val="28"/>
          <w:lang w:val="ro-RO" w:eastAsia="ru-RU"/>
        </w:rPr>
        <w:t>e</w:t>
      </w:r>
      <w:r w:rsidR="00F9496F" w:rsidRPr="00F9496F">
        <w:rPr>
          <w:rFonts w:ascii="Times New Roman" w:eastAsia="Times New Roman" w:hAnsi="Times New Roman" w:cs="Times New Roman"/>
          <w:sz w:val="28"/>
          <w:szCs w:val="28"/>
          <w:lang w:val="ro-RO" w:eastAsia="ru-RU"/>
        </w:rPr>
        <w:t xml:space="preserve"> pentru Reconstrucţie şi Dezvoltare cu 2</w:t>
      </w:r>
      <w:r>
        <w:rPr>
          <w:rFonts w:ascii="Times New Roman" w:eastAsia="Times New Roman" w:hAnsi="Times New Roman" w:cs="Times New Roman"/>
          <w:sz w:val="28"/>
          <w:szCs w:val="28"/>
          <w:lang w:val="ro-RO" w:eastAsia="ru-RU"/>
        </w:rPr>
        <w:t>0</w:t>
      </w:r>
      <w:r w:rsidR="00F9496F" w:rsidRPr="00F9496F">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2</w:t>
      </w:r>
      <w:r w:rsidR="00F9496F" w:rsidRPr="00F9496F">
        <w:rPr>
          <w:rFonts w:ascii="Times New Roman" w:eastAsia="Times New Roman" w:hAnsi="Times New Roman" w:cs="Times New Roman"/>
          <w:sz w:val="28"/>
          <w:szCs w:val="28"/>
          <w:lang w:val="ro-RO" w:eastAsia="ru-RU"/>
        </w:rPr>
        <w:t xml:space="preserve">%; </w:t>
      </w:r>
    </w:p>
    <w:p w:rsidR="00CA6374" w:rsidRDefault="00CA6374" w:rsidP="00CA6374">
      <w:pPr>
        <w:tabs>
          <w:tab w:val="left" w:pos="540"/>
          <w:tab w:val="left" w:pos="900"/>
        </w:tabs>
        <w:spacing w:after="0" w:line="240" w:lineRule="auto"/>
        <w:ind w:left="600" w:firstLine="1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 Bă</w:t>
      </w:r>
      <w:r w:rsidR="00F9496F" w:rsidRPr="00F9496F">
        <w:rPr>
          <w:rFonts w:ascii="Times New Roman" w:eastAsia="Times New Roman" w:hAnsi="Times New Roman" w:cs="Times New Roman"/>
          <w:sz w:val="28"/>
          <w:szCs w:val="28"/>
          <w:lang w:val="ro-RO" w:eastAsia="ru-RU"/>
        </w:rPr>
        <w:t>nc</w:t>
      </w:r>
      <w:r>
        <w:rPr>
          <w:rFonts w:ascii="Times New Roman" w:eastAsia="Times New Roman" w:hAnsi="Times New Roman" w:cs="Times New Roman"/>
          <w:sz w:val="28"/>
          <w:szCs w:val="28"/>
          <w:lang w:val="ro-RO" w:eastAsia="ru-RU"/>
        </w:rPr>
        <w:t>ii</w:t>
      </w:r>
      <w:r w:rsidR="00F9496F" w:rsidRPr="00F9496F">
        <w:rPr>
          <w:rFonts w:ascii="Times New Roman" w:eastAsia="Times New Roman" w:hAnsi="Times New Roman" w:cs="Times New Roman"/>
          <w:sz w:val="28"/>
          <w:szCs w:val="28"/>
          <w:lang w:val="ro-RO" w:eastAsia="ru-RU"/>
        </w:rPr>
        <w:t xml:space="preserve"> de Dezvoltare a Consiliului Europei</w:t>
      </w:r>
      <w:r>
        <w:rPr>
          <w:rFonts w:ascii="Times New Roman" w:eastAsia="Times New Roman" w:hAnsi="Times New Roman" w:cs="Times New Roman"/>
          <w:sz w:val="28"/>
          <w:szCs w:val="28"/>
          <w:lang w:val="ro-RO" w:eastAsia="ru-RU"/>
        </w:rPr>
        <w:t xml:space="preserve"> cu 5,8%.</w:t>
      </w:r>
      <w:r w:rsidR="00F9496F" w:rsidRPr="00F9496F">
        <w:rPr>
          <w:rFonts w:ascii="Times New Roman" w:eastAsia="Times New Roman" w:hAnsi="Times New Roman" w:cs="Times New Roman"/>
          <w:sz w:val="28"/>
          <w:szCs w:val="28"/>
          <w:lang w:val="ro-RO" w:eastAsia="ru-RU"/>
        </w:rPr>
        <w:t xml:space="preserve"> </w:t>
      </w:r>
    </w:p>
    <w:p w:rsidR="00F9496F" w:rsidRDefault="00CA6374" w:rsidP="00CA6374">
      <w:pPr>
        <w:tabs>
          <w:tab w:val="left" w:pos="709"/>
          <w:tab w:val="left" w:pos="900"/>
        </w:tabs>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O pondere mult mai mică aparține </w:t>
      </w:r>
      <w:r w:rsidR="00F9496F" w:rsidRPr="00F9496F">
        <w:rPr>
          <w:rFonts w:ascii="Times New Roman" w:eastAsia="Times New Roman" w:hAnsi="Times New Roman" w:cs="Times New Roman"/>
          <w:sz w:val="28"/>
          <w:szCs w:val="28"/>
          <w:lang w:val="ro-RO" w:eastAsia="ru-RU"/>
        </w:rPr>
        <w:t>Fondul</w:t>
      </w:r>
      <w:r>
        <w:rPr>
          <w:rFonts w:ascii="Times New Roman" w:eastAsia="Times New Roman" w:hAnsi="Times New Roman" w:cs="Times New Roman"/>
          <w:sz w:val="28"/>
          <w:szCs w:val="28"/>
          <w:lang w:val="ro-RO" w:eastAsia="ru-RU"/>
        </w:rPr>
        <w:t>ui</w:t>
      </w:r>
      <w:r w:rsidR="00F9496F" w:rsidRPr="00F9496F">
        <w:rPr>
          <w:rFonts w:ascii="Times New Roman" w:eastAsia="Times New Roman" w:hAnsi="Times New Roman" w:cs="Times New Roman"/>
          <w:sz w:val="28"/>
          <w:szCs w:val="28"/>
          <w:lang w:val="ro-RO" w:eastAsia="ru-RU"/>
        </w:rPr>
        <w:t xml:space="preserve"> Internaţional pentru Dezvoltare Agricolă şi </w:t>
      </w:r>
      <w:r>
        <w:rPr>
          <w:rFonts w:ascii="Times New Roman" w:eastAsia="Times New Roman" w:hAnsi="Times New Roman" w:cs="Times New Roman"/>
          <w:sz w:val="28"/>
          <w:szCs w:val="28"/>
          <w:lang w:val="ro-RO" w:eastAsia="ru-RU"/>
        </w:rPr>
        <w:t>Bă</w:t>
      </w:r>
      <w:r w:rsidRPr="00F9496F">
        <w:rPr>
          <w:rFonts w:ascii="Times New Roman" w:eastAsia="Times New Roman" w:hAnsi="Times New Roman" w:cs="Times New Roman"/>
          <w:sz w:val="28"/>
          <w:szCs w:val="28"/>
          <w:lang w:val="ro-RO" w:eastAsia="ru-RU"/>
        </w:rPr>
        <w:t>nc</w:t>
      </w:r>
      <w:r>
        <w:rPr>
          <w:rFonts w:ascii="Times New Roman" w:eastAsia="Times New Roman" w:hAnsi="Times New Roman" w:cs="Times New Roman"/>
          <w:sz w:val="28"/>
          <w:szCs w:val="28"/>
          <w:lang w:val="ro-RO" w:eastAsia="ru-RU"/>
        </w:rPr>
        <w:t>ii</w:t>
      </w:r>
      <w:r w:rsidRPr="00F9496F">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Internaționale</w:t>
      </w:r>
      <w:r w:rsidRPr="00F9496F">
        <w:rPr>
          <w:rFonts w:ascii="Times New Roman" w:eastAsia="Times New Roman" w:hAnsi="Times New Roman" w:cs="Times New Roman"/>
          <w:sz w:val="28"/>
          <w:szCs w:val="28"/>
          <w:lang w:val="ro-RO" w:eastAsia="ru-RU"/>
        </w:rPr>
        <w:t xml:space="preserve"> pentru Reconstrucţie şi Dezvoltare</w:t>
      </w:r>
      <w:r w:rsidR="00F9496F" w:rsidRPr="00F9496F">
        <w:rPr>
          <w:rFonts w:ascii="Times New Roman" w:eastAsia="Times New Roman" w:hAnsi="Times New Roman" w:cs="Times New Roman"/>
          <w:sz w:val="28"/>
          <w:szCs w:val="28"/>
          <w:lang w:val="ro-RO" w:eastAsia="ru-RU"/>
        </w:rPr>
        <w:t>.</w:t>
      </w:r>
    </w:p>
    <w:p w:rsidR="00CA6374" w:rsidRPr="00F9496F" w:rsidRDefault="00CA6374" w:rsidP="00CA6374">
      <w:pPr>
        <w:tabs>
          <w:tab w:val="left" w:pos="709"/>
          <w:tab w:val="left" w:pos="900"/>
        </w:tabs>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Structura finanțării externe nete se prezintă în tabelul 4.2.</w:t>
      </w:r>
    </w:p>
    <w:p w:rsidR="00F9496F" w:rsidRPr="00F9496F" w:rsidRDefault="003D1400" w:rsidP="003D1400">
      <w:pPr>
        <w:tabs>
          <w:tab w:val="left" w:pos="540"/>
          <w:tab w:val="left" w:pos="900"/>
        </w:tabs>
        <w:spacing w:after="0" w:line="240" w:lineRule="auto"/>
        <w:ind w:left="7560" w:hanging="11"/>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Tabelul  4</w:t>
      </w:r>
      <w:r w:rsidR="00F9496F" w:rsidRPr="00F9496F">
        <w:rPr>
          <w:rFonts w:ascii="Times New Roman" w:eastAsia="Times New Roman" w:hAnsi="Times New Roman" w:cs="Times New Roman"/>
          <w:sz w:val="28"/>
          <w:szCs w:val="28"/>
          <w:lang w:val="ro-RO" w:eastAsia="ru-RU"/>
        </w:rPr>
        <w:t>.2.</w:t>
      </w:r>
    </w:p>
    <w:p w:rsidR="00F9496F" w:rsidRPr="00F9496F" w:rsidRDefault="00F9496F" w:rsidP="00F9496F">
      <w:pPr>
        <w:tabs>
          <w:tab w:val="left" w:pos="540"/>
          <w:tab w:val="left" w:pos="900"/>
        </w:tabs>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Finanţarea externă netă, în perioada anilor 201</w:t>
      </w:r>
      <w:r w:rsidR="003D1400">
        <w:rPr>
          <w:rFonts w:ascii="Times New Roman" w:eastAsia="Times New Roman" w:hAnsi="Times New Roman" w:cs="Times New Roman"/>
          <w:sz w:val="28"/>
          <w:szCs w:val="28"/>
          <w:lang w:val="ro-RO" w:eastAsia="ru-RU"/>
        </w:rPr>
        <w:t>4-2016</w:t>
      </w:r>
    </w:p>
    <w:tbl>
      <w:tblPr>
        <w:tblW w:w="4900" w:type="pct"/>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807"/>
        <w:gridCol w:w="1163"/>
        <w:gridCol w:w="1017"/>
        <w:gridCol w:w="1128"/>
      </w:tblGrid>
      <w:tr w:rsidR="00F9496F" w:rsidRPr="00F9496F" w:rsidTr="004F1B6D">
        <w:trPr>
          <w:trHeight w:val="261"/>
          <w:jc w:val="center"/>
        </w:trPr>
        <w:tc>
          <w:tcPr>
            <w:tcW w:w="2274" w:type="pct"/>
            <w:noWrap/>
            <w:vAlign w:val="center"/>
          </w:tcPr>
          <w:p w:rsidR="00F9496F" w:rsidRPr="00F9496F" w:rsidRDefault="00F9496F" w:rsidP="00F9496F">
            <w:pPr>
              <w:spacing w:after="0" w:line="240" w:lineRule="auto"/>
              <w:rPr>
                <w:rFonts w:ascii="Times New Roman" w:eastAsia="Times New Roman" w:hAnsi="Times New Roman" w:cs="Times New Roman"/>
                <w:bCs/>
                <w:iCs/>
                <w:sz w:val="24"/>
                <w:szCs w:val="24"/>
                <w:lang w:val="ro-RO" w:eastAsia="ru-RU"/>
              </w:rPr>
            </w:pPr>
            <w:r w:rsidRPr="00F9496F">
              <w:rPr>
                <w:rFonts w:ascii="Times New Roman" w:eastAsia="Times New Roman" w:hAnsi="Times New Roman" w:cs="Times New Roman"/>
                <w:bCs/>
                <w:sz w:val="24"/>
                <w:szCs w:val="24"/>
                <w:lang w:val="ro-RO" w:eastAsia="ru-RU"/>
              </w:rPr>
              <w:t>Indicatori</w:t>
            </w:r>
          </w:p>
        </w:tc>
        <w:tc>
          <w:tcPr>
            <w:tcW w:w="963" w:type="pct"/>
            <w:noWrap/>
            <w:vAlign w:val="center"/>
          </w:tcPr>
          <w:p w:rsidR="00F9496F" w:rsidRPr="00F9496F" w:rsidRDefault="00F9496F" w:rsidP="00F9496F">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Unitatea de măsură</w:t>
            </w:r>
          </w:p>
        </w:tc>
        <w:tc>
          <w:tcPr>
            <w:tcW w:w="620" w:type="pct"/>
            <w:noWrap/>
            <w:vAlign w:val="center"/>
          </w:tcPr>
          <w:p w:rsidR="00F9496F" w:rsidRPr="00F9496F" w:rsidRDefault="00F9496F" w:rsidP="003D1400">
            <w:pPr>
              <w:spacing w:after="0" w:line="240" w:lineRule="auto"/>
              <w:jc w:val="center"/>
              <w:rPr>
                <w:rFonts w:ascii="Times New Roman" w:eastAsia="Times New Roman" w:hAnsi="Times New Roman" w:cs="Times New Roman"/>
                <w:iCs/>
                <w:sz w:val="24"/>
                <w:szCs w:val="24"/>
                <w:lang w:val="ro-RO" w:eastAsia="ru-RU"/>
              </w:rPr>
            </w:pPr>
            <w:r w:rsidRPr="00F9496F">
              <w:rPr>
                <w:rFonts w:ascii="Times New Roman" w:eastAsia="Times New Roman" w:hAnsi="Times New Roman" w:cs="Times New Roman"/>
                <w:iCs/>
                <w:sz w:val="24"/>
                <w:szCs w:val="24"/>
                <w:lang w:val="ro-RO" w:eastAsia="ru-RU"/>
              </w:rPr>
              <w:t>201</w:t>
            </w:r>
            <w:r w:rsidR="003D1400">
              <w:rPr>
                <w:rFonts w:ascii="Times New Roman" w:eastAsia="Times New Roman" w:hAnsi="Times New Roman" w:cs="Times New Roman"/>
                <w:iCs/>
                <w:sz w:val="24"/>
                <w:szCs w:val="24"/>
                <w:lang w:val="ro-RO" w:eastAsia="ru-RU"/>
              </w:rPr>
              <w:t>4</w:t>
            </w:r>
          </w:p>
        </w:tc>
        <w:tc>
          <w:tcPr>
            <w:tcW w:w="542" w:type="pct"/>
            <w:noWrap/>
            <w:vAlign w:val="center"/>
          </w:tcPr>
          <w:p w:rsidR="00F9496F" w:rsidRPr="00F9496F" w:rsidRDefault="00F9496F" w:rsidP="003D1400">
            <w:pPr>
              <w:spacing w:after="0" w:line="240" w:lineRule="auto"/>
              <w:jc w:val="center"/>
              <w:rPr>
                <w:rFonts w:ascii="Times New Roman" w:eastAsia="Times New Roman" w:hAnsi="Times New Roman" w:cs="Times New Roman"/>
                <w:iCs/>
                <w:sz w:val="24"/>
                <w:szCs w:val="24"/>
                <w:lang w:val="ro-RO" w:eastAsia="ru-RU"/>
              </w:rPr>
            </w:pPr>
            <w:r w:rsidRPr="00F9496F">
              <w:rPr>
                <w:rFonts w:ascii="Times New Roman" w:eastAsia="Times New Roman" w:hAnsi="Times New Roman" w:cs="Times New Roman"/>
                <w:iCs/>
                <w:sz w:val="24"/>
                <w:szCs w:val="24"/>
                <w:lang w:val="ro-RO" w:eastAsia="ru-RU"/>
              </w:rPr>
              <w:t>201</w:t>
            </w:r>
            <w:r w:rsidR="003D1400">
              <w:rPr>
                <w:rFonts w:ascii="Times New Roman" w:eastAsia="Times New Roman" w:hAnsi="Times New Roman" w:cs="Times New Roman"/>
                <w:iCs/>
                <w:sz w:val="24"/>
                <w:szCs w:val="24"/>
                <w:lang w:val="ro-RO" w:eastAsia="ru-RU"/>
              </w:rPr>
              <w:t>5</w:t>
            </w:r>
          </w:p>
        </w:tc>
        <w:tc>
          <w:tcPr>
            <w:tcW w:w="602" w:type="pct"/>
            <w:noWrap/>
            <w:vAlign w:val="center"/>
          </w:tcPr>
          <w:p w:rsidR="00F9496F" w:rsidRPr="00F9496F" w:rsidRDefault="00F9496F" w:rsidP="003D1400">
            <w:pPr>
              <w:spacing w:after="0" w:line="240" w:lineRule="auto"/>
              <w:jc w:val="center"/>
              <w:rPr>
                <w:rFonts w:ascii="Times New Roman" w:eastAsia="Times New Roman" w:hAnsi="Times New Roman" w:cs="Times New Roman"/>
                <w:iCs/>
                <w:sz w:val="24"/>
                <w:szCs w:val="24"/>
                <w:lang w:val="ro-RO" w:eastAsia="ru-RU"/>
              </w:rPr>
            </w:pPr>
            <w:r w:rsidRPr="00F9496F">
              <w:rPr>
                <w:rFonts w:ascii="Times New Roman" w:eastAsia="Times New Roman" w:hAnsi="Times New Roman" w:cs="Times New Roman"/>
                <w:iCs/>
                <w:sz w:val="24"/>
                <w:szCs w:val="24"/>
                <w:lang w:val="ro-RO" w:eastAsia="ru-RU"/>
              </w:rPr>
              <w:t>201</w:t>
            </w:r>
            <w:r w:rsidR="003D1400">
              <w:rPr>
                <w:rFonts w:ascii="Times New Roman" w:eastAsia="Times New Roman" w:hAnsi="Times New Roman" w:cs="Times New Roman"/>
                <w:iCs/>
                <w:sz w:val="24"/>
                <w:szCs w:val="24"/>
                <w:lang w:val="ro-RO" w:eastAsia="ru-RU"/>
              </w:rPr>
              <w:t>6</w:t>
            </w:r>
          </w:p>
        </w:tc>
      </w:tr>
      <w:tr w:rsidR="00F9496F" w:rsidRPr="00F9496F" w:rsidTr="004F1B6D">
        <w:trPr>
          <w:trHeight w:val="261"/>
          <w:jc w:val="center"/>
        </w:trPr>
        <w:tc>
          <w:tcPr>
            <w:tcW w:w="2274" w:type="pct"/>
            <w:noWrap/>
            <w:vAlign w:val="bottom"/>
          </w:tcPr>
          <w:p w:rsidR="00F9496F" w:rsidRPr="004F1B6D" w:rsidRDefault="00F9496F" w:rsidP="00F9496F">
            <w:pPr>
              <w:tabs>
                <w:tab w:val="left" w:pos="232"/>
              </w:tabs>
              <w:spacing w:after="0" w:line="240" w:lineRule="auto"/>
              <w:jc w:val="both"/>
              <w:rPr>
                <w:rFonts w:ascii="Times New Roman" w:eastAsia="Times New Roman" w:hAnsi="Times New Roman" w:cs="Times New Roman"/>
                <w:i/>
                <w:sz w:val="24"/>
                <w:szCs w:val="24"/>
                <w:lang w:val="ro-RO" w:eastAsia="ru-RU"/>
              </w:rPr>
            </w:pPr>
            <w:r w:rsidRPr="004F1B6D">
              <w:rPr>
                <w:rFonts w:ascii="Times New Roman" w:eastAsia="Times New Roman" w:hAnsi="Times New Roman" w:cs="Times New Roman"/>
                <w:bCs/>
                <w:i/>
                <w:iCs/>
                <w:sz w:val="24"/>
                <w:szCs w:val="24"/>
                <w:lang w:val="ro-RO" w:eastAsia="ru-RU"/>
              </w:rPr>
              <w:t>Finanţarea externă netă</w:t>
            </w:r>
          </w:p>
        </w:tc>
        <w:tc>
          <w:tcPr>
            <w:tcW w:w="963" w:type="pct"/>
            <w:noWrap/>
            <w:vAlign w:val="bottom"/>
          </w:tcPr>
          <w:p w:rsidR="00F9496F" w:rsidRPr="004F1B6D" w:rsidRDefault="00183D41" w:rsidP="00183D41">
            <w:pPr>
              <w:spacing w:after="0" w:line="240" w:lineRule="auto"/>
              <w:jc w:val="center"/>
              <w:rPr>
                <w:rFonts w:ascii="Times New Roman" w:eastAsia="Times New Roman" w:hAnsi="Times New Roman" w:cs="Times New Roman"/>
                <w:i/>
                <w:sz w:val="24"/>
                <w:szCs w:val="24"/>
                <w:lang w:val="ro-RO" w:eastAsia="ru-RU"/>
              </w:rPr>
            </w:pPr>
            <w:r w:rsidRPr="004F1B6D">
              <w:rPr>
                <w:rFonts w:ascii="Times New Roman" w:eastAsia="Times New Roman" w:hAnsi="Times New Roman" w:cs="Times New Roman"/>
                <w:i/>
                <w:sz w:val="24"/>
                <w:szCs w:val="24"/>
                <w:lang w:val="ro-RO" w:eastAsia="ru-RU"/>
              </w:rPr>
              <w:t>mil. lei</w:t>
            </w:r>
          </w:p>
        </w:tc>
        <w:tc>
          <w:tcPr>
            <w:tcW w:w="620" w:type="pct"/>
            <w:noWrap/>
            <w:vAlign w:val="bottom"/>
          </w:tcPr>
          <w:p w:rsidR="00F9496F" w:rsidRPr="004F1B6D" w:rsidRDefault="00934270" w:rsidP="00934270">
            <w:pPr>
              <w:spacing w:after="0" w:line="240" w:lineRule="auto"/>
              <w:jc w:val="right"/>
              <w:rPr>
                <w:rFonts w:ascii="Times New Roman" w:eastAsia="Times New Roman" w:hAnsi="Times New Roman" w:cs="Times New Roman"/>
                <w:i/>
                <w:sz w:val="24"/>
                <w:szCs w:val="24"/>
                <w:lang w:val="ro-RO" w:eastAsia="ru-RU"/>
              </w:rPr>
            </w:pPr>
            <w:r>
              <w:rPr>
                <w:rFonts w:ascii="Times New Roman" w:eastAsia="Times New Roman" w:hAnsi="Times New Roman" w:cs="Times New Roman"/>
                <w:i/>
                <w:iCs/>
                <w:sz w:val="24"/>
                <w:szCs w:val="24"/>
                <w:lang w:val="ro-RO" w:eastAsia="ru-RU"/>
              </w:rPr>
              <w:t>1</w:t>
            </w:r>
            <w:r w:rsidR="00CD1F88">
              <w:rPr>
                <w:rFonts w:ascii="Times New Roman" w:eastAsia="Times New Roman" w:hAnsi="Times New Roman" w:cs="Times New Roman"/>
                <w:i/>
                <w:iCs/>
                <w:sz w:val="24"/>
                <w:szCs w:val="24"/>
                <w:lang w:val="ro-RO" w:eastAsia="ru-RU"/>
              </w:rPr>
              <w:t> </w:t>
            </w:r>
            <w:r>
              <w:rPr>
                <w:rFonts w:ascii="Times New Roman" w:eastAsia="Times New Roman" w:hAnsi="Times New Roman" w:cs="Times New Roman"/>
                <w:i/>
                <w:iCs/>
                <w:sz w:val="24"/>
                <w:szCs w:val="24"/>
                <w:lang w:val="ro-RO" w:eastAsia="ru-RU"/>
              </w:rPr>
              <w:t>556</w:t>
            </w:r>
            <w:r w:rsidR="00CD1F88">
              <w:rPr>
                <w:rFonts w:ascii="Times New Roman" w:eastAsia="Times New Roman" w:hAnsi="Times New Roman" w:cs="Times New Roman"/>
                <w:i/>
                <w:iCs/>
                <w:sz w:val="24"/>
                <w:szCs w:val="24"/>
                <w:lang w:val="ro-RO" w:eastAsia="ru-RU"/>
              </w:rPr>
              <w:t>,</w:t>
            </w:r>
            <w:r>
              <w:rPr>
                <w:rFonts w:ascii="Times New Roman" w:eastAsia="Times New Roman" w:hAnsi="Times New Roman" w:cs="Times New Roman"/>
                <w:i/>
                <w:iCs/>
                <w:sz w:val="24"/>
                <w:szCs w:val="24"/>
                <w:lang w:val="ro-RO" w:eastAsia="ru-RU"/>
              </w:rPr>
              <w:t>7</w:t>
            </w:r>
          </w:p>
        </w:tc>
        <w:tc>
          <w:tcPr>
            <w:tcW w:w="542" w:type="pct"/>
            <w:noWrap/>
            <w:vAlign w:val="bottom"/>
          </w:tcPr>
          <w:p w:rsidR="00F9496F" w:rsidRPr="004F1B6D" w:rsidRDefault="00934270" w:rsidP="00934270">
            <w:pPr>
              <w:spacing w:after="0" w:line="240" w:lineRule="auto"/>
              <w:jc w:val="right"/>
              <w:rPr>
                <w:rFonts w:ascii="Times New Roman" w:eastAsia="Times New Roman" w:hAnsi="Times New Roman" w:cs="Times New Roman"/>
                <w:i/>
                <w:sz w:val="24"/>
                <w:szCs w:val="24"/>
                <w:lang w:val="ro-RO" w:eastAsia="ru-RU"/>
              </w:rPr>
            </w:pPr>
            <w:r>
              <w:rPr>
                <w:rFonts w:ascii="Times New Roman" w:eastAsia="Times New Roman" w:hAnsi="Times New Roman" w:cs="Times New Roman"/>
                <w:i/>
                <w:iCs/>
                <w:sz w:val="24"/>
                <w:szCs w:val="24"/>
                <w:lang w:val="ro-RO" w:eastAsia="ru-RU"/>
              </w:rPr>
              <w:t>1 664</w:t>
            </w:r>
            <w:r w:rsidR="00CD1F88">
              <w:rPr>
                <w:rFonts w:ascii="Times New Roman" w:eastAsia="Times New Roman" w:hAnsi="Times New Roman" w:cs="Times New Roman"/>
                <w:i/>
                <w:iCs/>
                <w:sz w:val="24"/>
                <w:szCs w:val="24"/>
                <w:lang w:val="ro-RO" w:eastAsia="ru-RU"/>
              </w:rPr>
              <w:t>,</w:t>
            </w:r>
            <w:r>
              <w:rPr>
                <w:rFonts w:ascii="Times New Roman" w:eastAsia="Times New Roman" w:hAnsi="Times New Roman" w:cs="Times New Roman"/>
                <w:i/>
                <w:iCs/>
                <w:sz w:val="24"/>
                <w:szCs w:val="24"/>
                <w:lang w:val="ro-RO" w:eastAsia="ru-RU"/>
              </w:rPr>
              <w:t>7</w:t>
            </w:r>
          </w:p>
        </w:tc>
        <w:tc>
          <w:tcPr>
            <w:tcW w:w="602" w:type="pct"/>
            <w:noWrap/>
            <w:vAlign w:val="bottom"/>
          </w:tcPr>
          <w:p w:rsidR="00F9496F" w:rsidRPr="004F1B6D" w:rsidRDefault="00CD1F88" w:rsidP="00934270">
            <w:pPr>
              <w:spacing w:after="0" w:line="240" w:lineRule="auto"/>
              <w:jc w:val="right"/>
              <w:rPr>
                <w:rFonts w:ascii="Times New Roman" w:eastAsia="Times New Roman" w:hAnsi="Times New Roman" w:cs="Times New Roman"/>
                <w:i/>
                <w:sz w:val="24"/>
                <w:szCs w:val="24"/>
                <w:lang w:val="ro-RO" w:eastAsia="ru-RU"/>
              </w:rPr>
            </w:pPr>
            <w:r>
              <w:rPr>
                <w:rFonts w:ascii="Times New Roman" w:eastAsia="Times New Roman" w:hAnsi="Times New Roman" w:cs="Times New Roman"/>
                <w:i/>
                <w:iCs/>
                <w:sz w:val="24"/>
                <w:szCs w:val="24"/>
                <w:lang w:val="ro-RO" w:eastAsia="ru-RU"/>
              </w:rPr>
              <w:t>2 </w:t>
            </w:r>
            <w:r w:rsidR="00934270">
              <w:rPr>
                <w:rFonts w:ascii="Times New Roman" w:eastAsia="Times New Roman" w:hAnsi="Times New Roman" w:cs="Times New Roman"/>
                <w:i/>
                <w:iCs/>
                <w:sz w:val="24"/>
                <w:szCs w:val="24"/>
                <w:lang w:val="ro-RO" w:eastAsia="ru-RU"/>
              </w:rPr>
              <w:t>284</w:t>
            </w:r>
            <w:r>
              <w:rPr>
                <w:rFonts w:ascii="Times New Roman" w:eastAsia="Times New Roman" w:hAnsi="Times New Roman" w:cs="Times New Roman"/>
                <w:i/>
                <w:iCs/>
                <w:sz w:val="24"/>
                <w:szCs w:val="24"/>
                <w:lang w:val="ro-RO" w:eastAsia="ru-RU"/>
              </w:rPr>
              <w:t>,</w:t>
            </w:r>
            <w:r w:rsidR="00934270">
              <w:rPr>
                <w:rFonts w:ascii="Times New Roman" w:eastAsia="Times New Roman" w:hAnsi="Times New Roman" w:cs="Times New Roman"/>
                <w:i/>
                <w:iCs/>
                <w:sz w:val="24"/>
                <w:szCs w:val="24"/>
                <w:lang w:val="ro-RO" w:eastAsia="ru-RU"/>
              </w:rPr>
              <w:t>2</w:t>
            </w:r>
          </w:p>
        </w:tc>
      </w:tr>
      <w:tr w:rsidR="00F9496F" w:rsidRPr="00F9496F" w:rsidTr="004F1B6D">
        <w:trPr>
          <w:trHeight w:val="261"/>
          <w:jc w:val="center"/>
        </w:trPr>
        <w:tc>
          <w:tcPr>
            <w:tcW w:w="2274" w:type="pct"/>
            <w:tcBorders>
              <w:bottom w:val="dotted" w:sz="4" w:space="0" w:color="auto"/>
            </w:tcBorders>
            <w:noWrap/>
            <w:vAlign w:val="bottom"/>
          </w:tcPr>
          <w:p w:rsidR="00F9496F" w:rsidRPr="00F9496F" w:rsidRDefault="00F9496F" w:rsidP="00F9496F">
            <w:pPr>
              <w:tabs>
                <w:tab w:val="left" w:pos="309"/>
              </w:tabs>
              <w:spacing w:after="0" w:line="240" w:lineRule="auto"/>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 Intrări de împrumuturi de stat externe, inclusiv:</w:t>
            </w:r>
          </w:p>
        </w:tc>
        <w:tc>
          <w:tcPr>
            <w:tcW w:w="963" w:type="pct"/>
            <w:tcBorders>
              <w:bottom w:val="dotted" w:sz="4" w:space="0" w:color="auto"/>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 lei</w:t>
            </w:r>
          </w:p>
        </w:tc>
        <w:tc>
          <w:tcPr>
            <w:tcW w:w="620" w:type="pct"/>
            <w:tcBorders>
              <w:bottom w:val="dotted" w:sz="4" w:space="0" w:color="auto"/>
            </w:tcBorders>
            <w:noWrap/>
            <w:vAlign w:val="bottom"/>
          </w:tcPr>
          <w:p w:rsidR="00F9496F" w:rsidRPr="00F9496F" w:rsidRDefault="00CD1F88"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2 </w:t>
            </w:r>
            <w:r w:rsidR="00934270">
              <w:rPr>
                <w:rFonts w:ascii="Times New Roman" w:eastAsia="Times New Roman" w:hAnsi="Times New Roman" w:cs="Times New Roman"/>
                <w:sz w:val="24"/>
                <w:szCs w:val="24"/>
                <w:lang w:val="ro-RO" w:eastAsia="ru-RU"/>
              </w:rPr>
              <w:t>189</w:t>
            </w:r>
            <w:r>
              <w:rPr>
                <w:rFonts w:ascii="Times New Roman" w:eastAsia="Times New Roman" w:hAnsi="Times New Roman" w:cs="Times New Roman"/>
                <w:sz w:val="24"/>
                <w:szCs w:val="24"/>
                <w:lang w:val="ro-RO" w:eastAsia="ru-RU"/>
              </w:rPr>
              <w:t>,</w:t>
            </w:r>
            <w:r w:rsidR="00934270">
              <w:rPr>
                <w:rFonts w:ascii="Times New Roman" w:eastAsia="Times New Roman" w:hAnsi="Times New Roman" w:cs="Times New Roman"/>
                <w:sz w:val="24"/>
                <w:szCs w:val="24"/>
                <w:lang w:val="ro-RO" w:eastAsia="ru-RU"/>
              </w:rPr>
              <w:t>0</w:t>
            </w:r>
          </w:p>
        </w:tc>
        <w:tc>
          <w:tcPr>
            <w:tcW w:w="542" w:type="pct"/>
            <w:tcBorders>
              <w:bottom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00CD1F88">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269</w:t>
            </w:r>
            <w:r w:rsidR="00F9496F"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p>
        </w:tc>
        <w:tc>
          <w:tcPr>
            <w:tcW w:w="602" w:type="pct"/>
            <w:tcBorders>
              <w:bottom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00CD1F88">
              <w:rPr>
                <w:rFonts w:ascii="Times New Roman" w:eastAsia="Times New Roman" w:hAnsi="Times New Roman" w:cs="Times New Roman"/>
                <w:sz w:val="24"/>
                <w:szCs w:val="24"/>
                <w:lang w:val="ro-RO" w:eastAsia="ru-RU"/>
              </w:rPr>
              <w:t> </w:t>
            </w:r>
            <w:r>
              <w:rPr>
                <w:rFonts w:ascii="Times New Roman" w:eastAsia="Times New Roman" w:hAnsi="Times New Roman" w:cs="Times New Roman"/>
                <w:sz w:val="24"/>
                <w:szCs w:val="24"/>
                <w:lang w:val="ro-RO" w:eastAsia="ru-RU"/>
              </w:rPr>
              <w:t>947</w:t>
            </w:r>
            <w:r w:rsidR="00CD1F88">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6</w:t>
            </w:r>
          </w:p>
        </w:tc>
      </w:tr>
      <w:tr w:rsidR="00F9496F" w:rsidRPr="00F9496F" w:rsidTr="004F1B6D">
        <w:trPr>
          <w:trHeight w:val="274"/>
          <w:jc w:val="center"/>
        </w:trPr>
        <w:tc>
          <w:tcPr>
            <w:tcW w:w="2274" w:type="pct"/>
            <w:tcBorders>
              <w:top w:val="dotted" w:sz="4" w:space="0" w:color="auto"/>
              <w:bottom w:val="dotted" w:sz="4" w:space="0" w:color="auto"/>
            </w:tcBorders>
            <w:noWrap/>
            <w:vAlign w:val="bottom"/>
          </w:tcPr>
          <w:p w:rsidR="00F9496F" w:rsidRPr="00F9496F" w:rsidRDefault="00F9496F" w:rsidP="004F1B6D">
            <w:pPr>
              <w:tabs>
                <w:tab w:val="left" w:pos="374"/>
              </w:tabs>
              <w:spacing w:after="0" w:line="240" w:lineRule="auto"/>
              <w:ind w:firstLine="331"/>
              <w:jc w:val="both"/>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sz w:val="24"/>
                <w:szCs w:val="24"/>
                <w:lang w:val="ro-RO" w:eastAsia="ru-RU"/>
              </w:rPr>
              <w:t xml:space="preserve">proiecte </w:t>
            </w:r>
            <w:r w:rsidR="004F1B6D">
              <w:rPr>
                <w:rFonts w:ascii="Times New Roman" w:eastAsia="Times New Roman" w:hAnsi="Times New Roman" w:cs="Times New Roman"/>
                <w:bCs/>
                <w:sz w:val="24"/>
                <w:szCs w:val="24"/>
                <w:lang w:val="ro-RO" w:eastAsia="ru-RU"/>
              </w:rPr>
              <w:t>finanţate din surse externe</w:t>
            </w:r>
          </w:p>
        </w:tc>
        <w:tc>
          <w:tcPr>
            <w:tcW w:w="963" w:type="pct"/>
            <w:tcBorders>
              <w:top w:val="dotted" w:sz="4" w:space="0" w:color="auto"/>
              <w:bottom w:val="dotted" w:sz="4" w:space="0" w:color="auto"/>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 lei</w:t>
            </w:r>
          </w:p>
        </w:tc>
        <w:tc>
          <w:tcPr>
            <w:tcW w:w="620" w:type="pct"/>
            <w:tcBorders>
              <w:top w:val="dotted" w:sz="4" w:space="0" w:color="auto"/>
              <w:bottom w:val="dotted" w:sz="4" w:space="0" w:color="auto"/>
            </w:tcBorders>
            <w:noWrap/>
            <w:vAlign w:val="bottom"/>
          </w:tcPr>
          <w:p w:rsidR="00F9496F" w:rsidRPr="00F9496F" w:rsidRDefault="00F9496F" w:rsidP="00934270">
            <w:pPr>
              <w:spacing w:after="0" w:line="240" w:lineRule="auto"/>
              <w:jc w:val="right"/>
              <w:rPr>
                <w:rFonts w:ascii="Times New Roman" w:eastAsia="Times New Roman" w:hAnsi="Times New Roman" w:cs="Times New Roman"/>
                <w:iCs/>
                <w:sz w:val="24"/>
                <w:szCs w:val="24"/>
                <w:lang w:val="ro-RO" w:eastAsia="ru-RU"/>
              </w:rPr>
            </w:pPr>
            <w:r w:rsidRPr="00F9496F">
              <w:rPr>
                <w:rFonts w:ascii="Times New Roman" w:eastAsia="Times New Roman" w:hAnsi="Times New Roman" w:cs="Times New Roman"/>
                <w:iCs/>
                <w:sz w:val="24"/>
                <w:szCs w:val="24"/>
                <w:lang w:val="ro-RO" w:eastAsia="ru-RU"/>
              </w:rPr>
              <w:t>1 </w:t>
            </w:r>
            <w:r w:rsidR="00934270">
              <w:rPr>
                <w:rFonts w:ascii="Times New Roman" w:eastAsia="Times New Roman" w:hAnsi="Times New Roman" w:cs="Times New Roman"/>
                <w:iCs/>
                <w:sz w:val="24"/>
                <w:szCs w:val="24"/>
                <w:lang w:val="ro-RO" w:eastAsia="ru-RU"/>
              </w:rPr>
              <w:t>278</w:t>
            </w:r>
            <w:r w:rsidRPr="00F9496F">
              <w:rPr>
                <w:rFonts w:ascii="Times New Roman" w:eastAsia="Times New Roman" w:hAnsi="Times New Roman" w:cs="Times New Roman"/>
                <w:iCs/>
                <w:sz w:val="24"/>
                <w:szCs w:val="24"/>
                <w:lang w:val="ro-RO" w:eastAsia="ru-RU"/>
              </w:rPr>
              <w:t>,</w:t>
            </w:r>
            <w:r w:rsidR="00934270">
              <w:rPr>
                <w:rFonts w:ascii="Times New Roman" w:eastAsia="Times New Roman" w:hAnsi="Times New Roman" w:cs="Times New Roman"/>
                <w:iCs/>
                <w:sz w:val="24"/>
                <w:szCs w:val="24"/>
                <w:lang w:val="ro-RO" w:eastAsia="ru-RU"/>
              </w:rPr>
              <w:t>7</w:t>
            </w:r>
          </w:p>
        </w:tc>
        <w:tc>
          <w:tcPr>
            <w:tcW w:w="542" w:type="pct"/>
            <w:tcBorders>
              <w:top w:val="dotted" w:sz="4" w:space="0" w:color="auto"/>
              <w:bottom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iCs/>
                <w:sz w:val="24"/>
                <w:szCs w:val="24"/>
                <w:lang w:val="ro-RO" w:eastAsia="ru-RU"/>
              </w:rPr>
            </w:pPr>
            <w:r>
              <w:rPr>
                <w:rFonts w:ascii="Times New Roman" w:eastAsia="Times New Roman" w:hAnsi="Times New Roman" w:cs="Times New Roman"/>
                <w:iCs/>
                <w:sz w:val="24"/>
                <w:szCs w:val="24"/>
                <w:lang w:val="ro-RO" w:eastAsia="ru-RU"/>
              </w:rPr>
              <w:t>1</w:t>
            </w:r>
            <w:r w:rsidR="00F9496F" w:rsidRPr="00F9496F">
              <w:rPr>
                <w:rFonts w:ascii="Times New Roman" w:eastAsia="Times New Roman" w:hAnsi="Times New Roman" w:cs="Times New Roman"/>
                <w:iCs/>
                <w:sz w:val="24"/>
                <w:szCs w:val="24"/>
                <w:lang w:val="ro-RO" w:eastAsia="ru-RU"/>
              </w:rPr>
              <w:t> </w:t>
            </w:r>
            <w:r>
              <w:rPr>
                <w:rFonts w:ascii="Times New Roman" w:eastAsia="Times New Roman" w:hAnsi="Times New Roman" w:cs="Times New Roman"/>
                <w:iCs/>
                <w:sz w:val="24"/>
                <w:szCs w:val="24"/>
                <w:lang w:val="ro-RO" w:eastAsia="ru-RU"/>
              </w:rPr>
              <w:t>621</w:t>
            </w:r>
            <w:r w:rsidR="00F9496F" w:rsidRPr="00F9496F">
              <w:rPr>
                <w:rFonts w:ascii="Times New Roman" w:eastAsia="Times New Roman" w:hAnsi="Times New Roman" w:cs="Times New Roman"/>
                <w:iCs/>
                <w:sz w:val="24"/>
                <w:szCs w:val="24"/>
                <w:lang w:val="ro-RO" w:eastAsia="ru-RU"/>
              </w:rPr>
              <w:t>,</w:t>
            </w:r>
            <w:r>
              <w:rPr>
                <w:rFonts w:ascii="Times New Roman" w:eastAsia="Times New Roman" w:hAnsi="Times New Roman" w:cs="Times New Roman"/>
                <w:iCs/>
                <w:sz w:val="24"/>
                <w:szCs w:val="24"/>
                <w:lang w:val="ro-RO" w:eastAsia="ru-RU"/>
              </w:rPr>
              <w:t>9</w:t>
            </w:r>
          </w:p>
        </w:tc>
        <w:tc>
          <w:tcPr>
            <w:tcW w:w="602" w:type="pct"/>
            <w:tcBorders>
              <w:top w:val="dotted" w:sz="4" w:space="0" w:color="auto"/>
              <w:bottom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iCs/>
                <w:sz w:val="24"/>
                <w:szCs w:val="24"/>
                <w:lang w:val="ro-RO" w:eastAsia="ru-RU"/>
              </w:rPr>
            </w:pPr>
            <w:r>
              <w:rPr>
                <w:rFonts w:ascii="Times New Roman" w:eastAsia="Times New Roman" w:hAnsi="Times New Roman" w:cs="Times New Roman"/>
                <w:iCs/>
                <w:sz w:val="24"/>
                <w:szCs w:val="24"/>
                <w:lang w:val="ro-RO" w:eastAsia="ru-RU"/>
              </w:rPr>
              <w:t>2</w:t>
            </w:r>
            <w:r w:rsidR="00F9496F" w:rsidRPr="00F9496F">
              <w:rPr>
                <w:rFonts w:ascii="Times New Roman" w:eastAsia="Times New Roman" w:hAnsi="Times New Roman" w:cs="Times New Roman"/>
                <w:iCs/>
                <w:sz w:val="24"/>
                <w:szCs w:val="24"/>
                <w:lang w:val="ro-RO" w:eastAsia="ru-RU"/>
              </w:rPr>
              <w:t> </w:t>
            </w:r>
            <w:r>
              <w:rPr>
                <w:rFonts w:ascii="Times New Roman" w:eastAsia="Times New Roman" w:hAnsi="Times New Roman" w:cs="Times New Roman"/>
                <w:iCs/>
                <w:sz w:val="24"/>
                <w:szCs w:val="24"/>
                <w:lang w:val="ro-RO" w:eastAsia="ru-RU"/>
              </w:rPr>
              <w:t>378</w:t>
            </w:r>
            <w:r w:rsidR="00F9496F" w:rsidRPr="00F9496F">
              <w:rPr>
                <w:rFonts w:ascii="Times New Roman" w:eastAsia="Times New Roman" w:hAnsi="Times New Roman" w:cs="Times New Roman"/>
                <w:iCs/>
                <w:sz w:val="24"/>
                <w:szCs w:val="24"/>
                <w:lang w:val="ro-RO" w:eastAsia="ru-RU"/>
              </w:rPr>
              <w:t>,</w:t>
            </w:r>
            <w:r>
              <w:rPr>
                <w:rFonts w:ascii="Times New Roman" w:eastAsia="Times New Roman" w:hAnsi="Times New Roman" w:cs="Times New Roman"/>
                <w:iCs/>
                <w:sz w:val="24"/>
                <w:szCs w:val="24"/>
                <w:lang w:val="ro-RO" w:eastAsia="ru-RU"/>
              </w:rPr>
              <w:t>7</w:t>
            </w:r>
          </w:p>
        </w:tc>
      </w:tr>
      <w:tr w:rsidR="00F9496F" w:rsidRPr="00F9496F" w:rsidTr="004F1B6D">
        <w:trPr>
          <w:trHeight w:val="244"/>
          <w:jc w:val="center"/>
        </w:trPr>
        <w:tc>
          <w:tcPr>
            <w:tcW w:w="2274" w:type="pct"/>
            <w:tcBorders>
              <w:top w:val="dotted" w:sz="4" w:space="0" w:color="auto"/>
            </w:tcBorders>
            <w:noWrap/>
            <w:vAlign w:val="bottom"/>
          </w:tcPr>
          <w:p w:rsidR="00F9496F" w:rsidRPr="00F9496F" w:rsidRDefault="00F9496F" w:rsidP="004F1B6D">
            <w:pPr>
              <w:spacing w:after="0" w:line="240" w:lineRule="auto"/>
              <w:ind w:firstLine="331"/>
              <w:jc w:val="both"/>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sz w:val="24"/>
                <w:szCs w:val="24"/>
                <w:lang w:val="ro-RO" w:eastAsia="ru-RU"/>
              </w:rPr>
              <w:t>suport bugetar</w:t>
            </w:r>
          </w:p>
        </w:tc>
        <w:tc>
          <w:tcPr>
            <w:tcW w:w="963" w:type="pct"/>
            <w:tcBorders>
              <w:top w:val="dotted" w:sz="4" w:space="0" w:color="auto"/>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 lei</w:t>
            </w:r>
          </w:p>
        </w:tc>
        <w:tc>
          <w:tcPr>
            <w:tcW w:w="620" w:type="pct"/>
            <w:tcBorders>
              <w:top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iCs/>
                <w:sz w:val="24"/>
                <w:szCs w:val="24"/>
                <w:lang w:val="ro-RO" w:eastAsia="ru-RU"/>
              </w:rPr>
            </w:pPr>
            <w:r>
              <w:rPr>
                <w:rFonts w:ascii="Times New Roman" w:eastAsia="Times New Roman" w:hAnsi="Times New Roman" w:cs="Times New Roman"/>
                <w:iCs/>
                <w:sz w:val="24"/>
                <w:szCs w:val="24"/>
                <w:lang w:val="ro-RO" w:eastAsia="ru-RU"/>
              </w:rPr>
              <w:t>910</w:t>
            </w:r>
            <w:r w:rsidR="00CD1F88">
              <w:rPr>
                <w:rFonts w:ascii="Times New Roman" w:eastAsia="Times New Roman" w:hAnsi="Times New Roman" w:cs="Times New Roman"/>
                <w:iCs/>
                <w:sz w:val="24"/>
                <w:szCs w:val="24"/>
                <w:lang w:val="ro-RO" w:eastAsia="ru-RU"/>
              </w:rPr>
              <w:t>,</w:t>
            </w:r>
            <w:r>
              <w:rPr>
                <w:rFonts w:ascii="Times New Roman" w:eastAsia="Times New Roman" w:hAnsi="Times New Roman" w:cs="Times New Roman"/>
                <w:iCs/>
                <w:sz w:val="24"/>
                <w:szCs w:val="24"/>
                <w:lang w:val="ro-RO" w:eastAsia="ru-RU"/>
              </w:rPr>
              <w:t>3</w:t>
            </w:r>
          </w:p>
        </w:tc>
        <w:tc>
          <w:tcPr>
            <w:tcW w:w="542" w:type="pct"/>
            <w:tcBorders>
              <w:top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iCs/>
                <w:sz w:val="24"/>
                <w:szCs w:val="24"/>
                <w:lang w:val="ro-RO" w:eastAsia="ru-RU"/>
              </w:rPr>
            </w:pPr>
            <w:r>
              <w:rPr>
                <w:rFonts w:ascii="Times New Roman" w:eastAsia="Times New Roman" w:hAnsi="Times New Roman" w:cs="Times New Roman"/>
                <w:iCs/>
                <w:sz w:val="24"/>
                <w:szCs w:val="24"/>
                <w:lang w:val="ro-RO" w:eastAsia="ru-RU"/>
              </w:rPr>
              <w:t>647</w:t>
            </w:r>
            <w:r w:rsidR="00CD1F88">
              <w:rPr>
                <w:rFonts w:ascii="Times New Roman" w:eastAsia="Times New Roman" w:hAnsi="Times New Roman" w:cs="Times New Roman"/>
                <w:iCs/>
                <w:sz w:val="24"/>
                <w:szCs w:val="24"/>
                <w:lang w:val="ro-RO" w:eastAsia="ru-RU"/>
              </w:rPr>
              <w:t>,</w:t>
            </w:r>
            <w:r>
              <w:rPr>
                <w:rFonts w:ascii="Times New Roman" w:eastAsia="Times New Roman" w:hAnsi="Times New Roman" w:cs="Times New Roman"/>
                <w:iCs/>
                <w:sz w:val="24"/>
                <w:szCs w:val="24"/>
                <w:lang w:val="ro-RO" w:eastAsia="ru-RU"/>
              </w:rPr>
              <w:t>5</w:t>
            </w:r>
          </w:p>
        </w:tc>
        <w:tc>
          <w:tcPr>
            <w:tcW w:w="602" w:type="pct"/>
            <w:tcBorders>
              <w:top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iCs/>
                <w:sz w:val="24"/>
                <w:szCs w:val="24"/>
                <w:lang w:val="ro-RO" w:eastAsia="ru-RU"/>
              </w:rPr>
            </w:pPr>
            <w:r>
              <w:rPr>
                <w:rFonts w:ascii="Times New Roman" w:eastAsia="Times New Roman" w:hAnsi="Times New Roman" w:cs="Times New Roman"/>
                <w:iCs/>
                <w:sz w:val="24"/>
                <w:szCs w:val="24"/>
                <w:lang w:val="ro-RO" w:eastAsia="ru-RU"/>
              </w:rPr>
              <w:t>568</w:t>
            </w:r>
            <w:r w:rsidR="00CD1F88">
              <w:rPr>
                <w:rFonts w:ascii="Times New Roman" w:eastAsia="Times New Roman" w:hAnsi="Times New Roman" w:cs="Times New Roman"/>
                <w:iCs/>
                <w:sz w:val="24"/>
                <w:szCs w:val="24"/>
                <w:lang w:val="ro-RO" w:eastAsia="ru-RU"/>
              </w:rPr>
              <w:t>,</w:t>
            </w:r>
            <w:r>
              <w:rPr>
                <w:rFonts w:ascii="Times New Roman" w:eastAsia="Times New Roman" w:hAnsi="Times New Roman" w:cs="Times New Roman"/>
                <w:iCs/>
                <w:sz w:val="24"/>
                <w:szCs w:val="24"/>
                <w:lang w:val="ro-RO" w:eastAsia="ru-RU"/>
              </w:rPr>
              <w:t>9</w:t>
            </w:r>
          </w:p>
        </w:tc>
      </w:tr>
      <w:tr w:rsidR="00F9496F" w:rsidRPr="00F9496F" w:rsidTr="004F1B6D">
        <w:trPr>
          <w:trHeight w:val="285"/>
          <w:jc w:val="center"/>
        </w:trPr>
        <w:tc>
          <w:tcPr>
            <w:tcW w:w="2274" w:type="pct"/>
            <w:noWrap/>
            <w:vAlign w:val="bottom"/>
          </w:tcPr>
          <w:p w:rsidR="00F9496F" w:rsidRPr="00F9496F" w:rsidDel="00914CE3" w:rsidRDefault="00F9496F" w:rsidP="00F9496F">
            <w:pPr>
              <w:spacing w:after="0" w:line="240" w:lineRule="auto"/>
              <w:jc w:val="both"/>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iCs/>
                <w:sz w:val="24"/>
                <w:szCs w:val="24"/>
                <w:lang w:val="ro-RO" w:eastAsia="ru-RU"/>
              </w:rPr>
              <w:t>2. Rambursarea sumei principale</w:t>
            </w:r>
          </w:p>
        </w:tc>
        <w:tc>
          <w:tcPr>
            <w:tcW w:w="963" w:type="pct"/>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 lei</w:t>
            </w:r>
          </w:p>
        </w:tc>
        <w:tc>
          <w:tcPr>
            <w:tcW w:w="620" w:type="pct"/>
            <w:noWrap/>
            <w:vAlign w:val="bottom"/>
          </w:tcPr>
          <w:p w:rsidR="00F9496F" w:rsidRPr="00F9496F" w:rsidRDefault="00CD1F88"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sidR="00934270">
              <w:rPr>
                <w:rFonts w:ascii="Times New Roman" w:eastAsia="Times New Roman" w:hAnsi="Times New Roman" w:cs="Times New Roman"/>
                <w:sz w:val="24"/>
                <w:szCs w:val="24"/>
                <w:lang w:val="ro-RO" w:eastAsia="ru-RU"/>
              </w:rPr>
              <w:t>32</w:t>
            </w:r>
            <w:r>
              <w:rPr>
                <w:rFonts w:ascii="Times New Roman" w:eastAsia="Times New Roman" w:hAnsi="Times New Roman" w:cs="Times New Roman"/>
                <w:sz w:val="24"/>
                <w:szCs w:val="24"/>
                <w:lang w:val="ro-RO" w:eastAsia="ru-RU"/>
              </w:rPr>
              <w:t>,</w:t>
            </w:r>
            <w:r w:rsidR="00934270">
              <w:rPr>
                <w:rFonts w:ascii="Times New Roman" w:eastAsia="Times New Roman" w:hAnsi="Times New Roman" w:cs="Times New Roman"/>
                <w:sz w:val="24"/>
                <w:szCs w:val="24"/>
                <w:lang w:val="ro-RO" w:eastAsia="ru-RU"/>
              </w:rPr>
              <w:t>3</w:t>
            </w:r>
          </w:p>
        </w:tc>
        <w:tc>
          <w:tcPr>
            <w:tcW w:w="542" w:type="pct"/>
            <w:noWrap/>
            <w:vAlign w:val="bottom"/>
          </w:tcPr>
          <w:p w:rsidR="00F9496F" w:rsidRPr="00F9496F" w:rsidRDefault="00934270"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604</w:t>
            </w:r>
            <w:r w:rsidR="00CD1F88">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7</w:t>
            </w:r>
          </w:p>
        </w:tc>
        <w:tc>
          <w:tcPr>
            <w:tcW w:w="602" w:type="pct"/>
            <w:noWrap/>
            <w:vAlign w:val="bottom"/>
          </w:tcPr>
          <w:p w:rsidR="00F9496F" w:rsidRPr="00F9496F" w:rsidRDefault="00934270"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663</w:t>
            </w:r>
            <w:r w:rsidR="00CD1F88">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p>
        </w:tc>
      </w:tr>
      <w:tr w:rsidR="00F9496F" w:rsidRPr="00F9496F" w:rsidTr="004F1B6D">
        <w:trPr>
          <w:trHeight w:val="207"/>
          <w:jc w:val="center"/>
        </w:trPr>
        <w:tc>
          <w:tcPr>
            <w:tcW w:w="2274" w:type="pct"/>
            <w:noWrap/>
            <w:vAlign w:val="bottom"/>
          </w:tcPr>
          <w:p w:rsidR="00F9496F" w:rsidRPr="004F1B6D" w:rsidRDefault="00F9496F" w:rsidP="00F9496F">
            <w:pPr>
              <w:spacing w:after="0" w:line="240" w:lineRule="auto"/>
              <w:jc w:val="both"/>
              <w:rPr>
                <w:rFonts w:ascii="Times New Roman" w:eastAsia="Times New Roman" w:hAnsi="Times New Roman" w:cs="Times New Roman"/>
                <w:bCs/>
                <w:i/>
                <w:iCs/>
                <w:sz w:val="24"/>
                <w:szCs w:val="24"/>
                <w:lang w:val="ro-RO" w:eastAsia="ru-RU"/>
              </w:rPr>
            </w:pPr>
            <w:r w:rsidRPr="004F1B6D">
              <w:rPr>
                <w:rFonts w:ascii="Times New Roman" w:eastAsia="Times New Roman" w:hAnsi="Times New Roman" w:cs="Times New Roman"/>
                <w:bCs/>
                <w:i/>
                <w:iCs/>
                <w:sz w:val="24"/>
                <w:szCs w:val="24"/>
                <w:lang w:val="ro-RO" w:eastAsia="ru-RU"/>
              </w:rPr>
              <w:t>Finanţarea externă netă</w:t>
            </w:r>
          </w:p>
        </w:tc>
        <w:tc>
          <w:tcPr>
            <w:tcW w:w="963" w:type="pct"/>
            <w:noWrap/>
            <w:vAlign w:val="bottom"/>
          </w:tcPr>
          <w:p w:rsidR="00F9496F" w:rsidRPr="004F1B6D" w:rsidRDefault="00F9496F" w:rsidP="00183D41">
            <w:pPr>
              <w:spacing w:after="0" w:line="240" w:lineRule="auto"/>
              <w:jc w:val="center"/>
              <w:rPr>
                <w:rFonts w:ascii="Times New Roman" w:eastAsia="Times New Roman" w:hAnsi="Times New Roman" w:cs="Times New Roman"/>
                <w:i/>
                <w:sz w:val="24"/>
                <w:szCs w:val="24"/>
                <w:lang w:val="ro-RO" w:eastAsia="ru-RU"/>
              </w:rPr>
            </w:pPr>
            <w:r w:rsidRPr="004F1B6D">
              <w:rPr>
                <w:rFonts w:ascii="Times New Roman" w:eastAsia="Times New Roman" w:hAnsi="Times New Roman" w:cs="Times New Roman"/>
                <w:i/>
                <w:sz w:val="24"/>
                <w:szCs w:val="24"/>
                <w:lang w:val="ro-RO" w:eastAsia="ru-RU"/>
              </w:rPr>
              <w:t>mil. dolari SUA</w:t>
            </w:r>
          </w:p>
        </w:tc>
        <w:tc>
          <w:tcPr>
            <w:tcW w:w="620" w:type="pct"/>
            <w:noWrap/>
            <w:vAlign w:val="bottom"/>
          </w:tcPr>
          <w:p w:rsidR="00F9496F" w:rsidRPr="004F1B6D" w:rsidRDefault="00934270" w:rsidP="00183D41">
            <w:pPr>
              <w:spacing w:after="0" w:line="240" w:lineRule="auto"/>
              <w:jc w:val="right"/>
              <w:rPr>
                <w:rFonts w:ascii="Times New Roman" w:eastAsia="Times New Roman" w:hAnsi="Times New Roman" w:cs="Times New Roman"/>
                <w:i/>
                <w:iCs/>
                <w:sz w:val="24"/>
                <w:szCs w:val="24"/>
                <w:lang w:val="ro-RO" w:eastAsia="ru-RU"/>
              </w:rPr>
            </w:pPr>
            <w:r>
              <w:rPr>
                <w:rFonts w:ascii="Times New Roman" w:eastAsia="Times New Roman" w:hAnsi="Times New Roman" w:cs="Times New Roman"/>
                <w:i/>
                <w:iCs/>
                <w:sz w:val="24"/>
                <w:szCs w:val="24"/>
                <w:lang w:val="ro-RO" w:eastAsia="ru-RU"/>
              </w:rPr>
              <w:t>119</w:t>
            </w:r>
            <w:r w:rsidR="00CD1F88">
              <w:rPr>
                <w:rFonts w:ascii="Times New Roman" w:eastAsia="Times New Roman" w:hAnsi="Times New Roman" w:cs="Times New Roman"/>
                <w:i/>
                <w:iCs/>
                <w:sz w:val="24"/>
                <w:szCs w:val="24"/>
                <w:lang w:val="ro-RO" w:eastAsia="ru-RU"/>
              </w:rPr>
              <w:t>,2</w:t>
            </w:r>
          </w:p>
        </w:tc>
        <w:tc>
          <w:tcPr>
            <w:tcW w:w="542" w:type="pct"/>
            <w:noWrap/>
            <w:vAlign w:val="bottom"/>
          </w:tcPr>
          <w:p w:rsidR="00F9496F" w:rsidRPr="004F1B6D" w:rsidRDefault="00934270" w:rsidP="008C13FF">
            <w:pPr>
              <w:spacing w:after="0" w:line="240" w:lineRule="auto"/>
              <w:jc w:val="right"/>
              <w:rPr>
                <w:rFonts w:ascii="Times New Roman" w:eastAsia="Times New Roman" w:hAnsi="Times New Roman" w:cs="Times New Roman"/>
                <w:i/>
                <w:iCs/>
                <w:sz w:val="24"/>
                <w:szCs w:val="24"/>
                <w:lang w:val="ro-RO" w:eastAsia="ru-RU"/>
              </w:rPr>
            </w:pPr>
            <w:r>
              <w:rPr>
                <w:rFonts w:ascii="Times New Roman" w:eastAsia="Times New Roman" w:hAnsi="Times New Roman" w:cs="Times New Roman"/>
                <w:i/>
                <w:iCs/>
                <w:sz w:val="24"/>
                <w:szCs w:val="24"/>
                <w:lang w:val="ro-RO" w:eastAsia="ru-RU"/>
              </w:rPr>
              <w:t>128</w:t>
            </w:r>
            <w:r w:rsidR="00CD1F88">
              <w:rPr>
                <w:rFonts w:ascii="Times New Roman" w:eastAsia="Times New Roman" w:hAnsi="Times New Roman" w:cs="Times New Roman"/>
                <w:i/>
                <w:iCs/>
                <w:sz w:val="24"/>
                <w:szCs w:val="24"/>
                <w:lang w:val="ro-RO" w:eastAsia="ru-RU"/>
              </w:rPr>
              <w:t>,</w:t>
            </w:r>
            <w:r w:rsidR="008C13FF">
              <w:rPr>
                <w:rFonts w:ascii="Times New Roman" w:eastAsia="Times New Roman" w:hAnsi="Times New Roman" w:cs="Times New Roman"/>
                <w:i/>
                <w:iCs/>
                <w:sz w:val="24"/>
                <w:szCs w:val="24"/>
                <w:lang w:val="ro-RO" w:eastAsia="ru-RU"/>
              </w:rPr>
              <w:t>5</w:t>
            </w:r>
          </w:p>
        </w:tc>
        <w:tc>
          <w:tcPr>
            <w:tcW w:w="602" w:type="pct"/>
            <w:noWrap/>
            <w:vAlign w:val="bottom"/>
          </w:tcPr>
          <w:p w:rsidR="00F9496F" w:rsidRPr="004F1B6D" w:rsidRDefault="00934270" w:rsidP="00934270">
            <w:pPr>
              <w:spacing w:after="0" w:line="240" w:lineRule="auto"/>
              <w:jc w:val="right"/>
              <w:rPr>
                <w:rFonts w:ascii="Times New Roman" w:eastAsia="Times New Roman" w:hAnsi="Times New Roman" w:cs="Times New Roman"/>
                <w:i/>
                <w:iCs/>
                <w:sz w:val="24"/>
                <w:szCs w:val="24"/>
                <w:lang w:val="ro-RO" w:eastAsia="ru-RU"/>
              </w:rPr>
            </w:pPr>
            <w:r>
              <w:rPr>
                <w:rFonts w:ascii="Times New Roman" w:eastAsia="Times New Roman" w:hAnsi="Times New Roman" w:cs="Times New Roman"/>
                <w:i/>
                <w:iCs/>
                <w:sz w:val="24"/>
                <w:szCs w:val="24"/>
                <w:lang w:val="ro-RO" w:eastAsia="ru-RU"/>
              </w:rPr>
              <w:t>176</w:t>
            </w:r>
            <w:r w:rsidR="00CD1F88">
              <w:rPr>
                <w:rFonts w:ascii="Times New Roman" w:eastAsia="Times New Roman" w:hAnsi="Times New Roman" w:cs="Times New Roman"/>
                <w:i/>
                <w:iCs/>
                <w:sz w:val="24"/>
                <w:szCs w:val="24"/>
                <w:lang w:val="ro-RO" w:eastAsia="ru-RU"/>
              </w:rPr>
              <w:t>,</w:t>
            </w:r>
            <w:r>
              <w:rPr>
                <w:rFonts w:ascii="Times New Roman" w:eastAsia="Times New Roman" w:hAnsi="Times New Roman" w:cs="Times New Roman"/>
                <w:i/>
                <w:iCs/>
                <w:sz w:val="24"/>
                <w:szCs w:val="24"/>
                <w:lang w:val="ro-RO" w:eastAsia="ru-RU"/>
              </w:rPr>
              <w:t>7</w:t>
            </w:r>
          </w:p>
        </w:tc>
      </w:tr>
      <w:tr w:rsidR="00F9496F" w:rsidRPr="00F9496F" w:rsidTr="004F1B6D">
        <w:trPr>
          <w:trHeight w:val="207"/>
          <w:jc w:val="center"/>
        </w:trPr>
        <w:tc>
          <w:tcPr>
            <w:tcW w:w="2274" w:type="pct"/>
            <w:tcBorders>
              <w:bottom w:val="dotted" w:sz="4" w:space="0" w:color="auto"/>
            </w:tcBorders>
            <w:noWrap/>
            <w:vAlign w:val="bottom"/>
          </w:tcPr>
          <w:p w:rsidR="00F9496F" w:rsidRPr="00F9496F" w:rsidRDefault="004F1B6D" w:rsidP="004F1B6D">
            <w:pPr>
              <w:tabs>
                <w:tab w:val="left" w:pos="331"/>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1. </w:t>
            </w:r>
            <w:r w:rsidR="00F9496F" w:rsidRPr="00F9496F">
              <w:rPr>
                <w:rFonts w:ascii="Times New Roman" w:eastAsia="Times New Roman" w:hAnsi="Times New Roman" w:cs="Times New Roman"/>
                <w:sz w:val="24"/>
                <w:szCs w:val="24"/>
                <w:lang w:val="ro-RO" w:eastAsia="ru-RU"/>
              </w:rPr>
              <w:t>Intrări de împrumuturi de stat externe, inclusiv:</w:t>
            </w:r>
          </w:p>
        </w:tc>
        <w:tc>
          <w:tcPr>
            <w:tcW w:w="963" w:type="pct"/>
            <w:tcBorders>
              <w:bottom w:val="dotted" w:sz="4" w:space="0" w:color="auto"/>
            </w:tcBorders>
            <w:noWrap/>
            <w:vAlign w:val="bottom"/>
          </w:tcPr>
          <w:p w:rsidR="00F9496F" w:rsidRPr="00F9496F" w:rsidRDefault="00183D41"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 dolari SUA</w:t>
            </w:r>
          </w:p>
        </w:tc>
        <w:tc>
          <w:tcPr>
            <w:tcW w:w="620" w:type="pct"/>
            <w:tcBorders>
              <w:bottom w:val="dotted" w:sz="4" w:space="0" w:color="auto"/>
            </w:tcBorders>
            <w:noWrap/>
            <w:vAlign w:val="bottom"/>
          </w:tcPr>
          <w:p w:rsidR="00F9496F" w:rsidRPr="00F9496F" w:rsidRDefault="00934270"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167</w:t>
            </w:r>
            <w:r w:rsidR="00CD1F88">
              <w:rPr>
                <w:rFonts w:ascii="Times New Roman" w:eastAsia="Times New Roman" w:hAnsi="Times New Roman" w:cs="Times New Roman"/>
                <w:sz w:val="24"/>
                <w:szCs w:val="24"/>
                <w:lang w:val="ro-RO" w:eastAsia="ru-RU"/>
              </w:rPr>
              <w:t>,6</w:t>
            </w:r>
          </w:p>
        </w:tc>
        <w:tc>
          <w:tcPr>
            <w:tcW w:w="542" w:type="pct"/>
            <w:tcBorders>
              <w:bottom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175</w:t>
            </w:r>
            <w:r w:rsidR="00F9496F"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p>
        </w:tc>
        <w:tc>
          <w:tcPr>
            <w:tcW w:w="602" w:type="pct"/>
            <w:tcBorders>
              <w:bottom w:val="dotted" w:sz="4" w:space="0" w:color="auto"/>
            </w:tcBorders>
            <w:noWrap/>
            <w:vAlign w:val="bottom"/>
          </w:tcPr>
          <w:p w:rsidR="00F9496F" w:rsidRPr="00F9496F" w:rsidRDefault="00CD1F88"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r w:rsidR="00934270">
              <w:rPr>
                <w:rFonts w:ascii="Times New Roman" w:eastAsia="Times New Roman" w:hAnsi="Times New Roman" w:cs="Times New Roman"/>
                <w:sz w:val="24"/>
                <w:szCs w:val="24"/>
                <w:lang w:val="ro-RO" w:eastAsia="ru-RU"/>
              </w:rPr>
              <w:t>28</w:t>
            </w:r>
            <w:r>
              <w:rPr>
                <w:rFonts w:ascii="Times New Roman" w:eastAsia="Times New Roman" w:hAnsi="Times New Roman" w:cs="Times New Roman"/>
                <w:sz w:val="24"/>
                <w:szCs w:val="24"/>
                <w:lang w:val="ro-RO" w:eastAsia="ru-RU"/>
              </w:rPr>
              <w:t>,</w:t>
            </w:r>
            <w:r w:rsidR="00934270">
              <w:rPr>
                <w:rFonts w:ascii="Times New Roman" w:eastAsia="Times New Roman" w:hAnsi="Times New Roman" w:cs="Times New Roman"/>
                <w:sz w:val="24"/>
                <w:szCs w:val="24"/>
                <w:lang w:val="ro-RO" w:eastAsia="ru-RU"/>
              </w:rPr>
              <w:t>0</w:t>
            </w:r>
          </w:p>
        </w:tc>
      </w:tr>
      <w:tr w:rsidR="00F9496F" w:rsidRPr="00F9496F" w:rsidTr="004F1B6D">
        <w:trPr>
          <w:trHeight w:val="86"/>
          <w:jc w:val="center"/>
        </w:trPr>
        <w:tc>
          <w:tcPr>
            <w:tcW w:w="2274" w:type="pct"/>
            <w:tcBorders>
              <w:top w:val="dotted" w:sz="4" w:space="0" w:color="auto"/>
              <w:bottom w:val="dotted" w:sz="4" w:space="0" w:color="auto"/>
            </w:tcBorders>
            <w:noWrap/>
            <w:vAlign w:val="bottom"/>
          </w:tcPr>
          <w:p w:rsidR="00F9496F" w:rsidRPr="00F9496F" w:rsidRDefault="004F1B6D" w:rsidP="004F1B6D">
            <w:pPr>
              <w:tabs>
                <w:tab w:val="left" w:pos="374"/>
              </w:tabs>
              <w:spacing w:after="0" w:line="240" w:lineRule="auto"/>
              <w:ind w:firstLine="331"/>
              <w:jc w:val="both"/>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sz w:val="24"/>
                <w:szCs w:val="24"/>
                <w:lang w:val="ro-RO" w:eastAsia="ru-RU"/>
              </w:rPr>
              <w:t xml:space="preserve">proiecte </w:t>
            </w:r>
            <w:r>
              <w:rPr>
                <w:rFonts w:ascii="Times New Roman" w:eastAsia="Times New Roman" w:hAnsi="Times New Roman" w:cs="Times New Roman"/>
                <w:bCs/>
                <w:sz w:val="24"/>
                <w:szCs w:val="24"/>
                <w:lang w:val="ro-RO" w:eastAsia="ru-RU"/>
              </w:rPr>
              <w:t>finanţate din surse externe</w:t>
            </w:r>
          </w:p>
        </w:tc>
        <w:tc>
          <w:tcPr>
            <w:tcW w:w="963" w:type="pct"/>
            <w:tcBorders>
              <w:top w:val="dotted" w:sz="4" w:space="0" w:color="auto"/>
              <w:bottom w:val="dotted" w:sz="4" w:space="0" w:color="auto"/>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 dolari SUA</w:t>
            </w:r>
          </w:p>
        </w:tc>
        <w:tc>
          <w:tcPr>
            <w:tcW w:w="620" w:type="pct"/>
            <w:tcBorders>
              <w:top w:val="dotted" w:sz="4" w:space="0" w:color="auto"/>
              <w:bottom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iCs/>
                <w:sz w:val="24"/>
                <w:szCs w:val="24"/>
                <w:lang w:val="ro-RO" w:eastAsia="ru-RU"/>
              </w:rPr>
            </w:pPr>
            <w:r>
              <w:rPr>
                <w:rFonts w:ascii="Times New Roman" w:eastAsia="Times New Roman" w:hAnsi="Times New Roman" w:cs="Times New Roman"/>
                <w:iCs/>
                <w:sz w:val="24"/>
                <w:szCs w:val="24"/>
                <w:lang w:val="ro-RO" w:eastAsia="ru-RU"/>
              </w:rPr>
              <w:t>97</w:t>
            </w:r>
            <w:r w:rsidR="00CD1F88">
              <w:rPr>
                <w:rFonts w:ascii="Times New Roman" w:eastAsia="Times New Roman" w:hAnsi="Times New Roman" w:cs="Times New Roman"/>
                <w:iCs/>
                <w:sz w:val="24"/>
                <w:szCs w:val="24"/>
                <w:lang w:val="ro-RO" w:eastAsia="ru-RU"/>
              </w:rPr>
              <w:t>,</w:t>
            </w:r>
            <w:r>
              <w:rPr>
                <w:rFonts w:ascii="Times New Roman" w:eastAsia="Times New Roman" w:hAnsi="Times New Roman" w:cs="Times New Roman"/>
                <w:iCs/>
                <w:sz w:val="24"/>
                <w:szCs w:val="24"/>
                <w:lang w:val="ro-RO" w:eastAsia="ru-RU"/>
              </w:rPr>
              <w:t>9</w:t>
            </w:r>
          </w:p>
        </w:tc>
        <w:tc>
          <w:tcPr>
            <w:tcW w:w="542" w:type="pct"/>
            <w:tcBorders>
              <w:top w:val="dotted" w:sz="4" w:space="0" w:color="auto"/>
              <w:bottom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iCs/>
                <w:sz w:val="24"/>
                <w:szCs w:val="24"/>
                <w:lang w:val="ro-RO" w:eastAsia="ru-RU"/>
              </w:rPr>
            </w:pPr>
            <w:r>
              <w:rPr>
                <w:rFonts w:ascii="Times New Roman" w:eastAsia="Times New Roman" w:hAnsi="Times New Roman" w:cs="Times New Roman"/>
                <w:iCs/>
                <w:sz w:val="24"/>
                <w:szCs w:val="24"/>
                <w:lang w:val="ro-RO" w:eastAsia="ru-RU"/>
              </w:rPr>
              <w:t>125</w:t>
            </w:r>
            <w:r w:rsidR="00CD1F88">
              <w:rPr>
                <w:rFonts w:ascii="Times New Roman" w:eastAsia="Times New Roman" w:hAnsi="Times New Roman" w:cs="Times New Roman"/>
                <w:iCs/>
                <w:sz w:val="24"/>
                <w:szCs w:val="24"/>
                <w:lang w:val="ro-RO" w:eastAsia="ru-RU"/>
              </w:rPr>
              <w:t>,</w:t>
            </w:r>
            <w:r>
              <w:rPr>
                <w:rFonts w:ascii="Times New Roman" w:eastAsia="Times New Roman" w:hAnsi="Times New Roman" w:cs="Times New Roman"/>
                <w:iCs/>
                <w:sz w:val="24"/>
                <w:szCs w:val="24"/>
                <w:lang w:val="ro-RO" w:eastAsia="ru-RU"/>
              </w:rPr>
              <w:t>2</w:t>
            </w:r>
          </w:p>
        </w:tc>
        <w:tc>
          <w:tcPr>
            <w:tcW w:w="602" w:type="pct"/>
            <w:tcBorders>
              <w:top w:val="dotted" w:sz="4" w:space="0" w:color="auto"/>
              <w:bottom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iCs/>
                <w:sz w:val="24"/>
                <w:szCs w:val="24"/>
                <w:lang w:val="ro-RO" w:eastAsia="ru-RU"/>
              </w:rPr>
            </w:pPr>
            <w:r>
              <w:rPr>
                <w:rFonts w:ascii="Times New Roman" w:eastAsia="Times New Roman" w:hAnsi="Times New Roman" w:cs="Times New Roman"/>
                <w:iCs/>
                <w:sz w:val="24"/>
                <w:szCs w:val="24"/>
                <w:lang w:val="ro-RO" w:eastAsia="ru-RU"/>
              </w:rPr>
              <w:t>184</w:t>
            </w:r>
            <w:r w:rsidR="00CD1F88">
              <w:rPr>
                <w:rFonts w:ascii="Times New Roman" w:eastAsia="Times New Roman" w:hAnsi="Times New Roman" w:cs="Times New Roman"/>
                <w:iCs/>
                <w:sz w:val="24"/>
                <w:szCs w:val="24"/>
                <w:lang w:val="ro-RO" w:eastAsia="ru-RU"/>
              </w:rPr>
              <w:t>,</w:t>
            </w:r>
            <w:r>
              <w:rPr>
                <w:rFonts w:ascii="Times New Roman" w:eastAsia="Times New Roman" w:hAnsi="Times New Roman" w:cs="Times New Roman"/>
                <w:iCs/>
                <w:sz w:val="24"/>
                <w:szCs w:val="24"/>
                <w:lang w:val="ro-RO" w:eastAsia="ru-RU"/>
              </w:rPr>
              <w:t>0</w:t>
            </w:r>
          </w:p>
        </w:tc>
      </w:tr>
      <w:tr w:rsidR="00F9496F" w:rsidRPr="00F9496F" w:rsidTr="004F1B6D">
        <w:trPr>
          <w:trHeight w:val="188"/>
          <w:jc w:val="center"/>
        </w:trPr>
        <w:tc>
          <w:tcPr>
            <w:tcW w:w="2274" w:type="pct"/>
            <w:tcBorders>
              <w:top w:val="dotted" w:sz="4" w:space="0" w:color="auto"/>
            </w:tcBorders>
            <w:noWrap/>
            <w:vAlign w:val="bottom"/>
          </w:tcPr>
          <w:p w:rsidR="00F9496F" w:rsidRPr="00F9496F" w:rsidRDefault="00F9496F" w:rsidP="004F1B6D">
            <w:pPr>
              <w:spacing w:after="0" w:line="240" w:lineRule="auto"/>
              <w:ind w:firstLine="331"/>
              <w:jc w:val="both"/>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sz w:val="24"/>
                <w:szCs w:val="24"/>
                <w:lang w:val="ro-RO" w:eastAsia="ru-RU"/>
              </w:rPr>
              <w:t>suport bugetar</w:t>
            </w:r>
          </w:p>
        </w:tc>
        <w:tc>
          <w:tcPr>
            <w:tcW w:w="963" w:type="pct"/>
            <w:tcBorders>
              <w:top w:val="dotted" w:sz="4" w:space="0" w:color="auto"/>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 dolari SUA</w:t>
            </w:r>
          </w:p>
        </w:tc>
        <w:tc>
          <w:tcPr>
            <w:tcW w:w="620" w:type="pct"/>
            <w:tcBorders>
              <w:top w:val="dotted" w:sz="4" w:space="0" w:color="auto"/>
            </w:tcBorders>
            <w:noWrap/>
            <w:vAlign w:val="bottom"/>
          </w:tcPr>
          <w:p w:rsidR="00F9496F" w:rsidRPr="00F9496F" w:rsidRDefault="00934270" w:rsidP="00934270">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69</w:t>
            </w:r>
            <w:r w:rsidR="00F9496F" w:rsidRPr="00F9496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7</w:t>
            </w:r>
          </w:p>
        </w:tc>
        <w:tc>
          <w:tcPr>
            <w:tcW w:w="542" w:type="pct"/>
            <w:tcBorders>
              <w:top w:val="dotted" w:sz="4" w:space="0" w:color="auto"/>
            </w:tcBorders>
            <w:noWrap/>
            <w:vAlign w:val="bottom"/>
          </w:tcPr>
          <w:p w:rsidR="00F9496F" w:rsidRPr="00F9496F" w:rsidRDefault="00934270"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50</w:t>
            </w:r>
            <w:r w:rsidR="00F9496F" w:rsidRPr="00F9496F">
              <w:rPr>
                <w:rFonts w:ascii="Times New Roman" w:eastAsia="Times New Roman" w:hAnsi="Times New Roman" w:cs="Times New Roman"/>
                <w:sz w:val="24"/>
                <w:szCs w:val="24"/>
                <w:lang w:val="ro-RO" w:eastAsia="ru-RU"/>
              </w:rPr>
              <w:t>,0</w:t>
            </w:r>
          </w:p>
        </w:tc>
        <w:tc>
          <w:tcPr>
            <w:tcW w:w="602" w:type="pct"/>
            <w:tcBorders>
              <w:top w:val="dotted" w:sz="4" w:space="0" w:color="auto"/>
            </w:tcBorders>
            <w:noWrap/>
            <w:vAlign w:val="bottom"/>
          </w:tcPr>
          <w:p w:rsidR="00F9496F" w:rsidRPr="00F9496F" w:rsidRDefault="00934270"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44</w:t>
            </w:r>
            <w:r w:rsidR="00F9496F" w:rsidRPr="00F9496F">
              <w:rPr>
                <w:rFonts w:ascii="Times New Roman" w:eastAsia="Times New Roman" w:hAnsi="Times New Roman" w:cs="Times New Roman"/>
                <w:sz w:val="24"/>
                <w:szCs w:val="24"/>
                <w:lang w:val="ro-RO" w:eastAsia="ru-RU"/>
              </w:rPr>
              <w:t>,0</w:t>
            </w:r>
          </w:p>
        </w:tc>
      </w:tr>
      <w:tr w:rsidR="00F9496F" w:rsidRPr="00F9496F" w:rsidTr="004F1B6D">
        <w:trPr>
          <w:trHeight w:val="210"/>
          <w:jc w:val="center"/>
        </w:trPr>
        <w:tc>
          <w:tcPr>
            <w:tcW w:w="2274" w:type="pct"/>
            <w:noWrap/>
            <w:vAlign w:val="bottom"/>
          </w:tcPr>
          <w:p w:rsidR="00F9496F" w:rsidRPr="00F9496F" w:rsidDel="00914CE3" w:rsidRDefault="00F9496F" w:rsidP="00F9496F">
            <w:pPr>
              <w:spacing w:after="0" w:line="240" w:lineRule="auto"/>
              <w:jc w:val="both"/>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iCs/>
                <w:sz w:val="24"/>
                <w:szCs w:val="24"/>
                <w:lang w:val="ro-RO" w:eastAsia="ru-RU"/>
              </w:rPr>
              <w:t>2. Rambursarea sumei principale</w:t>
            </w:r>
          </w:p>
        </w:tc>
        <w:tc>
          <w:tcPr>
            <w:tcW w:w="963" w:type="pct"/>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 dolari SUA</w:t>
            </w:r>
          </w:p>
        </w:tc>
        <w:tc>
          <w:tcPr>
            <w:tcW w:w="620" w:type="pct"/>
            <w:noWrap/>
            <w:vAlign w:val="bottom"/>
          </w:tcPr>
          <w:p w:rsidR="00F9496F" w:rsidRPr="00F9496F" w:rsidRDefault="00CD1F88"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48,4</w:t>
            </w:r>
          </w:p>
        </w:tc>
        <w:tc>
          <w:tcPr>
            <w:tcW w:w="542" w:type="pct"/>
            <w:noWrap/>
            <w:vAlign w:val="bottom"/>
          </w:tcPr>
          <w:p w:rsidR="00F9496F" w:rsidRPr="00F9496F" w:rsidRDefault="00CD1F88"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46,7</w:t>
            </w:r>
          </w:p>
        </w:tc>
        <w:tc>
          <w:tcPr>
            <w:tcW w:w="602" w:type="pct"/>
            <w:noWrap/>
            <w:vAlign w:val="bottom"/>
          </w:tcPr>
          <w:p w:rsidR="00F9496F" w:rsidRPr="00F9496F" w:rsidRDefault="00CD1F88"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51,3</w:t>
            </w:r>
          </w:p>
        </w:tc>
      </w:tr>
    </w:tbl>
    <w:p w:rsidR="00F9496F" w:rsidRPr="00F9496F"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p>
    <w:p w:rsidR="00F9496F" w:rsidRPr="00F9496F"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3. Surse de finanţare internă</w:t>
      </w:r>
    </w:p>
    <w:p w:rsidR="00F9496F" w:rsidRPr="00FA21B3" w:rsidRDefault="00F9496F" w:rsidP="00FA21B3">
      <w:pPr>
        <w:spacing w:after="0" w:line="240" w:lineRule="auto"/>
        <w:ind w:firstLine="709"/>
        <w:jc w:val="both"/>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În perioada anilor 201</w:t>
      </w:r>
      <w:r w:rsidR="008C13FF">
        <w:rPr>
          <w:rFonts w:ascii="Times New Roman" w:eastAsia="Times New Roman" w:hAnsi="Times New Roman" w:cs="Times New Roman"/>
          <w:sz w:val="28"/>
          <w:szCs w:val="28"/>
          <w:lang w:val="ro-RO" w:eastAsia="ru-RU"/>
        </w:rPr>
        <w:t>4</w:t>
      </w:r>
      <w:r w:rsidRPr="00F9496F">
        <w:rPr>
          <w:rFonts w:ascii="Times New Roman" w:eastAsia="Times New Roman" w:hAnsi="Times New Roman" w:cs="Times New Roman"/>
          <w:sz w:val="28"/>
          <w:szCs w:val="28"/>
          <w:lang w:val="ro-RO" w:eastAsia="ru-RU"/>
        </w:rPr>
        <w:t>-201</w:t>
      </w:r>
      <w:r w:rsidR="008C13FF">
        <w:rPr>
          <w:rFonts w:ascii="Times New Roman" w:eastAsia="Times New Roman" w:hAnsi="Times New Roman" w:cs="Times New Roman"/>
          <w:sz w:val="28"/>
          <w:szCs w:val="28"/>
          <w:lang w:val="ro-RO" w:eastAsia="ru-RU"/>
        </w:rPr>
        <w:t>6</w:t>
      </w:r>
      <w:r w:rsidRPr="00F9496F">
        <w:rPr>
          <w:rFonts w:ascii="Times New Roman" w:eastAsia="Times New Roman" w:hAnsi="Times New Roman" w:cs="Times New Roman"/>
          <w:sz w:val="28"/>
          <w:szCs w:val="28"/>
          <w:lang w:val="ro-RO" w:eastAsia="ru-RU"/>
        </w:rPr>
        <w:t xml:space="preserve">, în scopul finanţării deficitului bugetului de stat se prevăd a fi comercializate suplimentar valori mobiliare de stat pe piaţa primară în sumă de 1 </w:t>
      </w:r>
      <w:r w:rsidR="008C13FF">
        <w:rPr>
          <w:rFonts w:ascii="Times New Roman" w:eastAsia="Times New Roman" w:hAnsi="Times New Roman" w:cs="Times New Roman"/>
          <w:sz w:val="28"/>
          <w:szCs w:val="28"/>
          <w:lang w:val="ro-RO" w:eastAsia="ru-RU"/>
        </w:rPr>
        <w:t>270</w:t>
      </w:r>
      <w:r w:rsidRPr="00F9496F">
        <w:rPr>
          <w:rFonts w:ascii="Times New Roman" w:eastAsia="Times New Roman" w:hAnsi="Times New Roman" w:cs="Times New Roman"/>
          <w:sz w:val="28"/>
          <w:szCs w:val="28"/>
          <w:lang w:val="ro-RO" w:eastAsia="ru-RU"/>
        </w:rPr>
        <w:t>,</w:t>
      </w:r>
      <w:r w:rsidR="008C13FF">
        <w:rPr>
          <w:rFonts w:ascii="Times New Roman" w:eastAsia="Times New Roman" w:hAnsi="Times New Roman" w:cs="Times New Roman"/>
          <w:sz w:val="28"/>
          <w:szCs w:val="28"/>
          <w:lang w:val="ro-RO" w:eastAsia="ru-RU"/>
        </w:rPr>
        <w:t>0</w:t>
      </w:r>
      <w:r w:rsidRPr="00F9496F">
        <w:rPr>
          <w:rFonts w:ascii="Times New Roman" w:eastAsia="Times New Roman" w:hAnsi="Times New Roman" w:cs="Times New Roman"/>
          <w:sz w:val="28"/>
          <w:szCs w:val="28"/>
          <w:lang w:val="ro-RO" w:eastAsia="ru-RU"/>
        </w:rPr>
        <w:t xml:space="preserve"> mil. lei,</w:t>
      </w:r>
      <w:r w:rsidRPr="00F9496F">
        <w:rPr>
          <w:rFonts w:ascii="Times New Roman" w:eastAsia="Times New Roman" w:hAnsi="Times New Roman" w:cs="Times New Roman"/>
          <w:b/>
          <w:sz w:val="28"/>
          <w:szCs w:val="28"/>
          <w:lang w:val="ro-RO" w:eastAsia="ru-RU"/>
        </w:rPr>
        <w:t xml:space="preserve"> </w:t>
      </w:r>
      <w:r w:rsidR="008C13FF">
        <w:rPr>
          <w:rFonts w:ascii="Times New Roman" w:eastAsia="Times New Roman" w:hAnsi="Times New Roman" w:cs="Times New Roman"/>
          <w:sz w:val="28"/>
          <w:szCs w:val="28"/>
          <w:lang w:val="ro-RO" w:eastAsia="ru-RU"/>
        </w:rPr>
        <w:t>inclusiv 43</w:t>
      </w:r>
      <w:r w:rsidRPr="00F9496F">
        <w:rPr>
          <w:rFonts w:ascii="Times New Roman" w:eastAsia="Times New Roman" w:hAnsi="Times New Roman" w:cs="Times New Roman"/>
          <w:sz w:val="28"/>
          <w:szCs w:val="28"/>
          <w:lang w:val="ro-RO" w:eastAsia="ru-RU"/>
        </w:rPr>
        <w:t>0,0 mil. lei în anul 201</w:t>
      </w:r>
      <w:r w:rsidR="008C13FF">
        <w:rPr>
          <w:rFonts w:ascii="Times New Roman" w:eastAsia="Times New Roman" w:hAnsi="Times New Roman" w:cs="Times New Roman"/>
          <w:sz w:val="28"/>
          <w:szCs w:val="28"/>
          <w:lang w:val="ro-RO" w:eastAsia="ru-RU"/>
        </w:rPr>
        <w:t xml:space="preserve">4 și </w:t>
      </w:r>
      <w:r w:rsidR="00FA21B3">
        <w:rPr>
          <w:rFonts w:ascii="Times New Roman" w:eastAsia="Times New Roman" w:hAnsi="Times New Roman" w:cs="Times New Roman"/>
          <w:sz w:val="28"/>
          <w:szCs w:val="28"/>
          <w:lang w:val="ro-RO" w:eastAsia="ru-RU"/>
        </w:rPr>
        <w:t xml:space="preserve">cîte </w:t>
      </w:r>
      <w:r w:rsidRPr="00F9496F">
        <w:rPr>
          <w:rFonts w:ascii="Times New Roman" w:eastAsia="Times New Roman" w:hAnsi="Times New Roman" w:cs="Times New Roman"/>
          <w:sz w:val="28"/>
          <w:szCs w:val="28"/>
          <w:lang w:val="ro-RO" w:eastAsia="ru-RU"/>
        </w:rPr>
        <w:t>4</w:t>
      </w:r>
      <w:r w:rsidR="008C13FF">
        <w:rPr>
          <w:rFonts w:ascii="Times New Roman" w:eastAsia="Times New Roman" w:hAnsi="Times New Roman" w:cs="Times New Roman"/>
          <w:sz w:val="28"/>
          <w:szCs w:val="28"/>
          <w:lang w:val="ro-RO" w:eastAsia="ru-RU"/>
        </w:rPr>
        <w:t>20</w:t>
      </w:r>
      <w:r w:rsidRPr="00F9496F">
        <w:rPr>
          <w:rFonts w:ascii="Times New Roman" w:eastAsia="Times New Roman" w:hAnsi="Times New Roman" w:cs="Times New Roman"/>
          <w:sz w:val="28"/>
          <w:szCs w:val="28"/>
          <w:lang w:val="ro-RO" w:eastAsia="ru-RU"/>
        </w:rPr>
        <w:t>,</w:t>
      </w:r>
      <w:r w:rsidR="008C13FF">
        <w:rPr>
          <w:rFonts w:ascii="Times New Roman" w:eastAsia="Times New Roman" w:hAnsi="Times New Roman" w:cs="Times New Roman"/>
          <w:sz w:val="28"/>
          <w:szCs w:val="28"/>
          <w:lang w:val="ro-RO" w:eastAsia="ru-RU"/>
        </w:rPr>
        <w:t>0</w:t>
      </w:r>
      <w:r w:rsidRPr="00F9496F">
        <w:rPr>
          <w:rFonts w:ascii="Times New Roman" w:eastAsia="Times New Roman" w:hAnsi="Times New Roman" w:cs="Times New Roman"/>
          <w:sz w:val="28"/>
          <w:szCs w:val="28"/>
          <w:lang w:val="ro-RO" w:eastAsia="ru-RU"/>
        </w:rPr>
        <w:t xml:space="preserve"> mil. lei </w:t>
      </w:r>
      <w:r w:rsidR="008C13FF">
        <w:rPr>
          <w:rFonts w:ascii="Times New Roman" w:eastAsia="Times New Roman" w:hAnsi="Times New Roman" w:cs="Times New Roman"/>
          <w:sz w:val="28"/>
          <w:szCs w:val="28"/>
          <w:lang w:val="ro-RO" w:eastAsia="ru-RU"/>
        </w:rPr>
        <w:t xml:space="preserve">anual </w:t>
      </w:r>
      <w:r w:rsidRPr="00F9496F">
        <w:rPr>
          <w:rFonts w:ascii="Times New Roman" w:eastAsia="Times New Roman" w:hAnsi="Times New Roman" w:cs="Times New Roman"/>
          <w:sz w:val="28"/>
          <w:szCs w:val="28"/>
          <w:lang w:val="ro-RO" w:eastAsia="ru-RU"/>
        </w:rPr>
        <w:t xml:space="preserve">în </w:t>
      </w:r>
      <w:r w:rsidR="008C13FF">
        <w:rPr>
          <w:rFonts w:ascii="Times New Roman" w:eastAsia="Times New Roman" w:hAnsi="Times New Roman" w:cs="Times New Roman"/>
          <w:sz w:val="28"/>
          <w:szCs w:val="28"/>
          <w:lang w:val="ro-RO" w:eastAsia="ru-RU"/>
        </w:rPr>
        <w:t>2015 și 2016 respectiv</w:t>
      </w:r>
      <w:r w:rsidRPr="00F9496F">
        <w:rPr>
          <w:rFonts w:ascii="Times New Roman" w:eastAsia="Times New Roman" w:hAnsi="Times New Roman" w:cs="Times New Roman"/>
          <w:sz w:val="28"/>
          <w:szCs w:val="28"/>
          <w:lang w:val="ro-RO" w:eastAsia="ru-RU"/>
        </w:rPr>
        <w:t>. De asemenea, se prevede diminuarea datoriei Guvernului faţă de Banca Naţională a Moldovei pe împrumuturile contractate anterior cu 1</w:t>
      </w:r>
      <w:r w:rsidR="00FA21B3">
        <w:rPr>
          <w:rFonts w:ascii="Times New Roman" w:eastAsia="Times New Roman" w:hAnsi="Times New Roman" w:cs="Times New Roman"/>
          <w:sz w:val="28"/>
          <w:szCs w:val="28"/>
          <w:lang w:val="ro-RO" w:eastAsia="ru-RU"/>
        </w:rPr>
        <w:t>0</w:t>
      </w:r>
      <w:r w:rsidRPr="00F9496F">
        <w:rPr>
          <w:rFonts w:ascii="Times New Roman" w:eastAsia="Times New Roman" w:hAnsi="Times New Roman" w:cs="Times New Roman"/>
          <w:sz w:val="28"/>
          <w:szCs w:val="28"/>
          <w:lang w:val="ro-RO" w:eastAsia="ru-RU"/>
        </w:rPr>
        <w:t>0,0 mil. lei în anul 201</w:t>
      </w:r>
      <w:r w:rsidR="00FA21B3">
        <w:rPr>
          <w:rFonts w:ascii="Times New Roman" w:eastAsia="Times New Roman" w:hAnsi="Times New Roman" w:cs="Times New Roman"/>
          <w:sz w:val="28"/>
          <w:szCs w:val="28"/>
          <w:lang w:val="ro-RO" w:eastAsia="ru-RU"/>
        </w:rPr>
        <w:t>5 și 150,0 mil. lei în anul 2016.</w:t>
      </w:r>
      <w:r w:rsidRPr="00F9496F">
        <w:rPr>
          <w:rFonts w:ascii="Times New Roman" w:eastAsia="Times New Roman" w:hAnsi="Times New Roman" w:cs="Times New Roman"/>
          <w:sz w:val="28"/>
          <w:szCs w:val="28"/>
          <w:lang w:val="ro-RO" w:eastAsia="ru-RU"/>
        </w:rPr>
        <w:t xml:space="preserve"> </w:t>
      </w:r>
      <w:r w:rsidR="00FA21B3">
        <w:rPr>
          <w:rFonts w:ascii="Times New Roman" w:eastAsia="Times New Roman" w:hAnsi="Times New Roman" w:cs="Times New Roman"/>
          <w:sz w:val="28"/>
          <w:szCs w:val="28"/>
          <w:lang w:val="ro-RO" w:eastAsia="ru-RU"/>
        </w:rPr>
        <w:t>Iar î</w:t>
      </w:r>
      <w:r w:rsidRPr="00F9496F">
        <w:rPr>
          <w:rFonts w:ascii="Times New Roman" w:eastAsia="Times New Roman" w:hAnsi="Times New Roman" w:cs="Times New Roman"/>
          <w:sz w:val="28"/>
          <w:szCs w:val="28"/>
          <w:lang w:val="ro-RO" w:eastAsia="ru-RU"/>
        </w:rPr>
        <w:t xml:space="preserve">n </w:t>
      </w:r>
      <w:r w:rsidR="00FA21B3">
        <w:rPr>
          <w:rFonts w:ascii="Times New Roman" w:eastAsia="Times New Roman" w:hAnsi="Times New Roman" w:cs="Times New Roman"/>
          <w:sz w:val="28"/>
          <w:szCs w:val="28"/>
          <w:lang w:val="ro-RO" w:eastAsia="ru-RU"/>
        </w:rPr>
        <w:t xml:space="preserve">anii 2014 și </w:t>
      </w:r>
      <w:r w:rsidRPr="00F9496F">
        <w:rPr>
          <w:rFonts w:ascii="Times New Roman" w:eastAsia="Times New Roman" w:hAnsi="Times New Roman" w:cs="Times New Roman"/>
          <w:sz w:val="28"/>
          <w:szCs w:val="28"/>
          <w:lang w:val="ro-RO" w:eastAsia="ru-RU"/>
        </w:rPr>
        <w:t>2015 va continua răscumpărarea valorilor mobiliare de stat emise pentru asigurarea stabilităţii financiare a cîte</w:t>
      </w:r>
      <w:r w:rsidRPr="00F9496F">
        <w:rPr>
          <w:rFonts w:ascii="Times New Roman" w:eastAsia="Times New Roman" w:hAnsi="Times New Roman" w:cs="Times New Roman"/>
          <w:b/>
          <w:sz w:val="28"/>
          <w:szCs w:val="28"/>
          <w:lang w:val="ro-RO" w:eastAsia="ru-RU"/>
        </w:rPr>
        <w:t xml:space="preserve"> </w:t>
      </w:r>
      <w:r w:rsidRPr="00F9496F">
        <w:rPr>
          <w:rFonts w:ascii="Times New Roman" w:eastAsia="Times New Roman" w:hAnsi="Times New Roman" w:cs="Times New Roman"/>
          <w:sz w:val="28"/>
          <w:szCs w:val="28"/>
          <w:lang w:val="ro-RO" w:eastAsia="ru-RU"/>
        </w:rPr>
        <w:t>93,1 mil. lei anual.</w:t>
      </w:r>
      <w:r w:rsidRPr="00F9496F">
        <w:rPr>
          <w:rFonts w:ascii="Times New Roman" w:eastAsia="Times New Roman" w:hAnsi="Times New Roman" w:cs="Times New Roman"/>
          <w:b/>
          <w:sz w:val="28"/>
          <w:szCs w:val="28"/>
          <w:lang w:val="ro-RO" w:eastAsia="ru-RU"/>
        </w:rPr>
        <w:t xml:space="preserve"> </w:t>
      </w:r>
    </w:p>
    <w:p w:rsidR="00F9496F" w:rsidRPr="00F9496F" w:rsidRDefault="00F9496F" w:rsidP="00183D41">
      <w:pPr>
        <w:spacing w:after="0" w:line="240" w:lineRule="auto"/>
        <w:ind w:left="7560"/>
        <w:jc w:val="right"/>
        <w:rPr>
          <w:rFonts w:ascii="Times New Roman" w:eastAsia="Times New Roman" w:hAnsi="Times New Roman" w:cs="Times New Roman"/>
          <w:sz w:val="28"/>
          <w:szCs w:val="28"/>
          <w:lang w:val="ro-RO" w:eastAsia="ru-RU"/>
        </w:rPr>
      </w:pPr>
      <w:r w:rsidRPr="00F9496F">
        <w:rPr>
          <w:rFonts w:ascii="Times New Roman" w:eastAsia="Times New Roman" w:hAnsi="Times New Roman" w:cs="Times New Roman"/>
          <w:sz w:val="28"/>
          <w:szCs w:val="28"/>
          <w:lang w:val="ro-RO" w:eastAsia="ru-RU"/>
        </w:rPr>
        <w:t xml:space="preserve"> Tabelul  </w:t>
      </w:r>
      <w:r w:rsidR="00183D41">
        <w:rPr>
          <w:rFonts w:ascii="Times New Roman" w:eastAsia="Times New Roman" w:hAnsi="Times New Roman" w:cs="Times New Roman"/>
          <w:sz w:val="28"/>
          <w:szCs w:val="28"/>
          <w:lang w:val="ro-RO" w:eastAsia="ru-RU"/>
        </w:rPr>
        <w:t>4</w:t>
      </w:r>
      <w:r w:rsidRPr="00F9496F">
        <w:rPr>
          <w:rFonts w:ascii="Times New Roman" w:eastAsia="Times New Roman" w:hAnsi="Times New Roman" w:cs="Times New Roman"/>
          <w:sz w:val="28"/>
          <w:szCs w:val="28"/>
          <w:lang w:val="ro-RO" w:eastAsia="ru-RU"/>
        </w:rPr>
        <w:t>.3.</w:t>
      </w:r>
    </w:p>
    <w:p w:rsidR="00F9496F" w:rsidRPr="00F9496F" w:rsidRDefault="00F9496F" w:rsidP="00F9496F">
      <w:pPr>
        <w:tabs>
          <w:tab w:val="left" w:pos="540"/>
          <w:tab w:val="left" w:pos="900"/>
        </w:tabs>
        <w:spacing w:after="0" w:line="240" w:lineRule="auto"/>
        <w:ind w:firstLine="709"/>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8"/>
          <w:szCs w:val="28"/>
          <w:lang w:val="ro-RO" w:eastAsia="ru-RU"/>
        </w:rPr>
        <w:t>Finanţarea internă netă, în perioada anilor  201</w:t>
      </w:r>
      <w:r w:rsidR="00183D41">
        <w:rPr>
          <w:rFonts w:ascii="Times New Roman" w:eastAsia="Times New Roman" w:hAnsi="Times New Roman" w:cs="Times New Roman"/>
          <w:sz w:val="28"/>
          <w:szCs w:val="28"/>
          <w:lang w:val="ro-RO" w:eastAsia="ru-RU"/>
        </w:rPr>
        <w:t>4</w:t>
      </w:r>
      <w:r w:rsidRPr="00F9496F">
        <w:rPr>
          <w:rFonts w:ascii="Times New Roman" w:eastAsia="Times New Roman" w:hAnsi="Times New Roman" w:cs="Times New Roman"/>
          <w:sz w:val="28"/>
          <w:szCs w:val="28"/>
          <w:lang w:val="ro-RO" w:eastAsia="ru-RU"/>
        </w:rPr>
        <w:t>-201</w:t>
      </w:r>
      <w:r w:rsidR="00183D41">
        <w:rPr>
          <w:rFonts w:ascii="Times New Roman" w:eastAsia="Times New Roman" w:hAnsi="Times New Roman" w:cs="Times New Roman"/>
          <w:sz w:val="28"/>
          <w:szCs w:val="28"/>
          <w:lang w:val="ro-RO" w:eastAsia="ru-RU"/>
        </w:rPr>
        <w:t>6</w:t>
      </w:r>
    </w:p>
    <w:tbl>
      <w:tblPr>
        <w:tblW w:w="4887" w:type="pct"/>
        <w:tblInd w:w="108" w:type="dxa"/>
        <w:tblLayout w:type="fixed"/>
        <w:tblLook w:val="00A0"/>
      </w:tblPr>
      <w:tblGrid>
        <w:gridCol w:w="5229"/>
        <w:gridCol w:w="1308"/>
        <w:gridCol w:w="1014"/>
        <w:gridCol w:w="954"/>
        <w:gridCol w:w="851"/>
      </w:tblGrid>
      <w:tr w:rsidR="00F9496F" w:rsidRPr="00F9496F" w:rsidTr="00BA5797">
        <w:trPr>
          <w:trHeight w:val="315"/>
        </w:trPr>
        <w:tc>
          <w:tcPr>
            <w:tcW w:w="2794" w:type="pct"/>
            <w:tcBorders>
              <w:top w:val="single" w:sz="8" w:space="0" w:color="auto"/>
              <w:left w:val="single" w:sz="4" w:space="0" w:color="auto"/>
              <w:bottom w:val="single" w:sz="8" w:space="0" w:color="auto"/>
              <w:right w:val="single" w:sz="4" w:space="0" w:color="auto"/>
            </w:tcBorders>
            <w:noWrap/>
            <w:vAlign w:val="center"/>
          </w:tcPr>
          <w:p w:rsidR="00F9496F" w:rsidRPr="00F9496F" w:rsidRDefault="00F9496F" w:rsidP="00F9496F">
            <w:pPr>
              <w:spacing w:after="0" w:line="240" w:lineRule="auto"/>
              <w:rPr>
                <w:rFonts w:ascii="Times New Roman" w:eastAsia="Times New Roman" w:hAnsi="Times New Roman" w:cs="Times New Roman"/>
                <w:bCs/>
                <w:iCs/>
                <w:sz w:val="24"/>
                <w:szCs w:val="24"/>
                <w:lang w:val="ro-RO" w:eastAsia="ru-RU"/>
              </w:rPr>
            </w:pPr>
            <w:r w:rsidRPr="00F9496F">
              <w:rPr>
                <w:rFonts w:ascii="Times New Roman" w:eastAsia="Times New Roman" w:hAnsi="Times New Roman" w:cs="Times New Roman"/>
                <w:bCs/>
                <w:sz w:val="24"/>
                <w:szCs w:val="24"/>
                <w:lang w:val="ro-RO" w:eastAsia="ru-RU"/>
              </w:rPr>
              <w:t>Indicatori</w:t>
            </w:r>
          </w:p>
        </w:tc>
        <w:tc>
          <w:tcPr>
            <w:tcW w:w="699" w:type="pct"/>
            <w:tcBorders>
              <w:top w:val="single" w:sz="8" w:space="0" w:color="auto"/>
              <w:left w:val="nil"/>
              <w:bottom w:val="single" w:sz="8" w:space="0" w:color="auto"/>
              <w:right w:val="nil"/>
            </w:tcBorders>
            <w:noWrap/>
            <w:vAlign w:val="center"/>
          </w:tcPr>
          <w:p w:rsidR="00F9496F" w:rsidRPr="00F9496F" w:rsidRDefault="00F9496F" w:rsidP="00F9496F">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Unitatea de măsură</w:t>
            </w:r>
          </w:p>
        </w:tc>
        <w:tc>
          <w:tcPr>
            <w:tcW w:w="542" w:type="pct"/>
            <w:tcBorders>
              <w:top w:val="single" w:sz="8" w:space="0" w:color="auto"/>
              <w:left w:val="single" w:sz="4" w:space="0" w:color="auto"/>
              <w:bottom w:val="single" w:sz="8" w:space="0" w:color="auto"/>
              <w:right w:val="single" w:sz="4" w:space="0" w:color="auto"/>
            </w:tcBorders>
            <w:noWrap/>
            <w:vAlign w:val="center"/>
          </w:tcPr>
          <w:p w:rsidR="00F9496F" w:rsidRPr="00F9496F" w:rsidRDefault="00F9496F" w:rsidP="002E082C">
            <w:pPr>
              <w:spacing w:after="0" w:line="240" w:lineRule="auto"/>
              <w:jc w:val="center"/>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sz w:val="24"/>
                <w:szCs w:val="24"/>
                <w:lang w:val="ro-RO" w:eastAsia="ru-RU"/>
              </w:rPr>
              <w:t>201</w:t>
            </w:r>
            <w:r w:rsidR="002E082C">
              <w:rPr>
                <w:rFonts w:ascii="Times New Roman" w:eastAsia="Times New Roman" w:hAnsi="Times New Roman" w:cs="Times New Roman"/>
                <w:bCs/>
                <w:sz w:val="24"/>
                <w:szCs w:val="24"/>
                <w:lang w:val="ro-RO" w:eastAsia="ru-RU"/>
              </w:rPr>
              <w:t>4</w:t>
            </w:r>
          </w:p>
        </w:tc>
        <w:tc>
          <w:tcPr>
            <w:tcW w:w="510" w:type="pct"/>
            <w:tcBorders>
              <w:top w:val="single" w:sz="8" w:space="0" w:color="auto"/>
              <w:left w:val="nil"/>
              <w:bottom w:val="single" w:sz="8" w:space="0" w:color="auto"/>
              <w:right w:val="single" w:sz="4" w:space="0" w:color="auto"/>
            </w:tcBorders>
            <w:noWrap/>
            <w:vAlign w:val="center"/>
          </w:tcPr>
          <w:p w:rsidR="00F9496F" w:rsidRPr="00F9496F" w:rsidRDefault="00F9496F" w:rsidP="002E082C">
            <w:pPr>
              <w:spacing w:after="0" w:line="240" w:lineRule="auto"/>
              <w:jc w:val="center"/>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sz w:val="24"/>
                <w:szCs w:val="24"/>
                <w:lang w:val="ro-RO" w:eastAsia="ru-RU"/>
              </w:rPr>
              <w:t>201</w:t>
            </w:r>
            <w:r w:rsidR="002E082C">
              <w:rPr>
                <w:rFonts w:ascii="Times New Roman" w:eastAsia="Times New Roman" w:hAnsi="Times New Roman" w:cs="Times New Roman"/>
                <w:bCs/>
                <w:sz w:val="24"/>
                <w:szCs w:val="24"/>
                <w:lang w:val="ro-RO" w:eastAsia="ru-RU"/>
              </w:rPr>
              <w:t>5</w:t>
            </w:r>
          </w:p>
        </w:tc>
        <w:tc>
          <w:tcPr>
            <w:tcW w:w="455" w:type="pct"/>
            <w:tcBorders>
              <w:top w:val="single" w:sz="8" w:space="0" w:color="auto"/>
              <w:left w:val="nil"/>
              <w:bottom w:val="single" w:sz="8" w:space="0" w:color="auto"/>
              <w:right w:val="single" w:sz="4" w:space="0" w:color="auto"/>
            </w:tcBorders>
            <w:noWrap/>
            <w:vAlign w:val="center"/>
          </w:tcPr>
          <w:p w:rsidR="00F9496F" w:rsidRPr="00F9496F" w:rsidRDefault="00F9496F" w:rsidP="002E082C">
            <w:pPr>
              <w:spacing w:after="0" w:line="240" w:lineRule="auto"/>
              <w:jc w:val="center"/>
              <w:rPr>
                <w:rFonts w:ascii="Times New Roman" w:eastAsia="Times New Roman" w:hAnsi="Times New Roman" w:cs="Times New Roman"/>
                <w:bCs/>
                <w:sz w:val="24"/>
                <w:szCs w:val="24"/>
                <w:lang w:val="ro-RO" w:eastAsia="ru-RU"/>
              </w:rPr>
            </w:pPr>
            <w:r w:rsidRPr="00F9496F">
              <w:rPr>
                <w:rFonts w:ascii="Times New Roman" w:eastAsia="Times New Roman" w:hAnsi="Times New Roman" w:cs="Times New Roman"/>
                <w:bCs/>
                <w:sz w:val="24"/>
                <w:szCs w:val="24"/>
                <w:lang w:val="ro-RO" w:eastAsia="ru-RU"/>
              </w:rPr>
              <w:t>201</w:t>
            </w:r>
            <w:r w:rsidR="002E082C">
              <w:rPr>
                <w:rFonts w:ascii="Times New Roman" w:eastAsia="Times New Roman" w:hAnsi="Times New Roman" w:cs="Times New Roman"/>
                <w:bCs/>
                <w:sz w:val="24"/>
                <w:szCs w:val="24"/>
                <w:lang w:val="ro-RO" w:eastAsia="ru-RU"/>
              </w:rPr>
              <w:t>6</w:t>
            </w:r>
          </w:p>
        </w:tc>
      </w:tr>
      <w:tr w:rsidR="00F9496F" w:rsidRPr="00F9496F" w:rsidTr="00BA5797">
        <w:trPr>
          <w:trHeight w:val="315"/>
        </w:trPr>
        <w:tc>
          <w:tcPr>
            <w:tcW w:w="2794" w:type="pct"/>
            <w:tcBorders>
              <w:top w:val="single" w:sz="8" w:space="0" w:color="auto"/>
              <w:left w:val="single" w:sz="4" w:space="0" w:color="auto"/>
              <w:bottom w:val="single" w:sz="8" w:space="0" w:color="auto"/>
              <w:right w:val="single" w:sz="4" w:space="0" w:color="auto"/>
            </w:tcBorders>
            <w:noWrap/>
            <w:vAlign w:val="bottom"/>
          </w:tcPr>
          <w:p w:rsidR="00F9496F" w:rsidRPr="009E6E8E" w:rsidRDefault="00F9496F" w:rsidP="00F9496F">
            <w:pPr>
              <w:spacing w:after="0" w:line="240" w:lineRule="auto"/>
              <w:jc w:val="both"/>
              <w:rPr>
                <w:rFonts w:ascii="Times New Roman" w:eastAsia="Times New Roman" w:hAnsi="Times New Roman" w:cs="Times New Roman"/>
                <w:bCs/>
                <w:i/>
                <w:iCs/>
                <w:sz w:val="24"/>
                <w:szCs w:val="24"/>
                <w:lang w:val="ro-RO" w:eastAsia="ru-RU"/>
              </w:rPr>
            </w:pPr>
            <w:r w:rsidRPr="009E6E8E">
              <w:rPr>
                <w:rFonts w:ascii="Times New Roman" w:eastAsia="Times New Roman" w:hAnsi="Times New Roman" w:cs="Times New Roman"/>
                <w:bCs/>
                <w:i/>
                <w:iCs/>
                <w:sz w:val="24"/>
                <w:szCs w:val="24"/>
                <w:lang w:val="ro-RO" w:eastAsia="ru-RU"/>
              </w:rPr>
              <w:t>Finanţarea internă netă</w:t>
            </w:r>
          </w:p>
        </w:tc>
        <w:tc>
          <w:tcPr>
            <w:tcW w:w="699" w:type="pct"/>
            <w:tcBorders>
              <w:top w:val="single" w:sz="8" w:space="0" w:color="auto"/>
              <w:left w:val="nil"/>
              <w:bottom w:val="single" w:sz="8" w:space="0" w:color="auto"/>
              <w:right w:val="nil"/>
            </w:tcBorders>
            <w:noWrap/>
            <w:vAlign w:val="bottom"/>
          </w:tcPr>
          <w:p w:rsidR="00F9496F" w:rsidRPr="009E6E8E" w:rsidRDefault="00F9496F" w:rsidP="00183D41">
            <w:pPr>
              <w:spacing w:after="0" w:line="240" w:lineRule="auto"/>
              <w:jc w:val="center"/>
              <w:rPr>
                <w:rFonts w:ascii="Times New Roman" w:eastAsia="Times New Roman" w:hAnsi="Times New Roman" w:cs="Times New Roman"/>
                <w:i/>
                <w:sz w:val="24"/>
                <w:szCs w:val="24"/>
                <w:lang w:val="ro-RO" w:eastAsia="ru-RU"/>
              </w:rPr>
            </w:pPr>
            <w:r w:rsidRPr="009E6E8E">
              <w:rPr>
                <w:rFonts w:ascii="Times New Roman" w:eastAsia="Times New Roman" w:hAnsi="Times New Roman" w:cs="Times New Roman"/>
                <w:i/>
                <w:sz w:val="24"/>
                <w:szCs w:val="24"/>
                <w:lang w:val="ro-RO" w:eastAsia="ru-RU"/>
              </w:rPr>
              <w:t>mil.lei</w:t>
            </w:r>
          </w:p>
        </w:tc>
        <w:tc>
          <w:tcPr>
            <w:tcW w:w="542" w:type="pct"/>
            <w:tcBorders>
              <w:top w:val="single" w:sz="8" w:space="0" w:color="auto"/>
              <w:left w:val="single" w:sz="4" w:space="0" w:color="auto"/>
              <w:bottom w:val="single" w:sz="8" w:space="0" w:color="auto"/>
              <w:right w:val="single" w:sz="4" w:space="0" w:color="auto"/>
            </w:tcBorders>
            <w:noWrap/>
            <w:vAlign w:val="bottom"/>
          </w:tcPr>
          <w:p w:rsidR="00F9496F" w:rsidRPr="009E6E8E" w:rsidRDefault="002E082C" w:rsidP="00183D41">
            <w:pPr>
              <w:spacing w:after="0" w:line="240" w:lineRule="auto"/>
              <w:jc w:val="right"/>
              <w:rPr>
                <w:rFonts w:ascii="Times New Roman" w:eastAsia="Times New Roman" w:hAnsi="Times New Roman" w:cs="Times New Roman"/>
                <w:bCs/>
                <w:i/>
                <w:sz w:val="24"/>
                <w:szCs w:val="24"/>
                <w:lang w:val="ro-RO" w:eastAsia="ru-RU"/>
              </w:rPr>
            </w:pPr>
            <w:r w:rsidRPr="009E6E8E">
              <w:rPr>
                <w:rFonts w:ascii="Times New Roman" w:eastAsia="Times New Roman" w:hAnsi="Times New Roman" w:cs="Times New Roman"/>
                <w:bCs/>
                <w:i/>
                <w:sz w:val="24"/>
                <w:szCs w:val="24"/>
                <w:lang w:val="ro-RO" w:eastAsia="ru-RU"/>
              </w:rPr>
              <w:t>3</w:t>
            </w:r>
            <w:r w:rsidR="00F9496F" w:rsidRPr="009E6E8E">
              <w:rPr>
                <w:rFonts w:ascii="Times New Roman" w:eastAsia="Times New Roman" w:hAnsi="Times New Roman" w:cs="Times New Roman"/>
                <w:bCs/>
                <w:i/>
                <w:sz w:val="24"/>
                <w:szCs w:val="24"/>
                <w:lang w:val="ro-RO" w:eastAsia="ru-RU"/>
              </w:rPr>
              <w:t>36,9</w:t>
            </w:r>
          </w:p>
        </w:tc>
        <w:tc>
          <w:tcPr>
            <w:tcW w:w="510" w:type="pct"/>
            <w:tcBorders>
              <w:top w:val="single" w:sz="8" w:space="0" w:color="auto"/>
              <w:left w:val="nil"/>
              <w:bottom w:val="single" w:sz="8" w:space="0" w:color="auto"/>
              <w:right w:val="single" w:sz="4" w:space="0" w:color="auto"/>
            </w:tcBorders>
            <w:noWrap/>
            <w:vAlign w:val="bottom"/>
          </w:tcPr>
          <w:p w:rsidR="00F9496F" w:rsidRPr="009E6E8E" w:rsidRDefault="002E082C" w:rsidP="00183D41">
            <w:pPr>
              <w:spacing w:after="0" w:line="240" w:lineRule="auto"/>
              <w:jc w:val="right"/>
              <w:rPr>
                <w:rFonts w:ascii="Times New Roman" w:eastAsia="Times New Roman" w:hAnsi="Times New Roman" w:cs="Times New Roman"/>
                <w:bCs/>
                <w:i/>
                <w:sz w:val="24"/>
                <w:szCs w:val="24"/>
                <w:lang w:val="ro-RO" w:eastAsia="ru-RU"/>
              </w:rPr>
            </w:pPr>
            <w:r w:rsidRPr="009E6E8E">
              <w:rPr>
                <w:rFonts w:ascii="Times New Roman" w:eastAsia="Times New Roman" w:hAnsi="Times New Roman" w:cs="Times New Roman"/>
                <w:bCs/>
                <w:i/>
                <w:sz w:val="24"/>
                <w:szCs w:val="24"/>
                <w:lang w:val="ro-RO" w:eastAsia="ru-RU"/>
              </w:rPr>
              <w:t>226,9</w:t>
            </w:r>
          </w:p>
        </w:tc>
        <w:tc>
          <w:tcPr>
            <w:tcW w:w="455" w:type="pct"/>
            <w:tcBorders>
              <w:top w:val="single" w:sz="8" w:space="0" w:color="auto"/>
              <w:left w:val="nil"/>
              <w:bottom w:val="single" w:sz="8" w:space="0" w:color="auto"/>
              <w:right w:val="single" w:sz="4" w:space="0" w:color="auto"/>
            </w:tcBorders>
            <w:noWrap/>
            <w:vAlign w:val="bottom"/>
          </w:tcPr>
          <w:p w:rsidR="00F9496F" w:rsidRPr="009E6E8E" w:rsidRDefault="002E082C" w:rsidP="00183D41">
            <w:pPr>
              <w:spacing w:after="0" w:line="240" w:lineRule="auto"/>
              <w:jc w:val="right"/>
              <w:rPr>
                <w:rFonts w:ascii="Times New Roman" w:eastAsia="Times New Roman" w:hAnsi="Times New Roman" w:cs="Times New Roman"/>
                <w:bCs/>
                <w:i/>
                <w:sz w:val="24"/>
                <w:szCs w:val="24"/>
                <w:lang w:val="ro-RO" w:eastAsia="ru-RU"/>
              </w:rPr>
            </w:pPr>
            <w:r w:rsidRPr="009E6E8E">
              <w:rPr>
                <w:rFonts w:ascii="Times New Roman" w:eastAsia="Times New Roman" w:hAnsi="Times New Roman" w:cs="Times New Roman"/>
                <w:bCs/>
                <w:i/>
                <w:sz w:val="24"/>
                <w:szCs w:val="24"/>
                <w:lang w:val="ro-RO" w:eastAsia="ru-RU"/>
              </w:rPr>
              <w:t>270,0</w:t>
            </w:r>
          </w:p>
        </w:tc>
      </w:tr>
      <w:tr w:rsidR="00F9496F" w:rsidRPr="00F9496F" w:rsidTr="00BA5797">
        <w:trPr>
          <w:trHeight w:val="315"/>
        </w:trPr>
        <w:tc>
          <w:tcPr>
            <w:tcW w:w="2794" w:type="pct"/>
            <w:tcBorders>
              <w:top w:val="nil"/>
              <w:left w:val="single" w:sz="4" w:space="0" w:color="auto"/>
              <w:bottom w:val="single" w:sz="4" w:space="0" w:color="auto"/>
              <w:right w:val="single" w:sz="4" w:space="0" w:color="auto"/>
            </w:tcBorders>
            <w:noWrap/>
            <w:vAlign w:val="bottom"/>
          </w:tcPr>
          <w:p w:rsidR="00F9496F" w:rsidRPr="00F9496F" w:rsidRDefault="00F9496F" w:rsidP="005F06AC">
            <w:pPr>
              <w:numPr>
                <w:ilvl w:val="0"/>
                <w:numId w:val="5"/>
              </w:numPr>
              <w:tabs>
                <w:tab w:val="left" w:pos="284"/>
              </w:tabs>
              <w:spacing w:after="0" w:line="240" w:lineRule="auto"/>
              <w:ind w:left="34" w:firstLine="0"/>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Valori mobiliare de stat emise pe piaţa primară, inclusiv:</w:t>
            </w:r>
          </w:p>
        </w:tc>
        <w:tc>
          <w:tcPr>
            <w:tcW w:w="699" w:type="pct"/>
            <w:tcBorders>
              <w:top w:val="nil"/>
              <w:left w:val="nil"/>
              <w:bottom w:val="single" w:sz="8" w:space="0" w:color="auto"/>
              <w:right w:val="nil"/>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mil.lei</w:t>
            </w:r>
          </w:p>
        </w:tc>
        <w:tc>
          <w:tcPr>
            <w:tcW w:w="542" w:type="pct"/>
            <w:tcBorders>
              <w:top w:val="nil"/>
              <w:left w:val="single" w:sz="4" w:space="0" w:color="auto"/>
              <w:bottom w:val="single" w:sz="4" w:space="0" w:color="auto"/>
              <w:right w:val="single" w:sz="4" w:space="0" w:color="auto"/>
            </w:tcBorders>
            <w:noWrap/>
            <w:vAlign w:val="bottom"/>
          </w:tcPr>
          <w:p w:rsidR="00F9496F" w:rsidRPr="00F9496F" w:rsidRDefault="00F9496F" w:rsidP="002E082C">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4</w:t>
            </w:r>
            <w:r w:rsidR="002E082C">
              <w:rPr>
                <w:rFonts w:ascii="Times New Roman" w:eastAsia="Times New Roman" w:hAnsi="Times New Roman" w:cs="Times New Roman"/>
                <w:sz w:val="24"/>
                <w:szCs w:val="24"/>
                <w:lang w:val="ro-RO" w:eastAsia="ru-RU"/>
              </w:rPr>
              <w:t>3</w:t>
            </w:r>
            <w:r w:rsidRPr="00F9496F">
              <w:rPr>
                <w:rFonts w:ascii="Times New Roman" w:eastAsia="Times New Roman" w:hAnsi="Times New Roman" w:cs="Times New Roman"/>
                <w:sz w:val="24"/>
                <w:szCs w:val="24"/>
                <w:lang w:val="ro-RO" w:eastAsia="ru-RU"/>
              </w:rPr>
              <w:t>0,0</w:t>
            </w:r>
          </w:p>
        </w:tc>
        <w:tc>
          <w:tcPr>
            <w:tcW w:w="510" w:type="pct"/>
            <w:tcBorders>
              <w:top w:val="nil"/>
              <w:left w:val="nil"/>
              <w:bottom w:val="single" w:sz="4" w:space="0" w:color="auto"/>
              <w:right w:val="single" w:sz="4" w:space="0" w:color="auto"/>
            </w:tcBorders>
            <w:noWrap/>
            <w:vAlign w:val="bottom"/>
          </w:tcPr>
          <w:p w:rsidR="00F9496F" w:rsidRPr="00F9496F" w:rsidRDefault="00F9496F" w:rsidP="002E082C">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4</w:t>
            </w:r>
            <w:r w:rsidR="002E082C">
              <w:rPr>
                <w:rFonts w:ascii="Times New Roman" w:eastAsia="Times New Roman" w:hAnsi="Times New Roman" w:cs="Times New Roman"/>
                <w:sz w:val="24"/>
                <w:szCs w:val="24"/>
                <w:lang w:val="ro-RO" w:eastAsia="ru-RU"/>
              </w:rPr>
              <w:t>20</w:t>
            </w:r>
            <w:r w:rsidRPr="00F9496F">
              <w:rPr>
                <w:rFonts w:ascii="Times New Roman" w:eastAsia="Times New Roman" w:hAnsi="Times New Roman" w:cs="Times New Roman"/>
                <w:sz w:val="24"/>
                <w:szCs w:val="24"/>
                <w:lang w:val="ro-RO" w:eastAsia="ru-RU"/>
              </w:rPr>
              <w:t>,</w:t>
            </w:r>
            <w:r w:rsidR="002E082C">
              <w:rPr>
                <w:rFonts w:ascii="Times New Roman" w:eastAsia="Times New Roman" w:hAnsi="Times New Roman" w:cs="Times New Roman"/>
                <w:sz w:val="24"/>
                <w:szCs w:val="24"/>
                <w:lang w:val="ro-RO" w:eastAsia="ru-RU"/>
              </w:rPr>
              <w:t>0</w:t>
            </w:r>
          </w:p>
        </w:tc>
        <w:tc>
          <w:tcPr>
            <w:tcW w:w="455" w:type="pct"/>
            <w:tcBorders>
              <w:top w:val="nil"/>
              <w:left w:val="nil"/>
              <w:bottom w:val="single" w:sz="4" w:space="0" w:color="auto"/>
              <w:right w:val="single" w:sz="4" w:space="0" w:color="auto"/>
            </w:tcBorders>
            <w:noWrap/>
            <w:vAlign w:val="bottom"/>
          </w:tcPr>
          <w:p w:rsidR="00F9496F" w:rsidRPr="00F9496F" w:rsidRDefault="00F9496F" w:rsidP="002E082C">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4</w:t>
            </w:r>
            <w:r w:rsidR="002E082C">
              <w:rPr>
                <w:rFonts w:ascii="Times New Roman" w:eastAsia="Times New Roman" w:hAnsi="Times New Roman" w:cs="Times New Roman"/>
                <w:sz w:val="24"/>
                <w:szCs w:val="24"/>
                <w:lang w:val="ro-RO" w:eastAsia="ru-RU"/>
              </w:rPr>
              <w:t>20</w:t>
            </w:r>
            <w:r w:rsidRPr="00F9496F">
              <w:rPr>
                <w:rFonts w:ascii="Times New Roman" w:eastAsia="Times New Roman" w:hAnsi="Times New Roman" w:cs="Times New Roman"/>
                <w:sz w:val="24"/>
                <w:szCs w:val="24"/>
                <w:lang w:val="ro-RO" w:eastAsia="ru-RU"/>
              </w:rPr>
              <w:t>,</w:t>
            </w:r>
            <w:r w:rsidR="002E082C">
              <w:rPr>
                <w:rFonts w:ascii="Times New Roman" w:eastAsia="Times New Roman" w:hAnsi="Times New Roman" w:cs="Times New Roman"/>
                <w:sz w:val="24"/>
                <w:szCs w:val="24"/>
                <w:lang w:val="ro-RO" w:eastAsia="ru-RU"/>
              </w:rPr>
              <w:t>0</w:t>
            </w:r>
          </w:p>
        </w:tc>
      </w:tr>
      <w:tr w:rsidR="00F9496F" w:rsidRPr="00F9496F" w:rsidTr="00BA5797">
        <w:trPr>
          <w:trHeight w:val="81"/>
        </w:trPr>
        <w:tc>
          <w:tcPr>
            <w:tcW w:w="2794" w:type="pct"/>
            <w:tcBorders>
              <w:top w:val="nil"/>
              <w:left w:val="single" w:sz="4" w:space="0" w:color="auto"/>
              <w:bottom w:val="dotted" w:sz="4" w:space="0" w:color="auto"/>
              <w:right w:val="single" w:sz="4" w:space="0" w:color="auto"/>
            </w:tcBorders>
            <w:noWrap/>
            <w:vAlign w:val="bottom"/>
          </w:tcPr>
          <w:p w:rsidR="00F9496F" w:rsidRPr="00F9496F" w:rsidRDefault="00F9496F" w:rsidP="00CD1F88">
            <w:pPr>
              <w:spacing w:after="0" w:line="240" w:lineRule="auto"/>
              <w:ind w:firstLine="318"/>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valori mobiliare de stat emise prin licitaţii</w:t>
            </w:r>
          </w:p>
        </w:tc>
        <w:tc>
          <w:tcPr>
            <w:tcW w:w="699" w:type="pct"/>
            <w:tcBorders>
              <w:top w:val="nil"/>
              <w:left w:val="nil"/>
              <w:bottom w:val="dotted" w:sz="4" w:space="0" w:color="auto"/>
              <w:right w:val="nil"/>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mil.lei</w:t>
            </w:r>
          </w:p>
        </w:tc>
        <w:tc>
          <w:tcPr>
            <w:tcW w:w="542" w:type="pct"/>
            <w:tcBorders>
              <w:top w:val="nil"/>
              <w:left w:val="single" w:sz="4" w:space="0" w:color="auto"/>
              <w:bottom w:val="dotted" w:sz="4" w:space="0" w:color="auto"/>
              <w:right w:val="single" w:sz="4" w:space="0" w:color="auto"/>
            </w:tcBorders>
            <w:noWrap/>
            <w:vAlign w:val="bottom"/>
          </w:tcPr>
          <w:p w:rsidR="00F9496F" w:rsidRPr="00F9496F" w:rsidRDefault="002E082C"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444,5</w:t>
            </w:r>
          </w:p>
        </w:tc>
        <w:tc>
          <w:tcPr>
            <w:tcW w:w="510" w:type="pct"/>
            <w:tcBorders>
              <w:top w:val="nil"/>
              <w:left w:val="nil"/>
              <w:bottom w:val="dotted" w:sz="4" w:space="0" w:color="auto"/>
              <w:right w:val="single" w:sz="4" w:space="0" w:color="auto"/>
            </w:tcBorders>
            <w:noWrap/>
            <w:vAlign w:val="bottom"/>
          </w:tcPr>
          <w:p w:rsidR="00F9496F" w:rsidRPr="00F9496F" w:rsidRDefault="00F9496F" w:rsidP="002E082C">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45</w:t>
            </w:r>
            <w:r w:rsidR="002E082C">
              <w:rPr>
                <w:rFonts w:ascii="Times New Roman" w:eastAsia="Times New Roman" w:hAnsi="Times New Roman" w:cs="Times New Roman"/>
                <w:sz w:val="24"/>
                <w:szCs w:val="24"/>
                <w:lang w:val="ro-RO" w:eastAsia="ru-RU"/>
              </w:rPr>
              <w:t>5</w:t>
            </w:r>
            <w:r w:rsidRPr="00F9496F">
              <w:rPr>
                <w:rFonts w:ascii="Times New Roman" w:eastAsia="Times New Roman" w:hAnsi="Times New Roman" w:cs="Times New Roman"/>
                <w:sz w:val="24"/>
                <w:szCs w:val="24"/>
                <w:lang w:val="ro-RO" w:eastAsia="ru-RU"/>
              </w:rPr>
              <w:t>,</w:t>
            </w:r>
            <w:r w:rsidR="002E082C">
              <w:rPr>
                <w:rFonts w:ascii="Times New Roman" w:eastAsia="Times New Roman" w:hAnsi="Times New Roman" w:cs="Times New Roman"/>
                <w:sz w:val="24"/>
                <w:szCs w:val="24"/>
                <w:lang w:val="ro-RO" w:eastAsia="ru-RU"/>
              </w:rPr>
              <w:t>8</w:t>
            </w:r>
          </w:p>
        </w:tc>
        <w:tc>
          <w:tcPr>
            <w:tcW w:w="455" w:type="pct"/>
            <w:tcBorders>
              <w:top w:val="nil"/>
              <w:left w:val="nil"/>
              <w:bottom w:val="dotted" w:sz="4" w:space="0" w:color="auto"/>
              <w:right w:val="single" w:sz="4" w:space="0" w:color="auto"/>
            </w:tcBorders>
            <w:noWrap/>
            <w:vAlign w:val="bottom"/>
          </w:tcPr>
          <w:p w:rsidR="00F9496F" w:rsidRPr="00F9496F" w:rsidRDefault="00F9496F" w:rsidP="002E082C">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4</w:t>
            </w:r>
            <w:r w:rsidR="002E082C">
              <w:rPr>
                <w:rFonts w:ascii="Times New Roman" w:eastAsia="Times New Roman" w:hAnsi="Times New Roman" w:cs="Times New Roman"/>
                <w:sz w:val="24"/>
                <w:szCs w:val="24"/>
                <w:lang w:val="ro-RO" w:eastAsia="ru-RU"/>
              </w:rPr>
              <w:t>2</w:t>
            </w:r>
            <w:r w:rsidRPr="00F9496F">
              <w:rPr>
                <w:rFonts w:ascii="Times New Roman" w:eastAsia="Times New Roman" w:hAnsi="Times New Roman" w:cs="Times New Roman"/>
                <w:sz w:val="24"/>
                <w:szCs w:val="24"/>
                <w:lang w:val="ro-RO" w:eastAsia="ru-RU"/>
              </w:rPr>
              <w:t>0,0</w:t>
            </w:r>
          </w:p>
        </w:tc>
      </w:tr>
      <w:tr w:rsidR="00F9496F" w:rsidRPr="00F9496F" w:rsidTr="00BA5797">
        <w:trPr>
          <w:trHeight w:val="110"/>
        </w:trPr>
        <w:tc>
          <w:tcPr>
            <w:tcW w:w="2794" w:type="pct"/>
            <w:tcBorders>
              <w:top w:val="dotted" w:sz="4" w:space="0" w:color="auto"/>
              <w:left w:val="single" w:sz="4" w:space="0" w:color="auto"/>
              <w:bottom w:val="single" w:sz="2" w:space="0" w:color="auto"/>
              <w:right w:val="single" w:sz="4" w:space="0" w:color="auto"/>
            </w:tcBorders>
            <w:noWrap/>
            <w:vAlign w:val="bottom"/>
          </w:tcPr>
          <w:p w:rsidR="00F9496F" w:rsidRPr="00F9496F" w:rsidRDefault="00F9496F" w:rsidP="00CD1F88">
            <w:pPr>
              <w:spacing w:after="0" w:line="240" w:lineRule="auto"/>
              <w:ind w:firstLine="318"/>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valori mobiliare de stat plasate prin subscriere</w:t>
            </w:r>
          </w:p>
        </w:tc>
        <w:tc>
          <w:tcPr>
            <w:tcW w:w="699" w:type="pct"/>
            <w:tcBorders>
              <w:top w:val="dotted" w:sz="4" w:space="0" w:color="auto"/>
              <w:left w:val="nil"/>
              <w:bottom w:val="single" w:sz="2" w:space="0" w:color="auto"/>
              <w:right w:val="nil"/>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mil.lei</w:t>
            </w:r>
          </w:p>
        </w:tc>
        <w:tc>
          <w:tcPr>
            <w:tcW w:w="542" w:type="pct"/>
            <w:tcBorders>
              <w:top w:val="dotted" w:sz="4" w:space="0" w:color="auto"/>
              <w:left w:val="single" w:sz="4" w:space="0" w:color="auto"/>
              <w:bottom w:val="single" w:sz="2" w:space="0" w:color="auto"/>
              <w:right w:val="single" w:sz="4" w:space="0" w:color="auto"/>
            </w:tcBorders>
            <w:noWrap/>
            <w:vAlign w:val="bottom"/>
          </w:tcPr>
          <w:p w:rsidR="00F9496F" w:rsidRPr="00F9496F" w:rsidRDefault="00F9496F" w:rsidP="002E082C">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r w:rsidR="002E082C">
              <w:rPr>
                <w:rFonts w:ascii="Times New Roman" w:eastAsia="Times New Roman" w:hAnsi="Times New Roman" w:cs="Times New Roman"/>
                <w:sz w:val="24"/>
                <w:szCs w:val="24"/>
                <w:lang w:val="ro-RO" w:eastAsia="ru-RU"/>
              </w:rPr>
              <w:t>14</w:t>
            </w:r>
            <w:r w:rsidRPr="00F9496F">
              <w:rPr>
                <w:rFonts w:ascii="Times New Roman" w:eastAsia="Times New Roman" w:hAnsi="Times New Roman" w:cs="Times New Roman"/>
                <w:sz w:val="24"/>
                <w:szCs w:val="24"/>
                <w:lang w:val="ro-RO" w:eastAsia="ru-RU"/>
              </w:rPr>
              <w:t>,</w:t>
            </w:r>
            <w:r w:rsidR="002E082C">
              <w:rPr>
                <w:rFonts w:ascii="Times New Roman" w:eastAsia="Times New Roman" w:hAnsi="Times New Roman" w:cs="Times New Roman"/>
                <w:sz w:val="24"/>
                <w:szCs w:val="24"/>
                <w:lang w:val="ro-RO" w:eastAsia="ru-RU"/>
              </w:rPr>
              <w:t>5</w:t>
            </w:r>
          </w:p>
        </w:tc>
        <w:tc>
          <w:tcPr>
            <w:tcW w:w="510" w:type="pct"/>
            <w:tcBorders>
              <w:top w:val="dotted" w:sz="4" w:space="0" w:color="auto"/>
              <w:left w:val="nil"/>
              <w:bottom w:val="single" w:sz="2" w:space="0" w:color="auto"/>
              <w:right w:val="single" w:sz="4" w:space="0" w:color="auto"/>
            </w:tcBorders>
            <w:noWrap/>
            <w:vAlign w:val="bottom"/>
          </w:tcPr>
          <w:p w:rsidR="00F9496F" w:rsidRPr="00F9496F" w:rsidRDefault="00F9496F" w:rsidP="002E082C">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w:t>
            </w:r>
            <w:r w:rsidR="002E082C">
              <w:rPr>
                <w:rFonts w:ascii="Times New Roman" w:eastAsia="Times New Roman" w:hAnsi="Times New Roman" w:cs="Times New Roman"/>
                <w:sz w:val="24"/>
                <w:szCs w:val="24"/>
                <w:lang w:val="ro-RO" w:eastAsia="ru-RU"/>
              </w:rPr>
              <w:t>35,8</w:t>
            </w:r>
          </w:p>
        </w:tc>
        <w:tc>
          <w:tcPr>
            <w:tcW w:w="455" w:type="pct"/>
            <w:tcBorders>
              <w:top w:val="dotted" w:sz="4" w:space="0" w:color="auto"/>
              <w:left w:val="nil"/>
              <w:bottom w:val="single" w:sz="2" w:space="0" w:color="auto"/>
              <w:right w:val="single" w:sz="4" w:space="0" w:color="auto"/>
            </w:tcBorders>
            <w:noWrap/>
            <w:vAlign w:val="bottom"/>
          </w:tcPr>
          <w:p w:rsidR="00F9496F" w:rsidRPr="00F9496F" w:rsidRDefault="00FA21B3"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w:t>
            </w:r>
            <w:r w:rsidR="002E082C">
              <w:rPr>
                <w:rFonts w:ascii="Times New Roman" w:eastAsia="Times New Roman" w:hAnsi="Times New Roman" w:cs="Times New Roman"/>
                <w:sz w:val="24"/>
                <w:szCs w:val="24"/>
                <w:lang w:val="ro-RO" w:eastAsia="ru-RU"/>
              </w:rPr>
              <w:t>0</w:t>
            </w:r>
          </w:p>
        </w:tc>
      </w:tr>
      <w:tr w:rsidR="00F9496F" w:rsidRPr="00F9496F" w:rsidTr="00BA5797">
        <w:trPr>
          <w:trHeight w:val="65"/>
        </w:trPr>
        <w:tc>
          <w:tcPr>
            <w:tcW w:w="2794" w:type="pct"/>
            <w:tcBorders>
              <w:top w:val="single" w:sz="2" w:space="0" w:color="auto"/>
              <w:left w:val="single" w:sz="4" w:space="0" w:color="auto"/>
              <w:bottom w:val="single" w:sz="4" w:space="0" w:color="auto"/>
              <w:right w:val="single" w:sz="4" w:space="0" w:color="auto"/>
            </w:tcBorders>
            <w:noWrap/>
            <w:vAlign w:val="bottom"/>
          </w:tcPr>
          <w:p w:rsidR="00F9496F" w:rsidRPr="00F9496F" w:rsidRDefault="00F9496F" w:rsidP="00F9496F">
            <w:pPr>
              <w:spacing w:after="0" w:line="240" w:lineRule="auto"/>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2. Valori mobiliare de stat convertite</w:t>
            </w:r>
          </w:p>
        </w:tc>
        <w:tc>
          <w:tcPr>
            <w:tcW w:w="699" w:type="pct"/>
            <w:tcBorders>
              <w:top w:val="single" w:sz="2" w:space="0" w:color="auto"/>
              <w:left w:val="nil"/>
              <w:bottom w:val="single" w:sz="8" w:space="0" w:color="auto"/>
              <w:right w:val="nil"/>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mil.lei</w:t>
            </w:r>
          </w:p>
        </w:tc>
        <w:tc>
          <w:tcPr>
            <w:tcW w:w="542" w:type="pct"/>
            <w:tcBorders>
              <w:top w:val="single" w:sz="2" w:space="0" w:color="auto"/>
              <w:left w:val="single" w:sz="4" w:space="0" w:color="auto"/>
              <w:bottom w:val="single" w:sz="4" w:space="0" w:color="auto"/>
              <w:right w:val="single" w:sz="4" w:space="0" w:color="auto"/>
            </w:tcBorders>
            <w:noWrap/>
            <w:vAlign w:val="bottom"/>
          </w:tcPr>
          <w:p w:rsidR="00F9496F" w:rsidRPr="00F9496F" w:rsidRDefault="002E082C"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w:t>
            </w:r>
            <w:r w:rsidR="00F9496F" w:rsidRPr="00F9496F">
              <w:rPr>
                <w:rFonts w:ascii="Times New Roman" w:eastAsia="Times New Roman" w:hAnsi="Times New Roman" w:cs="Times New Roman"/>
                <w:sz w:val="24"/>
                <w:szCs w:val="24"/>
                <w:lang w:val="ro-RO" w:eastAsia="ru-RU"/>
              </w:rPr>
              <w:t>,0</w:t>
            </w:r>
          </w:p>
        </w:tc>
        <w:tc>
          <w:tcPr>
            <w:tcW w:w="510" w:type="pct"/>
            <w:tcBorders>
              <w:top w:val="single" w:sz="2" w:space="0" w:color="auto"/>
              <w:left w:val="nil"/>
              <w:bottom w:val="single" w:sz="4" w:space="0" w:color="auto"/>
              <w:right w:val="single" w:sz="4" w:space="0" w:color="auto"/>
            </w:tcBorders>
            <w:noWrap/>
            <w:vAlign w:val="bottom"/>
          </w:tcPr>
          <w:p w:rsidR="00F9496F" w:rsidRPr="00F9496F" w:rsidRDefault="00F9496F" w:rsidP="002E082C">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w:t>
            </w:r>
            <w:r w:rsidR="002E082C">
              <w:rPr>
                <w:rFonts w:ascii="Times New Roman" w:eastAsia="Times New Roman" w:hAnsi="Times New Roman" w:cs="Times New Roman"/>
                <w:sz w:val="24"/>
                <w:szCs w:val="24"/>
                <w:lang w:val="ro-RO" w:eastAsia="ru-RU"/>
              </w:rPr>
              <w:t>0</w:t>
            </w:r>
            <w:r w:rsidRPr="00F9496F">
              <w:rPr>
                <w:rFonts w:ascii="Times New Roman" w:eastAsia="Times New Roman" w:hAnsi="Times New Roman" w:cs="Times New Roman"/>
                <w:sz w:val="24"/>
                <w:szCs w:val="24"/>
                <w:lang w:val="ro-RO" w:eastAsia="ru-RU"/>
              </w:rPr>
              <w:t>0,0</w:t>
            </w:r>
          </w:p>
        </w:tc>
        <w:tc>
          <w:tcPr>
            <w:tcW w:w="455" w:type="pct"/>
            <w:tcBorders>
              <w:top w:val="single" w:sz="2" w:space="0" w:color="auto"/>
              <w:left w:val="nil"/>
              <w:bottom w:val="single" w:sz="4" w:space="0" w:color="auto"/>
              <w:right w:val="single" w:sz="4" w:space="0" w:color="auto"/>
            </w:tcBorders>
            <w:noWrap/>
            <w:vAlign w:val="bottom"/>
          </w:tcPr>
          <w:p w:rsidR="00F9496F" w:rsidRPr="00F9496F" w:rsidRDefault="00F9496F" w:rsidP="00183D41">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-150,0</w:t>
            </w:r>
          </w:p>
        </w:tc>
      </w:tr>
      <w:tr w:rsidR="00F9496F" w:rsidRPr="00F9496F" w:rsidTr="00BA5797">
        <w:trPr>
          <w:trHeight w:val="315"/>
        </w:trPr>
        <w:tc>
          <w:tcPr>
            <w:tcW w:w="2794" w:type="pct"/>
            <w:tcBorders>
              <w:top w:val="nil"/>
              <w:left w:val="single" w:sz="4" w:space="0" w:color="auto"/>
              <w:bottom w:val="single" w:sz="4" w:space="0" w:color="auto"/>
              <w:right w:val="single" w:sz="4" w:space="0" w:color="auto"/>
            </w:tcBorders>
            <w:noWrap/>
            <w:vAlign w:val="bottom"/>
          </w:tcPr>
          <w:p w:rsidR="00F9496F" w:rsidRPr="00F9496F" w:rsidRDefault="00F9496F" w:rsidP="00F9496F">
            <w:pPr>
              <w:spacing w:after="0" w:line="240" w:lineRule="auto"/>
              <w:jc w:val="both"/>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3. Valori mobiliare de stat emise pentru menţinerea stabilităţii financiare</w:t>
            </w:r>
          </w:p>
        </w:tc>
        <w:tc>
          <w:tcPr>
            <w:tcW w:w="699" w:type="pct"/>
            <w:tcBorders>
              <w:top w:val="nil"/>
              <w:left w:val="nil"/>
              <w:bottom w:val="single" w:sz="8" w:space="0" w:color="auto"/>
              <w:right w:val="nil"/>
            </w:tcBorders>
            <w:noWrap/>
            <w:vAlign w:val="bottom"/>
          </w:tcPr>
          <w:p w:rsidR="00F9496F" w:rsidRPr="00F9496F" w:rsidRDefault="00F9496F" w:rsidP="00183D41">
            <w:pPr>
              <w:spacing w:after="0" w:line="240" w:lineRule="auto"/>
              <w:jc w:val="center"/>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mil.lei</w:t>
            </w:r>
          </w:p>
        </w:tc>
        <w:tc>
          <w:tcPr>
            <w:tcW w:w="542" w:type="pct"/>
            <w:tcBorders>
              <w:top w:val="nil"/>
              <w:left w:val="single" w:sz="4" w:space="0" w:color="auto"/>
              <w:bottom w:val="single" w:sz="4" w:space="0" w:color="auto"/>
              <w:right w:val="single" w:sz="4" w:space="0" w:color="auto"/>
            </w:tcBorders>
            <w:noWrap/>
            <w:vAlign w:val="bottom"/>
          </w:tcPr>
          <w:p w:rsidR="00F9496F" w:rsidRPr="00F9496F" w:rsidRDefault="00F9496F" w:rsidP="00183D41">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-93,1</w:t>
            </w:r>
          </w:p>
        </w:tc>
        <w:tc>
          <w:tcPr>
            <w:tcW w:w="510" w:type="pct"/>
            <w:tcBorders>
              <w:top w:val="nil"/>
              <w:left w:val="nil"/>
              <w:bottom w:val="single" w:sz="4" w:space="0" w:color="auto"/>
              <w:right w:val="single" w:sz="4" w:space="0" w:color="auto"/>
            </w:tcBorders>
            <w:noWrap/>
            <w:vAlign w:val="bottom"/>
          </w:tcPr>
          <w:p w:rsidR="00F9496F" w:rsidRPr="00F9496F" w:rsidRDefault="00F9496F" w:rsidP="00183D41">
            <w:pPr>
              <w:spacing w:after="0" w:line="240" w:lineRule="auto"/>
              <w:jc w:val="right"/>
              <w:rPr>
                <w:rFonts w:ascii="Times New Roman" w:eastAsia="Times New Roman" w:hAnsi="Times New Roman" w:cs="Times New Roman"/>
                <w:sz w:val="24"/>
                <w:szCs w:val="24"/>
                <w:lang w:val="ro-RO" w:eastAsia="ru-RU"/>
              </w:rPr>
            </w:pPr>
            <w:r w:rsidRPr="00F9496F">
              <w:rPr>
                <w:rFonts w:ascii="Times New Roman" w:eastAsia="Times New Roman" w:hAnsi="Times New Roman" w:cs="Times New Roman"/>
                <w:sz w:val="24"/>
                <w:szCs w:val="24"/>
                <w:lang w:val="ro-RO" w:eastAsia="ru-RU"/>
              </w:rPr>
              <w:t>-93,1</w:t>
            </w:r>
          </w:p>
        </w:tc>
        <w:tc>
          <w:tcPr>
            <w:tcW w:w="455" w:type="pct"/>
            <w:tcBorders>
              <w:top w:val="nil"/>
              <w:left w:val="nil"/>
              <w:bottom w:val="single" w:sz="4" w:space="0" w:color="auto"/>
              <w:right w:val="single" w:sz="4" w:space="0" w:color="auto"/>
            </w:tcBorders>
            <w:noWrap/>
            <w:vAlign w:val="bottom"/>
          </w:tcPr>
          <w:p w:rsidR="00F9496F" w:rsidRPr="00F9496F" w:rsidRDefault="002E082C" w:rsidP="00183D41">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0,0</w:t>
            </w:r>
          </w:p>
        </w:tc>
      </w:tr>
    </w:tbl>
    <w:p w:rsidR="00F9496F" w:rsidRPr="007551EA"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4"/>
          <w:szCs w:val="28"/>
          <w:lang w:val="ro-RO" w:eastAsia="ru-RU"/>
        </w:rPr>
      </w:pPr>
    </w:p>
    <w:p w:rsidR="00F9496F" w:rsidRPr="00F9496F"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7551EA">
        <w:rPr>
          <w:rFonts w:ascii="Times New Roman" w:eastAsia="Times New Roman" w:hAnsi="Times New Roman" w:cs="Times New Roman"/>
          <w:sz w:val="28"/>
          <w:szCs w:val="28"/>
          <w:lang w:val="ro-RO" w:eastAsia="ru-RU"/>
        </w:rPr>
        <w:t>Referitor la valorile mobiliare de stat emise prin licitaţii, în perioada 201</w:t>
      </w:r>
      <w:r w:rsidR="00FA21B3" w:rsidRPr="007551EA">
        <w:rPr>
          <w:rFonts w:ascii="Times New Roman" w:eastAsia="Times New Roman" w:hAnsi="Times New Roman" w:cs="Times New Roman"/>
          <w:sz w:val="28"/>
          <w:szCs w:val="28"/>
          <w:lang w:val="ro-RO" w:eastAsia="ru-RU"/>
        </w:rPr>
        <w:t>4</w:t>
      </w:r>
      <w:r w:rsidRPr="007551EA">
        <w:rPr>
          <w:rFonts w:ascii="Times New Roman" w:eastAsia="Times New Roman" w:hAnsi="Times New Roman" w:cs="Times New Roman"/>
          <w:sz w:val="28"/>
          <w:szCs w:val="28"/>
          <w:lang w:val="ro-RO" w:eastAsia="ru-RU"/>
        </w:rPr>
        <w:t>-201</w:t>
      </w:r>
      <w:r w:rsidR="00FA21B3" w:rsidRPr="007551EA">
        <w:rPr>
          <w:rFonts w:ascii="Times New Roman" w:eastAsia="Times New Roman" w:hAnsi="Times New Roman" w:cs="Times New Roman"/>
          <w:sz w:val="28"/>
          <w:szCs w:val="28"/>
          <w:lang w:val="ro-RO" w:eastAsia="ru-RU"/>
        </w:rPr>
        <w:t>6</w:t>
      </w:r>
      <w:r w:rsidRPr="007551EA">
        <w:rPr>
          <w:rFonts w:ascii="Times New Roman" w:eastAsia="Times New Roman" w:hAnsi="Times New Roman" w:cs="Times New Roman"/>
          <w:sz w:val="28"/>
          <w:szCs w:val="28"/>
          <w:lang w:val="ro-RO" w:eastAsia="ru-RU"/>
        </w:rPr>
        <w:t xml:space="preserve"> vor fi emise bonuri de trezorerie cu scadenţa 91, 182 şi 364 zile</w:t>
      </w:r>
      <w:r w:rsidRPr="007551EA">
        <w:rPr>
          <w:rFonts w:ascii="Times New Roman" w:eastAsia="Times New Roman" w:hAnsi="Times New Roman" w:cs="Times New Roman"/>
          <w:i/>
          <w:sz w:val="28"/>
          <w:szCs w:val="28"/>
          <w:lang w:val="ro-RO" w:eastAsia="ru-RU"/>
        </w:rPr>
        <w:t xml:space="preserve">, </w:t>
      </w:r>
      <w:r w:rsidRPr="007551EA">
        <w:rPr>
          <w:rFonts w:ascii="Times New Roman" w:eastAsia="Times New Roman" w:hAnsi="Times New Roman" w:cs="Times New Roman"/>
          <w:sz w:val="28"/>
          <w:szCs w:val="28"/>
          <w:lang w:val="ro-RO" w:eastAsia="ru-RU"/>
        </w:rPr>
        <w:t>la emisiunea cărora se va pune accent pe majorarea volumului bonurilor de trezorerie cu termen mai lung de circulaţie, adică de 182 şi 364 zile. În acelaşi timp, oferta pentru bonurile de trezorerie de 91 zile se va diminua treptat. Suplimentar, va continua emisiunea obligaţiunilor de stat cu dobîndă flotantă cu scadenţa 2 ani, precum şi se prevede emisiunea obligaţiunilor de stat cu dobîndă fixă cu scadenţa 3 ani prin sporirea atractivităţii acestor instrumente.</w:t>
      </w:r>
    </w:p>
    <w:p w:rsidR="00F9496F" w:rsidRPr="00F9496F" w:rsidRDefault="00F9496F" w:rsidP="00F9496F">
      <w:pPr>
        <w:spacing w:after="0" w:line="240" w:lineRule="auto"/>
        <w:jc w:val="both"/>
        <w:rPr>
          <w:rFonts w:ascii="Times New Roman" w:eastAsia="Times New Roman" w:hAnsi="Times New Roman" w:cs="Times New Roman"/>
          <w:sz w:val="28"/>
          <w:szCs w:val="28"/>
          <w:lang w:val="ro-RO" w:eastAsia="ru-RU"/>
        </w:rPr>
      </w:pPr>
    </w:p>
    <w:p w:rsidR="00F9496F" w:rsidRPr="00183D41" w:rsidRDefault="004A294E" w:rsidP="004F1B6D">
      <w:pPr>
        <w:keepNext/>
        <w:spacing w:after="0" w:line="240" w:lineRule="auto"/>
        <w:ind w:firstLine="709"/>
        <w:jc w:val="both"/>
        <w:outlineLvl w:val="0"/>
        <w:rPr>
          <w:rFonts w:ascii="Times New Roman" w:eastAsia="Times New Roman" w:hAnsi="Times New Roman" w:cs="Times New Roman"/>
          <w:b/>
          <w:bCs/>
          <w:kern w:val="32"/>
          <w:sz w:val="28"/>
          <w:szCs w:val="28"/>
          <w:lang w:val="ro-RO" w:eastAsia="ru-RU"/>
        </w:rPr>
      </w:pPr>
      <w:bookmarkStart w:id="17" w:name="_Toc346609567"/>
      <w:r w:rsidRPr="00183D41">
        <w:rPr>
          <w:rFonts w:ascii="Times New Roman" w:eastAsia="Times New Roman" w:hAnsi="Times New Roman" w:cs="Times New Roman"/>
          <w:b/>
          <w:bCs/>
          <w:kern w:val="32"/>
          <w:sz w:val="28"/>
          <w:szCs w:val="28"/>
          <w:lang w:val="ro-RO" w:eastAsia="ru-RU"/>
        </w:rPr>
        <w:t xml:space="preserve">Capitolul </w:t>
      </w:r>
      <w:r w:rsidR="00F9496F" w:rsidRPr="00183D41">
        <w:rPr>
          <w:rFonts w:ascii="Times New Roman" w:eastAsia="Times New Roman" w:hAnsi="Times New Roman" w:cs="Times New Roman"/>
          <w:b/>
          <w:bCs/>
          <w:kern w:val="32"/>
          <w:sz w:val="28"/>
          <w:szCs w:val="28"/>
          <w:lang w:val="ro-RO" w:eastAsia="ru-RU"/>
        </w:rPr>
        <w:t>V. Măsuri de implementare a managementului datoriei de stat pe termen mediu</w:t>
      </w:r>
      <w:bookmarkEnd w:id="17"/>
    </w:p>
    <w:p w:rsidR="00F9496F" w:rsidRPr="00183D41" w:rsidRDefault="00F9496F" w:rsidP="004F1B6D">
      <w:pPr>
        <w:spacing w:after="0" w:line="240" w:lineRule="auto"/>
        <w:ind w:firstLine="709"/>
        <w:rPr>
          <w:rFonts w:ascii="Times New Roman" w:eastAsia="Times New Roman" w:hAnsi="Times New Roman" w:cs="Times New Roman"/>
          <w:sz w:val="24"/>
          <w:szCs w:val="24"/>
          <w:lang w:val="ro-RO" w:eastAsia="ru-RU"/>
        </w:rPr>
      </w:pPr>
    </w:p>
    <w:p w:rsidR="00F9496F" w:rsidRPr="00183D41" w:rsidRDefault="00F9496F" w:rsidP="004F1B6D">
      <w:pPr>
        <w:keepNext/>
        <w:spacing w:after="0" w:line="240" w:lineRule="auto"/>
        <w:ind w:firstLine="709"/>
        <w:jc w:val="both"/>
        <w:outlineLvl w:val="1"/>
        <w:rPr>
          <w:rFonts w:ascii="Times New Roman" w:eastAsia="Times New Roman" w:hAnsi="Times New Roman" w:cs="Times New Roman"/>
          <w:b/>
          <w:bCs/>
          <w:iCs/>
          <w:sz w:val="28"/>
          <w:szCs w:val="28"/>
          <w:lang w:val="ro-RO" w:eastAsia="ru-RU"/>
        </w:rPr>
      </w:pPr>
      <w:bookmarkStart w:id="18" w:name="_Toc346609568"/>
      <w:r w:rsidRPr="00183D41">
        <w:rPr>
          <w:rFonts w:ascii="Times New Roman" w:eastAsia="Times New Roman" w:hAnsi="Times New Roman" w:cs="Times New Roman"/>
          <w:b/>
          <w:bCs/>
          <w:iCs/>
          <w:sz w:val="28"/>
          <w:szCs w:val="28"/>
          <w:lang w:val="ro-RO" w:eastAsia="ru-RU"/>
        </w:rPr>
        <w:t>Secţiunea 1. Instrumente ale datoriei de stat pentru perioada 201</w:t>
      </w:r>
      <w:r w:rsidR="00FA21B3">
        <w:rPr>
          <w:rFonts w:ascii="Times New Roman" w:eastAsia="Times New Roman" w:hAnsi="Times New Roman" w:cs="Times New Roman"/>
          <w:b/>
          <w:bCs/>
          <w:iCs/>
          <w:sz w:val="28"/>
          <w:szCs w:val="28"/>
          <w:lang w:val="ro-RO" w:eastAsia="ru-RU"/>
        </w:rPr>
        <w:t>4</w:t>
      </w:r>
      <w:r w:rsidRPr="00183D41">
        <w:rPr>
          <w:rFonts w:ascii="Times New Roman" w:eastAsia="Times New Roman" w:hAnsi="Times New Roman" w:cs="Times New Roman"/>
          <w:b/>
          <w:bCs/>
          <w:iCs/>
          <w:sz w:val="28"/>
          <w:szCs w:val="28"/>
          <w:lang w:val="ro-RO" w:eastAsia="ru-RU"/>
        </w:rPr>
        <w:t>-201</w:t>
      </w:r>
      <w:bookmarkEnd w:id="18"/>
      <w:r w:rsidR="00FA21B3">
        <w:rPr>
          <w:rFonts w:ascii="Times New Roman" w:eastAsia="Times New Roman" w:hAnsi="Times New Roman" w:cs="Times New Roman"/>
          <w:b/>
          <w:bCs/>
          <w:iCs/>
          <w:sz w:val="28"/>
          <w:szCs w:val="28"/>
          <w:lang w:val="ro-RO" w:eastAsia="ru-RU"/>
        </w:rPr>
        <w:t>6</w:t>
      </w:r>
    </w:p>
    <w:p w:rsidR="00F9496F" w:rsidRPr="00183D41" w:rsidRDefault="00F9496F" w:rsidP="004F1B6D">
      <w:pPr>
        <w:autoSpaceDE w:val="0"/>
        <w:autoSpaceDN w:val="0"/>
        <w:adjustRightInd w:val="0"/>
        <w:spacing w:after="0" w:line="240" w:lineRule="auto"/>
        <w:ind w:firstLine="709"/>
        <w:jc w:val="both"/>
        <w:rPr>
          <w:rFonts w:ascii="Times New Roman" w:eastAsia="Times New Roman" w:hAnsi="Times New Roman" w:cs="Times New Roman"/>
          <w:bCs/>
          <w:sz w:val="28"/>
          <w:szCs w:val="28"/>
          <w:lang w:val="ro-RO" w:eastAsia="ru-RU"/>
        </w:rPr>
      </w:pPr>
      <w:r w:rsidRPr="00183D41">
        <w:rPr>
          <w:rFonts w:ascii="Times New Roman" w:eastAsia="Times New Roman" w:hAnsi="Times New Roman" w:cs="Times New Roman"/>
          <w:bCs/>
          <w:sz w:val="28"/>
          <w:szCs w:val="28"/>
          <w:lang w:val="ro-RO" w:eastAsia="ru-RU"/>
        </w:rPr>
        <w:t>În scopul atingerii obiectivului fundamental al managementului datoriei de stat, precum şi pentru a menţine o structură rezonabilă a portofoliului datoriei de stat, va fi monitorizată structura datoriei de stat pe instrumente şi riscurile aferente fiecărui instrument în parte. Astfel, în perioada anilor 201</w:t>
      </w:r>
      <w:r w:rsidR="00FA21B3">
        <w:rPr>
          <w:rFonts w:ascii="Times New Roman" w:eastAsia="Times New Roman" w:hAnsi="Times New Roman" w:cs="Times New Roman"/>
          <w:bCs/>
          <w:sz w:val="28"/>
          <w:szCs w:val="28"/>
          <w:lang w:val="ro-RO" w:eastAsia="ru-RU"/>
        </w:rPr>
        <w:t>4</w:t>
      </w:r>
      <w:r w:rsidRPr="00183D41">
        <w:rPr>
          <w:rFonts w:ascii="Times New Roman" w:eastAsia="Times New Roman" w:hAnsi="Times New Roman" w:cs="Times New Roman"/>
          <w:bCs/>
          <w:sz w:val="28"/>
          <w:szCs w:val="28"/>
          <w:lang w:val="ro-RO" w:eastAsia="ru-RU"/>
        </w:rPr>
        <w:t>-201</w:t>
      </w:r>
      <w:r w:rsidR="00FA21B3">
        <w:rPr>
          <w:rFonts w:ascii="Times New Roman" w:eastAsia="Times New Roman" w:hAnsi="Times New Roman" w:cs="Times New Roman"/>
          <w:bCs/>
          <w:sz w:val="28"/>
          <w:szCs w:val="28"/>
          <w:lang w:val="ro-RO" w:eastAsia="ru-RU"/>
        </w:rPr>
        <w:t>6</w:t>
      </w:r>
      <w:r w:rsidRPr="00183D41">
        <w:rPr>
          <w:rFonts w:ascii="Times New Roman" w:eastAsia="Times New Roman" w:hAnsi="Times New Roman" w:cs="Times New Roman"/>
          <w:bCs/>
          <w:sz w:val="28"/>
          <w:szCs w:val="28"/>
          <w:lang w:val="ro-RO" w:eastAsia="ru-RU"/>
        </w:rPr>
        <w:t>, în componenţa datoriei de stat vor intra următoarele instrumente:</w:t>
      </w:r>
    </w:p>
    <w:p w:rsidR="00CC4892" w:rsidRPr="00183D41" w:rsidRDefault="00CC4892" w:rsidP="00CC4892">
      <w:pPr>
        <w:numPr>
          <w:ilvl w:val="0"/>
          <w:numId w:val="7"/>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b/>
          <w:bCs/>
          <w:sz w:val="28"/>
          <w:szCs w:val="28"/>
          <w:lang w:val="ro-RO" w:eastAsia="ru-RU"/>
        </w:rPr>
        <w:t xml:space="preserve">Împrumuturi de stat externe. </w:t>
      </w:r>
      <w:r w:rsidRPr="00183D41">
        <w:rPr>
          <w:rFonts w:ascii="Times New Roman" w:eastAsia="Times New Roman" w:hAnsi="Times New Roman" w:cs="Times New Roman"/>
          <w:bCs/>
          <w:sz w:val="28"/>
          <w:szCs w:val="28"/>
          <w:lang w:val="ro-RO" w:eastAsia="ru-RU"/>
        </w:rPr>
        <w:t>În perioada anilor 201</w:t>
      </w:r>
      <w:r>
        <w:rPr>
          <w:rFonts w:ascii="Times New Roman" w:eastAsia="Times New Roman" w:hAnsi="Times New Roman" w:cs="Times New Roman"/>
          <w:bCs/>
          <w:sz w:val="28"/>
          <w:szCs w:val="28"/>
          <w:lang w:val="ro-RO" w:eastAsia="ru-RU"/>
        </w:rPr>
        <w:t>4-2016</w:t>
      </w:r>
      <w:r w:rsidRPr="00183D41">
        <w:rPr>
          <w:rFonts w:ascii="Times New Roman" w:eastAsia="Times New Roman" w:hAnsi="Times New Roman" w:cs="Times New Roman"/>
          <w:bCs/>
          <w:sz w:val="28"/>
          <w:szCs w:val="28"/>
          <w:lang w:val="ro-RO" w:eastAsia="ru-RU"/>
        </w:rPr>
        <w:t xml:space="preserve">, ponderea majoră va continua să fie ocupată de către împrumuturile de stat externe de la instituţiile multilaterale, </w:t>
      </w:r>
      <w:r w:rsidR="008F286F">
        <w:rPr>
          <w:rFonts w:ascii="Times New Roman" w:eastAsia="Times New Roman" w:hAnsi="Times New Roman" w:cs="Times New Roman"/>
          <w:bCs/>
          <w:sz w:val="28"/>
          <w:szCs w:val="28"/>
          <w:lang w:val="ro-RO" w:eastAsia="ru-RU"/>
        </w:rPr>
        <w:t>care către sfîrşitul anului 2016</w:t>
      </w:r>
      <w:r w:rsidRPr="00183D41">
        <w:rPr>
          <w:rFonts w:ascii="Times New Roman" w:eastAsia="Times New Roman" w:hAnsi="Times New Roman" w:cs="Times New Roman"/>
          <w:bCs/>
          <w:sz w:val="28"/>
          <w:szCs w:val="28"/>
          <w:lang w:val="ro-RO" w:eastAsia="ru-RU"/>
        </w:rPr>
        <w:t xml:space="preserve"> vor ocupa circa 8</w:t>
      </w:r>
      <w:r w:rsidR="008F286F">
        <w:rPr>
          <w:rFonts w:ascii="Times New Roman" w:eastAsia="Times New Roman" w:hAnsi="Times New Roman" w:cs="Times New Roman"/>
          <w:bCs/>
          <w:sz w:val="28"/>
          <w:szCs w:val="28"/>
          <w:lang w:val="ro-RO" w:eastAsia="ru-RU"/>
        </w:rPr>
        <w:t>9</w:t>
      </w:r>
      <w:r w:rsidRPr="00183D41">
        <w:rPr>
          <w:rFonts w:ascii="Times New Roman" w:eastAsia="Times New Roman" w:hAnsi="Times New Roman" w:cs="Times New Roman"/>
          <w:bCs/>
          <w:sz w:val="28"/>
          <w:szCs w:val="28"/>
          <w:lang w:val="ro-RO" w:eastAsia="ru-RU"/>
        </w:rPr>
        <w:t>,</w:t>
      </w:r>
      <w:r w:rsidR="008F286F">
        <w:rPr>
          <w:rFonts w:ascii="Times New Roman" w:eastAsia="Times New Roman" w:hAnsi="Times New Roman" w:cs="Times New Roman"/>
          <w:bCs/>
          <w:sz w:val="28"/>
          <w:szCs w:val="28"/>
          <w:lang w:val="ro-RO" w:eastAsia="ru-RU"/>
        </w:rPr>
        <w:t>0</w:t>
      </w:r>
      <w:r w:rsidRPr="00183D41">
        <w:rPr>
          <w:rFonts w:ascii="Times New Roman" w:eastAsia="Times New Roman" w:hAnsi="Times New Roman" w:cs="Times New Roman"/>
          <w:bCs/>
          <w:sz w:val="28"/>
          <w:szCs w:val="28"/>
          <w:lang w:val="ro-RO" w:eastAsia="ru-RU"/>
        </w:rPr>
        <w:t xml:space="preserve">% din </w:t>
      </w:r>
      <w:r w:rsidR="008F286F">
        <w:rPr>
          <w:rFonts w:ascii="Times New Roman" w:eastAsia="Times New Roman" w:hAnsi="Times New Roman" w:cs="Times New Roman"/>
          <w:bCs/>
          <w:sz w:val="28"/>
          <w:szCs w:val="28"/>
          <w:lang w:val="ro-RO" w:eastAsia="ru-RU"/>
        </w:rPr>
        <w:t>soldul</w:t>
      </w:r>
      <w:r w:rsidRPr="00183D41">
        <w:rPr>
          <w:rFonts w:ascii="Times New Roman" w:eastAsia="Times New Roman" w:hAnsi="Times New Roman" w:cs="Times New Roman"/>
          <w:bCs/>
          <w:sz w:val="28"/>
          <w:szCs w:val="28"/>
          <w:lang w:val="ro-RO" w:eastAsia="ru-RU"/>
        </w:rPr>
        <w:t xml:space="preserve"> datoriei de stat externe. În ceea ce priveşte structura pe creditori, pe primele locuri se situează datoria faţă de Asociaţia Internaţională de Dezvoltare, Fondul Monetar Internaţional şi Banca Europeană de Investiţii.</w:t>
      </w:r>
    </w:p>
    <w:p w:rsidR="008F286F" w:rsidRPr="008F286F" w:rsidRDefault="00CC4892" w:rsidP="008F286F">
      <w:pPr>
        <w:numPr>
          <w:ilvl w:val="0"/>
          <w:numId w:val="7"/>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b/>
          <w:bCs/>
          <w:sz w:val="28"/>
          <w:szCs w:val="28"/>
          <w:lang w:val="ro-RO" w:eastAsia="ru-RU"/>
        </w:rPr>
        <w:t>Alocarea drepturilor speciale de tragere.</w:t>
      </w:r>
      <w:r w:rsidRPr="00183D41">
        <w:rPr>
          <w:rFonts w:ascii="Times New Roman" w:eastAsia="Times New Roman" w:hAnsi="Times New Roman" w:cs="Times New Roman"/>
          <w:sz w:val="28"/>
          <w:szCs w:val="28"/>
          <w:lang w:val="ro-RO" w:eastAsia="ru-RU"/>
        </w:rPr>
        <w:t xml:space="preserve"> Acest instrument </w:t>
      </w:r>
      <w:r w:rsidR="008F286F">
        <w:rPr>
          <w:rFonts w:ascii="Times New Roman" w:eastAsia="Times New Roman" w:hAnsi="Times New Roman" w:cs="Times New Roman"/>
          <w:sz w:val="28"/>
          <w:szCs w:val="28"/>
          <w:lang w:val="ro-RO" w:eastAsia="ru-RU"/>
        </w:rPr>
        <w:t>al datoriei este sub forma</w:t>
      </w:r>
      <w:r w:rsidRPr="00183D41">
        <w:rPr>
          <w:rFonts w:ascii="Times New Roman" w:eastAsia="Times New Roman" w:hAnsi="Times New Roman" w:cs="Times New Roman"/>
          <w:sz w:val="28"/>
          <w:lang w:val="ro-RO" w:eastAsia="ru-RU"/>
        </w:rPr>
        <w:t xml:space="preserve"> active</w:t>
      </w:r>
      <w:r w:rsidR="008F286F">
        <w:rPr>
          <w:rFonts w:ascii="Times New Roman" w:eastAsia="Times New Roman" w:hAnsi="Times New Roman" w:cs="Times New Roman"/>
          <w:sz w:val="28"/>
          <w:lang w:val="ro-RO" w:eastAsia="ru-RU"/>
        </w:rPr>
        <w:t>lor</w:t>
      </w:r>
      <w:r w:rsidRPr="00183D41">
        <w:rPr>
          <w:rFonts w:ascii="Times New Roman" w:eastAsia="Times New Roman" w:hAnsi="Times New Roman" w:cs="Times New Roman"/>
          <w:sz w:val="28"/>
          <w:lang w:val="ro-RO" w:eastAsia="ru-RU"/>
        </w:rPr>
        <w:t xml:space="preserve"> de rezervă internaţionale create de către </w:t>
      </w:r>
      <w:r w:rsidRPr="00183D41">
        <w:rPr>
          <w:rFonts w:ascii="Times New Roman" w:eastAsia="Times New Roman" w:hAnsi="Times New Roman" w:cs="Times New Roman"/>
          <w:bCs/>
          <w:sz w:val="28"/>
          <w:szCs w:val="28"/>
          <w:lang w:val="ro-RO" w:eastAsia="ru-RU"/>
        </w:rPr>
        <w:t>Fondul Monetar Internaţional</w:t>
      </w:r>
      <w:r w:rsidRPr="00183D41">
        <w:rPr>
          <w:rFonts w:ascii="Times New Roman" w:eastAsia="Times New Roman" w:hAnsi="Times New Roman" w:cs="Times New Roman"/>
          <w:sz w:val="28"/>
          <w:lang w:val="ro-RO" w:eastAsia="ru-RU"/>
        </w:rPr>
        <w:t xml:space="preserve"> şi alocate membrilor săi, pentru a-şi completa activele de rezervă.</w:t>
      </w:r>
      <w:r w:rsidRPr="00183D41">
        <w:rPr>
          <w:rFonts w:ascii="Times New Roman" w:eastAsia="Times New Roman" w:hAnsi="Times New Roman" w:cs="Times New Roman"/>
          <w:sz w:val="28"/>
          <w:szCs w:val="28"/>
          <w:lang w:val="ro-RO" w:eastAsia="ru-RU"/>
        </w:rPr>
        <w:t xml:space="preserve"> A fost alocată în anul 2009 şi nu necesită de a fi rambursată suma principală, ci doar achitarea dobînzii. Astfel, </w:t>
      </w:r>
      <w:r w:rsidR="008F286F">
        <w:rPr>
          <w:rFonts w:ascii="Times New Roman" w:eastAsia="Times New Roman" w:hAnsi="Times New Roman" w:cs="Times New Roman"/>
          <w:sz w:val="28"/>
          <w:szCs w:val="28"/>
          <w:lang w:val="ro-RO" w:eastAsia="ru-RU"/>
        </w:rPr>
        <w:t>nu comportă risc de refinanțare, dar este expusă riscului ratei de dobîndă și riscului valutar</w:t>
      </w:r>
      <w:r w:rsidRPr="00183D41">
        <w:rPr>
          <w:rFonts w:ascii="Times New Roman" w:eastAsia="Times New Roman" w:hAnsi="Times New Roman" w:cs="Times New Roman"/>
          <w:sz w:val="28"/>
          <w:szCs w:val="28"/>
          <w:lang w:val="ro-RO" w:eastAsia="ru-RU"/>
        </w:rPr>
        <w:t>.</w:t>
      </w:r>
    </w:p>
    <w:p w:rsidR="00CC4892" w:rsidRPr="00183D41" w:rsidRDefault="00CC4892" w:rsidP="00CC4892">
      <w:pPr>
        <w:numPr>
          <w:ilvl w:val="0"/>
          <w:numId w:val="7"/>
        </w:numPr>
        <w:tabs>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b/>
          <w:bCs/>
          <w:sz w:val="28"/>
          <w:szCs w:val="28"/>
          <w:lang w:val="ro-RO" w:eastAsia="ru-RU"/>
        </w:rPr>
        <w:t xml:space="preserve">Garanţii de stat asumate. </w:t>
      </w:r>
      <w:r w:rsidRPr="00183D41">
        <w:rPr>
          <w:rFonts w:ascii="Times New Roman" w:eastAsia="Times New Roman" w:hAnsi="Times New Roman" w:cs="Times New Roman"/>
          <w:bCs/>
          <w:sz w:val="28"/>
          <w:szCs w:val="28"/>
          <w:lang w:val="ro-RO" w:eastAsia="ru-RU"/>
        </w:rPr>
        <w:t>Ponderea acestui instrument în portofoliul datoriei de stat se va diminua treptat, în anul 2015 fiind efectuată ultima plată. Iar acordarea de noi garanţii de stat se va efectua doar pentru proiecte strategice/de interes naţional,</w:t>
      </w:r>
      <w:r w:rsidRPr="00183D41">
        <w:rPr>
          <w:rFonts w:ascii="Times New Roman" w:eastAsia="Times New Roman" w:hAnsi="Times New Roman" w:cs="Times New Roman"/>
          <w:b/>
          <w:bCs/>
          <w:sz w:val="28"/>
          <w:szCs w:val="28"/>
          <w:lang w:val="ro-RO" w:eastAsia="ru-RU"/>
        </w:rPr>
        <w:t xml:space="preserve"> </w:t>
      </w:r>
      <w:r w:rsidRPr="00183D41">
        <w:rPr>
          <w:rFonts w:ascii="Times New Roman" w:eastAsia="Times New Roman" w:hAnsi="Times New Roman" w:cs="Times New Roman"/>
          <w:sz w:val="28"/>
          <w:szCs w:val="28"/>
          <w:lang w:val="ro-RO" w:eastAsia="ru-RU"/>
        </w:rPr>
        <w:t xml:space="preserve">pentru care acest tip de instrument este absolut necesar într-un anumit context, în baza emiterii unei legi speciale în acest scop şi drept urmare a unei analize de risc riguroase conform cadrului normativ existent. </w:t>
      </w:r>
    </w:p>
    <w:p w:rsidR="00F9496F" w:rsidRPr="00183D41" w:rsidRDefault="00F9496F" w:rsidP="005F06AC">
      <w:pPr>
        <w:numPr>
          <w:ilvl w:val="0"/>
          <w:numId w:val="7"/>
        </w:numPr>
        <w:tabs>
          <w:tab w:val="left" w:pos="9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b/>
          <w:bCs/>
          <w:sz w:val="28"/>
          <w:szCs w:val="28"/>
          <w:lang w:val="ro-RO" w:eastAsia="ru-RU"/>
        </w:rPr>
        <w:t xml:space="preserve">Valori mobiliare de stat emise pe piaţa primară. </w:t>
      </w:r>
      <w:r w:rsidRPr="00183D41">
        <w:rPr>
          <w:rFonts w:ascii="Times New Roman" w:eastAsia="Times New Roman" w:hAnsi="Times New Roman" w:cs="Times New Roman"/>
          <w:sz w:val="28"/>
          <w:szCs w:val="28"/>
          <w:lang w:val="ro-RO" w:eastAsia="ru-RU"/>
        </w:rPr>
        <w:t>În perioada 201</w:t>
      </w:r>
      <w:r w:rsidR="00FA21B3">
        <w:rPr>
          <w:rFonts w:ascii="Times New Roman" w:eastAsia="Times New Roman" w:hAnsi="Times New Roman" w:cs="Times New Roman"/>
          <w:sz w:val="28"/>
          <w:szCs w:val="28"/>
          <w:lang w:val="ro-RO" w:eastAsia="ru-RU"/>
        </w:rPr>
        <w:t>4</w:t>
      </w:r>
      <w:r w:rsidRPr="00183D41">
        <w:rPr>
          <w:rFonts w:ascii="Times New Roman" w:eastAsia="Times New Roman" w:hAnsi="Times New Roman" w:cs="Times New Roman"/>
          <w:sz w:val="28"/>
          <w:szCs w:val="28"/>
          <w:lang w:val="ro-RO" w:eastAsia="ru-RU"/>
        </w:rPr>
        <w:t>-</w:t>
      </w:r>
      <w:r w:rsidR="00FA21B3">
        <w:rPr>
          <w:rFonts w:ascii="Times New Roman" w:eastAsia="Times New Roman" w:hAnsi="Times New Roman" w:cs="Times New Roman"/>
          <w:sz w:val="28"/>
          <w:szCs w:val="28"/>
          <w:lang w:val="ro-RO" w:eastAsia="ru-RU"/>
        </w:rPr>
        <w:t>2</w:t>
      </w:r>
      <w:r w:rsidRPr="00183D41">
        <w:rPr>
          <w:rFonts w:ascii="Times New Roman" w:eastAsia="Times New Roman" w:hAnsi="Times New Roman" w:cs="Times New Roman"/>
          <w:sz w:val="28"/>
          <w:szCs w:val="28"/>
          <w:lang w:val="ro-RO" w:eastAsia="ru-RU"/>
        </w:rPr>
        <w:t>01</w:t>
      </w:r>
      <w:r w:rsidR="00FA21B3">
        <w:rPr>
          <w:rFonts w:ascii="Times New Roman" w:eastAsia="Times New Roman" w:hAnsi="Times New Roman" w:cs="Times New Roman"/>
          <w:sz w:val="28"/>
          <w:szCs w:val="28"/>
          <w:lang w:val="ro-RO" w:eastAsia="ru-RU"/>
        </w:rPr>
        <w:t>6</w:t>
      </w:r>
      <w:r w:rsidRPr="00183D41">
        <w:rPr>
          <w:rFonts w:ascii="Times New Roman" w:eastAsia="Times New Roman" w:hAnsi="Times New Roman" w:cs="Times New Roman"/>
          <w:sz w:val="28"/>
          <w:szCs w:val="28"/>
          <w:lang w:val="ro-RO" w:eastAsia="ru-RU"/>
        </w:rPr>
        <w:t xml:space="preserve"> valorile mobiliare de stat emise pe piaţa primară vor continua să deţină ponderea majoră în portofoliul datoriei de stat interne. În componenţa acestora vor intra valori mobiliare de stat emise pe termen scurt (bonuri de trezorerie cu scadenţa 91, 182 şi 364 zile), precum şi valori mobiliare de stat emise pe termen mediu (obligaţiuni de stat pe termen de 2 ani şi 3 ani cu rata dobînzii fixă şi obligaţiuni de stat plasate prin subscriere). Soldul valorilor mobiliare de stat emise plasate prin subscriere se va diminua treptat, acestea fiind răscumpărate în totalitate către sfîrşitul anului 2015.</w:t>
      </w:r>
    </w:p>
    <w:p w:rsidR="00F9496F" w:rsidRPr="00183D41" w:rsidRDefault="00F9496F" w:rsidP="005F06AC">
      <w:pPr>
        <w:numPr>
          <w:ilvl w:val="0"/>
          <w:numId w:val="7"/>
        </w:numPr>
        <w:tabs>
          <w:tab w:val="left" w:pos="9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b/>
          <w:sz w:val="28"/>
          <w:szCs w:val="28"/>
          <w:lang w:val="ro-RO" w:eastAsia="ru-RU"/>
        </w:rPr>
        <w:t xml:space="preserve">Valorile mobiliare de stat </w:t>
      </w:r>
      <w:r w:rsidRPr="00183D41">
        <w:rPr>
          <w:rFonts w:ascii="Times New Roman" w:eastAsia="Times New Roman" w:hAnsi="Times New Roman" w:cs="Times New Roman"/>
          <w:b/>
          <w:bCs/>
          <w:sz w:val="28"/>
          <w:szCs w:val="28"/>
          <w:lang w:val="ro-RO" w:eastAsia="ru-RU"/>
        </w:rPr>
        <w:t xml:space="preserve">convertite. </w:t>
      </w:r>
      <w:r w:rsidRPr="00183D41">
        <w:rPr>
          <w:rFonts w:ascii="Times New Roman" w:eastAsia="Times New Roman" w:hAnsi="Times New Roman" w:cs="Times New Roman"/>
          <w:bCs/>
          <w:sz w:val="28"/>
          <w:szCs w:val="28"/>
          <w:lang w:val="ro-RO" w:eastAsia="ru-RU"/>
        </w:rPr>
        <w:t>Acest instrument nu supune portofo</w:t>
      </w:r>
      <w:r w:rsidR="00CC4892">
        <w:rPr>
          <w:rFonts w:ascii="Times New Roman" w:eastAsia="Times New Roman" w:hAnsi="Times New Roman" w:cs="Times New Roman"/>
          <w:bCs/>
          <w:sz w:val="28"/>
          <w:szCs w:val="28"/>
          <w:lang w:val="ro-RO" w:eastAsia="ru-RU"/>
        </w:rPr>
        <w:t>liul datoriei de stat la riscul de refinanțare</w:t>
      </w:r>
      <w:r w:rsidRPr="00183D41">
        <w:rPr>
          <w:rFonts w:ascii="Times New Roman" w:eastAsia="Times New Roman" w:hAnsi="Times New Roman" w:cs="Times New Roman"/>
          <w:bCs/>
          <w:sz w:val="28"/>
          <w:szCs w:val="28"/>
          <w:lang w:val="ro-RO" w:eastAsia="ru-RU"/>
        </w:rPr>
        <w:t>, întrucît această datorie</w:t>
      </w:r>
      <w:r w:rsidRPr="00183D41">
        <w:rPr>
          <w:rFonts w:ascii="Times New Roman" w:eastAsia="Times New Roman" w:hAnsi="Times New Roman" w:cs="Times New Roman"/>
          <w:b/>
          <w:bCs/>
          <w:sz w:val="28"/>
          <w:szCs w:val="28"/>
          <w:lang w:val="ro-RO" w:eastAsia="ru-RU"/>
        </w:rPr>
        <w:t xml:space="preserve"> </w:t>
      </w:r>
      <w:r w:rsidRPr="00183D41">
        <w:rPr>
          <w:rFonts w:ascii="Times New Roman" w:eastAsia="Times New Roman" w:hAnsi="Times New Roman" w:cs="Times New Roman"/>
          <w:sz w:val="28"/>
          <w:szCs w:val="28"/>
          <w:lang w:val="ro-RO" w:eastAsia="ru-RU"/>
        </w:rPr>
        <w:t>este reperfectată anual în baza unei înţelegeri între Guvern şi Banca Naţională a Moldovei</w:t>
      </w:r>
      <w:r w:rsidR="00CC4892">
        <w:rPr>
          <w:rFonts w:ascii="Times New Roman" w:eastAsia="Times New Roman" w:hAnsi="Times New Roman" w:cs="Times New Roman"/>
          <w:sz w:val="28"/>
          <w:szCs w:val="28"/>
          <w:lang w:val="ro-RO" w:eastAsia="ru-RU"/>
        </w:rPr>
        <w:t>. Totodată această datorie comportă un risc al ratei de dobîndă deoarece este reperfectată anual la rate noi de dobîndă. Către sfîrşitul anului 2016</w:t>
      </w:r>
      <w:r w:rsidRPr="00183D41">
        <w:rPr>
          <w:rFonts w:ascii="Times New Roman" w:eastAsia="Times New Roman" w:hAnsi="Times New Roman" w:cs="Times New Roman"/>
          <w:sz w:val="28"/>
          <w:szCs w:val="28"/>
          <w:lang w:val="ro-RO" w:eastAsia="ru-RU"/>
        </w:rPr>
        <w:t>, soldul valorilor mobiliare de stat con</w:t>
      </w:r>
      <w:r w:rsidR="00CC4892">
        <w:rPr>
          <w:rFonts w:ascii="Times New Roman" w:eastAsia="Times New Roman" w:hAnsi="Times New Roman" w:cs="Times New Roman"/>
          <w:sz w:val="28"/>
          <w:szCs w:val="28"/>
          <w:lang w:val="ro-RO" w:eastAsia="ru-RU"/>
        </w:rPr>
        <w:t>vertite se va diminua cu circa 1</w:t>
      </w:r>
      <w:r w:rsidRPr="00183D41">
        <w:rPr>
          <w:rFonts w:ascii="Times New Roman" w:eastAsia="Times New Roman" w:hAnsi="Times New Roman" w:cs="Times New Roman"/>
          <w:sz w:val="28"/>
          <w:szCs w:val="28"/>
          <w:lang w:val="ro-RO" w:eastAsia="ru-RU"/>
        </w:rPr>
        <w:t>2 la sută comparativ cu situaţia de la sfîrşitul anului 2013.</w:t>
      </w:r>
    </w:p>
    <w:p w:rsidR="00F9496F" w:rsidRPr="00183D41" w:rsidRDefault="00F9496F" w:rsidP="005F06AC">
      <w:pPr>
        <w:numPr>
          <w:ilvl w:val="0"/>
          <w:numId w:val="7"/>
        </w:numPr>
        <w:tabs>
          <w:tab w:val="left" w:pos="96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b/>
          <w:sz w:val="28"/>
          <w:szCs w:val="28"/>
          <w:lang w:val="ro-RO" w:eastAsia="ru-RU"/>
        </w:rPr>
        <w:t>Valorile mobiliare de stat</w:t>
      </w:r>
      <w:r w:rsidRPr="00183D41">
        <w:rPr>
          <w:rFonts w:ascii="Times New Roman" w:eastAsia="Times New Roman" w:hAnsi="Times New Roman" w:cs="Times New Roman"/>
          <w:b/>
          <w:bCs/>
          <w:sz w:val="28"/>
          <w:szCs w:val="28"/>
          <w:lang w:val="ro-RO" w:eastAsia="ru-RU"/>
        </w:rPr>
        <w:t xml:space="preserve"> emise pentru asigurarea stabilităţii financiare.</w:t>
      </w:r>
      <w:r w:rsidRPr="00183D41">
        <w:rPr>
          <w:rFonts w:ascii="Times New Roman" w:eastAsia="Times New Roman" w:hAnsi="Times New Roman" w:cs="Times New Roman"/>
          <w:bCs/>
          <w:sz w:val="28"/>
          <w:szCs w:val="28"/>
          <w:lang w:val="ro-RO" w:eastAsia="ru-RU"/>
        </w:rPr>
        <w:t xml:space="preserve"> Acest instrument are o maturitate de 4,2 ani şi o rată fixă a dobînzii de 0,01%, nefiind astfel expus riscurilor financiare. Obligaţiunile de stat emise pentru asigurarea stabilităţii financiare ocupă o pondere foarte mică în portofoliul datoriei de stat interne, iar către sfîrşitul anului 2015, vor fi răscumpărate în totalitate.</w:t>
      </w:r>
    </w:p>
    <w:p w:rsidR="00F9496F" w:rsidRPr="00183D41" w:rsidRDefault="00F9496F" w:rsidP="004F1B6D">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p>
    <w:p w:rsidR="00F9496F" w:rsidRPr="00183D41" w:rsidRDefault="00F9496F" w:rsidP="004F1B6D">
      <w:pPr>
        <w:keepNext/>
        <w:tabs>
          <w:tab w:val="left" w:pos="600"/>
        </w:tabs>
        <w:spacing w:after="0" w:line="240" w:lineRule="auto"/>
        <w:ind w:firstLine="709"/>
        <w:jc w:val="both"/>
        <w:outlineLvl w:val="1"/>
        <w:rPr>
          <w:rFonts w:ascii="Times New Roman" w:eastAsia="Times New Roman" w:hAnsi="Times New Roman" w:cs="Times New Roman"/>
          <w:b/>
          <w:bCs/>
          <w:iCs/>
          <w:sz w:val="28"/>
          <w:szCs w:val="28"/>
          <w:lang w:val="ro-RO" w:eastAsia="ru-RU"/>
        </w:rPr>
      </w:pPr>
      <w:bookmarkStart w:id="19" w:name="_Toc346609569"/>
      <w:r w:rsidRPr="00183D41">
        <w:rPr>
          <w:rFonts w:ascii="Times New Roman" w:eastAsia="Times New Roman" w:hAnsi="Times New Roman" w:cs="Times New Roman"/>
          <w:b/>
          <w:bCs/>
          <w:iCs/>
          <w:sz w:val="28"/>
          <w:szCs w:val="28"/>
          <w:lang w:val="ro-RO" w:eastAsia="ru-RU"/>
        </w:rPr>
        <w:t>Secţiunea 2. Parametrii de risc asociaţi datoriei de stat pentru perioada 201</w:t>
      </w:r>
      <w:r w:rsidR="003041CA">
        <w:rPr>
          <w:rFonts w:ascii="Times New Roman" w:eastAsia="Times New Roman" w:hAnsi="Times New Roman" w:cs="Times New Roman"/>
          <w:b/>
          <w:bCs/>
          <w:iCs/>
          <w:sz w:val="28"/>
          <w:szCs w:val="28"/>
          <w:lang w:val="ro-RO" w:eastAsia="ru-RU"/>
        </w:rPr>
        <w:t>4</w:t>
      </w:r>
      <w:r w:rsidRPr="00183D41">
        <w:rPr>
          <w:rFonts w:ascii="Times New Roman" w:eastAsia="Times New Roman" w:hAnsi="Times New Roman" w:cs="Times New Roman"/>
          <w:b/>
          <w:bCs/>
          <w:iCs/>
          <w:sz w:val="28"/>
          <w:szCs w:val="28"/>
          <w:lang w:val="ro-RO" w:eastAsia="ru-RU"/>
        </w:rPr>
        <w:t>-201</w:t>
      </w:r>
      <w:bookmarkEnd w:id="19"/>
      <w:r w:rsidR="003041CA">
        <w:rPr>
          <w:rFonts w:ascii="Times New Roman" w:eastAsia="Times New Roman" w:hAnsi="Times New Roman" w:cs="Times New Roman"/>
          <w:b/>
          <w:bCs/>
          <w:iCs/>
          <w:sz w:val="28"/>
          <w:szCs w:val="28"/>
          <w:lang w:val="ro-RO" w:eastAsia="ru-RU"/>
        </w:rPr>
        <w:t>6</w:t>
      </w:r>
    </w:p>
    <w:p w:rsidR="00F9496F" w:rsidRDefault="00F9496F" w:rsidP="004F1B6D">
      <w:pPr>
        <w:tabs>
          <w:tab w:val="left" w:pos="600"/>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sz w:val="28"/>
          <w:szCs w:val="28"/>
          <w:lang w:val="ro-RO" w:eastAsia="ru-RU"/>
        </w:rPr>
        <w:t xml:space="preserve">Parametrii selectaţi au fost stabiliţi reieşind din structura curentă a </w:t>
      </w:r>
      <w:r w:rsidR="003041CA">
        <w:rPr>
          <w:rFonts w:ascii="Times New Roman" w:eastAsia="Times New Roman" w:hAnsi="Times New Roman" w:cs="Times New Roman"/>
          <w:sz w:val="28"/>
          <w:szCs w:val="28"/>
          <w:lang w:val="ro-RO" w:eastAsia="ru-RU"/>
        </w:rPr>
        <w:t>soldului</w:t>
      </w:r>
      <w:r w:rsidRPr="00183D41">
        <w:rPr>
          <w:rFonts w:ascii="Times New Roman" w:eastAsia="Times New Roman" w:hAnsi="Times New Roman" w:cs="Times New Roman"/>
          <w:sz w:val="28"/>
          <w:szCs w:val="28"/>
          <w:lang w:val="ro-RO" w:eastAsia="ru-RU"/>
        </w:rPr>
        <w:t xml:space="preserve"> datoriei de stat, în scopul monitorizării riscurilor şi evitării expunerii majore a portofoliului datoriei de stat faţă de anumite tipuri de risc. Astfel, parametrii urmează a fi monitorizaţi continuu, iar ajustarea structurii portofoliului </w:t>
      </w:r>
      <w:r w:rsidR="003041CA">
        <w:rPr>
          <w:rFonts w:ascii="Times New Roman" w:eastAsia="Times New Roman" w:hAnsi="Times New Roman" w:cs="Times New Roman"/>
          <w:sz w:val="28"/>
          <w:szCs w:val="28"/>
          <w:lang w:val="ro-RO" w:eastAsia="ru-RU"/>
        </w:rPr>
        <w:t>va fi</w:t>
      </w:r>
      <w:r w:rsidRPr="00183D41">
        <w:rPr>
          <w:rFonts w:ascii="Times New Roman" w:eastAsia="Times New Roman" w:hAnsi="Times New Roman" w:cs="Times New Roman"/>
          <w:sz w:val="28"/>
          <w:szCs w:val="28"/>
          <w:lang w:val="ro-RO" w:eastAsia="ru-RU"/>
        </w:rPr>
        <w:t xml:space="preserve"> asigurată cu ajutorul instrumentelor relevante ale datoriei de stat. Devieri minore de la limitele propuse sînt permise în cazul în care aceste devieri nu cauzează riscuri financiare adiţionale.</w:t>
      </w:r>
    </w:p>
    <w:p w:rsidR="003041CA" w:rsidRPr="003041CA" w:rsidRDefault="003041CA" w:rsidP="003041CA">
      <w:pPr>
        <w:tabs>
          <w:tab w:val="left" w:pos="600"/>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3041CA">
        <w:rPr>
          <w:rFonts w:ascii="Times New Roman" w:eastAsia="Times New Roman" w:hAnsi="Times New Roman" w:cs="Times New Roman"/>
          <w:bCs/>
          <w:iCs/>
          <w:sz w:val="28"/>
          <w:szCs w:val="28"/>
          <w:lang w:val="ro-RO" w:eastAsia="ru-RU"/>
        </w:rPr>
        <w:t>Parametrii de risc asociaţi datoriei de stat pentru perioada 2014-2016</w:t>
      </w:r>
      <w:r>
        <w:rPr>
          <w:rFonts w:ascii="Times New Roman" w:eastAsia="Times New Roman" w:hAnsi="Times New Roman" w:cs="Times New Roman"/>
          <w:bCs/>
          <w:iCs/>
          <w:sz w:val="28"/>
          <w:szCs w:val="28"/>
          <w:lang w:val="ro-RO" w:eastAsia="ru-RU"/>
        </w:rPr>
        <w:t xml:space="preserve"> sunt următorii:</w:t>
      </w:r>
    </w:p>
    <w:p w:rsidR="00F9496F" w:rsidRDefault="00F9496F" w:rsidP="005F06AC">
      <w:pPr>
        <w:numPr>
          <w:ilvl w:val="0"/>
          <w:numId w:val="3"/>
        </w:numPr>
        <w:tabs>
          <w:tab w:val="left" w:pos="810"/>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sz w:val="28"/>
          <w:szCs w:val="28"/>
          <w:lang w:val="ro-RO" w:eastAsia="ru-RU"/>
        </w:rPr>
        <w:t xml:space="preserve">maturitatea rămasă a datoriei de stat: </w:t>
      </w:r>
      <w:r w:rsidR="00DF03E3">
        <w:rPr>
          <w:rFonts w:ascii="Times New Roman" w:eastAsia="Times New Roman" w:hAnsi="Times New Roman" w:cs="Times New Roman"/>
          <w:sz w:val="28"/>
          <w:szCs w:val="28"/>
          <w:lang w:val="ro-RO" w:eastAsia="ru-RU"/>
        </w:rPr>
        <w:t xml:space="preserve">ponderea </w:t>
      </w:r>
      <w:r w:rsidRPr="00183D41">
        <w:rPr>
          <w:rFonts w:ascii="Times New Roman" w:eastAsia="Times New Roman" w:hAnsi="Times New Roman" w:cs="Times New Roman"/>
          <w:sz w:val="28"/>
          <w:szCs w:val="28"/>
          <w:lang w:val="ro-RO" w:eastAsia="ru-RU"/>
        </w:rPr>
        <w:t>datori</w:t>
      </w:r>
      <w:r w:rsidR="00DF03E3">
        <w:rPr>
          <w:rFonts w:ascii="Times New Roman" w:eastAsia="Times New Roman" w:hAnsi="Times New Roman" w:cs="Times New Roman"/>
          <w:sz w:val="28"/>
          <w:szCs w:val="28"/>
          <w:lang w:val="ro-RO" w:eastAsia="ru-RU"/>
        </w:rPr>
        <w:t>ei</w:t>
      </w:r>
      <w:r w:rsidR="00A81F38">
        <w:rPr>
          <w:rFonts w:ascii="Times New Roman" w:eastAsia="Times New Roman" w:hAnsi="Times New Roman" w:cs="Times New Roman"/>
          <w:sz w:val="28"/>
          <w:szCs w:val="28"/>
          <w:lang w:val="ro-RO" w:eastAsia="ru-RU"/>
        </w:rPr>
        <w:t xml:space="preserve"> de stat scadentă în decurs de un</w:t>
      </w:r>
      <w:r w:rsidRPr="00183D41">
        <w:rPr>
          <w:rFonts w:ascii="Times New Roman" w:eastAsia="Times New Roman" w:hAnsi="Times New Roman" w:cs="Times New Roman"/>
          <w:sz w:val="28"/>
          <w:szCs w:val="28"/>
          <w:lang w:val="ro-RO" w:eastAsia="ru-RU"/>
        </w:rPr>
        <w:t xml:space="preserve"> an </w:t>
      </w:r>
      <w:r w:rsidR="007620E2">
        <w:rPr>
          <w:rFonts w:ascii="Times New Roman" w:eastAsia="Times New Roman" w:hAnsi="Times New Roman" w:cs="Times New Roman"/>
          <w:sz w:val="28"/>
          <w:szCs w:val="28"/>
          <w:lang w:val="ro-RO" w:eastAsia="ru-RU"/>
        </w:rPr>
        <w:t xml:space="preserve">nu </w:t>
      </w:r>
      <w:r w:rsidRPr="00183D41">
        <w:rPr>
          <w:rFonts w:ascii="Times New Roman" w:eastAsia="Times New Roman" w:hAnsi="Times New Roman" w:cs="Times New Roman"/>
          <w:sz w:val="28"/>
          <w:szCs w:val="28"/>
          <w:lang w:val="ro-RO" w:eastAsia="ru-RU"/>
        </w:rPr>
        <w:t xml:space="preserve">ar trebui să </w:t>
      </w:r>
      <w:r w:rsidR="007620E2">
        <w:rPr>
          <w:rFonts w:ascii="Times New Roman" w:eastAsia="Times New Roman" w:hAnsi="Times New Roman" w:cs="Times New Roman"/>
          <w:sz w:val="28"/>
          <w:szCs w:val="28"/>
          <w:lang w:val="ro-RO" w:eastAsia="ru-RU"/>
        </w:rPr>
        <w:t>depăşească</w:t>
      </w:r>
      <w:r w:rsidR="003041CA">
        <w:rPr>
          <w:rFonts w:ascii="Times New Roman" w:eastAsia="Times New Roman" w:hAnsi="Times New Roman" w:cs="Times New Roman"/>
          <w:sz w:val="28"/>
          <w:szCs w:val="28"/>
          <w:lang w:val="ro-RO" w:eastAsia="ru-RU"/>
        </w:rPr>
        <w:t xml:space="preserve"> limit</w:t>
      </w:r>
      <w:r w:rsidR="007620E2">
        <w:rPr>
          <w:rFonts w:ascii="Times New Roman" w:eastAsia="Times New Roman" w:hAnsi="Times New Roman" w:cs="Times New Roman"/>
          <w:sz w:val="28"/>
          <w:szCs w:val="28"/>
          <w:lang w:val="ro-RO" w:eastAsia="ru-RU"/>
        </w:rPr>
        <w:t>a</w:t>
      </w:r>
      <w:r w:rsidR="003041CA">
        <w:rPr>
          <w:rFonts w:ascii="Times New Roman" w:eastAsia="Times New Roman" w:hAnsi="Times New Roman" w:cs="Times New Roman"/>
          <w:sz w:val="28"/>
          <w:szCs w:val="28"/>
          <w:lang w:val="ro-RO" w:eastAsia="ru-RU"/>
        </w:rPr>
        <w:t xml:space="preserve"> de </w:t>
      </w:r>
      <w:r w:rsidRPr="00183D41">
        <w:rPr>
          <w:rFonts w:ascii="Times New Roman" w:eastAsia="Times New Roman" w:hAnsi="Times New Roman" w:cs="Times New Roman"/>
          <w:sz w:val="28"/>
          <w:szCs w:val="28"/>
          <w:lang w:val="ro-RO" w:eastAsia="ru-RU"/>
        </w:rPr>
        <w:t xml:space="preserve">35% </w:t>
      </w:r>
      <w:r w:rsidR="003041CA">
        <w:rPr>
          <w:rFonts w:ascii="Times New Roman" w:eastAsia="Times New Roman" w:hAnsi="Times New Roman" w:cs="Times New Roman"/>
          <w:sz w:val="28"/>
          <w:szCs w:val="28"/>
          <w:lang w:val="ro-RO" w:eastAsia="ru-RU"/>
        </w:rPr>
        <w:t>din</w:t>
      </w:r>
      <w:r w:rsidRPr="00183D41">
        <w:rPr>
          <w:rFonts w:ascii="Times New Roman" w:eastAsia="Times New Roman" w:hAnsi="Times New Roman" w:cs="Times New Roman"/>
          <w:sz w:val="28"/>
          <w:szCs w:val="28"/>
          <w:lang w:val="ro-RO" w:eastAsia="ru-RU"/>
        </w:rPr>
        <w:t xml:space="preserve"> totalul datoriei de stat;</w:t>
      </w:r>
    </w:p>
    <w:p w:rsidR="00A81F38" w:rsidRPr="00A81F38" w:rsidRDefault="003041CA" w:rsidP="00A81F38">
      <w:pPr>
        <w:numPr>
          <w:ilvl w:val="0"/>
          <w:numId w:val="3"/>
        </w:numPr>
        <w:tabs>
          <w:tab w:val="left" w:pos="810"/>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sz w:val="28"/>
          <w:szCs w:val="28"/>
          <w:lang w:val="ro-RO" w:eastAsia="ru-RU"/>
        </w:rPr>
        <w:t xml:space="preserve">ponderea datoriei de stat interne în totalul datoriei de stat nu ar trebui să </w:t>
      </w:r>
      <w:r w:rsidRPr="00A81F38">
        <w:rPr>
          <w:rFonts w:ascii="Times New Roman" w:eastAsia="Times New Roman" w:hAnsi="Times New Roman" w:cs="Times New Roman"/>
          <w:sz w:val="28"/>
          <w:szCs w:val="28"/>
          <w:lang w:val="ro-RO" w:eastAsia="ru-RU"/>
        </w:rPr>
        <w:t>înregistreze valori sub pragul de 20%;</w:t>
      </w:r>
    </w:p>
    <w:p w:rsidR="00A81F38" w:rsidRDefault="00A81F38" w:rsidP="00A81F38">
      <w:pPr>
        <w:numPr>
          <w:ilvl w:val="0"/>
          <w:numId w:val="3"/>
        </w:numPr>
        <w:tabs>
          <w:tab w:val="left" w:pos="810"/>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292121">
        <w:rPr>
          <w:rFonts w:ascii="Times New Roman" w:hAnsi="Times New Roman" w:cs="Times New Roman"/>
          <w:sz w:val="28"/>
          <w:szCs w:val="28"/>
          <w:lang w:val="ro-RO"/>
        </w:rPr>
        <w:t>compoziţia</w:t>
      </w:r>
      <w:r w:rsidRPr="00A81F38">
        <w:rPr>
          <w:rFonts w:ascii="Times New Roman" w:hAnsi="Times New Roman" w:cs="Times New Roman"/>
          <w:sz w:val="28"/>
          <w:szCs w:val="28"/>
          <w:lang w:val="ro-RO"/>
        </w:rPr>
        <w:t xml:space="preserve"> valutară a datoriei de stat</w:t>
      </w:r>
      <w:r w:rsidR="007620E2">
        <w:rPr>
          <w:rFonts w:ascii="Times New Roman" w:hAnsi="Times New Roman" w:cs="Times New Roman"/>
          <w:sz w:val="28"/>
          <w:szCs w:val="28"/>
          <w:lang w:val="ro-RO"/>
        </w:rPr>
        <w:t>:</w:t>
      </w:r>
      <w:r w:rsidRPr="00A81F38">
        <w:rPr>
          <w:rFonts w:ascii="Times New Roman" w:hAnsi="Times New Roman" w:cs="Times New Roman"/>
          <w:sz w:val="28"/>
          <w:szCs w:val="28"/>
          <w:lang w:val="ro-RO"/>
        </w:rPr>
        <w:t xml:space="preserve"> </w:t>
      </w:r>
      <w:r w:rsidR="00292121">
        <w:rPr>
          <w:rFonts w:ascii="Times New Roman" w:hAnsi="Times New Roman" w:cs="Times New Roman"/>
          <w:sz w:val="28"/>
          <w:szCs w:val="28"/>
          <w:lang w:val="ro-RO"/>
        </w:rPr>
        <w:t xml:space="preserve">ponderea </w:t>
      </w:r>
      <w:r w:rsidR="007620E2">
        <w:rPr>
          <w:rFonts w:ascii="Times New Roman" w:hAnsi="Times New Roman" w:cs="Times New Roman"/>
          <w:sz w:val="28"/>
          <w:szCs w:val="28"/>
          <w:lang w:val="ro-RO"/>
        </w:rPr>
        <w:t xml:space="preserve">datoriei de stat într-o anumită </w:t>
      </w:r>
      <w:r w:rsidRPr="00A81F38">
        <w:rPr>
          <w:rFonts w:ascii="Times New Roman" w:hAnsi="Times New Roman" w:cs="Times New Roman"/>
          <w:sz w:val="28"/>
          <w:szCs w:val="28"/>
          <w:lang w:val="ro-RO"/>
        </w:rPr>
        <w:t>valut</w:t>
      </w:r>
      <w:r w:rsidR="007620E2">
        <w:rPr>
          <w:rFonts w:ascii="Times New Roman" w:hAnsi="Times New Roman" w:cs="Times New Roman"/>
          <w:sz w:val="28"/>
          <w:szCs w:val="28"/>
          <w:lang w:val="ro-RO"/>
        </w:rPr>
        <w:t>ă</w:t>
      </w:r>
      <w:r w:rsidR="00292121">
        <w:rPr>
          <w:rFonts w:ascii="Times New Roman" w:hAnsi="Times New Roman" w:cs="Times New Roman"/>
          <w:sz w:val="28"/>
          <w:szCs w:val="28"/>
          <w:lang w:val="ro-RO"/>
        </w:rPr>
        <w:t xml:space="preserve"> străin</w:t>
      </w:r>
      <w:r w:rsidR="007620E2">
        <w:rPr>
          <w:rFonts w:ascii="Times New Roman" w:hAnsi="Times New Roman" w:cs="Times New Roman"/>
          <w:sz w:val="28"/>
          <w:szCs w:val="28"/>
          <w:lang w:val="ro-RO"/>
        </w:rPr>
        <w:t>ă</w:t>
      </w:r>
      <w:r w:rsidR="00292121">
        <w:rPr>
          <w:rFonts w:ascii="Times New Roman" w:hAnsi="Times New Roman" w:cs="Times New Roman"/>
          <w:sz w:val="28"/>
          <w:szCs w:val="28"/>
          <w:lang w:val="ro-RO"/>
        </w:rPr>
        <w:t xml:space="preserve"> </w:t>
      </w:r>
      <w:r w:rsidRPr="00A81F38">
        <w:rPr>
          <w:rFonts w:ascii="Times New Roman" w:hAnsi="Times New Roman" w:cs="Times New Roman"/>
          <w:sz w:val="28"/>
          <w:szCs w:val="28"/>
          <w:lang w:val="ro-RO"/>
        </w:rPr>
        <w:t>nu</w:t>
      </w:r>
      <w:r w:rsidR="00292121">
        <w:rPr>
          <w:rFonts w:ascii="Times New Roman" w:hAnsi="Times New Roman" w:cs="Times New Roman"/>
          <w:sz w:val="28"/>
          <w:szCs w:val="28"/>
          <w:lang w:val="ro-RO"/>
        </w:rPr>
        <w:t xml:space="preserve"> ar</w:t>
      </w:r>
      <w:r w:rsidRPr="00A81F38">
        <w:rPr>
          <w:rFonts w:ascii="Times New Roman" w:hAnsi="Times New Roman" w:cs="Times New Roman"/>
          <w:sz w:val="28"/>
          <w:szCs w:val="28"/>
          <w:lang w:val="ro-RO"/>
        </w:rPr>
        <w:t xml:space="preserve"> trebui să depăşească pragul de 50% din volumul total al datoriei de stat</w:t>
      </w:r>
      <w:r w:rsidR="00292121">
        <w:rPr>
          <w:rFonts w:ascii="Times New Roman" w:hAnsi="Times New Roman" w:cs="Times New Roman"/>
          <w:sz w:val="28"/>
          <w:szCs w:val="28"/>
          <w:lang w:val="ro-RO"/>
        </w:rPr>
        <w:t>.</w:t>
      </w:r>
      <w:r w:rsidRPr="00A81F38">
        <w:rPr>
          <w:rFonts w:ascii="Times New Roman" w:hAnsi="Times New Roman" w:cs="Times New Roman"/>
          <w:sz w:val="28"/>
          <w:szCs w:val="28"/>
          <w:lang w:val="ro-RO"/>
        </w:rPr>
        <w:t xml:space="preserve"> </w:t>
      </w:r>
      <w:r w:rsidR="00292121">
        <w:rPr>
          <w:rFonts w:ascii="Times New Roman" w:hAnsi="Times New Roman" w:cs="Times New Roman"/>
          <w:sz w:val="28"/>
          <w:szCs w:val="28"/>
          <w:lang w:val="ro-RO"/>
        </w:rPr>
        <w:t xml:space="preserve">În acest caz </w:t>
      </w:r>
      <w:r w:rsidRPr="00A81F38">
        <w:rPr>
          <w:rFonts w:ascii="Times New Roman" w:hAnsi="Times New Roman" w:cs="Times New Roman"/>
          <w:sz w:val="28"/>
          <w:szCs w:val="28"/>
          <w:lang w:val="ro-RO"/>
        </w:rPr>
        <w:t>nu</w:t>
      </w:r>
      <w:r w:rsidR="00292121">
        <w:rPr>
          <w:rFonts w:ascii="Times New Roman" w:hAnsi="Times New Roman" w:cs="Times New Roman"/>
          <w:sz w:val="28"/>
          <w:szCs w:val="28"/>
          <w:lang w:val="ro-RO"/>
        </w:rPr>
        <w:t xml:space="preserve"> se</w:t>
      </w:r>
      <w:r w:rsidRPr="00A81F38">
        <w:rPr>
          <w:rFonts w:ascii="Times New Roman" w:hAnsi="Times New Roman" w:cs="Times New Roman"/>
          <w:sz w:val="28"/>
          <w:szCs w:val="28"/>
          <w:lang w:val="ro-RO"/>
        </w:rPr>
        <w:t xml:space="preserve"> ia</w:t>
      </w:r>
      <w:r w:rsidR="00292121">
        <w:rPr>
          <w:rFonts w:ascii="Times New Roman" w:hAnsi="Times New Roman" w:cs="Times New Roman"/>
          <w:sz w:val="28"/>
          <w:szCs w:val="28"/>
          <w:lang w:val="ro-RO"/>
        </w:rPr>
        <w:t>u</w:t>
      </w:r>
      <w:r w:rsidRPr="00A81F38">
        <w:rPr>
          <w:rFonts w:ascii="Times New Roman" w:hAnsi="Times New Roman" w:cs="Times New Roman"/>
          <w:sz w:val="28"/>
          <w:szCs w:val="28"/>
          <w:lang w:val="ro-RO"/>
        </w:rPr>
        <w:t xml:space="preserve"> în considerare coşurile valutare, ci doar separat valutele care intr</w:t>
      </w:r>
      <w:r w:rsidR="00292121">
        <w:rPr>
          <w:rFonts w:ascii="Times New Roman" w:hAnsi="Times New Roman" w:cs="Times New Roman"/>
          <w:sz w:val="28"/>
          <w:szCs w:val="28"/>
          <w:lang w:val="ro-RO"/>
        </w:rPr>
        <w:t>ă în componenţa coşului valutar</w:t>
      </w:r>
      <w:r w:rsidRPr="00A81F38">
        <w:rPr>
          <w:rFonts w:ascii="Times New Roman" w:hAnsi="Times New Roman" w:cs="Times New Roman"/>
          <w:sz w:val="28"/>
          <w:szCs w:val="28"/>
          <w:lang w:val="ro-RO"/>
        </w:rPr>
        <w:t>.</w:t>
      </w:r>
    </w:p>
    <w:p w:rsidR="00292121" w:rsidRDefault="00F9496F" w:rsidP="004F1B6D">
      <w:pPr>
        <w:numPr>
          <w:ilvl w:val="0"/>
          <w:numId w:val="3"/>
        </w:numPr>
        <w:tabs>
          <w:tab w:val="left" w:pos="810"/>
          <w:tab w:val="left" w:pos="1080"/>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o-RO" w:eastAsia="ru-RU"/>
        </w:rPr>
      </w:pPr>
      <w:r w:rsidRPr="00292121">
        <w:rPr>
          <w:rFonts w:ascii="Times New Roman" w:eastAsia="Times New Roman" w:hAnsi="Times New Roman" w:cs="Times New Roman"/>
          <w:sz w:val="28"/>
          <w:szCs w:val="28"/>
          <w:lang w:val="ro-RO" w:eastAsia="ru-RU"/>
        </w:rPr>
        <w:t xml:space="preserve">ponderea optimă a datoriei cu </w:t>
      </w:r>
      <w:r w:rsidR="00292121" w:rsidRPr="00292121">
        <w:rPr>
          <w:rFonts w:ascii="Times New Roman" w:eastAsia="Times New Roman" w:hAnsi="Times New Roman" w:cs="Times New Roman"/>
          <w:sz w:val="28"/>
          <w:szCs w:val="28"/>
          <w:lang w:val="ro-RO" w:eastAsia="ru-RU"/>
        </w:rPr>
        <w:t>rata dobînzii</w:t>
      </w:r>
      <w:r w:rsidRPr="00292121">
        <w:rPr>
          <w:rFonts w:ascii="Times New Roman" w:eastAsia="Times New Roman" w:hAnsi="Times New Roman" w:cs="Times New Roman"/>
          <w:sz w:val="28"/>
          <w:szCs w:val="28"/>
          <w:lang w:val="ro-RO" w:eastAsia="ru-RU"/>
        </w:rPr>
        <w:t xml:space="preserve"> fixă în portofoliul datori</w:t>
      </w:r>
      <w:r w:rsidR="00292121" w:rsidRPr="00292121">
        <w:rPr>
          <w:rFonts w:ascii="Times New Roman" w:eastAsia="Times New Roman" w:hAnsi="Times New Roman" w:cs="Times New Roman"/>
          <w:sz w:val="28"/>
          <w:szCs w:val="28"/>
          <w:lang w:val="ro-RO" w:eastAsia="ru-RU"/>
        </w:rPr>
        <w:t xml:space="preserve">ei de stat </w:t>
      </w:r>
      <w:r w:rsidR="00292121" w:rsidRPr="00183D41">
        <w:rPr>
          <w:rFonts w:ascii="Times New Roman" w:eastAsia="Times New Roman" w:hAnsi="Times New Roman" w:cs="Times New Roman"/>
          <w:sz w:val="28"/>
          <w:szCs w:val="28"/>
          <w:lang w:val="ro-RO" w:eastAsia="ru-RU"/>
        </w:rPr>
        <w:t xml:space="preserve">nu ar trebui să </w:t>
      </w:r>
      <w:r w:rsidR="00292121" w:rsidRPr="00A81F38">
        <w:rPr>
          <w:rFonts w:ascii="Times New Roman" w:eastAsia="Times New Roman" w:hAnsi="Times New Roman" w:cs="Times New Roman"/>
          <w:sz w:val="28"/>
          <w:szCs w:val="28"/>
          <w:lang w:val="ro-RO" w:eastAsia="ru-RU"/>
        </w:rPr>
        <w:t>înr</w:t>
      </w:r>
      <w:r w:rsidR="00292121">
        <w:rPr>
          <w:rFonts w:ascii="Times New Roman" w:eastAsia="Times New Roman" w:hAnsi="Times New Roman" w:cs="Times New Roman"/>
          <w:sz w:val="28"/>
          <w:szCs w:val="28"/>
          <w:lang w:val="ro-RO" w:eastAsia="ru-RU"/>
        </w:rPr>
        <w:t>egistreze valori sub pragul de 5</w:t>
      </w:r>
      <w:r w:rsidR="00292121" w:rsidRPr="00A81F38">
        <w:rPr>
          <w:rFonts w:ascii="Times New Roman" w:eastAsia="Times New Roman" w:hAnsi="Times New Roman" w:cs="Times New Roman"/>
          <w:sz w:val="28"/>
          <w:szCs w:val="28"/>
          <w:lang w:val="ro-RO" w:eastAsia="ru-RU"/>
        </w:rPr>
        <w:t>0%</w:t>
      </w:r>
      <w:r w:rsidR="00292121">
        <w:rPr>
          <w:rFonts w:ascii="Times New Roman" w:eastAsia="Times New Roman" w:hAnsi="Times New Roman" w:cs="Times New Roman"/>
          <w:sz w:val="28"/>
          <w:szCs w:val="28"/>
          <w:lang w:val="ro-RO" w:eastAsia="ru-RU"/>
        </w:rPr>
        <w:t>.</w:t>
      </w:r>
    </w:p>
    <w:p w:rsidR="00F9496F" w:rsidRPr="00292121" w:rsidRDefault="00292121" w:rsidP="00292121">
      <w:pPr>
        <w:tabs>
          <w:tab w:val="left" w:pos="810"/>
          <w:tab w:val="left" w:pos="1080"/>
        </w:tabs>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r>
      <w:r w:rsidR="00F9496F" w:rsidRPr="00292121">
        <w:rPr>
          <w:rFonts w:ascii="Times New Roman" w:eastAsia="Times New Roman" w:hAnsi="Times New Roman" w:cs="Times New Roman"/>
          <w:sz w:val="28"/>
          <w:szCs w:val="28"/>
          <w:lang w:val="ro-RO" w:eastAsia="ru-RU"/>
        </w:rPr>
        <w:t>Pe lîngă parametrii de risc aferenţi structurii datoriei de stat, urmează a fi monitoriza</w:t>
      </w:r>
      <w:r w:rsidR="000872FC">
        <w:rPr>
          <w:rFonts w:ascii="Times New Roman" w:eastAsia="Times New Roman" w:hAnsi="Times New Roman" w:cs="Times New Roman"/>
          <w:sz w:val="28"/>
          <w:szCs w:val="28"/>
          <w:lang w:val="ro-RO" w:eastAsia="ru-RU"/>
        </w:rPr>
        <w:t>ţi</w:t>
      </w:r>
      <w:r w:rsidR="00F9496F" w:rsidRPr="00292121">
        <w:rPr>
          <w:rFonts w:ascii="Times New Roman" w:eastAsia="Times New Roman" w:hAnsi="Times New Roman" w:cs="Times New Roman"/>
          <w:sz w:val="28"/>
          <w:szCs w:val="28"/>
          <w:lang w:val="ro-RO" w:eastAsia="ru-RU"/>
        </w:rPr>
        <w:t xml:space="preserve"> şi </w:t>
      </w:r>
      <w:r w:rsidR="000872FC">
        <w:rPr>
          <w:rFonts w:ascii="Times New Roman" w:eastAsia="Times New Roman" w:hAnsi="Times New Roman" w:cs="Times New Roman"/>
          <w:sz w:val="28"/>
          <w:szCs w:val="28"/>
          <w:lang w:val="ro-RO" w:eastAsia="ru-RU"/>
        </w:rPr>
        <w:t>doi</w:t>
      </w:r>
      <w:r w:rsidR="00F9496F" w:rsidRPr="00292121">
        <w:rPr>
          <w:rFonts w:ascii="Times New Roman" w:eastAsia="Times New Roman" w:hAnsi="Times New Roman" w:cs="Times New Roman"/>
          <w:sz w:val="28"/>
          <w:szCs w:val="28"/>
          <w:lang w:val="ro-RO" w:eastAsia="ru-RU"/>
        </w:rPr>
        <w:t xml:space="preserve"> indicator</w:t>
      </w:r>
      <w:r w:rsidR="000872FC">
        <w:rPr>
          <w:rFonts w:ascii="Times New Roman" w:eastAsia="Times New Roman" w:hAnsi="Times New Roman" w:cs="Times New Roman"/>
          <w:sz w:val="28"/>
          <w:szCs w:val="28"/>
          <w:lang w:val="ro-RO" w:eastAsia="ru-RU"/>
        </w:rPr>
        <w:t>i</w:t>
      </w:r>
      <w:r w:rsidR="00F9496F" w:rsidRPr="00292121">
        <w:rPr>
          <w:rFonts w:ascii="Times New Roman" w:eastAsia="Times New Roman" w:hAnsi="Times New Roman" w:cs="Times New Roman"/>
          <w:sz w:val="28"/>
          <w:szCs w:val="28"/>
          <w:lang w:val="ro-RO" w:eastAsia="ru-RU"/>
        </w:rPr>
        <w:t xml:space="preserve"> de sustenabilitate a</w:t>
      </w:r>
      <w:r w:rsidR="000872FC">
        <w:rPr>
          <w:rFonts w:ascii="Times New Roman" w:eastAsia="Times New Roman" w:hAnsi="Times New Roman" w:cs="Times New Roman"/>
          <w:sz w:val="28"/>
          <w:szCs w:val="28"/>
          <w:lang w:val="ro-RO" w:eastAsia="ru-RU"/>
        </w:rPr>
        <w:t>i</w:t>
      </w:r>
      <w:r w:rsidR="00F9496F" w:rsidRPr="00292121">
        <w:rPr>
          <w:rFonts w:ascii="Times New Roman" w:eastAsia="Times New Roman" w:hAnsi="Times New Roman" w:cs="Times New Roman"/>
          <w:sz w:val="28"/>
          <w:szCs w:val="28"/>
          <w:lang w:val="ro-RO" w:eastAsia="ru-RU"/>
        </w:rPr>
        <w:t xml:space="preserve"> datoriei de stat, şi anume:</w:t>
      </w:r>
    </w:p>
    <w:p w:rsidR="000872FC" w:rsidRDefault="00F9496F" w:rsidP="000872FC">
      <w:pPr>
        <w:tabs>
          <w:tab w:val="left" w:pos="600"/>
          <w:tab w:val="left" w:pos="810"/>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183D41">
        <w:rPr>
          <w:rFonts w:ascii="Times New Roman" w:eastAsia="Times New Roman" w:hAnsi="Times New Roman" w:cs="Times New Roman"/>
          <w:sz w:val="28"/>
          <w:szCs w:val="28"/>
          <w:lang w:val="ro-RO" w:eastAsia="ru-RU"/>
        </w:rPr>
        <w:t>e) ponderea serviciului datoriei de stat în veniturile pe componenta de bază a bugetului de stat – nu mai mare de 20%</w:t>
      </w:r>
      <w:r w:rsidR="00292121">
        <w:rPr>
          <w:rFonts w:ascii="Times New Roman" w:eastAsia="Times New Roman" w:hAnsi="Times New Roman" w:cs="Times New Roman"/>
          <w:sz w:val="28"/>
          <w:szCs w:val="28"/>
          <w:lang w:val="ro-RO" w:eastAsia="ru-RU"/>
        </w:rPr>
        <w:t>.</w:t>
      </w:r>
      <w:r w:rsidRPr="00183D41">
        <w:rPr>
          <w:rFonts w:ascii="Times New Roman" w:eastAsia="Times New Roman" w:hAnsi="Times New Roman" w:cs="Times New Roman"/>
          <w:sz w:val="28"/>
          <w:szCs w:val="28"/>
          <w:lang w:val="ro-RO" w:eastAsia="ru-RU"/>
        </w:rPr>
        <w:t xml:space="preserve"> </w:t>
      </w:r>
      <w:r w:rsidR="00292121" w:rsidRPr="00236403">
        <w:rPr>
          <w:rFonts w:ascii="Times New Roman" w:eastAsia="Times New Roman" w:hAnsi="Times New Roman" w:cs="Times New Roman"/>
          <w:sz w:val="28"/>
          <w:szCs w:val="28"/>
          <w:lang w:val="ro-RO" w:eastAsia="ru-RU"/>
        </w:rPr>
        <w:t xml:space="preserve">Acest indicator este </w:t>
      </w:r>
      <w:r w:rsidR="00292121">
        <w:rPr>
          <w:rFonts w:ascii="Times New Roman" w:eastAsia="Times New Roman" w:hAnsi="Times New Roman" w:cs="Times New Roman"/>
          <w:sz w:val="28"/>
          <w:szCs w:val="28"/>
          <w:lang w:val="ro-RO" w:eastAsia="ru-RU"/>
        </w:rPr>
        <w:t xml:space="preserve">stabilit în baza metodologiei propuse în </w:t>
      </w:r>
      <w:r w:rsidR="000872FC">
        <w:rPr>
          <w:rFonts w:ascii="Times New Roman" w:eastAsia="Times New Roman" w:hAnsi="Times New Roman" w:cs="Times New Roman"/>
          <w:sz w:val="28"/>
          <w:szCs w:val="28"/>
          <w:lang w:val="ro-RO" w:eastAsia="ru-RU"/>
        </w:rPr>
        <w:t>„</w:t>
      </w:r>
      <w:r w:rsidR="00292121">
        <w:rPr>
          <w:rFonts w:ascii="Times New Roman" w:eastAsia="Times New Roman" w:hAnsi="Times New Roman" w:cs="Times New Roman"/>
          <w:sz w:val="28"/>
          <w:szCs w:val="28"/>
          <w:lang w:val="ro-RO" w:eastAsia="ru-RU"/>
        </w:rPr>
        <w:t>Cadrul</w:t>
      </w:r>
      <w:r w:rsidR="00292121" w:rsidRPr="00236403">
        <w:rPr>
          <w:rFonts w:ascii="Times New Roman" w:eastAsia="Times New Roman" w:hAnsi="Times New Roman" w:cs="Times New Roman"/>
          <w:sz w:val="28"/>
          <w:szCs w:val="28"/>
          <w:lang w:val="ro-RO" w:eastAsia="ru-RU"/>
        </w:rPr>
        <w:t xml:space="preserve"> </w:t>
      </w:r>
      <w:r w:rsidR="00292121">
        <w:rPr>
          <w:rFonts w:ascii="Times New Roman" w:eastAsia="Times New Roman" w:hAnsi="Times New Roman" w:cs="Times New Roman"/>
          <w:sz w:val="28"/>
          <w:szCs w:val="28"/>
          <w:lang w:val="ro-RO" w:eastAsia="ru-RU"/>
        </w:rPr>
        <w:t>sustenabilităţii</w:t>
      </w:r>
      <w:r w:rsidR="00292121" w:rsidRPr="00236403">
        <w:rPr>
          <w:rFonts w:ascii="Times New Roman" w:eastAsia="Times New Roman" w:hAnsi="Times New Roman" w:cs="Times New Roman"/>
          <w:sz w:val="28"/>
          <w:szCs w:val="28"/>
          <w:lang w:val="ro-RO" w:eastAsia="ru-RU"/>
        </w:rPr>
        <w:t xml:space="preserve"> datoriei pentru ţările cu venituri mici</w:t>
      </w:r>
      <w:r w:rsidR="00292121">
        <w:rPr>
          <w:rFonts w:ascii="Times New Roman" w:eastAsia="Times New Roman" w:hAnsi="Times New Roman" w:cs="Times New Roman"/>
          <w:sz w:val="28"/>
          <w:szCs w:val="28"/>
          <w:lang w:val="ro-RO" w:eastAsia="ru-RU"/>
        </w:rPr>
        <w:t>”</w:t>
      </w:r>
      <w:r w:rsidR="00292121" w:rsidRPr="00236403">
        <w:rPr>
          <w:rFonts w:ascii="Times New Roman" w:eastAsia="Times New Roman" w:hAnsi="Times New Roman" w:cs="Times New Roman"/>
          <w:sz w:val="28"/>
          <w:szCs w:val="28"/>
          <w:lang w:val="ro-RO" w:eastAsia="ru-RU"/>
        </w:rPr>
        <w:t xml:space="preserve"> </w:t>
      </w:r>
      <w:r w:rsidR="00292121">
        <w:rPr>
          <w:rFonts w:ascii="Times New Roman" w:eastAsia="Times New Roman" w:hAnsi="Times New Roman" w:cs="Times New Roman"/>
          <w:sz w:val="28"/>
          <w:szCs w:val="28"/>
          <w:lang w:val="ro-RO" w:eastAsia="ru-RU"/>
        </w:rPr>
        <w:t>(</w:t>
      </w:r>
      <w:r w:rsidR="00292121" w:rsidRPr="00236403">
        <w:rPr>
          <w:rFonts w:ascii="Times New Roman" w:eastAsia="Times New Roman" w:hAnsi="Times New Roman" w:cs="Times New Roman"/>
          <w:sz w:val="28"/>
          <w:szCs w:val="28"/>
          <w:lang w:val="ro-RO" w:eastAsia="ru-RU"/>
        </w:rPr>
        <w:t>Banca Mondială – Fondul Monetar Internaţional</w:t>
      </w:r>
      <w:r w:rsidR="00292121">
        <w:rPr>
          <w:rFonts w:ascii="Times New Roman" w:eastAsia="Times New Roman" w:hAnsi="Times New Roman" w:cs="Times New Roman"/>
          <w:sz w:val="28"/>
          <w:szCs w:val="28"/>
          <w:lang w:val="ro-RO" w:eastAsia="ru-RU"/>
        </w:rPr>
        <w:t>, septembrie 2013</w:t>
      </w:r>
      <w:r w:rsidR="00292121" w:rsidRPr="00236403">
        <w:rPr>
          <w:rFonts w:ascii="Times New Roman" w:eastAsia="Times New Roman" w:hAnsi="Times New Roman" w:cs="Times New Roman"/>
          <w:sz w:val="28"/>
          <w:szCs w:val="28"/>
          <w:lang w:val="ro-RO" w:eastAsia="ru-RU"/>
        </w:rPr>
        <w:t>).</w:t>
      </w:r>
    </w:p>
    <w:p w:rsidR="000872FC" w:rsidRPr="000872FC" w:rsidRDefault="000872FC" w:rsidP="000872FC">
      <w:pPr>
        <w:tabs>
          <w:tab w:val="left" w:pos="600"/>
          <w:tab w:val="left" w:pos="810"/>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0872FC">
        <w:rPr>
          <w:rFonts w:ascii="Times New Roman" w:eastAsia="Times New Roman" w:hAnsi="Times New Roman" w:cs="Times New Roman"/>
          <w:sz w:val="28"/>
          <w:szCs w:val="28"/>
          <w:lang w:val="ro-RO" w:eastAsia="ru-RU"/>
        </w:rPr>
        <w:t xml:space="preserve">f) </w:t>
      </w:r>
      <w:r w:rsidRPr="000872FC">
        <w:rPr>
          <w:rFonts w:ascii="Times New Roman" w:hAnsi="Times New Roman" w:cs="Times New Roman"/>
          <w:sz w:val="28"/>
          <w:lang w:val="ro-RO"/>
        </w:rPr>
        <w:t>ponderea datoriei de stat şi a unităţilor administrativ-teritoriale în PIB</w:t>
      </w:r>
      <w:r w:rsidR="006A6D09">
        <w:rPr>
          <w:rFonts w:ascii="Times New Roman" w:hAnsi="Times New Roman" w:cs="Times New Roman"/>
          <w:sz w:val="28"/>
          <w:lang w:val="ro-RO"/>
        </w:rPr>
        <w:t xml:space="preserve"> – nu mai mare de 60%</w:t>
      </w:r>
      <w:r w:rsidRPr="000872FC">
        <w:rPr>
          <w:rFonts w:ascii="Times New Roman" w:hAnsi="Times New Roman" w:cs="Times New Roman"/>
          <w:sz w:val="28"/>
          <w:lang w:val="ro-RO"/>
        </w:rPr>
        <w:t xml:space="preserve">. Nivelul acestui indicator este stabilit în </w:t>
      </w:r>
      <w:r w:rsidRPr="000872FC">
        <w:rPr>
          <w:rFonts w:ascii="Times New Roman" w:hAnsi="Times New Roman" w:cs="Times New Roman"/>
          <w:bCs/>
          <w:sz w:val="28"/>
          <w:szCs w:val="28"/>
          <w:lang w:val="ro-RO"/>
        </w:rPr>
        <w:t>Tratatul</w:t>
      </w:r>
      <w:r w:rsidRPr="000872FC">
        <w:rPr>
          <w:rFonts w:ascii="Times New Roman" w:hAnsi="Times New Roman" w:cs="Times New Roman"/>
          <w:sz w:val="28"/>
          <w:szCs w:val="28"/>
          <w:lang w:val="ro-RO"/>
        </w:rPr>
        <w:t> de la </w:t>
      </w:r>
      <w:r w:rsidRPr="000872FC">
        <w:rPr>
          <w:rFonts w:ascii="Times New Roman" w:hAnsi="Times New Roman" w:cs="Times New Roman"/>
          <w:bCs/>
          <w:sz w:val="28"/>
          <w:szCs w:val="28"/>
          <w:lang w:val="ro-RO"/>
        </w:rPr>
        <w:t>Maastricht</w:t>
      </w:r>
      <w:r w:rsidRPr="000872FC">
        <w:rPr>
          <w:rFonts w:ascii="Times New Roman" w:hAnsi="Times New Roman" w:cs="Times New Roman"/>
          <w:sz w:val="28"/>
          <w:lang w:val="ro-RO"/>
        </w:rPr>
        <w:t xml:space="preserve">, drept unul dintre </w:t>
      </w:r>
      <w:r w:rsidRPr="000872FC">
        <w:rPr>
          <w:rFonts w:ascii="Times New Roman" w:hAnsi="Times New Roman" w:cs="Times New Roman"/>
          <w:bCs/>
          <w:sz w:val="28"/>
          <w:lang w:val="ro-RO"/>
        </w:rPr>
        <w:t>criteriile pe care trebuie sa le respecte statele-membre ale Uniunii Europene</w:t>
      </w:r>
      <w:r w:rsidRPr="000872FC">
        <w:rPr>
          <w:rFonts w:ascii="Times New Roman" w:hAnsi="Times New Roman" w:cs="Times New Roman"/>
          <w:sz w:val="28"/>
          <w:lang w:val="ro-RO"/>
        </w:rPr>
        <w:t xml:space="preserve">. </w:t>
      </w:r>
    </w:p>
    <w:p w:rsidR="000872FC" w:rsidRDefault="000872FC" w:rsidP="000872FC">
      <w:pPr>
        <w:tabs>
          <w:tab w:val="left" w:pos="567"/>
          <w:tab w:val="left" w:pos="993"/>
        </w:tabs>
        <w:autoSpaceDE w:val="0"/>
        <w:autoSpaceDN w:val="0"/>
        <w:adjustRightInd w:val="0"/>
        <w:spacing w:after="0" w:line="240" w:lineRule="auto"/>
        <w:jc w:val="both"/>
        <w:rPr>
          <w:rFonts w:ascii="Times New Roman" w:hAnsi="Times New Roman" w:cs="Times New Roman"/>
          <w:sz w:val="28"/>
          <w:szCs w:val="28"/>
          <w:lang w:val="ro-RO"/>
        </w:rPr>
      </w:pPr>
      <w:r w:rsidRPr="000872FC">
        <w:rPr>
          <w:rFonts w:ascii="Times New Roman" w:hAnsi="Times New Roman" w:cs="Times New Roman"/>
          <w:sz w:val="28"/>
          <w:szCs w:val="28"/>
          <w:lang w:val="ro-RO"/>
        </w:rPr>
        <w:tab/>
        <w:t>Valoarea acestor indicatori nu poate fi influenţată direct în procesul de management al datoriei de stat. Cu toate astea este important de a fi monitorizaţi întrucît oferă o viziune de ansamblu asupra gradului de îndatorare al ţării şi servesc drept punct de reper în deciziile de finanţare.</w:t>
      </w:r>
    </w:p>
    <w:p w:rsidR="00DF03E3" w:rsidRPr="000872FC" w:rsidRDefault="00DF03E3" w:rsidP="000872FC">
      <w:pPr>
        <w:tabs>
          <w:tab w:val="left" w:pos="567"/>
          <w:tab w:val="left" w:pos="993"/>
        </w:tabs>
        <w:autoSpaceDE w:val="0"/>
        <w:autoSpaceDN w:val="0"/>
        <w:adjustRightInd w:val="0"/>
        <w:spacing w:after="0" w:line="240" w:lineRule="auto"/>
        <w:jc w:val="both"/>
        <w:rPr>
          <w:rFonts w:ascii="Times New Roman" w:hAnsi="Times New Roman" w:cs="Times New Roman"/>
          <w:sz w:val="28"/>
          <w:szCs w:val="28"/>
          <w:lang w:val="ro-RO"/>
        </w:rPr>
      </w:pPr>
    </w:p>
    <w:p w:rsidR="00F9496F" w:rsidRPr="004F1B6D" w:rsidRDefault="00F9496F" w:rsidP="00F9496F">
      <w:pPr>
        <w:keepNext/>
        <w:spacing w:after="0" w:line="240" w:lineRule="auto"/>
        <w:ind w:firstLine="709"/>
        <w:jc w:val="both"/>
        <w:outlineLvl w:val="0"/>
        <w:rPr>
          <w:rFonts w:ascii="Times New Roman" w:eastAsia="Times New Roman" w:hAnsi="Times New Roman" w:cs="Times New Roman"/>
          <w:b/>
          <w:bCs/>
          <w:kern w:val="32"/>
          <w:sz w:val="28"/>
          <w:szCs w:val="28"/>
          <w:lang w:val="ro-RO" w:eastAsia="ru-RU"/>
        </w:rPr>
      </w:pPr>
      <w:bookmarkStart w:id="20" w:name="_Toc346609570"/>
      <w:r w:rsidRPr="004F1B6D">
        <w:rPr>
          <w:rFonts w:ascii="Times New Roman" w:eastAsia="Times New Roman" w:hAnsi="Times New Roman" w:cs="Times New Roman"/>
          <w:b/>
          <w:bCs/>
          <w:kern w:val="32"/>
          <w:sz w:val="28"/>
          <w:szCs w:val="28"/>
          <w:lang w:val="ro-RO" w:eastAsia="ru-RU"/>
        </w:rPr>
        <w:t>Capitolul V</w:t>
      </w:r>
      <w:r w:rsidR="004A294E" w:rsidRPr="004F1B6D">
        <w:rPr>
          <w:rFonts w:ascii="Times New Roman" w:eastAsia="Times New Roman" w:hAnsi="Times New Roman" w:cs="Times New Roman"/>
          <w:b/>
          <w:bCs/>
          <w:kern w:val="32"/>
          <w:sz w:val="28"/>
          <w:szCs w:val="28"/>
          <w:lang w:val="ro-RO" w:eastAsia="ru-RU"/>
        </w:rPr>
        <w:t>I</w:t>
      </w:r>
      <w:r w:rsidRPr="004F1B6D">
        <w:rPr>
          <w:rFonts w:ascii="Times New Roman" w:eastAsia="Times New Roman" w:hAnsi="Times New Roman" w:cs="Times New Roman"/>
          <w:b/>
          <w:bCs/>
          <w:kern w:val="32"/>
          <w:sz w:val="28"/>
          <w:szCs w:val="28"/>
          <w:lang w:val="ro-RO" w:eastAsia="ru-RU"/>
        </w:rPr>
        <w:t xml:space="preserve">. Riscurile asociate portofoliului datoriei de stat şi constrîngerile care pot afecta implementarea </w:t>
      </w:r>
      <w:bookmarkEnd w:id="20"/>
      <w:r w:rsidRPr="004F1B6D">
        <w:rPr>
          <w:rFonts w:ascii="Times New Roman" w:eastAsia="Times New Roman" w:hAnsi="Times New Roman" w:cs="Times New Roman"/>
          <w:b/>
          <w:bCs/>
          <w:kern w:val="32"/>
          <w:sz w:val="28"/>
          <w:szCs w:val="28"/>
          <w:lang w:val="ro-RO" w:eastAsia="ru-RU"/>
        </w:rPr>
        <w:t>Programului</w:t>
      </w:r>
    </w:p>
    <w:p w:rsidR="00F9496F" w:rsidRPr="004F1B6D" w:rsidRDefault="00F9496F" w:rsidP="00F9496F">
      <w:pPr>
        <w:spacing w:after="0" w:line="240" w:lineRule="auto"/>
        <w:ind w:firstLine="600"/>
        <w:rPr>
          <w:rFonts w:ascii="Times New Roman" w:eastAsia="Times New Roman" w:hAnsi="Times New Roman" w:cs="Times New Roman"/>
          <w:sz w:val="24"/>
          <w:szCs w:val="24"/>
          <w:lang w:val="ro-RO" w:eastAsia="ru-RU"/>
        </w:rPr>
      </w:pPr>
    </w:p>
    <w:p w:rsidR="00F9496F" w:rsidRPr="004F1B6D" w:rsidRDefault="00F9496F" w:rsidP="00F9496F">
      <w:pPr>
        <w:keepNext/>
        <w:spacing w:after="0" w:line="240" w:lineRule="auto"/>
        <w:ind w:firstLine="709"/>
        <w:jc w:val="both"/>
        <w:outlineLvl w:val="1"/>
        <w:rPr>
          <w:rFonts w:ascii="Times New Roman" w:eastAsia="Times New Roman" w:hAnsi="Times New Roman" w:cs="Times New Roman"/>
          <w:b/>
          <w:bCs/>
          <w:iCs/>
          <w:sz w:val="28"/>
          <w:szCs w:val="28"/>
          <w:lang w:val="ro-RO" w:eastAsia="ru-RU"/>
        </w:rPr>
      </w:pPr>
      <w:bookmarkStart w:id="21" w:name="_Toc346609571"/>
      <w:r w:rsidRPr="004F1B6D">
        <w:rPr>
          <w:rFonts w:ascii="Times New Roman" w:eastAsia="Times New Roman" w:hAnsi="Times New Roman" w:cs="Times New Roman"/>
          <w:b/>
          <w:bCs/>
          <w:iCs/>
          <w:sz w:val="28"/>
          <w:szCs w:val="28"/>
          <w:lang w:val="ro-RO" w:eastAsia="ru-RU"/>
        </w:rPr>
        <w:t>Secţiunea 1. Conceptualizarea riscurilor asociate portofoliului datoriei de stat şi analiza acestora</w:t>
      </w:r>
      <w:bookmarkEnd w:id="21"/>
    </w:p>
    <w:p w:rsidR="00F9496F"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Managementul eficient al riscurilor are drept scop </w:t>
      </w:r>
      <w:r w:rsidR="00363403">
        <w:rPr>
          <w:rFonts w:ascii="Times New Roman" w:eastAsia="Times New Roman" w:hAnsi="Times New Roman" w:cs="Times New Roman"/>
          <w:sz w:val="28"/>
          <w:szCs w:val="28"/>
          <w:lang w:val="ro-RO" w:eastAsia="ru-RU"/>
        </w:rPr>
        <w:t>optimizarea riscurilor și asigurarea unui nivel acceptabil al</w:t>
      </w:r>
      <w:r w:rsidRPr="004F1B6D">
        <w:rPr>
          <w:rFonts w:ascii="Times New Roman" w:eastAsia="Times New Roman" w:hAnsi="Times New Roman" w:cs="Times New Roman"/>
          <w:sz w:val="28"/>
          <w:szCs w:val="28"/>
          <w:lang w:val="ro-RO" w:eastAsia="ru-RU"/>
        </w:rPr>
        <w:t xml:space="preserve"> costuril</w:t>
      </w:r>
      <w:r w:rsidR="00363403">
        <w:rPr>
          <w:rFonts w:ascii="Times New Roman" w:eastAsia="Times New Roman" w:hAnsi="Times New Roman" w:cs="Times New Roman"/>
          <w:sz w:val="28"/>
          <w:szCs w:val="28"/>
          <w:lang w:val="ro-RO" w:eastAsia="ru-RU"/>
        </w:rPr>
        <w:t>or</w:t>
      </w:r>
      <w:r w:rsidRPr="004F1B6D">
        <w:rPr>
          <w:rFonts w:ascii="Times New Roman" w:eastAsia="Times New Roman" w:hAnsi="Times New Roman" w:cs="Times New Roman"/>
          <w:sz w:val="28"/>
          <w:szCs w:val="28"/>
          <w:lang w:val="ro-RO" w:eastAsia="ru-RU"/>
        </w:rPr>
        <w:t>. Acest obiectiv poate fi atins prin gestionarea adecvată a structurii portofoliului datoriei de stat şi selectarea optimă a noilor instrumente de datorie.</w:t>
      </w:r>
    </w:p>
    <w:p w:rsidR="00F9496F" w:rsidRPr="004F1B6D" w:rsidRDefault="00F9496F" w:rsidP="00F9496F">
      <w:pPr>
        <w:tabs>
          <w:tab w:val="left" w:pos="72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Volatilitatea pieţelor financiare – fie </w:t>
      </w:r>
      <w:r w:rsidR="00363403">
        <w:rPr>
          <w:rFonts w:ascii="Times New Roman" w:eastAsia="Times New Roman" w:hAnsi="Times New Roman" w:cs="Times New Roman"/>
          <w:sz w:val="28"/>
          <w:szCs w:val="28"/>
          <w:lang w:val="ro-RO" w:eastAsia="ru-RU"/>
        </w:rPr>
        <w:t>urmare a</w:t>
      </w:r>
      <w:r w:rsidRPr="004F1B6D">
        <w:rPr>
          <w:rFonts w:ascii="Times New Roman" w:eastAsia="Times New Roman" w:hAnsi="Times New Roman" w:cs="Times New Roman"/>
          <w:sz w:val="28"/>
          <w:szCs w:val="28"/>
          <w:lang w:val="ro-RO" w:eastAsia="ru-RU"/>
        </w:rPr>
        <w:t xml:space="preserve"> fluctuaţiei ratelor de dobîndă, a cursurilor de schimb, sau modificărilor inflaţiei – </w:t>
      </w:r>
      <w:r w:rsidR="00363403">
        <w:rPr>
          <w:rFonts w:ascii="Times New Roman" w:eastAsia="Times New Roman" w:hAnsi="Times New Roman" w:cs="Times New Roman"/>
          <w:sz w:val="28"/>
          <w:szCs w:val="28"/>
          <w:lang w:val="ro-RO" w:eastAsia="ru-RU"/>
        </w:rPr>
        <w:t>determină</w:t>
      </w:r>
      <w:r w:rsidRPr="004F1B6D">
        <w:rPr>
          <w:rFonts w:ascii="Times New Roman" w:eastAsia="Times New Roman" w:hAnsi="Times New Roman" w:cs="Times New Roman"/>
          <w:sz w:val="28"/>
          <w:szCs w:val="28"/>
          <w:lang w:val="ro-RO" w:eastAsia="ru-RU"/>
        </w:rPr>
        <w:t xml:space="preserve"> volatilitatea </w:t>
      </w:r>
      <w:r w:rsidR="00363403">
        <w:rPr>
          <w:rFonts w:ascii="Times New Roman" w:eastAsia="Times New Roman" w:hAnsi="Times New Roman" w:cs="Times New Roman"/>
          <w:sz w:val="28"/>
          <w:szCs w:val="28"/>
          <w:lang w:val="ro-RO" w:eastAsia="ru-RU"/>
        </w:rPr>
        <w:t>crescîndă</w:t>
      </w:r>
      <w:r w:rsidRPr="004F1B6D">
        <w:rPr>
          <w:rFonts w:ascii="Times New Roman" w:eastAsia="Times New Roman" w:hAnsi="Times New Roman" w:cs="Times New Roman"/>
          <w:sz w:val="28"/>
          <w:szCs w:val="28"/>
          <w:lang w:val="ro-RO" w:eastAsia="ru-RU"/>
        </w:rPr>
        <w:t xml:space="preserve"> a portofoliului datoriei de stat. Acest </w:t>
      </w:r>
      <w:r w:rsidR="00363403">
        <w:rPr>
          <w:rFonts w:ascii="Times New Roman" w:eastAsia="Times New Roman" w:hAnsi="Times New Roman" w:cs="Times New Roman"/>
          <w:sz w:val="28"/>
          <w:szCs w:val="28"/>
          <w:lang w:val="ro-RO" w:eastAsia="ru-RU"/>
        </w:rPr>
        <w:t>fenomen poate fi</w:t>
      </w:r>
      <w:r w:rsidRPr="004F1B6D">
        <w:rPr>
          <w:rFonts w:ascii="Times New Roman" w:eastAsia="Times New Roman" w:hAnsi="Times New Roman" w:cs="Times New Roman"/>
          <w:sz w:val="28"/>
          <w:szCs w:val="28"/>
          <w:lang w:val="ro-RO" w:eastAsia="ru-RU"/>
        </w:rPr>
        <w:t xml:space="preserve"> identificat</w:t>
      </w:r>
      <w:r w:rsidR="00363403">
        <w:rPr>
          <w:rFonts w:ascii="Times New Roman" w:eastAsia="Times New Roman" w:hAnsi="Times New Roman" w:cs="Times New Roman"/>
          <w:sz w:val="28"/>
          <w:szCs w:val="28"/>
          <w:lang w:val="ro-RO" w:eastAsia="ru-RU"/>
        </w:rPr>
        <w:t xml:space="preserve"> drept risc</w:t>
      </w:r>
      <w:r w:rsidRPr="004F1B6D">
        <w:rPr>
          <w:rFonts w:ascii="Times New Roman" w:eastAsia="Times New Roman" w:hAnsi="Times New Roman" w:cs="Times New Roman"/>
          <w:sz w:val="28"/>
          <w:szCs w:val="28"/>
          <w:lang w:val="ro-RO" w:eastAsia="ru-RU"/>
        </w:rPr>
        <w:t xml:space="preserve"> de piaţă</w:t>
      </w:r>
      <w:r w:rsidR="00363403">
        <w:rPr>
          <w:rFonts w:ascii="Times New Roman" w:eastAsia="Times New Roman" w:hAnsi="Times New Roman" w:cs="Times New Roman"/>
          <w:sz w:val="28"/>
          <w:szCs w:val="28"/>
          <w:lang w:val="ro-RO" w:eastAsia="ru-RU"/>
        </w:rPr>
        <w:t>. Acesta este principalu</w:t>
      </w:r>
      <w:r w:rsidRPr="004F1B6D">
        <w:rPr>
          <w:rFonts w:ascii="Times New Roman" w:eastAsia="Times New Roman" w:hAnsi="Times New Roman" w:cs="Times New Roman"/>
          <w:sz w:val="28"/>
          <w:szCs w:val="28"/>
          <w:lang w:val="ro-RO" w:eastAsia="ru-RU"/>
        </w:rPr>
        <w:t>l tip de risc asociat costului datoriei de stat a Republicii Moldova şi includ</w:t>
      </w:r>
      <w:r w:rsidR="00363403">
        <w:rPr>
          <w:rFonts w:ascii="Times New Roman" w:eastAsia="Times New Roman" w:hAnsi="Times New Roman" w:cs="Times New Roman"/>
          <w:sz w:val="28"/>
          <w:szCs w:val="28"/>
          <w:lang w:val="ro-RO" w:eastAsia="ru-RU"/>
        </w:rPr>
        <w:t>e</w:t>
      </w:r>
      <w:r w:rsidRPr="004F1B6D">
        <w:rPr>
          <w:rFonts w:ascii="Times New Roman" w:eastAsia="Times New Roman" w:hAnsi="Times New Roman" w:cs="Times New Roman"/>
          <w:sz w:val="28"/>
          <w:szCs w:val="28"/>
          <w:lang w:val="ro-RO" w:eastAsia="ru-RU"/>
        </w:rPr>
        <w:t>:</w:t>
      </w:r>
    </w:p>
    <w:p w:rsidR="00F9496F" w:rsidRPr="004F1B6D" w:rsidRDefault="00F9496F" w:rsidP="004F1B6D">
      <w:pPr>
        <w:numPr>
          <w:ilvl w:val="0"/>
          <w:numId w:val="2"/>
        </w:numPr>
        <w:tabs>
          <w:tab w:val="left" w:pos="540"/>
          <w:tab w:val="left" w:pos="1134"/>
        </w:tabs>
        <w:spacing w:after="0" w:line="240" w:lineRule="auto"/>
        <w:ind w:hanging="191"/>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riscul de refinanţare;</w:t>
      </w:r>
    </w:p>
    <w:p w:rsidR="00F9496F" w:rsidRPr="004F1B6D" w:rsidRDefault="00F9496F" w:rsidP="004F1B6D">
      <w:pPr>
        <w:numPr>
          <w:ilvl w:val="0"/>
          <w:numId w:val="2"/>
        </w:numPr>
        <w:tabs>
          <w:tab w:val="left" w:pos="540"/>
          <w:tab w:val="left" w:pos="1134"/>
        </w:tabs>
        <w:spacing w:after="0" w:line="240" w:lineRule="auto"/>
        <w:ind w:hanging="191"/>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riscul valutar;</w:t>
      </w:r>
    </w:p>
    <w:p w:rsidR="00F9496F" w:rsidRPr="004F1B6D" w:rsidRDefault="00F9496F" w:rsidP="004F1B6D">
      <w:pPr>
        <w:numPr>
          <w:ilvl w:val="0"/>
          <w:numId w:val="2"/>
        </w:numPr>
        <w:tabs>
          <w:tab w:val="left" w:pos="540"/>
          <w:tab w:val="left" w:pos="1134"/>
        </w:tabs>
        <w:spacing w:after="0" w:line="240" w:lineRule="auto"/>
        <w:ind w:hanging="191"/>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riscul ratei de dobîndă.</w:t>
      </w:r>
    </w:p>
    <w:p w:rsidR="00F9496F" w:rsidRPr="004F1B6D" w:rsidRDefault="00F9496F" w:rsidP="00F9496F">
      <w:pPr>
        <w:tabs>
          <w:tab w:val="left" w:pos="72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Pe lîngă cele menţionate mai sus, se atestă şi riscul operaţional, care acţionează indirect asupra datoriei de stat.</w:t>
      </w:r>
    </w:p>
    <w:p w:rsidR="00F9496F" w:rsidRPr="004F1B6D" w:rsidRDefault="00F9496F" w:rsidP="005F06AC">
      <w:pPr>
        <w:numPr>
          <w:ilvl w:val="0"/>
          <w:numId w:val="10"/>
        </w:numPr>
        <w:tabs>
          <w:tab w:val="left" w:pos="840"/>
          <w:tab w:val="left" w:pos="993"/>
        </w:tabs>
        <w:spacing w:after="0" w:line="240" w:lineRule="auto"/>
        <w:ind w:hanging="11"/>
        <w:jc w:val="both"/>
        <w:rPr>
          <w:rFonts w:ascii="Times New Roman" w:eastAsia="Times New Roman" w:hAnsi="Times New Roman" w:cs="Times New Roman"/>
          <w:b/>
          <w:sz w:val="28"/>
          <w:szCs w:val="28"/>
          <w:lang w:val="ro-RO" w:eastAsia="ru-RU"/>
        </w:rPr>
      </w:pPr>
      <w:r w:rsidRPr="004F1B6D">
        <w:rPr>
          <w:rFonts w:ascii="Times New Roman" w:eastAsia="Times New Roman" w:hAnsi="Times New Roman" w:cs="Times New Roman"/>
          <w:b/>
          <w:sz w:val="28"/>
          <w:szCs w:val="28"/>
          <w:lang w:val="ro-RO" w:eastAsia="ru-RU"/>
        </w:rPr>
        <w:t>Riscul de refinanţare</w:t>
      </w:r>
    </w:p>
    <w:p w:rsidR="00F9496F" w:rsidRPr="004F1B6D" w:rsidRDefault="00F9496F" w:rsidP="00F9496F">
      <w:pPr>
        <w:spacing w:after="0" w:line="240" w:lineRule="auto"/>
        <w:ind w:firstLine="709"/>
        <w:jc w:val="both"/>
        <w:rPr>
          <w:rFonts w:ascii="Times New Roman" w:eastAsia="Times New Roman" w:hAnsi="Times New Roman" w:cs="Times New Roman"/>
          <w:sz w:val="28"/>
          <w:szCs w:val="28"/>
          <w:lang w:val="ro-RO" w:eastAsia="ru-RU"/>
        </w:rPr>
      </w:pPr>
      <w:r w:rsidRPr="002501D1">
        <w:rPr>
          <w:rFonts w:ascii="Times New Roman" w:eastAsia="Times New Roman" w:hAnsi="Times New Roman" w:cs="Times New Roman"/>
          <w:sz w:val="28"/>
          <w:szCs w:val="28"/>
          <w:lang w:val="ro-RO" w:eastAsia="ru-RU"/>
        </w:rPr>
        <w:t>Monitorizarea</w:t>
      </w:r>
      <w:r w:rsidRPr="004F1B6D">
        <w:rPr>
          <w:rFonts w:ascii="Times New Roman" w:eastAsia="Times New Roman" w:hAnsi="Times New Roman" w:cs="Times New Roman"/>
          <w:sz w:val="28"/>
          <w:szCs w:val="28"/>
          <w:lang w:val="ro-RO" w:eastAsia="ru-RU"/>
        </w:rPr>
        <w:t xml:space="preserve"> riscului de refinanţare este oportună mai ales în cazul ţărilor cu un înalt nivel al datoriei, condiţii macroeconomice instabile şi piaţă internă slab dezvoltată.</w:t>
      </w:r>
    </w:p>
    <w:p w:rsidR="002501D1" w:rsidRDefault="002501D1" w:rsidP="002501D1">
      <w:pPr>
        <w:pStyle w:val="ListParagraph"/>
        <w:ind w:left="0" w:firstLine="709"/>
        <w:jc w:val="both"/>
        <w:rPr>
          <w:sz w:val="28"/>
          <w:szCs w:val="28"/>
        </w:rPr>
      </w:pPr>
      <w:r w:rsidRPr="002501D1">
        <w:rPr>
          <w:sz w:val="28"/>
          <w:szCs w:val="28"/>
        </w:rPr>
        <w:t>Riscul de refinanţare urmează a fi gestionat prin distribuirea proporţională a maturităţilor noilor instrumente ale datoriei de stat pe diferite perioade de timp în scopul prevenirii ajungerii la scadenţă în acelaşi timp a unei părţi majore a obligaţiilor de plată.</w:t>
      </w:r>
    </w:p>
    <w:p w:rsidR="009B645B" w:rsidRPr="004F1B6D" w:rsidRDefault="009B645B" w:rsidP="009B645B">
      <w:pPr>
        <w:tabs>
          <w:tab w:val="left" w:pos="709"/>
          <w:tab w:val="num" w:pos="993"/>
        </w:tabs>
        <w:spacing w:after="0" w:line="240" w:lineRule="auto"/>
        <w:jc w:val="both"/>
        <w:rPr>
          <w:rFonts w:ascii="Times New Roman" w:eastAsia="Times New Roman" w:hAnsi="Times New Roman" w:cs="Times New Roman"/>
          <w:b/>
          <w:i/>
          <w:sz w:val="24"/>
          <w:szCs w:val="24"/>
          <w:lang w:val="ro-RO" w:eastAsia="ru-RU"/>
        </w:rPr>
      </w:pPr>
      <w:r>
        <w:rPr>
          <w:rFonts w:ascii="Times New Roman" w:eastAsia="Times New Roman" w:hAnsi="Times New Roman" w:cs="Times New Roman"/>
          <w:bCs/>
          <w:sz w:val="28"/>
          <w:szCs w:val="28"/>
          <w:lang w:val="ro-RO" w:eastAsia="ru-RU"/>
        </w:rPr>
        <w:tab/>
      </w:r>
      <w:r w:rsidRPr="00FC365C">
        <w:rPr>
          <w:rFonts w:ascii="Times New Roman" w:eastAsia="Times New Roman" w:hAnsi="Times New Roman" w:cs="Times New Roman"/>
          <w:bCs/>
          <w:sz w:val="28"/>
          <w:szCs w:val="28"/>
          <w:u w:val="single"/>
          <w:lang w:val="ro-RO" w:eastAsia="ru-RU"/>
        </w:rPr>
        <w:t>Notă</w:t>
      </w:r>
      <w:r>
        <w:rPr>
          <w:rFonts w:ascii="Times New Roman" w:eastAsia="Times New Roman" w:hAnsi="Times New Roman" w:cs="Times New Roman"/>
          <w:bCs/>
          <w:sz w:val="28"/>
          <w:szCs w:val="28"/>
          <w:lang w:val="ro-RO" w:eastAsia="ru-RU"/>
        </w:rPr>
        <w:t>:</w:t>
      </w:r>
      <w:r w:rsidRPr="009B645B">
        <w:rPr>
          <w:rFonts w:ascii="Times New Roman" w:eastAsia="Times New Roman" w:hAnsi="Times New Roman" w:cs="Times New Roman"/>
          <w:bCs/>
          <w:sz w:val="28"/>
          <w:szCs w:val="28"/>
          <w:lang w:val="ro-RO" w:eastAsia="ru-RU"/>
        </w:rPr>
        <w:t xml:space="preserve"> </w:t>
      </w:r>
      <w:r>
        <w:rPr>
          <w:rFonts w:ascii="Times New Roman" w:eastAsia="Times New Roman" w:hAnsi="Times New Roman" w:cs="Times New Roman"/>
          <w:bCs/>
          <w:sz w:val="28"/>
          <w:szCs w:val="28"/>
          <w:lang w:val="ro-RO" w:eastAsia="ru-RU"/>
        </w:rPr>
        <w:t>La calcularea indicatorilor riscului de refinanțare</w:t>
      </w:r>
      <w:r w:rsidRPr="009B645B">
        <w:rPr>
          <w:rFonts w:ascii="Times New Roman" w:eastAsia="Times New Roman" w:hAnsi="Times New Roman" w:cs="Times New Roman"/>
          <w:bCs/>
          <w:sz w:val="28"/>
          <w:szCs w:val="28"/>
          <w:lang w:val="ro-RO" w:eastAsia="ru-RU"/>
        </w:rPr>
        <w:t xml:space="preserve"> </w:t>
      </w:r>
      <w:r>
        <w:rPr>
          <w:rFonts w:ascii="Times New Roman" w:eastAsia="Times New Roman" w:hAnsi="Times New Roman" w:cs="Times New Roman"/>
          <w:bCs/>
          <w:sz w:val="28"/>
          <w:szCs w:val="28"/>
          <w:lang w:val="ro-RO" w:eastAsia="ru-RU"/>
        </w:rPr>
        <w:t>se exclude</w:t>
      </w:r>
      <w:r w:rsidRPr="009B645B">
        <w:rPr>
          <w:rFonts w:ascii="Times New Roman" w:eastAsia="Times New Roman" w:hAnsi="Times New Roman" w:cs="Times New Roman"/>
          <w:bCs/>
          <w:sz w:val="28"/>
          <w:szCs w:val="28"/>
          <w:lang w:val="ro-RO" w:eastAsia="ru-RU"/>
        </w:rPr>
        <w:t xml:space="preserve"> datoria Guvernului faţă de Banca Naţională a Moldovei</w:t>
      </w:r>
      <w:r w:rsidR="004C7C83">
        <w:rPr>
          <w:rFonts w:ascii="Times New Roman" w:eastAsia="Times New Roman" w:hAnsi="Times New Roman" w:cs="Times New Roman"/>
          <w:bCs/>
          <w:sz w:val="28"/>
          <w:szCs w:val="28"/>
          <w:lang w:val="ro-RO" w:eastAsia="ru-RU"/>
        </w:rPr>
        <w:t xml:space="preserve"> (cu excepţia sumelor prevăzute pentru răscumpărare)</w:t>
      </w:r>
      <w:r w:rsidRPr="009B645B">
        <w:rPr>
          <w:rFonts w:ascii="Times New Roman" w:eastAsia="Times New Roman" w:hAnsi="Times New Roman" w:cs="Times New Roman"/>
          <w:bCs/>
          <w:sz w:val="28"/>
          <w:szCs w:val="28"/>
          <w:lang w:val="ro-RO" w:eastAsia="ru-RU"/>
        </w:rPr>
        <w:t xml:space="preserve">, deoarece aceasta este reperfectată anual în baza unui Acord între Ministerul Finanţelor şi BNM. De asemenea, este exclus instrumentul alocarea DST, </w:t>
      </w:r>
      <w:r>
        <w:rPr>
          <w:rFonts w:ascii="Times New Roman" w:eastAsia="Times New Roman" w:hAnsi="Times New Roman" w:cs="Times New Roman"/>
          <w:bCs/>
          <w:sz w:val="28"/>
          <w:szCs w:val="28"/>
          <w:lang w:val="ro-RO" w:eastAsia="ru-RU"/>
        </w:rPr>
        <w:t>deoarece</w:t>
      </w:r>
      <w:r w:rsidRPr="009B645B">
        <w:rPr>
          <w:rFonts w:ascii="Times New Roman" w:eastAsia="Times New Roman" w:hAnsi="Times New Roman" w:cs="Times New Roman"/>
          <w:bCs/>
          <w:sz w:val="28"/>
          <w:szCs w:val="28"/>
          <w:lang w:val="ro-RO" w:eastAsia="ru-RU"/>
        </w:rPr>
        <w:t xml:space="preserve"> acesta nu prevede efectuarea plăţilor de principal şi nu va fi refinanţată. Prin urmare, aceste instrumente de datorie nu sunt expuse riscului de refinanţare</w:t>
      </w:r>
      <w:r w:rsidRPr="002501D1">
        <w:rPr>
          <w:rFonts w:ascii="Times New Roman" w:eastAsia="Times New Roman" w:hAnsi="Times New Roman" w:cs="Times New Roman"/>
          <w:sz w:val="28"/>
          <w:szCs w:val="24"/>
          <w:lang w:val="ro-RO" w:eastAsia="ru-RU"/>
        </w:rPr>
        <w:t>.</w:t>
      </w:r>
    </w:p>
    <w:p w:rsidR="002501D1" w:rsidRPr="002501D1" w:rsidRDefault="004C7C83" w:rsidP="002501D1">
      <w:pPr>
        <w:pStyle w:val="ListParagraph"/>
        <w:ind w:left="0" w:firstLine="709"/>
        <w:jc w:val="both"/>
        <w:rPr>
          <w:sz w:val="28"/>
          <w:szCs w:val="28"/>
        </w:rPr>
      </w:pPr>
      <w:r>
        <w:rPr>
          <w:sz w:val="28"/>
          <w:szCs w:val="28"/>
        </w:rPr>
        <w:t xml:space="preserve">Pe termen mediu poate fi analizat următorul indicator al riscului de </w:t>
      </w:r>
      <w:r w:rsidR="002501D1">
        <w:rPr>
          <w:sz w:val="28"/>
          <w:szCs w:val="28"/>
        </w:rPr>
        <w:t>refinanțare:</w:t>
      </w:r>
    </w:p>
    <w:p w:rsidR="009B645B" w:rsidRPr="00D26339" w:rsidRDefault="00C32CBE" w:rsidP="00C32CBE">
      <w:pPr>
        <w:tabs>
          <w:tab w:val="left" w:pos="709"/>
          <w:tab w:val="num" w:pos="993"/>
        </w:tabs>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i/>
          <w:sz w:val="28"/>
          <w:szCs w:val="28"/>
          <w:lang w:val="ro-RO" w:eastAsia="ru-RU"/>
        </w:rPr>
        <w:tab/>
      </w:r>
      <w:r w:rsidR="00F9496F" w:rsidRPr="009B645B">
        <w:rPr>
          <w:rFonts w:ascii="Times New Roman" w:eastAsia="Times New Roman" w:hAnsi="Times New Roman" w:cs="Times New Roman"/>
          <w:b/>
          <w:i/>
          <w:sz w:val="28"/>
          <w:szCs w:val="28"/>
          <w:lang w:val="ro-RO" w:eastAsia="ru-RU"/>
        </w:rPr>
        <w:t>Graficul rambursării datoriei de stat</w:t>
      </w:r>
      <w:r w:rsidR="002501D1" w:rsidRPr="009B645B">
        <w:rPr>
          <w:rFonts w:ascii="Times New Roman" w:eastAsia="Times New Roman" w:hAnsi="Times New Roman" w:cs="Times New Roman"/>
          <w:sz w:val="28"/>
          <w:szCs w:val="28"/>
          <w:lang w:val="ro-RO" w:eastAsia="ru-RU"/>
        </w:rPr>
        <w:t xml:space="preserve">. </w:t>
      </w:r>
      <w:r w:rsidR="00F9496F" w:rsidRPr="009B645B">
        <w:rPr>
          <w:rFonts w:ascii="Times New Roman" w:eastAsia="Times New Roman" w:hAnsi="Times New Roman" w:cs="Times New Roman"/>
          <w:sz w:val="28"/>
          <w:szCs w:val="28"/>
          <w:lang w:val="ro-RO" w:eastAsia="ru-RU"/>
        </w:rPr>
        <w:t>Luînd în considerare estimările pentru profilul de răscumpărare, se evidenţiază vîrful de plată din primul an al proiecţiei, fiind reprezentat îndeosebi de datoria de stat internă</w:t>
      </w:r>
      <w:r w:rsidR="009B645B" w:rsidRPr="009B645B">
        <w:rPr>
          <w:rFonts w:ascii="Times New Roman" w:eastAsia="Times New Roman" w:hAnsi="Times New Roman" w:cs="Times New Roman"/>
          <w:sz w:val="28"/>
          <w:szCs w:val="28"/>
          <w:lang w:val="ro-RO" w:eastAsia="ru-RU"/>
        </w:rPr>
        <w:t xml:space="preserve"> cu rata dobînzii fixă</w:t>
      </w:r>
      <w:r w:rsidR="00F9496F" w:rsidRPr="009B645B">
        <w:rPr>
          <w:rFonts w:ascii="Times New Roman" w:eastAsia="Times New Roman" w:hAnsi="Times New Roman" w:cs="Times New Roman"/>
          <w:sz w:val="28"/>
          <w:szCs w:val="28"/>
          <w:lang w:val="ro-RO" w:eastAsia="ru-RU"/>
        </w:rPr>
        <w:t xml:space="preserve">, care este preponderent pe termen scurt. Acest segment al datoriei de stat interne deţine o pondere de </w:t>
      </w:r>
      <w:r w:rsidR="009B645B">
        <w:rPr>
          <w:rFonts w:ascii="Times New Roman" w:eastAsia="Times New Roman" w:hAnsi="Times New Roman" w:cs="Times New Roman"/>
          <w:sz w:val="28"/>
          <w:szCs w:val="28"/>
          <w:lang w:val="ro-RO" w:eastAsia="ru-RU"/>
        </w:rPr>
        <w:t>4</w:t>
      </w:r>
      <w:r w:rsidR="00F9496F" w:rsidRPr="009B645B">
        <w:rPr>
          <w:rFonts w:ascii="Times New Roman" w:eastAsia="Times New Roman" w:hAnsi="Times New Roman" w:cs="Times New Roman"/>
          <w:sz w:val="28"/>
          <w:szCs w:val="28"/>
          <w:lang w:val="ro-RO" w:eastAsia="ru-RU"/>
        </w:rPr>
        <w:t>,</w:t>
      </w:r>
      <w:r w:rsidR="004C7C83">
        <w:rPr>
          <w:rFonts w:ascii="Times New Roman" w:eastAsia="Times New Roman" w:hAnsi="Times New Roman" w:cs="Times New Roman"/>
          <w:sz w:val="28"/>
          <w:szCs w:val="28"/>
          <w:lang w:val="ro-RO" w:eastAsia="ru-RU"/>
        </w:rPr>
        <w:t>5</w:t>
      </w:r>
      <w:r w:rsidR="00F9496F" w:rsidRPr="009B645B">
        <w:rPr>
          <w:rFonts w:ascii="Times New Roman" w:eastAsia="Times New Roman" w:hAnsi="Times New Roman" w:cs="Times New Roman"/>
          <w:sz w:val="28"/>
          <w:szCs w:val="28"/>
          <w:lang w:val="ro-RO" w:eastAsia="ru-RU"/>
        </w:rPr>
        <w:t>% din PIB şi urmează a fi refinanţat în fiecare an prin noi emisiuni de valori mobiliare de stat, ceea ce nu va afecta negativ bugetul de stat, în cazul în care nu se va urmări o fluctuaţie majoră a ratelor de dobîndă pe piaţa internă.</w:t>
      </w:r>
    </w:p>
    <w:tbl>
      <w:tblPr>
        <w:tblW w:w="0" w:type="auto"/>
        <w:tblInd w:w="108" w:type="dxa"/>
        <w:tblBorders>
          <w:top w:val="single" w:sz="8" w:space="0" w:color="4F81BD"/>
          <w:bottom w:val="single" w:sz="8" w:space="0" w:color="4F81BD"/>
        </w:tblBorders>
        <w:tblLook w:val="00A0"/>
      </w:tblPr>
      <w:tblGrid>
        <w:gridCol w:w="9356"/>
      </w:tblGrid>
      <w:tr w:rsidR="00F9496F" w:rsidRPr="004F1B6D" w:rsidTr="004F1B6D">
        <w:tc>
          <w:tcPr>
            <w:tcW w:w="9356" w:type="dxa"/>
            <w:tcBorders>
              <w:top w:val="double" w:sz="4" w:space="0" w:color="365F91"/>
              <w:left w:val="double" w:sz="4" w:space="0" w:color="365F91"/>
              <w:bottom w:val="double" w:sz="4" w:space="0" w:color="365F91"/>
              <w:right w:val="double" w:sz="4" w:space="0" w:color="365F91"/>
            </w:tcBorders>
          </w:tcPr>
          <w:p w:rsidR="00F9496F" w:rsidRPr="004F1B6D" w:rsidRDefault="001474AD" w:rsidP="004C7C83">
            <w:pPr>
              <w:spacing w:after="0" w:line="240" w:lineRule="auto"/>
              <w:ind w:left="3545" w:firstLine="600"/>
              <w:jc w:val="right"/>
              <w:rPr>
                <w:rFonts w:ascii="Times New Roman" w:eastAsia="Times New Roman" w:hAnsi="Times New Roman" w:cs="Times New Roman"/>
                <w:b/>
                <w:bCs/>
                <w:color w:val="365F91"/>
                <w:sz w:val="28"/>
                <w:szCs w:val="28"/>
                <w:lang w:val="ro-RO" w:eastAsia="ru-RU"/>
              </w:rPr>
            </w:pPr>
            <w:r w:rsidRPr="001474AD">
              <w:rPr>
                <w:rFonts w:ascii="Times New Roman" w:eastAsia="Times New Roman" w:hAnsi="Times New Roman" w:cs="Times New Roman"/>
                <w:noProof/>
                <w:sz w:val="24"/>
                <w:szCs w:val="24"/>
                <w:lang w:val="ro-RO" w:eastAsia="ru-RU"/>
              </w:rPr>
              <w:pict>
                <v:shape id="_x0000_s1044" type="#_x0000_t202" style="position:absolute;left:0;text-align:left;margin-left:14.2pt;margin-top:2.3pt;width:202.55pt;height:82.05pt;z-index:251660288" strokecolor="white">
                  <v:textbox style="mso-next-textbox:#_x0000_s1044">
                    <w:txbxContent>
                      <w:p w:rsidR="005F58E5" w:rsidRPr="004C7C83" w:rsidRDefault="005F58E5" w:rsidP="00D26339">
                        <w:pPr>
                          <w:spacing w:after="0" w:line="240" w:lineRule="auto"/>
                          <w:rPr>
                            <w:lang w:val="de-DE"/>
                          </w:rPr>
                        </w:pPr>
                        <w:r>
                          <w:rPr>
                            <w:rFonts w:ascii="Times New Roman" w:hAnsi="Times New Roman" w:cs="Times New Roman"/>
                            <w:b/>
                            <w:sz w:val="24"/>
                            <w:lang w:val="ro-RO"/>
                          </w:rPr>
                          <w:t xml:space="preserve">Fig. 6.1. </w:t>
                        </w:r>
                        <w:r w:rsidRPr="009B645B">
                          <w:rPr>
                            <w:rFonts w:ascii="Times New Roman" w:hAnsi="Times New Roman" w:cs="Times New Roman"/>
                            <w:b/>
                            <w:sz w:val="24"/>
                            <w:lang w:val="ro-RO"/>
                          </w:rPr>
                          <w:t xml:space="preserve">Graficul rambursării datoriei </w:t>
                        </w:r>
                        <w:r>
                          <w:rPr>
                            <w:rFonts w:ascii="Times New Roman" w:hAnsi="Times New Roman" w:cs="Times New Roman"/>
                            <w:b/>
                            <w:sz w:val="24"/>
                            <w:lang w:val="ro-RO"/>
                          </w:rPr>
                          <w:t>de stat pe următorii 20 de ani (2014-2033)</w:t>
                        </w:r>
                        <w:r w:rsidRPr="009B645B">
                          <w:rPr>
                            <w:rFonts w:ascii="Times New Roman" w:hAnsi="Times New Roman" w:cs="Times New Roman"/>
                            <w:b/>
                            <w:sz w:val="24"/>
                            <w:lang w:val="ro-RO"/>
                          </w:rPr>
                          <w:t>, mil. lei</w:t>
                        </w:r>
                      </w:p>
                    </w:txbxContent>
                  </v:textbox>
                </v:shape>
              </w:pict>
            </w:r>
            <w:r w:rsidR="00F9496F" w:rsidRPr="004F1B6D">
              <w:rPr>
                <w:rFonts w:ascii="Times New Roman" w:eastAsia="Times New Roman" w:hAnsi="Times New Roman" w:cs="Times New Roman"/>
                <w:noProof/>
                <w:sz w:val="28"/>
                <w:szCs w:val="28"/>
                <w:lang w:val="ro-RO"/>
              </w:rPr>
              <w:t xml:space="preserve">      </w:t>
            </w:r>
            <w:r w:rsidR="004C7C83">
              <w:rPr>
                <w:rFonts w:ascii="Times New Roman" w:eastAsia="Times New Roman" w:hAnsi="Times New Roman" w:cs="Times New Roman"/>
                <w:noProof/>
                <w:sz w:val="28"/>
                <w:szCs w:val="28"/>
              </w:rPr>
              <w:drawing>
                <wp:inline distT="0" distB="0" distL="0" distR="0">
                  <wp:extent cx="2724150" cy="1518699"/>
                  <wp:effectExtent l="19050" t="0" r="0" b="0"/>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srcRect/>
                          <a:stretch>
                            <a:fillRect/>
                          </a:stretch>
                        </pic:blipFill>
                        <pic:spPr bwMode="auto">
                          <a:xfrm>
                            <a:off x="0" y="0"/>
                            <a:ext cx="2732794" cy="1523518"/>
                          </a:xfrm>
                          <a:prstGeom prst="rect">
                            <a:avLst/>
                          </a:prstGeom>
                          <a:noFill/>
                        </pic:spPr>
                      </pic:pic>
                    </a:graphicData>
                  </a:graphic>
                </wp:inline>
              </w:drawing>
            </w:r>
          </w:p>
        </w:tc>
      </w:tr>
    </w:tbl>
    <w:p w:rsidR="009B645B" w:rsidRDefault="00F9496F" w:rsidP="00F9496F">
      <w:pPr>
        <w:tabs>
          <w:tab w:val="left" w:pos="4380"/>
        </w:tabs>
        <w:spacing w:after="0" w:line="240" w:lineRule="auto"/>
        <w:ind w:firstLine="709"/>
        <w:jc w:val="both"/>
        <w:rPr>
          <w:rFonts w:ascii="Times New Roman" w:eastAsia="Times New Roman" w:hAnsi="Times New Roman" w:cs="Times New Roman"/>
          <w:i/>
          <w:sz w:val="28"/>
          <w:szCs w:val="28"/>
          <w:lang w:val="ro-RO" w:eastAsia="ru-RU"/>
        </w:rPr>
      </w:pPr>
      <w:r w:rsidRPr="004F1B6D">
        <w:rPr>
          <w:rFonts w:ascii="Times New Roman" w:eastAsia="Times New Roman" w:hAnsi="Times New Roman" w:cs="Times New Roman"/>
          <w:sz w:val="28"/>
          <w:szCs w:val="28"/>
          <w:lang w:val="ro-RO" w:eastAsia="ru-RU"/>
        </w:rPr>
        <w:t xml:space="preserve">În ceea ce priveşte datoria de stat externă, se observă o distribuţie relativ omogenă a plăţilor pe parcursul anilor care urmează şi, respectiv, un risc de refinanţare mai redus. Totodată, începînd cu anul 2017 se observă o majorare treptată a plăţilor spre rambursare, vîrful de plată evidenţiindu-se în anul 2022. Această tendinţă se datorează inclusiv faptului că pentru Republica Moldova au fost schimbate condiţiile de creditare pentru împrumuturile care urmează a fi contractate de la Banca Mondială prin Asociaţia Internaţională de Dezvoltare. </w:t>
      </w:r>
      <w:r w:rsidR="009B645B" w:rsidRPr="009B645B">
        <w:rPr>
          <w:rFonts w:ascii="Times New Roman" w:eastAsia="Times New Roman" w:hAnsi="Times New Roman" w:cs="Times New Roman"/>
          <w:sz w:val="28"/>
          <w:szCs w:val="28"/>
          <w:lang w:val="ro-RO" w:eastAsia="ru-RU"/>
        </w:rPr>
        <w:t>(</w:t>
      </w:r>
      <w:r w:rsidR="009B645B" w:rsidRPr="009B645B">
        <w:rPr>
          <w:rFonts w:ascii="Times New Roman" w:eastAsia="Times New Roman" w:hAnsi="Times New Roman" w:cs="Times New Roman"/>
          <w:i/>
          <w:sz w:val="28"/>
          <w:szCs w:val="28"/>
          <w:lang w:val="ro-RO" w:eastAsia="ru-RU"/>
        </w:rPr>
        <w:t xml:space="preserve">Detalii referitor la condiţiile de creditare în Capitolul 2, pct. 2.)  </w:t>
      </w:r>
    </w:p>
    <w:p w:rsidR="00F9496F" w:rsidRPr="00310FDA" w:rsidRDefault="00F9496F" w:rsidP="00F9496F">
      <w:pPr>
        <w:tabs>
          <w:tab w:val="left" w:pos="810"/>
          <w:tab w:val="left" w:pos="4380"/>
        </w:tabs>
        <w:spacing w:after="0" w:line="240" w:lineRule="auto"/>
        <w:ind w:firstLine="709"/>
        <w:jc w:val="both"/>
        <w:rPr>
          <w:rFonts w:ascii="Times New Roman" w:eastAsia="Times New Roman" w:hAnsi="Times New Roman" w:cs="Times New Roman"/>
          <w:sz w:val="28"/>
          <w:szCs w:val="28"/>
          <w:lang w:val="ro-RO" w:eastAsia="ru-RU"/>
        </w:rPr>
      </w:pPr>
      <w:r w:rsidRPr="00310FDA">
        <w:rPr>
          <w:rFonts w:ascii="Times New Roman" w:eastAsia="Times New Roman" w:hAnsi="Times New Roman" w:cs="Times New Roman"/>
          <w:sz w:val="28"/>
          <w:szCs w:val="28"/>
          <w:lang w:val="ro-RO" w:eastAsia="ru-RU"/>
        </w:rPr>
        <w:t xml:space="preserve">Pe termen mediu expunerea faţă de riscul de refinanţare s-ar putea majora, în cazul în care capacitatea de plată a Republicii Moldova va fi reevaluată şi ţara va accesa fonduri </w:t>
      </w:r>
      <w:r w:rsidR="00310FDA">
        <w:rPr>
          <w:rFonts w:ascii="Times New Roman" w:eastAsia="Times New Roman" w:hAnsi="Times New Roman" w:cs="Times New Roman"/>
          <w:sz w:val="28"/>
          <w:szCs w:val="28"/>
          <w:lang w:val="ro-RO" w:eastAsia="ru-RU"/>
        </w:rPr>
        <w:t>preponderent din partea</w:t>
      </w:r>
      <w:r w:rsidRPr="00310FDA">
        <w:rPr>
          <w:rFonts w:ascii="Times New Roman" w:eastAsia="Times New Roman" w:hAnsi="Times New Roman" w:cs="Times New Roman"/>
          <w:sz w:val="28"/>
          <w:szCs w:val="28"/>
          <w:lang w:val="ro-RO" w:eastAsia="ru-RU"/>
        </w:rPr>
        <w:t xml:space="preserve"> Băncii Internaţionale pentru Reconstrucţie şi Dezvoltare. Acest fapt este legat de faptul că potrivit scorului Country Policy and Institutional Assessment (CPIA), atribuit </w:t>
      </w:r>
      <w:r w:rsidR="0089554F">
        <w:rPr>
          <w:rFonts w:ascii="Times New Roman" w:eastAsia="Times New Roman" w:hAnsi="Times New Roman" w:cs="Times New Roman"/>
          <w:sz w:val="28"/>
          <w:szCs w:val="28"/>
          <w:lang w:val="ro-RO" w:eastAsia="ru-RU"/>
        </w:rPr>
        <w:t>pe</w:t>
      </w:r>
      <w:r w:rsidRPr="00310FDA">
        <w:rPr>
          <w:rFonts w:ascii="Times New Roman" w:eastAsia="Times New Roman" w:hAnsi="Times New Roman" w:cs="Times New Roman"/>
          <w:sz w:val="28"/>
          <w:szCs w:val="28"/>
          <w:lang w:val="ro-RO" w:eastAsia="ru-RU"/>
        </w:rPr>
        <w:t xml:space="preserve"> anul </w:t>
      </w:r>
      <w:r w:rsidRPr="0089554F">
        <w:rPr>
          <w:rFonts w:ascii="Times New Roman" w:eastAsia="Times New Roman" w:hAnsi="Times New Roman" w:cs="Times New Roman"/>
          <w:sz w:val="28"/>
          <w:szCs w:val="28"/>
          <w:lang w:val="ro-RO" w:eastAsia="ru-RU"/>
        </w:rPr>
        <w:t>201</w:t>
      </w:r>
      <w:r w:rsidR="00310FDA" w:rsidRPr="0089554F">
        <w:rPr>
          <w:rFonts w:ascii="Times New Roman" w:eastAsia="Times New Roman" w:hAnsi="Times New Roman" w:cs="Times New Roman"/>
          <w:sz w:val="28"/>
          <w:szCs w:val="28"/>
          <w:lang w:val="ro-RO" w:eastAsia="ru-RU"/>
        </w:rPr>
        <w:t>2</w:t>
      </w:r>
      <w:r w:rsidRPr="00310FDA">
        <w:rPr>
          <w:rFonts w:ascii="Times New Roman" w:eastAsia="Times New Roman" w:hAnsi="Times New Roman" w:cs="Times New Roman"/>
          <w:sz w:val="28"/>
          <w:szCs w:val="28"/>
          <w:shd w:val="clear" w:color="auto" w:fill="FFFFFF"/>
          <w:lang w:val="ro-RO"/>
        </w:rPr>
        <w:t>, Moldova se încadrează în categoria ţărilor cu performanţă puternică în implementarea politicilor de promovare a creşterii economice şi reducere a sărăciei (CPIA</w:t>
      </w:r>
      <w:r w:rsidRPr="00310FDA">
        <w:rPr>
          <w:rFonts w:ascii="Times New Roman" w:eastAsia="Times New Roman" w:hAnsi="Times New Roman" w:cs="Times New Roman"/>
          <w:sz w:val="28"/>
          <w:szCs w:val="28"/>
          <w:lang w:val="ro-RO" w:eastAsia="ru-RU"/>
        </w:rPr>
        <w:t xml:space="preserve"> – evaluarea instituţională şi a politicilor ţării, este un instrument diagnostic utilizat de către Banca Mondială în scopul determinării calităţii politicilor şi aranjamentelor instituţionale ale unei ţări. Unul dintre motivele pentru care Banca Mondială calculează anual scorul CPIA pentru diferite ţări constă în determinarea mărimii relative a granturilor şi împrumuturilor concesionale ce vor fi acordate ţărilor cu venituri mici).</w:t>
      </w:r>
    </w:p>
    <w:p w:rsidR="00F9496F" w:rsidRPr="004F1B6D" w:rsidRDefault="00F9496F" w:rsidP="00F9496F">
      <w:pPr>
        <w:spacing w:after="0" w:line="240" w:lineRule="auto"/>
        <w:ind w:firstLine="709"/>
        <w:jc w:val="both"/>
        <w:rPr>
          <w:rFonts w:ascii="Times New Roman" w:eastAsia="Times New Roman" w:hAnsi="Times New Roman" w:cs="Times New Roman"/>
          <w:b/>
          <w:sz w:val="28"/>
          <w:szCs w:val="28"/>
          <w:lang w:val="ro-RO" w:eastAsia="ru-RU"/>
        </w:rPr>
      </w:pPr>
      <w:r w:rsidRPr="004F1B6D">
        <w:rPr>
          <w:rFonts w:ascii="Times New Roman" w:eastAsia="Times New Roman" w:hAnsi="Times New Roman" w:cs="Times New Roman"/>
          <w:b/>
          <w:sz w:val="28"/>
          <w:szCs w:val="28"/>
          <w:lang w:val="ro-RO" w:eastAsia="ru-RU"/>
        </w:rPr>
        <w:t>2. Riscul valutar</w:t>
      </w:r>
    </w:p>
    <w:p w:rsidR="00F9496F" w:rsidRPr="004F1B6D" w:rsidRDefault="00F9496F" w:rsidP="00F9496F">
      <w:pPr>
        <w:tabs>
          <w:tab w:val="left" w:pos="0"/>
          <w:tab w:val="left" w:pos="567"/>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Riscul valutar se referă la volatilitatea </w:t>
      </w:r>
      <w:r w:rsidR="00274DDC">
        <w:rPr>
          <w:rFonts w:ascii="Times New Roman" w:eastAsia="Times New Roman" w:hAnsi="Times New Roman" w:cs="Times New Roman"/>
          <w:sz w:val="28"/>
          <w:szCs w:val="28"/>
          <w:lang w:val="ro-RO" w:eastAsia="ru-RU"/>
        </w:rPr>
        <w:t>în creștere</w:t>
      </w:r>
      <w:r w:rsidRPr="004F1B6D">
        <w:rPr>
          <w:rFonts w:ascii="Times New Roman" w:eastAsia="Times New Roman" w:hAnsi="Times New Roman" w:cs="Times New Roman"/>
          <w:sz w:val="28"/>
          <w:szCs w:val="28"/>
          <w:lang w:val="ro-RO" w:eastAsia="ru-RU"/>
        </w:rPr>
        <w:t xml:space="preserve"> a portofoliului datoriei de stat drept urmare a modificărilor cursului de schimb al leului moldovenesc faţă de alte valute</w:t>
      </w:r>
      <w:r w:rsidR="00D26339">
        <w:rPr>
          <w:rFonts w:ascii="Times New Roman" w:eastAsia="Times New Roman" w:hAnsi="Times New Roman" w:cs="Times New Roman"/>
          <w:sz w:val="28"/>
          <w:szCs w:val="28"/>
          <w:lang w:val="ro-RO" w:eastAsia="ru-RU"/>
        </w:rPr>
        <w:t>, care</w:t>
      </w:r>
      <w:r w:rsidR="00D26339" w:rsidRPr="00D26339">
        <w:rPr>
          <w:rFonts w:ascii="Times New Roman" w:eastAsia="Times New Roman" w:hAnsi="Times New Roman" w:cs="Times New Roman"/>
          <w:sz w:val="28"/>
          <w:szCs w:val="28"/>
          <w:lang w:val="ro-RO" w:eastAsia="ru-RU"/>
        </w:rPr>
        <w:t xml:space="preserve"> </w:t>
      </w:r>
      <w:r w:rsidR="00D26339" w:rsidRPr="004F1B6D">
        <w:rPr>
          <w:rFonts w:ascii="Times New Roman" w:eastAsia="Times New Roman" w:hAnsi="Times New Roman" w:cs="Times New Roman"/>
          <w:sz w:val="28"/>
          <w:szCs w:val="28"/>
          <w:lang w:val="ro-RO" w:eastAsia="ru-RU"/>
        </w:rPr>
        <w:t xml:space="preserve">pot afecta atît costurile asociate datoriei de stat externe, cît şi volumul datoriei de stat în ansamblu, </w:t>
      </w:r>
      <w:r w:rsidR="00D26339">
        <w:rPr>
          <w:rFonts w:ascii="Times New Roman" w:eastAsia="Times New Roman" w:hAnsi="Times New Roman" w:cs="Times New Roman"/>
          <w:sz w:val="28"/>
          <w:szCs w:val="28"/>
          <w:lang w:val="ro-RO" w:eastAsia="ru-RU"/>
        </w:rPr>
        <w:t>exprimat</w:t>
      </w:r>
      <w:r w:rsidR="00D26339" w:rsidRPr="004F1B6D">
        <w:rPr>
          <w:rFonts w:ascii="Times New Roman" w:eastAsia="Times New Roman" w:hAnsi="Times New Roman" w:cs="Times New Roman"/>
          <w:sz w:val="28"/>
          <w:szCs w:val="28"/>
          <w:lang w:val="ro-RO" w:eastAsia="ru-RU"/>
        </w:rPr>
        <w:t xml:space="preserve"> în lei moldoveneşti</w:t>
      </w:r>
      <w:r w:rsidRPr="004F1B6D">
        <w:rPr>
          <w:rFonts w:ascii="Times New Roman" w:eastAsia="Times New Roman" w:hAnsi="Times New Roman" w:cs="Times New Roman"/>
          <w:sz w:val="28"/>
          <w:szCs w:val="28"/>
          <w:lang w:val="ro-RO" w:eastAsia="ru-RU"/>
        </w:rPr>
        <w:t xml:space="preserve">. O pondere majoră a datoriei de stat în valută în totalul datoriei de stat reflectă o expunere semnificativă faţă de riscul valutar. </w:t>
      </w:r>
    </w:p>
    <w:p w:rsidR="00F9496F" w:rsidRDefault="00D26339" w:rsidP="00F9496F">
      <w:pPr>
        <w:tabs>
          <w:tab w:val="left" w:pos="0"/>
          <w:tab w:val="left" w:pos="567"/>
        </w:tabs>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w:t>
      </w:r>
      <w:r w:rsidR="00F9496F" w:rsidRPr="004F1B6D">
        <w:rPr>
          <w:rFonts w:ascii="Times New Roman" w:eastAsia="Times New Roman" w:hAnsi="Times New Roman" w:cs="Times New Roman"/>
          <w:sz w:val="28"/>
          <w:szCs w:val="28"/>
          <w:lang w:val="ro-RO" w:eastAsia="ru-RU"/>
        </w:rPr>
        <w:t>stfel unul din principalele categorii de riscuri asociate portofoliului datoriei de stat este riscul valutar, fapt ce se observă din compoziţia datoriei de stat. Pe termen mediu, ponderea datoriei de stat externe în volumul total al datoriei de stat se va majora, ajungînd la 7</w:t>
      </w:r>
      <w:r w:rsidR="00274DDC">
        <w:rPr>
          <w:rFonts w:ascii="Times New Roman" w:eastAsia="Times New Roman" w:hAnsi="Times New Roman" w:cs="Times New Roman"/>
          <w:sz w:val="28"/>
          <w:szCs w:val="28"/>
          <w:lang w:val="ro-RO" w:eastAsia="ru-RU"/>
        </w:rPr>
        <w:t>5</w:t>
      </w:r>
      <w:r w:rsidR="00F9496F" w:rsidRPr="004F1B6D">
        <w:rPr>
          <w:rFonts w:ascii="Times New Roman" w:eastAsia="Times New Roman" w:hAnsi="Times New Roman" w:cs="Times New Roman"/>
          <w:sz w:val="28"/>
          <w:szCs w:val="28"/>
          <w:lang w:val="ro-RO" w:eastAsia="ru-RU"/>
        </w:rPr>
        <w:t>,</w:t>
      </w:r>
      <w:r w:rsidR="00274DDC">
        <w:rPr>
          <w:rFonts w:ascii="Times New Roman" w:eastAsia="Times New Roman" w:hAnsi="Times New Roman" w:cs="Times New Roman"/>
          <w:sz w:val="28"/>
          <w:szCs w:val="28"/>
          <w:lang w:val="ro-RO" w:eastAsia="ru-RU"/>
        </w:rPr>
        <w:t>2</w:t>
      </w:r>
      <w:r w:rsidR="00F9496F" w:rsidRPr="004F1B6D">
        <w:rPr>
          <w:rFonts w:ascii="Times New Roman" w:eastAsia="Times New Roman" w:hAnsi="Times New Roman" w:cs="Times New Roman"/>
          <w:sz w:val="28"/>
          <w:szCs w:val="28"/>
          <w:lang w:val="ro-RO" w:eastAsia="ru-RU"/>
        </w:rPr>
        <w:t xml:space="preserve"> la sută din datoria de stat</w:t>
      </w:r>
      <w:r w:rsidR="00537418">
        <w:rPr>
          <w:rFonts w:ascii="Times New Roman" w:eastAsia="Times New Roman" w:hAnsi="Times New Roman" w:cs="Times New Roman"/>
          <w:sz w:val="28"/>
          <w:szCs w:val="28"/>
          <w:lang w:val="ro-RO" w:eastAsia="ru-RU"/>
        </w:rPr>
        <w:t xml:space="preserve"> la sfîrșitul anului 2016</w:t>
      </w:r>
      <w:r w:rsidR="00F9496F" w:rsidRPr="004F1B6D">
        <w:rPr>
          <w:rFonts w:ascii="Times New Roman" w:eastAsia="Times New Roman" w:hAnsi="Times New Roman" w:cs="Times New Roman"/>
          <w:sz w:val="28"/>
          <w:szCs w:val="28"/>
          <w:lang w:val="ro-RO" w:eastAsia="ru-RU"/>
        </w:rPr>
        <w:t>. Prin urmare, se va majora şi expunerea faţă de riscul valutar.</w:t>
      </w:r>
    </w:p>
    <w:p w:rsidR="005F58E5" w:rsidRPr="004F1B6D" w:rsidRDefault="005F58E5" w:rsidP="00F9496F">
      <w:pPr>
        <w:tabs>
          <w:tab w:val="left" w:pos="0"/>
          <w:tab w:val="left" w:pos="567"/>
        </w:tabs>
        <w:spacing w:after="0" w:line="240" w:lineRule="auto"/>
        <w:ind w:firstLine="709"/>
        <w:jc w:val="both"/>
        <w:rPr>
          <w:rFonts w:ascii="Times New Roman" w:eastAsia="Times New Roman" w:hAnsi="Times New Roman" w:cs="Times New Roman"/>
          <w:sz w:val="28"/>
          <w:szCs w:val="28"/>
          <w:lang w:val="ro-RO" w:eastAsia="ru-RU"/>
        </w:rPr>
      </w:pPr>
    </w:p>
    <w:p w:rsidR="00F9496F" w:rsidRPr="004F1B6D" w:rsidRDefault="00F9496F" w:rsidP="00F9496F">
      <w:pPr>
        <w:tabs>
          <w:tab w:val="left" w:pos="540"/>
        </w:tabs>
        <w:spacing w:after="0" w:line="240" w:lineRule="auto"/>
        <w:ind w:left="7680"/>
        <w:jc w:val="right"/>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Tabelul </w:t>
      </w:r>
      <w:r w:rsidR="00D969D7">
        <w:rPr>
          <w:rFonts w:ascii="Times New Roman" w:eastAsia="Times New Roman" w:hAnsi="Times New Roman" w:cs="Times New Roman"/>
          <w:sz w:val="28"/>
          <w:szCs w:val="28"/>
          <w:lang w:val="ro-RO" w:eastAsia="ru-RU"/>
        </w:rPr>
        <w:t>6</w:t>
      </w:r>
      <w:r w:rsidRPr="004F1B6D">
        <w:rPr>
          <w:rFonts w:ascii="Times New Roman" w:eastAsia="Times New Roman" w:hAnsi="Times New Roman" w:cs="Times New Roman"/>
          <w:sz w:val="28"/>
          <w:szCs w:val="28"/>
          <w:lang w:val="ro-RO" w:eastAsia="ru-RU"/>
        </w:rPr>
        <w:t>.2.</w:t>
      </w:r>
    </w:p>
    <w:p w:rsidR="00F9496F" w:rsidRPr="004F1B6D" w:rsidRDefault="00F9496F"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Structu</w:t>
      </w:r>
      <w:r w:rsidR="00537418">
        <w:rPr>
          <w:rFonts w:ascii="Times New Roman" w:eastAsia="Times New Roman" w:hAnsi="Times New Roman" w:cs="Times New Roman"/>
          <w:sz w:val="28"/>
          <w:szCs w:val="28"/>
          <w:lang w:val="ro-RO" w:eastAsia="ru-RU"/>
        </w:rPr>
        <w:t>ra datoriei de stat în anii 2012</w:t>
      </w:r>
      <w:r w:rsidRPr="004F1B6D">
        <w:rPr>
          <w:rFonts w:ascii="Times New Roman" w:eastAsia="Times New Roman" w:hAnsi="Times New Roman" w:cs="Times New Roman"/>
          <w:sz w:val="28"/>
          <w:szCs w:val="28"/>
          <w:lang w:val="ro-RO" w:eastAsia="ru-RU"/>
        </w:rPr>
        <w:t>-201</w:t>
      </w:r>
      <w:r w:rsidR="00537418">
        <w:rPr>
          <w:rFonts w:ascii="Times New Roman" w:eastAsia="Times New Roman" w:hAnsi="Times New Roman" w:cs="Times New Roman"/>
          <w:sz w:val="28"/>
          <w:szCs w:val="28"/>
          <w:lang w:val="ro-RO" w:eastAsia="ru-RU"/>
        </w:rPr>
        <w:t>6</w:t>
      </w:r>
    </w:p>
    <w:tbl>
      <w:tblPr>
        <w:tblW w:w="5112" w:type="pct"/>
        <w:tblInd w:w="-34" w:type="dxa"/>
        <w:tblLayout w:type="fixed"/>
        <w:tblLook w:val="0000"/>
      </w:tblPr>
      <w:tblGrid>
        <w:gridCol w:w="1166"/>
        <w:gridCol w:w="1016"/>
        <w:gridCol w:w="736"/>
        <w:gridCol w:w="1018"/>
        <w:gridCol w:w="726"/>
        <w:gridCol w:w="1018"/>
        <w:gridCol w:w="726"/>
        <w:gridCol w:w="969"/>
        <w:gridCol w:w="775"/>
        <w:gridCol w:w="926"/>
        <w:gridCol w:w="710"/>
      </w:tblGrid>
      <w:tr w:rsidR="00F9496F" w:rsidRPr="004F1B6D" w:rsidTr="00D26339">
        <w:trPr>
          <w:trHeight w:val="255"/>
        </w:trPr>
        <w:tc>
          <w:tcPr>
            <w:tcW w:w="596" w:type="pct"/>
            <w:vMerge w:val="restart"/>
            <w:tcBorders>
              <w:top w:val="single" w:sz="4" w:space="0" w:color="auto"/>
              <w:left w:val="single" w:sz="4" w:space="0" w:color="auto"/>
              <w:right w:val="single" w:sz="4" w:space="0" w:color="auto"/>
            </w:tcBorders>
            <w:noWrap/>
            <w:vAlign w:val="center"/>
          </w:tcPr>
          <w:p w:rsidR="00F9496F" w:rsidRPr="004F1B6D" w:rsidRDefault="00F9496F" w:rsidP="00F9496F">
            <w:pPr>
              <w:keepNext/>
              <w:spacing w:after="0" w:line="240" w:lineRule="auto"/>
              <w:jc w:val="both"/>
              <w:outlineLvl w:val="0"/>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Indicatori</w:t>
            </w:r>
          </w:p>
        </w:tc>
        <w:tc>
          <w:tcPr>
            <w:tcW w:w="895" w:type="pct"/>
            <w:gridSpan w:val="2"/>
            <w:tcBorders>
              <w:top w:val="single" w:sz="4" w:space="0" w:color="auto"/>
              <w:left w:val="single" w:sz="4" w:space="0" w:color="auto"/>
              <w:bottom w:val="single" w:sz="4" w:space="0" w:color="auto"/>
              <w:right w:val="single" w:sz="4" w:space="0" w:color="auto"/>
            </w:tcBorders>
            <w:noWrap/>
            <w:vAlign w:val="bottom"/>
          </w:tcPr>
          <w:p w:rsidR="00F9496F" w:rsidRPr="004F1B6D" w:rsidRDefault="00F9496F" w:rsidP="00F9496F">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201</w:t>
            </w:r>
            <w:r w:rsidR="00274DDC">
              <w:rPr>
                <w:rFonts w:ascii="Times New Roman" w:eastAsia="Times New Roman" w:hAnsi="Times New Roman" w:cs="Times New Roman"/>
                <w:sz w:val="24"/>
                <w:szCs w:val="24"/>
                <w:lang w:val="ro-RO" w:eastAsia="ru-RU"/>
              </w:rPr>
              <w:t>2</w:t>
            </w:r>
          </w:p>
        </w:tc>
        <w:tc>
          <w:tcPr>
            <w:tcW w:w="891" w:type="pct"/>
            <w:gridSpan w:val="2"/>
            <w:tcBorders>
              <w:top w:val="single" w:sz="4" w:space="0" w:color="auto"/>
              <w:left w:val="single" w:sz="4" w:space="0" w:color="auto"/>
              <w:bottom w:val="single" w:sz="4" w:space="0" w:color="auto"/>
              <w:right w:val="single" w:sz="4" w:space="0" w:color="auto"/>
            </w:tcBorders>
            <w:vAlign w:val="bottom"/>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201</w:t>
            </w:r>
            <w:r w:rsidR="00274DDC">
              <w:rPr>
                <w:rFonts w:ascii="Times New Roman" w:eastAsia="Times New Roman" w:hAnsi="Times New Roman" w:cs="Times New Roman"/>
                <w:sz w:val="24"/>
                <w:szCs w:val="24"/>
                <w:lang w:val="ro-RO" w:eastAsia="ru-RU"/>
              </w:rPr>
              <w:t>3</w:t>
            </w:r>
          </w:p>
        </w:tc>
        <w:tc>
          <w:tcPr>
            <w:tcW w:w="891" w:type="pct"/>
            <w:gridSpan w:val="2"/>
            <w:tcBorders>
              <w:top w:val="single" w:sz="4" w:space="0" w:color="auto"/>
              <w:left w:val="nil"/>
              <w:bottom w:val="single" w:sz="4" w:space="0" w:color="auto"/>
              <w:right w:val="single" w:sz="4" w:space="0" w:color="auto"/>
            </w:tcBorders>
            <w:vAlign w:val="bottom"/>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201</w:t>
            </w:r>
            <w:r w:rsidR="00274DDC">
              <w:rPr>
                <w:rFonts w:ascii="Times New Roman" w:eastAsia="Times New Roman" w:hAnsi="Times New Roman" w:cs="Times New Roman"/>
                <w:sz w:val="24"/>
                <w:szCs w:val="24"/>
                <w:lang w:val="ro-RO" w:eastAsia="ru-RU"/>
              </w:rPr>
              <w:t>4</w:t>
            </w:r>
          </w:p>
        </w:tc>
        <w:tc>
          <w:tcPr>
            <w:tcW w:w="891" w:type="pct"/>
            <w:gridSpan w:val="2"/>
            <w:tcBorders>
              <w:top w:val="single" w:sz="4" w:space="0" w:color="auto"/>
              <w:left w:val="nil"/>
              <w:bottom w:val="single" w:sz="4" w:space="0" w:color="auto"/>
              <w:right w:val="single" w:sz="4" w:space="0" w:color="auto"/>
            </w:tcBorders>
            <w:noWrap/>
            <w:vAlign w:val="bottom"/>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201</w:t>
            </w:r>
            <w:r w:rsidR="00274DDC">
              <w:rPr>
                <w:rFonts w:ascii="Times New Roman" w:eastAsia="Times New Roman" w:hAnsi="Times New Roman" w:cs="Times New Roman"/>
                <w:sz w:val="24"/>
                <w:szCs w:val="24"/>
                <w:lang w:val="ro-RO" w:eastAsia="ru-RU"/>
              </w:rPr>
              <w:t>5</w:t>
            </w:r>
          </w:p>
        </w:tc>
        <w:tc>
          <w:tcPr>
            <w:tcW w:w="837" w:type="pct"/>
            <w:gridSpan w:val="2"/>
            <w:tcBorders>
              <w:top w:val="single" w:sz="4" w:space="0" w:color="auto"/>
              <w:left w:val="nil"/>
              <w:bottom w:val="single" w:sz="4" w:space="0" w:color="auto"/>
              <w:right w:val="single" w:sz="4" w:space="0" w:color="auto"/>
            </w:tcBorders>
            <w:noWrap/>
            <w:vAlign w:val="bottom"/>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201</w:t>
            </w:r>
            <w:r w:rsidR="00274DDC">
              <w:rPr>
                <w:rFonts w:ascii="Times New Roman" w:eastAsia="Times New Roman" w:hAnsi="Times New Roman" w:cs="Times New Roman"/>
                <w:sz w:val="24"/>
                <w:szCs w:val="24"/>
                <w:lang w:val="ro-RO" w:eastAsia="ru-RU"/>
              </w:rPr>
              <w:t>6</w:t>
            </w:r>
          </w:p>
        </w:tc>
      </w:tr>
      <w:tr w:rsidR="00F9496F" w:rsidRPr="004F1B6D" w:rsidTr="00D26339">
        <w:trPr>
          <w:trHeight w:val="297"/>
        </w:trPr>
        <w:tc>
          <w:tcPr>
            <w:tcW w:w="596" w:type="pct"/>
            <w:vMerge/>
            <w:tcBorders>
              <w:left w:val="single" w:sz="4" w:space="0" w:color="auto"/>
              <w:bottom w:val="single" w:sz="4" w:space="0" w:color="auto"/>
              <w:right w:val="single" w:sz="4" w:space="0" w:color="auto"/>
            </w:tcBorders>
            <w:shd w:val="clear" w:color="auto" w:fill="auto"/>
            <w:noWrap/>
            <w:vAlign w:val="center"/>
          </w:tcPr>
          <w:p w:rsidR="00F9496F" w:rsidRPr="004F1B6D" w:rsidRDefault="00F9496F" w:rsidP="00D26339">
            <w:pPr>
              <w:keepNext/>
              <w:spacing w:after="0" w:line="240" w:lineRule="auto"/>
              <w:jc w:val="both"/>
              <w:outlineLvl w:val="0"/>
              <w:rPr>
                <w:rFonts w:ascii="Times New Roman" w:eastAsia="Times New Roman" w:hAnsi="Times New Roman" w:cs="Times New Roman"/>
                <w:sz w:val="24"/>
                <w:szCs w:val="24"/>
                <w:lang w:val="ro-RO" w:eastAsia="ru-RU"/>
              </w:rPr>
            </w:pPr>
          </w:p>
        </w:tc>
        <w:tc>
          <w:tcPr>
            <w:tcW w:w="519" w:type="pct"/>
            <w:tcBorders>
              <w:top w:val="single" w:sz="4" w:space="0" w:color="auto"/>
              <w:left w:val="single" w:sz="4" w:space="0" w:color="auto"/>
              <w:bottom w:val="single" w:sz="4" w:space="0" w:color="auto"/>
              <w:right w:val="single" w:sz="4" w:space="0" w:color="auto"/>
            </w:tcBorders>
            <w:noWrap/>
            <w:vAlign w:val="bottom"/>
          </w:tcPr>
          <w:p w:rsidR="00F9496F" w:rsidRPr="004F1B6D" w:rsidRDefault="00F9496F" w:rsidP="00D26339">
            <w:pPr>
              <w:spacing w:after="0" w:line="240" w:lineRule="auto"/>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în total datorie</w:t>
            </w:r>
          </w:p>
        </w:tc>
        <w:tc>
          <w:tcPr>
            <w:tcW w:w="376" w:type="pct"/>
            <w:tcBorders>
              <w:top w:val="single" w:sz="4" w:space="0" w:color="auto"/>
              <w:left w:val="nil"/>
              <w:bottom w:val="single" w:sz="4" w:space="0" w:color="auto"/>
              <w:right w:val="single" w:sz="4" w:space="0" w:color="auto"/>
            </w:tcBorders>
            <w:noWrap/>
            <w:vAlign w:val="bottom"/>
          </w:tcPr>
          <w:p w:rsidR="00F9496F" w:rsidRPr="004F1B6D" w:rsidRDefault="00F9496F" w:rsidP="00D26339">
            <w:pPr>
              <w:spacing w:after="0" w:line="240" w:lineRule="auto"/>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xml:space="preserve"> % în PIB</w:t>
            </w:r>
          </w:p>
        </w:tc>
        <w:tc>
          <w:tcPr>
            <w:tcW w:w="520" w:type="pct"/>
            <w:tcBorders>
              <w:top w:val="single" w:sz="4" w:space="0" w:color="auto"/>
              <w:left w:val="single" w:sz="4" w:space="0" w:color="auto"/>
              <w:bottom w:val="single" w:sz="4" w:space="0" w:color="auto"/>
              <w:right w:val="single" w:sz="4" w:space="0" w:color="auto"/>
            </w:tcBorders>
            <w:vAlign w:val="bottom"/>
          </w:tcPr>
          <w:p w:rsidR="00F9496F" w:rsidRPr="004F1B6D" w:rsidRDefault="00F9496F" w:rsidP="00D26339">
            <w:pPr>
              <w:spacing w:after="0" w:line="240" w:lineRule="auto"/>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în total datorie</w:t>
            </w:r>
          </w:p>
        </w:tc>
        <w:tc>
          <w:tcPr>
            <w:tcW w:w="371" w:type="pct"/>
            <w:tcBorders>
              <w:top w:val="nil"/>
              <w:left w:val="nil"/>
              <w:bottom w:val="single" w:sz="4" w:space="0" w:color="auto"/>
              <w:right w:val="single" w:sz="4" w:space="0" w:color="auto"/>
            </w:tcBorders>
            <w:vAlign w:val="bottom"/>
          </w:tcPr>
          <w:p w:rsidR="00F9496F" w:rsidRPr="004F1B6D" w:rsidRDefault="00F9496F" w:rsidP="00D26339">
            <w:pPr>
              <w:spacing w:after="0" w:line="240" w:lineRule="auto"/>
              <w:ind w:firstLine="600"/>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în PIB</w:t>
            </w:r>
          </w:p>
        </w:tc>
        <w:tc>
          <w:tcPr>
            <w:tcW w:w="520" w:type="pct"/>
            <w:tcBorders>
              <w:top w:val="nil"/>
              <w:left w:val="nil"/>
              <w:bottom w:val="single" w:sz="4" w:space="0" w:color="auto"/>
              <w:right w:val="single" w:sz="4" w:space="0" w:color="auto"/>
            </w:tcBorders>
            <w:vAlign w:val="bottom"/>
          </w:tcPr>
          <w:p w:rsidR="00F9496F" w:rsidRPr="004F1B6D" w:rsidRDefault="00F9496F" w:rsidP="00D26339">
            <w:pPr>
              <w:spacing w:after="0" w:line="240" w:lineRule="auto"/>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în total datorie</w:t>
            </w:r>
          </w:p>
        </w:tc>
        <w:tc>
          <w:tcPr>
            <w:tcW w:w="371" w:type="pct"/>
            <w:tcBorders>
              <w:top w:val="nil"/>
              <w:left w:val="nil"/>
              <w:bottom w:val="single" w:sz="4" w:space="0" w:color="auto"/>
              <w:right w:val="single" w:sz="4" w:space="0" w:color="auto"/>
            </w:tcBorders>
            <w:vAlign w:val="bottom"/>
          </w:tcPr>
          <w:p w:rsidR="00F9496F" w:rsidRPr="004F1B6D" w:rsidRDefault="00F9496F" w:rsidP="00D26339">
            <w:pPr>
              <w:spacing w:after="0" w:line="240" w:lineRule="auto"/>
              <w:ind w:firstLine="600"/>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 în PIB</w:t>
            </w:r>
          </w:p>
        </w:tc>
        <w:tc>
          <w:tcPr>
            <w:tcW w:w="495" w:type="pct"/>
            <w:tcBorders>
              <w:top w:val="nil"/>
              <w:left w:val="nil"/>
              <w:bottom w:val="single" w:sz="4" w:space="0" w:color="auto"/>
              <w:right w:val="single" w:sz="4" w:space="0" w:color="auto"/>
            </w:tcBorders>
            <w:noWrap/>
            <w:vAlign w:val="bottom"/>
          </w:tcPr>
          <w:p w:rsidR="00F9496F" w:rsidRPr="004F1B6D" w:rsidRDefault="00F9496F" w:rsidP="00D26339">
            <w:pPr>
              <w:spacing w:after="0" w:line="240" w:lineRule="auto"/>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în total datorie</w:t>
            </w:r>
          </w:p>
        </w:tc>
        <w:tc>
          <w:tcPr>
            <w:tcW w:w="395" w:type="pct"/>
            <w:tcBorders>
              <w:top w:val="nil"/>
              <w:left w:val="nil"/>
              <w:bottom w:val="single" w:sz="4" w:space="0" w:color="auto"/>
              <w:right w:val="single" w:sz="4" w:space="0" w:color="auto"/>
            </w:tcBorders>
            <w:noWrap/>
            <w:vAlign w:val="bottom"/>
          </w:tcPr>
          <w:p w:rsidR="00F9496F" w:rsidRPr="004F1B6D" w:rsidRDefault="00F9496F" w:rsidP="00D26339">
            <w:pPr>
              <w:spacing w:after="0" w:line="240" w:lineRule="auto"/>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în PIB</w:t>
            </w:r>
          </w:p>
        </w:tc>
        <w:tc>
          <w:tcPr>
            <w:tcW w:w="473" w:type="pct"/>
            <w:tcBorders>
              <w:top w:val="nil"/>
              <w:left w:val="nil"/>
              <w:bottom w:val="single" w:sz="4" w:space="0" w:color="auto"/>
              <w:right w:val="single" w:sz="4" w:space="0" w:color="auto"/>
            </w:tcBorders>
            <w:noWrap/>
            <w:vAlign w:val="bottom"/>
          </w:tcPr>
          <w:p w:rsidR="00F9496F" w:rsidRPr="004F1B6D" w:rsidRDefault="00F9496F" w:rsidP="00D26339">
            <w:pPr>
              <w:spacing w:after="0" w:line="240" w:lineRule="auto"/>
              <w:jc w:val="both"/>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 în total datorie</w:t>
            </w:r>
          </w:p>
        </w:tc>
        <w:tc>
          <w:tcPr>
            <w:tcW w:w="364" w:type="pct"/>
            <w:tcBorders>
              <w:top w:val="nil"/>
              <w:left w:val="nil"/>
              <w:bottom w:val="single" w:sz="4" w:space="0" w:color="auto"/>
              <w:right w:val="single" w:sz="4" w:space="0" w:color="auto"/>
            </w:tcBorders>
            <w:noWrap/>
            <w:vAlign w:val="bottom"/>
          </w:tcPr>
          <w:p w:rsidR="00F9496F" w:rsidRPr="004F1B6D" w:rsidRDefault="00D26339" w:rsidP="00D26339">
            <w:pPr>
              <w:tabs>
                <w:tab w:val="left" w:pos="17"/>
              </w:tabs>
              <w:spacing w:after="0" w:line="240" w:lineRule="auto"/>
              <w:ind w:firstLine="60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F9496F" w:rsidRPr="004F1B6D">
              <w:rPr>
                <w:rFonts w:ascii="Times New Roman" w:eastAsia="Times New Roman" w:hAnsi="Times New Roman" w:cs="Times New Roman"/>
                <w:sz w:val="24"/>
                <w:szCs w:val="24"/>
                <w:lang w:val="ro-RO" w:eastAsia="ru-RU"/>
              </w:rPr>
              <w:t>% în PIB</w:t>
            </w:r>
          </w:p>
        </w:tc>
      </w:tr>
      <w:tr w:rsidR="00F9496F" w:rsidRPr="004F1B6D" w:rsidTr="00D26339">
        <w:trPr>
          <w:trHeight w:val="510"/>
        </w:trPr>
        <w:tc>
          <w:tcPr>
            <w:tcW w:w="596" w:type="pct"/>
            <w:tcBorders>
              <w:top w:val="single" w:sz="4" w:space="0" w:color="auto"/>
              <w:left w:val="single" w:sz="4" w:space="0" w:color="auto"/>
              <w:bottom w:val="single" w:sz="4" w:space="0" w:color="auto"/>
              <w:right w:val="single" w:sz="4" w:space="0" w:color="auto"/>
            </w:tcBorders>
            <w:noWrap/>
            <w:vAlign w:val="bottom"/>
          </w:tcPr>
          <w:p w:rsidR="00F9496F" w:rsidRPr="004F1B6D" w:rsidRDefault="00F9496F" w:rsidP="00D26339">
            <w:pPr>
              <w:spacing w:after="0" w:line="240" w:lineRule="auto"/>
              <w:jc w:val="both"/>
              <w:rPr>
                <w:rFonts w:ascii="Times New Roman" w:eastAsia="Times New Roman" w:hAnsi="Times New Roman" w:cs="Times New Roman"/>
                <w:bCs/>
                <w:sz w:val="24"/>
                <w:szCs w:val="24"/>
                <w:lang w:val="ro-RO" w:eastAsia="ru-RU"/>
              </w:rPr>
            </w:pPr>
            <w:r w:rsidRPr="004F1B6D">
              <w:rPr>
                <w:rFonts w:ascii="Times New Roman" w:eastAsia="Times New Roman" w:hAnsi="Times New Roman" w:cs="Times New Roman"/>
                <w:bCs/>
                <w:sz w:val="24"/>
                <w:szCs w:val="24"/>
                <w:lang w:val="ro-RO" w:eastAsia="ru-RU"/>
              </w:rPr>
              <w:t>Datoria de stat externă</w:t>
            </w:r>
          </w:p>
        </w:tc>
        <w:tc>
          <w:tcPr>
            <w:tcW w:w="519" w:type="pct"/>
            <w:tcBorders>
              <w:top w:val="nil"/>
              <w:left w:val="nil"/>
              <w:bottom w:val="single" w:sz="4" w:space="0" w:color="auto"/>
              <w:right w:val="single" w:sz="4" w:space="0" w:color="auto"/>
            </w:tcBorders>
            <w:noWrap/>
            <w:vAlign w:val="center"/>
          </w:tcPr>
          <w:p w:rsidR="00F9496F" w:rsidRPr="004F1B6D" w:rsidRDefault="00274DDC" w:rsidP="00274DD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70</w:t>
            </w:r>
            <w:r w:rsidR="00F9496F" w:rsidRPr="004F1B6D">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9</w:t>
            </w:r>
          </w:p>
        </w:tc>
        <w:tc>
          <w:tcPr>
            <w:tcW w:w="376" w:type="pct"/>
            <w:tcBorders>
              <w:top w:val="single" w:sz="4" w:space="0" w:color="auto"/>
              <w:left w:val="nil"/>
              <w:bottom w:val="single" w:sz="4" w:space="0" w:color="auto"/>
              <w:right w:val="single" w:sz="4" w:space="0" w:color="auto"/>
            </w:tcBorders>
            <w:noWrap/>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1</w:t>
            </w:r>
            <w:r w:rsidR="00274DDC">
              <w:rPr>
                <w:rFonts w:ascii="Times New Roman" w:eastAsia="Times New Roman" w:hAnsi="Times New Roman" w:cs="Times New Roman"/>
                <w:sz w:val="24"/>
                <w:szCs w:val="24"/>
                <w:lang w:val="ro-RO" w:eastAsia="ru-RU"/>
              </w:rPr>
              <w:t>7</w:t>
            </w:r>
            <w:r w:rsidRPr="004F1B6D">
              <w:rPr>
                <w:rFonts w:ascii="Times New Roman" w:eastAsia="Times New Roman" w:hAnsi="Times New Roman" w:cs="Times New Roman"/>
                <w:sz w:val="24"/>
                <w:szCs w:val="24"/>
                <w:lang w:val="ro-RO" w:eastAsia="ru-RU"/>
              </w:rPr>
              <w:t>,</w:t>
            </w:r>
            <w:r w:rsidR="00274DDC">
              <w:rPr>
                <w:rFonts w:ascii="Times New Roman" w:eastAsia="Times New Roman" w:hAnsi="Times New Roman" w:cs="Times New Roman"/>
                <w:sz w:val="24"/>
                <w:szCs w:val="24"/>
                <w:lang w:val="ro-RO" w:eastAsia="ru-RU"/>
              </w:rPr>
              <w:t>0</w:t>
            </w:r>
          </w:p>
        </w:tc>
        <w:tc>
          <w:tcPr>
            <w:tcW w:w="520" w:type="pct"/>
            <w:tcBorders>
              <w:top w:val="single" w:sz="4" w:space="0" w:color="auto"/>
              <w:left w:val="single" w:sz="4" w:space="0" w:color="auto"/>
              <w:bottom w:val="single" w:sz="4" w:space="0" w:color="auto"/>
              <w:right w:val="single" w:sz="4" w:space="0" w:color="auto"/>
            </w:tcBorders>
            <w:vAlign w:val="center"/>
          </w:tcPr>
          <w:p w:rsidR="00F9496F" w:rsidRPr="004F1B6D" w:rsidRDefault="00A65639" w:rsidP="00A65639">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71</w:t>
            </w:r>
            <w:r w:rsidR="00F9496F" w:rsidRPr="004F1B6D">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6</w:t>
            </w:r>
          </w:p>
        </w:tc>
        <w:tc>
          <w:tcPr>
            <w:tcW w:w="371" w:type="pct"/>
            <w:tcBorders>
              <w:top w:val="nil"/>
              <w:left w:val="nil"/>
              <w:bottom w:val="single" w:sz="4" w:space="0" w:color="auto"/>
              <w:right w:val="single" w:sz="4" w:space="0" w:color="auto"/>
            </w:tcBorders>
            <w:vAlign w:val="center"/>
          </w:tcPr>
          <w:p w:rsidR="00F9496F" w:rsidRPr="004F1B6D" w:rsidRDefault="00F9496F" w:rsidP="00A65639">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17,</w:t>
            </w:r>
            <w:r w:rsidR="00A65639">
              <w:rPr>
                <w:rFonts w:ascii="Times New Roman" w:eastAsia="Times New Roman" w:hAnsi="Times New Roman" w:cs="Times New Roman"/>
                <w:sz w:val="24"/>
                <w:szCs w:val="24"/>
                <w:lang w:val="ro-RO" w:eastAsia="ru-RU"/>
              </w:rPr>
              <w:t>3</w:t>
            </w:r>
          </w:p>
        </w:tc>
        <w:tc>
          <w:tcPr>
            <w:tcW w:w="520" w:type="pct"/>
            <w:tcBorders>
              <w:top w:val="nil"/>
              <w:left w:val="nil"/>
              <w:bottom w:val="single" w:sz="4" w:space="0" w:color="auto"/>
              <w:right w:val="single" w:sz="4" w:space="0" w:color="auto"/>
            </w:tcBorders>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7</w:t>
            </w:r>
            <w:r w:rsidR="00274DDC">
              <w:rPr>
                <w:rFonts w:ascii="Times New Roman" w:eastAsia="Times New Roman" w:hAnsi="Times New Roman" w:cs="Times New Roman"/>
                <w:sz w:val="24"/>
                <w:szCs w:val="24"/>
                <w:lang w:val="ro-RO" w:eastAsia="ru-RU"/>
              </w:rPr>
              <w:t>3</w:t>
            </w:r>
            <w:r w:rsidRPr="004F1B6D">
              <w:rPr>
                <w:rFonts w:ascii="Times New Roman" w:eastAsia="Times New Roman" w:hAnsi="Times New Roman" w:cs="Times New Roman"/>
                <w:sz w:val="24"/>
                <w:szCs w:val="24"/>
                <w:lang w:val="ro-RO" w:eastAsia="ru-RU"/>
              </w:rPr>
              <w:t>,</w:t>
            </w:r>
            <w:r w:rsidR="00274DDC">
              <w:rPr>
                <w:rFonts w:ascii="Times New Roman" w:eastAsia="Times New Roman" w:hAnsi="Times New Roman" w:cs="Times New Roman"/>
                <w:sz w:val="24"/>
                <w:szCs w:val="24"/>
                <w:lang w:val="ro-RO" w:eastAsia="ru-RU"/>
              </w:rPr>
              <w:t>0</w:t>
            </w:r>
          </w:p>
        </w:tc>
        <w:tc>
          <w:tcPr>
            <w:tcW w:w="371" w:type="pct"/>
            <w:tcBorders>
              <w:top w:val="nil"/>
              <w:left w:val="nil"/>
              <w:bottom w:val="single" w:sz="4" w:space="0" w:color="auto"/>
              <w:right w:val="single" w:sz="4" w:space="0" w:color="auto"/>
            </w:tcBorders>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1</w:t>
            </w:r>
            <w:r w:rsidR="00274DDC">
              <w:rPr>
                <w:rFonts w:ascii="Times New Roman" w:eastAsia="Times New Roman" w:hAnsi="Times New Roman" w:cs="Times New Roman"/>
                <w:sz w:val="24"/>
                <w:szCs w:val="24"/>
                <w:lang w:val="ro-RO" w:eastAsia="ru-RU"/>
              </w:rPr>
              <w:t>7</w:t>
            </w:r>
            <w:r w:rsidRPr="004F1B6D">
              <w:rPr>
                <w:rFonts w:ascii="Times New Roman" w:eastAsia="Times New Roman" w:hAnsi="Times New Roman" w:cs="Times New Roman"/>
                <w:sz w:val="24"/>
                <w:szCs w:val="24"/>
                <w:lang w:val="ro-RO" w:eastAsia="ru-RU"/>
              </w:rPr>
              <w:t>,</w:t>
            </w:r>
            <w:r w:rsidR="00274DDC">
              <w:rPr>
                <w:rFonts w:ascii="Times New Roman" w:eastAsia="Times New Roman" w:hAnsi="Times New Roman" w:cs="Times New Roman"/>
                <w:sz w:val="24"/>
                <w:szCs w:val="24"/>
                <w:lang w:val="ro-RO" w:eastAsia="ru-RU"/>
              </w:rPr>
              <w:t>9</w:t>
            </w:r>
          </w:p>
        </w:tc>
        <w:tc>
          <w:tcPr>
            <w:tcW w:w="495" w:type="pct"/>
            <w:tcBorders>
              <w:top w:val="nil"/>
              <w:left w:val="nil"/>
              <w:bottom w:val="single" w:sz="4" w:space="0" w:color="auto"/>
              <w:right w:val="single" w:sz="4" w:space="0" w:color="auto"/>
            </w:tcBorders>
            <w:noWrap/>
            <w:vAlign w:val="center"/>
          </w:tcPr>
          <w:p w:rsidR="00F9496F" w:rsidRPr="004F1B6D" w:rsidRDefault="00F9496F" w:rsidP="00F9496F">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73,</w:t>
            </w:r>
            <w:r w:rsidR="00274DDC">
              <w:rPr>
                <w:rFonts w:ascii="Times New Roman" w:eastAsia="Times New Roman" w:hAnsi="Times New Roman" w:cs="Times New Roman"/>
                <w:sz w:val="24"/>
                <w:szCs w:val="24"/>
                <w:lang w:val="ro-RO" w:eastAsia="ru-RU"/>
              </w:rPr>
              <w:t>8</w:t>
            </w:r>
          </w:p>
        </w:tc>
        <w:tc>
          <w:tcPr>
            <w:tcW w:w="395" w:type="pct"/>
            <w:tcBorders>
              <w:top w:val="nil"/>
              <w:left w:val="nil"/>
              <w:bottom w:val="single" w:sz="4" w:space="0" w:color="auto"/>
              <w:right w:val="single" w:sz="4" w:space="0" w:color="auto"/>
            </w:tcBorders>
            <w:noWrap/>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1</w:t>
            </w:r>
            <w:r w:rsidR="00274DDC">
              <w:rPr>
                <w:rFonts w:ascii="Times New Roman" w:eastAsia="Times New Roman" w:hAnsi="Times New Roman" w:cs="Times New Roman"/>
                <w:sz w:val="24"/>
                <w:szCs w:val="24"/>
                <w:lang w:val="ro-RO" w:eastAsia="ru-RU"/>
              </w:rPr>
              <w:t>7</w:t>
            </w:r>
            <w:r w:rsidRPr="004F1B6D">
              <w:rPr>
                <w:rFonts w:ascii="Times New Roman" w:eastAsia="Times New Roman" w:hAnsi="Times New Roman" w:cs="Times New Roman"/>
                <w:sz w:val="24"/>
                <w:szCs w:val="24"/>
                <w:lang w:val="ro-RO" w:eastAsia="ru-RU"/>
              </w:rPr>
              <w:t>,</w:t>
            </w:r>
            <w:r w:rsidR="00274DDC">
              <w:rPr>
                <w:rFonts w:ascii="Times New Roman" w:eastAsia="Times New Roman" w:hAnsi="Times New Roman" w:cs="Times New Roman"/>
                <w:sz w:val="24"/>
                <w:szCs w:val="24"/>
                <w:lang w:val="ro-RO" w:eastAsia="ru-RU"/>
              </w:rPr>
              <w:t>5</w:t>
            </w:r>
          </w:p>
        </w:tc>
        <w:tc>
          <w:tcPr>
            <w:tcW w:w="473" w:type="pct"/>
            <w:tcBorders>
              <w:top w:val="nil"/>
              <w:left w:val="nil"/>
              <w:bottom w:val="single" w:sz="4" w:space="0" w:color="auto"/>
              <w:right w:val="single" w:sz="4" w:space="0" w:color="auto"/>
            </w:tcBorders>
            <w:noWrap/>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7</w:t>
            </w:r>
            <w:r w:rsidR="00274DDC">
              <w:rPr>
                <w:rFonts w:ascii="Times New Roman" w:eastAsia="Times New Roman" w:hAnsi="Times New Roman" w:cs="Times New Roman"/>
                <w:sz w:val="24"/>
                <w:szCs w:val="24"/>
                <w:lang w:val="ro-RO" w:eastAsia="ru-RU"/>
              </w:rPr>
              <w:t>5</w:t>
            </w:r>
            <w:r w:rsidRPr="004F1B6D">
              <w:rPr>
                <w:rFonts w:ascii="Times New Roman" w:eastAsia="Times New Roman" w:hAnsi="Times New Roman" w:cs="Times New Roman"/>
                <w:sz w:val="24"/>
                <w:szCs w:val="24"/>
                <w:lang w:val="ro-RO" w:eastAsia="ru-RU"/>
              </w:rPr>
              <w:t>,</w:t>
            </w:r>
            <w:r w:rsidR="00274DDC">
              <w:rPr>
                <w:rFonts w:ascii="Times New Roman" w:eastAsia="Times New Roman" w:hAnsi="Times New Roman" w:cs="Times New Roman"/>
                <w:sz w:val="24"/>
                <w:szCs w:val="24"/>
                <w:lang w:val="ro-RO" w:eastAsia="ru-RU"/>
              </w:rPr>
              <w:t>2</w:t>
            </w:r>
          </w:p>
        </w:tc>
        <w:tc>
          <w:tcPr>
            <w:tcW w:w="364" w:type="pct"/>
            <w:tcBorders>
              <w:top w:val="nil"/>
              <w:left w:val="nil"/>
              <w:bottom w:val="single" w:sz="4" w:space="0" w:color="auto"/>
              <w:right w:val="single" w:sz="4" w:space="0" w:color="auto"/>
            </w:tcBorders>
            <w:noWrap/>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1</w:t>
            </w:r>
            <w:r w:rsidR="00274DDC">
              <w:rPr>
                <w:rFonts w:ascii="Times New Roman" w:eastAsia="Times New Roman" w:hAnsi="Times New Roman" w:cs="Times New Roman"/>
                <w:sz w:val="24"/>
                <w:szCs w:val="24"/>
                <w:lang w:val="ro-RO" w:eastAsia="ru-RU"/>
              </w:rPr>
              <w:t>7</w:t>
            </w:r>
            <w:r w:rsidRPr="004F1B6D">
              <w:rPr>
                <w:rFonts w:ascii="Times New Roman" w:eastAsia="Times New Roman" w:hAnsi="Times New Roman" w:cs="Times New Roman"/>
                <w:sz w:val="24"/>
                <w:szCs w:val="24"/>
                <w:lang w:val="ro-RO" w:eastAsia="ru-RU"/>
              </w:rPr>
              <w:t>,</w:t>
            </w:r>
            <w:r w:rsidR="00274DDC">
              <w:rPr>
                <w:rFonts w:ascii="Times New Roman" w:eastAsia="Times New Roman" w:hAnsi="Times New Roman" w:cs="Times New Roman"/>
                <w:sz w:val="24"/>
                <w:szCs w:val="24"/>
                <w:lang w:val="ro-RO" w:eastAsia="ru-RU"/>
              </w:rPr>
              <w:t>7</w:t>
            </w:r>
          </w:p>
        </w:tc>
      </w:tr>
      <w:tr w:rsidR="00F9496F" w:rsidRPr="004F1B6D" w:rsidTr="00D26339">
        <w:trPr>
          <w:trHeight w:val="510"/>
        </w:trPr>
        <w:tc>
          <w:tcPr>
            <w:tcW w:w="596" w:type="pct"/>
            <w:tcBorders>
              <w:top w:val="nil"/>
              <w:left w:val="single" w:sz="4" w:space="0" w:color="auto"/>
              <w:bottom w:val="single" w:sz="4" w:space="0" w:color="auto"/>
              <w:right w:val="single" w:sz="4" w:space="0" w:color="auto"/>
            </w:tcBorders>
            <w:noWrap/>
            <w:vAlign w:val="bottom"/>
          </w:tcPr>
          <w:p w:rsidR="00F9496F" w:rsidRPr="004F1B6D" w:rsidRDefault="00F9496F" w:rsidP="00F9496F">
            <w:pPr>
              <w:spacing w:after="0" w:line="240" w:lineRule="auto"/>
              <w:jc w:val="both"/>
              <w:rPr>
                <w:rFonts w:ascii="Times New Roman" w:eastAsia="Times New Roman" w:hAnsi="Times New Roman" w:cs="Times New Roman"/>
                <w:bCs/>
                <w:sz w:val="24"/>
                <w:szCs w:val="24"/>
                <w:lang w:val="ro-RO" w:eastAsia="ru-RU"/>
              </w:rPr>
            </w:pPr>
            <w:r w:rsidRPr="004F1B6D">
              <w:rPr>
                <w:rFonts w:ascii="Times New Roman" w:eastAsia="Times New Roman" w:hAnsi="Times New Roman" w:cs="Times New Roman"/>
                <w:bCs/>
                <w:sz w:val="24"/>
                <w:szCs w:val="24"/>
                <w:lang w:val="ro-RO" w:eastAsia="ru-RU"/>
              </w:rPr>
              <w:t>Datoria de stat internă</w:t>
            </w:r>
          </w:p>
        </w:tc>
        <w:tc>
          <w:tcPr>
            <w:tcW w:w="519" w:type="pct"/>
            <w:tcBorders>
              <w:top w:val="nil"/>
              <w:left w:val="nil"/>
              <w:bottom w:val="single" w:sz="4" w:space="0" w:color="auto"/>
              <w:right w:val="single" w:sz="4" w:space="0" w:color="auto"/>
            </w:tcBorders>
            <w:noWrap/>
            <w:vAlign w:val="center"/>
          </w:tcPr>
          <w:p w:rsidR="00F9496F" w:rsidRPr="004F1B6D" w:rsidRDefault="00274DDC" w:rsidP="00274DD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29</w:t>
            </w:r>
            <w:r w:rsidR="00F9496F" w:rsidRPr="004F1B6D">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p>
        </w:tc>
        <w:tc>
          <w:tcPr>
            <w:tcW w:w="376" w:type="pct"/>
            <w:tcBorders>
              <w:top w:val="single" w:sz="4" w:space="0" w:color="auto"/>
              <w:left w:val="nil"/>
              <w:bottom w:val="single" w:sz="4" w:space="0" w:color="auto"/>
              <w:right w:val="single" w:sz="4" w:space="0" w:color="auto"/>
            </w:tcBorders>
            <w:noWrap/>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7,</w:t>
            </w:r>
            <w:r w:rsidR="00274DDC">
              <w:rPr>
                <w:rFonts w:ascii="Times New Roman" w:eastAsia="Times New Roman" w:hAnsi="Times New Roman" w:cs="Times New Roman"/>
                <w:sz w:val="24"/>
                <w:szCs w:val="24"/>
                <w:lang w:val="ro-RO" w:eastAsia="ru-RU"/>
              </w:rPr>
              <w:t>0</w:t>
            </w:r>
          </w:p>
        </w:tc>
        <w:tc>
          <w:tcPr>
            <w:tcW w:w="520" w:type="pct"/>
            <w:tcBorders>
              <w:top w:val="single" w:sz="4" w:space="0" w:color="auto"/>
              <w:left w:val="single" w:sz="4" w:space="0" w:color="auto"/>
              <w:bottom w:val="single" w:sz="4" w:space="0" w:color="auto"/>
              <w:right w:val="single" w:sz="4" w:space="0" w:color="auto"/>
            </w:tcBorders>
            <w:vAlign w:val="center"/>
          </w:tcPr>
          <w:p w:rsidR="00F9496F" w:rsidRPr="004F1B6D" w:rsidRDefault="00A65639" w:rsidP="00A65639">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28</w:t>
            </w:r>
            <w:r w:rsidR="00F9496F" w:rsidRPr="004F1B6D">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p>
        </w:tc>
        <w:tc>
          <w:tcPr>
            <w:tcW w:w="371" w:type="pct"/>
            <w:tcBorders>
              <w:top w:val="nil"/>
              <w:left w:val="nil"/>
              <w:bottom w:val="single" w:sz="4" w:space="0" w:color="auto"/>
              <w:right w:val="single" w:sz="4" w:space="0" w:color="auto"/>
            </w:tcBorders>
            <w:vAlign w:val="center"/>
          </w:tcPr>
          <w:p w:rsidR="00F9496F" w:rsidRPr="004F1B6D" w:rsidRDefault="00274DDC" w:rsidP="00F9496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sidR="00F9496F" w:rsidRPr="004F1B6D">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8</w:t>
            </w:r>
          </w:p>
        </w:tc>
        <w:tc>
          <w:tcPr>
            <w:tcW w:w="520" w:type="pct"/>
            <w:tcBorders>
              <w:top w:val="nil"/>
              <w:left w:val="nil"/>
              <w:bottom w:val="single" w:sz="4" w:space="0" w:color="auto"/>
              <w:right w:val="single" w:sz="4" w:space="0" w:color="auto"/>
            </w:tcBorders>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2</w:t>
            </w:r>
            <w:r w:rsidR="00274DDC">
              <w:rPr>
                <w:rFonts w:ascii="Times New Roman" w:eastAsia="Times New Roman" w:hAnsi="Times New Roman" w:cs="Times New Roman"/>
                <w:sz w:val="24"/>
                <w:szCs w:val="24"/>
                <w:lang w:val="ro-RO" w:eastAsia="ru-RU"/>
              </w:rPr>
              <w:t>7</w:t>
            </w:r>
            <w:r w:rsidRPr="004F1B6D">
              <w:rPr>
                <w:rFonts w:ascii="Times New Roman" w:eastAsia="Times New Roman" w:hAnsi="Times New Roman" w:cs="Times New Roman"/>
                <w:sz w:val="24"/>
                <w:szCs w:val="24"/>
                <w:lang w:val="ro-RO" w:eastAsia="ru-RU"/>
              </w:rPr>
              <w:t>,</w:t>
            </w:r>
            <w:r w:rsidR="00274DDC">
              <w:rPr>
                <w:rFonts w:ascii="Times New Roman" w:eastAsia="Times New Roman" w:hAnsi="Times New Roman" w:cs="Times New Roman"/>
                <w:sz w:val="24"/>
                <w:szCs w:val="24"/>
                <w:lang w:val="ro-RO" w:eastAsia="ru-RU"/>
              </w:rPr>
              <w:t>0</w:t>
            </w:r>
          </w:p>
        </w:tc>
        <w:tc>
          <w:tcPr>
            <w:tcW w:w="371" w:type="pct"/>
            <w:tcBorders>
              <w:top w:val="nil"/>
              <w:left w:val="nil"/>
              <w:bottom w:val="single" w:sz="4" w:space="0" w:color="auto"/>
              <w:right w:val="single" w:sz="4" w:space="0" w:color="auto"/>
            </w:tcBorders>
            <w:vAlign w:val="center"/>
          </w:tcPr>
          <w:p w:rsidR="00F9496F" w:rsidRPr="004F1B6D" w:rsidRDefault="00F9496F" w:rsidP="00F9496F">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6,6</w:t>
            </w:r>
          </w:p>
        </w:tc>
        <w:tc>
          <w:tcPr>
            <w:tcW w:w="495" w:type="pct"/>
            <w:tcBorders>
              <w:top w:val="nil"/>
              <w:left w:val="nil"/>
              <w:bottom w:val="single" w:sz="4" w:space="0" w:color="auto"/>
              <w:right w:val="single" w:sz="4" w:space="0" w:color="auto"/>
            </w:tcBorders>
            <w:noWrap/>
            <w:vAlign w:val="center"/>
          </w:tcPr>
          <w:p w:rsidR="00F9496F" w:rsidRPr="004F1B6D" w:rsidRDefault="00F9496F" w:rsidP="00F9496F">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26,</w:t>
            </w:r>
            <w:r w:rsidR="00274DDC">
              <w:rPr>
                <w:rFonts w:ascii="Times New Roman" w:eastAsia="Times New Roman" w:hAnsi="Times New Roman" w:cs="Times New Roman"/>
                <w:sz w:val="24"/>
                <w:szCs w:val="24"/>
                <w:lang w:val="ro-RO" w:eastAsia="ru-RU"/>
              </w:rPr>
              <w:t>2</w:t>
            </w:r>
          </w:p>
        </w:tc>
        <w:tc>
          <w:tcPr>
            <w:tcW w:w="395" w:type="pct"/>
            <w:tcBorders>
              <w:top w:val="nil"/>
              <w:left w:val="nil"/>
              <w:bottom w:val="single" w:sz="4" w:space="0" w:color="auto"/>
              <w:right w:val="single" w:sz="4" w:space="0" w:color="auto"/>
            </w:tcBorders>
            <w:noWrap/>
            <w:vAlign w:val="center"/>
          </w:tcPr>
          <w:p w:rsidR="00F9496F" w:rsidRPr="004F1B6D" w:rsidRDefault="00F9496F" w:rsidP="00F9496F">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6,</w:t>
            </w:r>
            <w:r w:rsidR="00274DDC">
              <w:rPr>
                <w:rFonts w:ascii="Times New Roman" w:eastAsia="Times New Roman" w:hAnsi="Times New Roman" w:cs="Times New Roman"/>
                <w:sz w:val="24"/>
                <w:szCs w:val="24"/>
                <w:lang w:val="ro-RO" w:eastAsia="ru-RU"/>
              </w:rPr>
              <w:t>2</w:t>
            </w:r>
          </w:p>
        </w:tc>
        <w:tc>
          <w:tcPr>
            <w:tcW w:w="473" w:type="pct"/>
            <w:tcBorders>
              <w:top w:val="nil"/>
              <w:left w:val="nil"/>
              <w:bottom w:val="single" w:sz="4" w:space="0" w:color="auto"/>
              <w:right w:val="single" w:sz="4" w:space="0" w:color="auto"/>
            </w:tcBorders>
            <w:noWrap/>
            <w:vAlign w:val="center"/>
          </w:tcPr>
          <w:p w:rsidR="00F9496F" w:rsidRPr="004F1B6D" w:rsidRDefault="00F9496F" w:rsidP="00274DDC">
            <w:pPr>
              <w:spacing w:after="0" w:line="240" w:lineRule="auto"/>
              <w:jc w:val="center"/>
              <w:rPr>
                <w:rFonts w:ascii="Times New Roman" w:eastAsia="Times New Roman" w:hAnsi="Times New Roman" w:cs="Times New Roman"/>
                <w:sz w:val="24"/>
                <w:szCs w:val="24"/>
                <w:lang w:val="ro-RO" w:eastAsia="ru-RU"/>
              </w:rPr>
            </w:pPr>
            <w:r w:rsidRPr="004F1B6D">
              <w:rPr>
                <w:rFonts w:ascii="Times New Roman" w:eastAsia="Times New Roman" w:hAnsi="Times New Roman" w:cs="Times New Roman"/>
                <w:sz w:val="24"/>
                <w:szCs w:val="24"/>
                <w:lang w:val="ro-RO" w:eastAsia="ru-RU"/>
              </w:rPr>
              <w:t>2</w:t>
            </w:r>
            <w:r w:rsidR="00274DDC">
              <w:rPr>
                <w:rFonts w:ascii="Times New Roman" w:eastAsia="Times New Roman" w:hAnsi="Times New Roman" w:cs="Times New Roman"/>
                <w:sz w:val="24"/>
                <w:szCs w:val="24"/>
                <w:lang w:val="ro-RO" w:eastAsia="ru-RU"/>
              </w:rPr>
              <w:t>4</w:t>
            </w:r>
            <w:r w:rsidRPr="004F1B6D">
              <w:rPr>
                <w:rFonts w:ascii="Times New Roman" w:eastAsia="Times New Roman" w:hAnsi="Times New Roman" w:cs="Times New Roman"/>
                <w:sz w:val="24"/>
                <w:szCs w:val="24"/>
                <w:lang w:val="ro-RO" w:eastAsia="ru-RU"/>
              </w:rPr>
              <w:t>,</w:t>
            </w:r>
            <w:r w:rsidR="00274DDC">
              <w:rPr>
                <w:rFonts w:ascii="Times New Roman" w:eastAsia="Times New Roman" w:hAnsi="Times New Roman" w:cs="Times New Roman"/>
                <w:sz w:val="24"/>
                <w:szCs w:val="24"/>
                <w:lang w:val="ro-RO" w:eastAsia="ru-RU"/>
              </w:rPr>
              <w:t>8</w:t>
            </w:r>
          </w:p>
        </w:tc>
        <w:tc>
          <w:tcPr>
            <w:tcW w:w="364" w:type="pct"/>
            <w:tcBorders>
              <w:top w:val="nil"/>
              <w:left w:val="nil"/>
              <w:bottom w:val="single" w:sz="4" w:space="0" w:color="auto"/>
              <w:right w:val="single" w:sz="4" w:space="0" w:color="auto"/>
            </w:tcBorders>
            <w:noWrap/>
            <w:vAlign w:val="center"/>
          </w:tcPr>
          <w:p w:rsidR="00F9496F" w:rsidRPr="004F1B6D" w:rsidRDefault="00274DDC" w:rsidP="00F9496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5,8</w:t>
            </w:r>
          </w:p>
        </w:tc>
      </w:tr>
    </w:tbl>
    <w:p w:rsidR="00F9496F" w:rsidRPr="004F1B6D" w:rsidRDefault="00F9496F"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p>
    <w:p w:rsidR="00F9496F" w:rsidRPr="004F1B6D" w:rsidRDefault="00F9496F" w:rsidP="004F1B6D">
      <w:pPr>
        <w:tabs>
          <w:tab w:val="left" w:pos="851"/>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Analizînd structura datoriei de stat în valută se observă:</w:t>
      </w:r>
    </w:p>
    <w:p w:rsidR="00F9496F" w:rsidRPr="00537418" w:rsidRDefault="00F9496F" w:rsidP="005F06AC">
      <w:pPr>
        <w:numPr>
          <w:ilvl w:val="0"/>
          <w:numId w:val="8"/>
        </w:numPr>
        <w:tabs>
          <w:tab w:val="left" w:pos="0"/>
          <w:tab w:val="left" w:pos="720"/>
          <w:tab w:val="left" w:pos="851"/>
          <w:tab w:val="center" w:pos="900"/>
          <w:tab w:val="center" w:pos="1080"/>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 </w:t>
      </w:r>
      <w:r w:rsidRPr="00537418">
        <w:rPr>
          <w:rFonts w:ascii="Times New Roman" w:eastAsia="Times New Roman" w:hAnsi="Times New Roman" w:cs="Times New Roman"/>
          <w:sz w:val="28"/>
          <w:szCs w:val="28"/>
          <w:lang w:val="ro-RO" w:eastAsia="ru-RU"/>
        </w:rPr>
        <w:t xml:space="preserve">circa 50 la sută din volumul datoriei de stat sînt împrumuturile exprimate în coşul valutar drepturi speciale de tragere. Această pondere </w:t>
      </w:r>
      <w:r w:rsidR="00A20CCF">
        <w:rPr>
          <w:rFonts w:ascii="Times New Roman" w:eastAsia="Times New Roman" w:hAnsi="Times New Roman" w:cs="Times New Roman"/>
          <w:sz w:val="28"/>
          <w:szCs w:val="28"/>
          <w:lang w:val="ro-RO" w:eastAsia="ru-RU"/>
        </w:rPr>
        <w:t>se va diminua</w:t>
      </w:r>
      <w:r w:rsidRPr="00537418">
        <w:rPr>
          <w:rFonts w:ascii="Times New Roman" w:eastAsia="Times New Roman" w:hAnsi="Times New Roman" w:cs="Times New Roman"/>
          <w:sz w:val="28"/>
          <w:szCs w:val="28"/>
          <w:lang w:val="ro-RO" w:eastAsia="ru-RU"/>
        </w:rPr>
        <w:t xml:space="preserve"> pe termen mediu</w:t>
      </w:r>
      <w:r w:rsidR="00A20CCF">
        <w:rPr>
          <w:rFonts w:ascii="Times New Roman" w:eastAsia="Times New Roman" w:hAnsi="Times New Roman" w:cs="Times New Roman"/>
          <w:sz w:val="28"/>
          <w:szCs w:val="28"/>
          <w:lang w:val="ro-RO" w:eastAsia="ru-RU"/>
        </w:rPr>
        <w:t>, atingînd valoarea de 46,7% din datoria de stat la finele anului 2016;</w:t>
      </w:r>
    </w:p>
    <w:p w:rsidR="00F9496F" w:rsidRPr="004F1B6D" w:rsidRDefault="00F9496F" w:rsidP="005F06AC">
      <w:pPr>
        <w:numPr>
          <w:ilvl w:val="0"/>
          <w:numId w:val="8"/>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 pe termen mediu ponderea datoriei în lei moldoveneşti se va diminua sub pragul de 30 la sută. Astfel, ponderea datoriei în </w:t>
      </w:r>
      <w:r w:rsidR="00537418">
        <w:rPr>
          <w:rFonts w:ascii="Times New Roman" w:eastAsia="Times New Roman" w:hAnsi="Times New Roman" w:cs="Times New Roman"/>
          <w:sz w:val="28"/>
          <w:szCs w:val="28"/>
          <w:lang w:val="ro-RO" w:eastAsia="ru-RU"/>
        </w:rPr>
        <w:t>lei moldovenești la finele anului 2016</w:t>
      </w:r>
      <w:r w:rsidRPr="004F1B6D">
        <w:rPr>
          <w:rFonts w:ascii="Times New Roman" w:eastAsia="Times New Roman" w:hAnsi="Times New Roman" w:cs="Times New Roman"/>
          <w:sz w:val="28"/>
          <w:szCs w:val="28"/>
          <w:lang w:val="ro-RO" w:eastAsia="ru-RU"/>
        </w:rPr>
        <w:t xml:space="preserve"> va înregistra 2</w:t>
      </w:r>
      <w:r w:rsidR="00537418">
        <w:rPr>
          <w:rFonts w:ascii="Times New Roman" w:eastAsia="Times New Roman" w:hAnsi="Times New Roman" w:cs="Times New Roman"/>
          <w:sz w:val="28"/>
          <w:szCs w:val="28"/>
          <w:lang w:val="ro-RO" w:eastAsia="ru-RU"/>
        </w:rPr>
        <w:t>4</w:t>
      </w:r>
      <w:r w:rsidRPr="004F1B6D">
        <w:rPr>
          <w:rFonts w:ascii="Times New Roman" w:eastAsia="Times New Roman" w:hAnsi="Times New Roman" w:cs="Times New Roman"/>
          <w:sz w:val="28"/>
          <w:szCs w:val="28"/>
          <w:lang w:val="ro-RO" w:eastAsia="ru-RU"/>
        </w:rPr>
        <w:t>,</w:t>
      </w:r>
      <w:r w:rsidR="00537418">
        <w:rPr>
          <w:rFonts w:ascii="Times New Roman" w:eastAsia="Times New Roman" w:hAnsi="Times New Roman" w:cs="Times New Roman"/>
          <w:sz w:val="28"/>
          <w:szCs w:val="28"/>
          <w:lang w:val="ro-RO" w:eastAsia="ru-RU"/>
        </w:rPr>
        <w:t>8</w:t>
      </w:r>
      <w:r w:rsidRPr="004F1B6D">
        <w:rPr>
          <w:rFonts w:ascii="Times New Roman" w:eastAsia="Times New Roman" w:hAnsi="Times New Roman" w:cs="Times New Roman"/>
          <w:sz w:val="28"/>
          <w:szCs w:val="28"/>
          <w:lang w:val="ro-RO" w:eastAsia="ru-RU"/>
        </w:rPr>
        <w:t xml:space="preserve"> la sută;</w:t>
      </w:r>
    </w:p>
    <w:p w:rsidR="00F9496F" w:rsidRPr="004F1B6D" w:rsidRDefault="00F9496F" w:rsidP="00161629">
      <w:pPr>
        <w:numPr>
          <w:ilvl w:val="0"/>
          <w:numId w:val="8"/>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 pe termen mediu ponderea datoriei în dolari SUA va avea o tendinţă descendentă, iar ponderea în euro va înregistra o majorare semnificativă. Astfel, în perioada anilor 201</w:t>
      </w:r>
      <w:r w:rsidR="00A20CCF">
        <w:rPr>
          <w:rFonts w:ascii="Times New Roman" w:eastAsia="Times New Roman" w:hAnsi="Times New Roman" w:cs="Times New Roman"/>
          <w:sz w:val="28"/>
          <w:szCs w:val="28"/>
          <w:lang w:val="ro-RO" w:eastAsia="ru-RU"/>
        </w:rPr>
        <w:t>4</w:t>
      </w:r>
      <w:r w:rsidRPr="004F1B6D">
        <w:rPr>
          <w:rFonts w:ascii="Times New Roman" w:eastAsia="Times New Roman" w:hAnsi="Times New Roman" w:cs="Times New Roman"/>
          <w:sz w:val="28"/>
          <w:szCs w:val="28"/>
          <w:lang w:val="ro-RO" w:eastAsia="ru-RU"/>
        </w:rPr>
        <w:t>-201</w:t>
      </w:r>
      <w:r w:rsidR="00537418">
        <w:rPr>
          <w:rFonts w:ascii="Times New Roman" w:eastAsia="Times New Roman" w:hAnsi="Times New Roman" w:cs="Times New Roman"/>
          <w:sz w:val="28"/>
          <w:szCs w:val="28"/>
          <w:lang w:val="ro-RO" w:eastAsia="ru-RU"/>
        </w:rPr>
        <w:t>6</w:t>
      </w:r>
      <w:r w:rsidRPr="004F1B6D">
        <w:rPr>
          <w:rFonts w:ascii="Times New Roman" w:eastAsia="Times New Roman" w:hAnsi="Times New Roman" w:cs="Times New Roman"/>
          <w:sz w:val="28"/>
          <w:szCs w:val="28"/>
          <w:lang w:val="ro-RO" w:eastAsia="ru-RU"/>
        </w:rPr>
        <w:t xml:space="preserve">, ponderea monedei euro se va majora cu </w:t>
      </w:r>
      <w:r w:rsidR="00A20CCF">
        <w:rPr>
          <w:rFonts w:ascii="Times New Roman" w:eastAsia="Times New Roman" w:hAnsi="Times New Roman" w:cs="Times New Roman"/>
          <w:sz w:val="28"/>
          <w:szCs w:val="28"/>
          <w:lang w:val="ro-RO" w:eastAsia="ru-RU"/>
        </w:rPr>
        <w:t>circa</w:t>
      </w:r>
      <w:r w:rsidRPr="004F1B6D">
        <w:rPr>
          <w:rFonts w:ascii="Times New Roman" w:eastAsia="Times New Roman" w:hAnsi="Times New Roman" w:cs="Times New Roman"/>
          <w:sz w:val="28"/>
          <w:szCs w:val="28"/>
          <w:lang w:val="ro-RO" w:eastAsia="ru-RU"/>
        </w:rPr>
        <w:t xml:space="preserve"> 10 p.p;</w:t>
      </w:r>
    </w:p>
    <w:p w:rsidR="00F9496F" w:rsidRPr="004F1B6D" w:rsidRDefault="00F9496F" w:rsidP="00161629">
      <w:pPr>
        <w:numPr>
          <w:ilvl w:val="0"/>
          <w:numId w:val="8"/>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 odată cu descompunerea coşului valutar drepturi speciale de tragere pe valute componente, ponderea majoră este deţinută de către dolarul SUA şi euro. Astfel, la</w:t>
      </w:r>
      <w:r w:rsidR="00A20CCF">
        <w:rPr>
          <w:rFonts w:ascii="Times New Roman" w:eastAsia="Times New Roman" w:hAnsi="Times New Roman" w:cs="Times New Roman"/>
          <w:sz w:val="28"/>
          <w:szCs w:val="28"/>
          <w:lang w:val="ro-RO" w:eastAsia="ru-RU"/>
        </w:rPr>
        <w:t xml:space="preserve"> situaţia de la</w:t>
      </w:r>
      <w:r w:rsidRPr="004F1B6D">
        <w:rPr>
          <w:rFonts w:ascii="Times New Roman" w:eastAsia="Times New Roman" w:hAnsi="Times New Roman" w:cs="Times New Roman"/>
          <w:sz w:val="28"/>
          <w:szCs w:val="28"/>
          <w:lang w:val="ro-RO" w:eastAsia="ru-RU"/>
        </w:rPr>
        <w:t xml:space="preserve"> sfîrşitul anului 201</w:t>
      </w:r>
      <w:r w:rsidR="00A20CCF">
        <w:rPr>
          <w:rFonts w:ascii="Times New Roman" w:eastAsia="Times New Roman" w:hAnsi="Times New Roman" w:cs="Times New Roman"/>
          <w:sz w:val="28"/>
          <w:szCs w:val="28"/>
          <w:lang w:val="ro-RO" w:eastAsia="ru-RU"/>
        </w:rPr>
        <w:t>3</w:t>
      </w:r>
      <w:r w:rsidRPr="004F1B6D">
        <w:rPr>
          <w:rFonts w:ascii="Times New Roman" w:eastAsia="Times New Roman" w:hAnsi="Times New Roman" w:cs="Times New Roman"/>
          <w:sz w:val="28"/>
          <w:szCs w:val="28"/>
          <w:lang w:val="ro-RO" w:eastAsia="ru-RU"/>
        </w:rPr>
        <w:t xml:space="preserve">, euro </w:t>
      </w:r>
      <w:r w:rsidR="00161629">
        <w:rPr>
          <w:rFonts w:ascii="Times New Roman" w:eastAsia="Times New Roman" w:hAnsi="Times New Roman" w:cs="Times New Roman"/>
          <w:sz w:val="28"/>
          <w:szCs w:val="28"/>
          <w:lang w:val="ro-RO" w:eastAsia="ru-RU"/>
        </w:rPr>
        <w:t>a depăşit</w:t>
      </w:r>
      <w:r w:rsidRPr="004F1B6D">
        <w:rPr>
          <w:rFonts w:ascii="Times New Roman" w:eastAsia="Times New Roman" w:hAnsi="Times New Roman" w:cs="Times New Roman"/>
          <w:sz w:val="28"/>
          <w:szCs w:val="28"/>
          <w:lang w:val="ro-RO" w:eastAsia="ru-RU"/>
        </w:rPr>
        <w:t xml:space="preserve"> </w:t>
      </w:r>
      <w:r w:rsidR="00161629">
        <w:rPr>
          <w:rFonts w:ascii="Times New Roman" w:eastAsia="Times New Roman" w:hAnsi="Times New Roman" w:cs="Times New Roman"/>
          <w:sz w:val="28"/>
          <w:szCs w:val="28"/>
          <w:lang w:val="ro-RO" w:eastAsia="ru-RU"/>
        </w:rPr>
        <w:t xml:space="preserve">ca </w:t>
      </w:r>
      <w:r w:rsidRPr="004F1B6D">
        <w:rPr>
          <w:rFonts w:ascii="Times New Roman" w:eastAsia="Times New Roman" w:hAnsi="Times New Roman" w:cs="Times New Roman"/>
          <w:sz w:val="28"/>
          <w:szCs w:val="28"/>
          <w:lang w:val="ro-RO" w:eastAsia="ru-RU"/>
        </w:rPr>
        <w:t xml:space="preserve">pondere dolarul SUA, </w:t>
      </w:r>
      <w:r w:rsidR="00161629">
        <w:rPr>
          <w:rFonts w:ascii="Times New Roman" w:eastAsia="Times New Roman" w:hAnsi="Times New Roman" w:cs="Times New Roman"/>
          <w:sz w:val="28"/>
          <w:szCs w:val="28"/>
          <w:lang w:val="ro-RO" w:eastAsia="ru-RU"/>
        </w:rPr>
        <w:t>tendinţă care va continua pînă</w:t>
      </w:r>
      <w:r w:rsidRPr="004F1B6D">
        <w:rPr>
          <w:rFonts w:ascii="Times New Roman" w:eastAsia="Times New Roman" w:hAnsi="Times New Roman" w:cs="Times New Roman"/>
          <w:sz w:val="28"/>
          <w:szCs w:val="28"/>
          <w:lang w:val="ro-RO" w:eastAsia="ru-RU"/>
        </w:rPr>
        <w:t xml:space="preserve"> la sfîrşitul anului 201</w:t>
      </w:r>
      <w:r w:rsidR="00537418">
        <w:rPr>
          <w:rFonts w:ascii="Times New Roman" w:eastAsia="Times New Roman" w:hAnsi="Times New Roman" w:cs="Times New Roman"/>
          <w:sz w:val="28"/>
          <w:szCs w:val="28"/>
          <w:lang w:val="ro-RO" w:eastAsia="ru-RU"/>
        </w:rPr>
        <w:t>6</w:t>
      </w:r>
      <w:r w:rsidRPr="004F1B6D">
        <w:rPr>
          <w:rFonts w:ascii="Times New Roman" w:eastAsia="Times New Roman" w:hAnsi="Times New Roman" w:cs="Times New Roman"/>
          <w:sz w:val="28"/>
          <w:szCs w:val="28"/>
          <w:lang w:val="ro-RO" w:eastAsia="ru-RU"/>
        </w:rPr>
        <w:t>, astfel încît cea mai mare expunere devine faţă de moneda euro. Această tendinţă se datorează majorării surselor de finanţare din partea creditorilor multilaterali din spaţiul european pe parcursul anilor 201</w:t>
      </w:r>
      <w:r w:rsidR="00537418">
        <w:rPr>
          <w:rFonts w:ascii="Times New Roman" w:eastAsia="Times New Roman" w:hAnsi="Times New Roman" w:cs="Times New Roman"/>
          <w:sz w:val="28"/>
          <w:szCs w:val="28"/>
          <w:lang w:val="ro-RO" w:eastAsia="ru-RU"/>
        </w:rPr>
        <w:t>4</w:t>
      </w:r>
      <w:r w:rsidRPr="004F1B6D">
        <w:rPr>
          <w:rFonts w:ascii="Times New Roman" w:eastAsia="Times New Roman" w:hAnsi="Times New Roman" w:cs="Times New Roman"/>
          <w:sz w:val="28"/>
          <w:szCs w:val="28"/>
          <w:lang w:val="ro-RO" w:eastAsia="ru-RU"/>
        </w:rPr>
        <w:t>-201</w:t>
      </w:r>
      <w:r w:rsidR="00537418">
        <w:rPr>
          <w:rFonts w:ascii="Times New Roman" w:eastAsia="Times New Roman" w:hAnsi="Times New Roman" w:cs="Times New Roman"/>
          <w:sz w:val="28"/>
          <w:szCs w:val="28"/>
          <w:lang w:val="ro-RO" w:eastAsia="ru-RU"/>
        </w:rPr>
        <w:t>6</w:t>
      </w:r>
      <w:r w:rsidRPr="004F1B6D">
        <w:rPr>
          <w:rFonts w:ascii="Times New Roman" w:eastAsia="Times New Roman" w:hAnsi="Times New Roman" w:cs="Times New Roman"/>
          <w:sz w:val="28"/>
          <w:szCs w:val="28"/>
          <w:lang w:val="ro-RO" w:eastAsia="ru-RU"/>
        </w:rPr>
        <w:t>.</w:t>
      </w:r>
    </w:p>
    <w:tbl>
      <w:tblPr>
        <w:tblW w:w="0" w:type="auto"/>
        <w:tblBorders>
          <w:top w:val="single" w:sz="8" w:space="0" w:color="4F81BD"/>
          <w:bottom w:val="single" w:sz="8" w:space="0" w:color="4F81BD"/>
        </w:tblBorders>
        <w:tblLook w:val="00A0"/>
      </w:tblPr>
      <w:tblGrid>
        <w:gridCol w:w="9570"/>
      </w:tblGrid>
      <w:tr w:rsidR="00F9496F" w:rsidRPr="004F1B6D" w:rsidTr="00F9496F">
        <w:tc>
          <w:tcPr>
            <w:tcW w:w="9570" w:type="dxa"/>
            <w:tcBorders>
              <w:top w:val="double" w:sz="4" w:space="0" w:color="365F91"/>
              <w:left w:val="double" w:sz="4" w:space="0" w:color="365F91"/>
              <w:bottom w:val="double" w:sz="4" w:space="0" w:color="365F91"/>
              <w:right w:val="double" w:sz="4" w:space="0" w:color="365F91"/>
            </w:tcBorders>
          </w:tcPr>
          <w:p w:rsidR="00F9496F" w:rsidRPr="004F1B6D" w:rsidRDefault="00F9496F" w:rsidP="00A20CCF">
            <w:pPr>
              <w:tabs>
                <w:tab w:val="left" w:pos="540"/>
              </w:tabs>
              <w:spacing w:after="0" w:line="240" w:lineRule="auto"/>
              <w:jc w:val="both"/>
              <w:rPr>
                <w:rFonts w:ascii="Times New Roman" w:eastAsia="Times New Roman" w:hAnsi="Times New Roman" w:cs="Times New Roman"/>
                <w:b/>
                <w:bCs/>
                <w:color w:val="365F91"/>
                <w:sz w:val="28"/>
                <w:szCs w:val="28"/>
                <w:lang w:val="ro-RO" w:eastAsia="ru-RU"/>
              </w:rPr>
            </w:pPr>
            <w:r w:rsidRPr="006146CE">
              <w:rPr>
                <w:rFonts w:ascii="Times New Roman" w:eastAsia="Times New Roman" w:hAnsi="Times New Roman" w:cs="Times New Roman"/>
                <w:b/>
                <w:bCs/>
                <w:noProof/>
                <w:color w:val="365F91"/>
                <w:sz w:val="28"/>
                <w:szCs w:val="28"/>
                <w:lang w:val="ro-RO" w:eastAsia="ru-RU"/>
              </w:rPr>
              <w:t xml:space="preserve"> </w:t>
            </w:r>
            <w:r w:rsidR="00A20CCF" w:rsidRPr="00A20CCF">
              <w:rPr>
                <w:rFonts w:ascii="Times New Roman" w:eastAsia="Times New Roman" w:hAnsi="Times New Roman" w:cs="Times New Roman"/>
                <w:b/>
                <w:bCs/>
                <w:noProof/>
                <w:color w:val="365F91"/>
                <w:sz w:val="28"/>
                <w:szCs w:val="28"/>
              </w:rPr>
              <w:drawing>
                <wp:inline distT="0" distB="0" distL="0" distR="0">
                  <wp:extent cx="2870421" cy="1664821"/>
                  <wp:effectExtent l="19050" t="0" r="6129"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2873643" cy="1666690"/>
                          </a:xfrm>
                          <a:prstGeom prst="rect">
                            <a:avLst/>
                          </a:prstGeom>
                          <a:noFill/>
                        </pic:spPr>
                      </pic:pic>
                    </a:graphicData>
                  </a:graphic>
                </wp:inline>
              </w:drawing>
            </w:r>
            <w:r w:rsidR="00A20CCF">
              <w:rPr>
                <w:rFonts w:ascii="Times New Roman" w:eastAsia="Times New Roman" w:hAnsi="Times New Roman" w:cs="Times New Roman"/>
                <w:b/>
                <w:bCs/>
                <w:noProof/>
                <w:color w:val="365F91"/>
                <w:sz w:val="28"/>
                <w:szCs w:val="28"/>
              </w:rPr>
              <w:t xml:space="preserve"> </w:t>
            </w:r>
            <w:r w:rsidR="00A20CCF">
              <w:rPr>
                <w:rFonts w:ascii="Times New Roman" w:eastAsia="Times New Roman" w:hAnsi="Times New Roman" w:cs="Times New Roman"/>
                <w:b/>
                <w:bCs/>
                <w:noProof/>
                <w:color w:val="365F91"/>
                <w:sz w:val="28"/>
                <w:szCs w:val="28"/>
              </w:rPr>
              <w:drawing>
                <wp:inline distT="0" distB="0" distL="0" distR="0">
                  <wp:extent cx="2786421" cy="1669774"/>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srcRect/>
                          <a:stretch>
                            <a:fillRect/>
                          </a:stretch>
                        </pic:blipFill>
                        <pic:spPr bwMode="auto">
                          <a:xfrm>
                            <a:off x="0" y="0"/>
                            <a:ext cx="2791029" cy="1672535"/>
                          </a:xfrm>
                          <a:prstGeom prst="rect">
                            <a:avLst/>
                          </a:prstGeom>
                          <a:noFill/>
                        </pic:spPr>
                      </pic:pic>
                    </a:graphicData>
                  </a:graphic>
                </wp:inline>
              </w:drawing>
            </w:r>
            <w:r w:rsidR="006146CE">
              <w:rPr>
                <w:rFonts w:ascii="Times New Roman" w:eastAsia="Times New Roman" w:hAnsi="Times New Roman" w:cs="Times New Roman"/>
                <w:b/>
                <w:bCs/>
                <w:noProof/>
                <w:color w:val="365F91"/>
                <w:sz w:val="28"/>
                <w:szCs w:val="28"/>
                <w:lang w:val="ro-RO" w:eastAsia="ru-RU"/>
              </w:rPr>
              <w:t xml:space="preserve"> </w:t>
            </w:r>
            <w:r w:rsidRPr="004F1B6D">
              <w:rPr>
                <w:rFonts w:ascii="Times New Roman" w:eastAsia="Times New Roman" w:hAnsi="Times New Roman" w:cs="Times New Roman"/>
                <w:b/>
                <w:bCs/>
                <w:noProof/>
                <w:color w:val="365F91"/>
                <w:sz w:val="28"/>
                <w:szCs w:val="28"/>
                <w:lang w:val="ro-RO" w:eastAsia="ru-RU"/>
              </w:rPr>
              <w:t xml:space="preserve">          </w:t>
            </w:r>
          </w:p>
        </w:tc>
      </w:tr>
    </w:tbl>
    <w:p w:rsidR="00F9496F" w:rsidRPr="004F1B6D" w:rsidRDefault="00F9496F" w:rsidP="00F9496F">
      <w:pPr>
        <w:spacing w:after="0" w:line="240" w:lineRule="auto"/>
        <w:ind w:firstLine="600"/>
        <w:jc w:val="both"/>
        <w:rPr>
          <w:rFonts w:ascii="Times New Roman" w:eastAsia="Times New Roman" w:hAnsi="Times New Roman" w:cs="Times New Roman"/>
          <w:b/>
          <w:sz w:val="28"/>
          <w:szCs w:val="28"/>
          <w:lang w:val="ro-RO" w:eastAsia="ru-RU"/>
        </w:rPr>
      </w:pPr>
    </w:p>
    <w:p w:rsidR="00F9496F" w:rsidRPr="004F1B6D" w:rsidRDefault="00F9496F" w:rsidP="00F9496F">
      <w:pPr>
        <w:spacing w:after="0" w:line="240" w:lineRule="auto"/>
        <w:ind w:firstLine="709"/>
        <w:jc w:val="both"/>
        <w:rPr>
          <w:rFonts w:ascii="Times New Roman" w:eastAsia="Times New Roman" w:hAnsi="Times New Roman" w:cs="Times New Roman"/>
          <w:b/>
          <w:sz w:val="28"/>
          <w:szCs w:val="28"/>
          <w:lang w:val="ro-RO" w:eastAsia="ru-RU"/>
        </w:rPr>
      </w:pPr>
      <w:r w:rsidRPr="004F1B6D">
        <w:rPr>
          <w:rFonts w:ascii="Times New Roman" w:eastAsia="Times New Roman" w:hAnsi="Times New Roman" w:cs="Times New Roman"/>
          <w:b/>
          <w:sz w:val="28"/>
          <w:szCs w:val="28"/>
          <w:lang w:val="ro-RO" w:eastAsia="ru-RU"/>
        </w:rPr>
        <w:t>3. Riscul ratei de dobîndă</w:t>
      </w:r>
    </w:p>
    <w:p w:rsidR="00F9496F" w:rsidRPr="004F1B6D" w:rsidRDefault="00F9496F" w:rsidP="00F9496F">
      <w:pPr>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Riscul ratei de dobîndă se determină prin expunerea portofoliului datoriei de stat faţă de modificările ratelor de dobîndă pe piaţă </w:t>
      </w:r>
      <w:r w:rsidR="00537418">
        <w:rPr>
          <w:rFonts w:ascii="Times New Roman" w:eastAsia="Times New Roman" w:hAnsi="Times New Roman" w:cs="Times New Roman"/>
          <w:sz w:val="28"/>
          <w:szCs w:val="28"/>
          <w:lang w:val="ro-RO" w:eastAsia="ru-RU"/>
        </w:rPr>
        <w:t>internă</w:t>
      </w:r>
      <w:r w:rsidRPr="004F1B6D">
        <w:rPr>
          <w:rFonts w:ascii="Times New Roman" w:eastAsia="Times New Roman" w:hAnsi="Times New Roman" w:cs="Times New Roman"/>
          <w:sz w:val="28"/>
          <w:szCs w:val="28"/>
          <w:lang w:val="ro-RO" w:eastAsia="ru-RU"/>
        </w:rPr>
        <w:t xml:space="preserve"> şi cea internaţională. Identificarea şi gestionarea acestui risc este importantă deoarece acesta este determinat în mare măsură de factori externi, care sînt în permanentă fluctuaţie, ceea ce face prognozarea pe termen mediu şi lung a evoluţiei ratelor de dobîndă destul de dificilă.</w:t>
      </w:r>
    </w:p>
    <w:p w:rsidR="00F9496F" w:rsidRDefault="00F9496F" w:rsidP="00F9496F">
      <w:pPr>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Variaţiile ratelor de dobîndă pe pieţele interne şi cele internaţionale afectează costurile aferente datoriei de stat, în special cînd datoria cu rata fixă a dobînzii urmează a fi refinanţată sau cînd dobînda este refixată la condiţiile pieţei în cazul datoriei cu rata flotantă. Astfel, este evidentă legătura strînsă dintre riscul ratei de dobîndă şi riscul de refinanţare.</w:t>
      </w:r>
    </w:p>
    <w:p w:rsidR="00A65639" w:rsidRPr="002501D1" w:rsidRDefault="00A65639" w:rsidP="00A65639">
      <w:pPr>
        <w:pStyle w:val="ListParagraph"/>
        <w:ind w:left="0" w:firstLine="709"/>
        <w:jc w:val="both"/>
        <w:rPr>
          <w:sz w:val="28"/>
          <w:szCs w:val="28"/>
        </w:rPr>
      </w:pPr>
      <w:r>
        <w:rPr>
          <w:sz w:val="28"/>
          <w:szCs w:val="28"/>
        </w:rPr>
        <w:t>Pe termen mediu poate fi analizat următorul indicator al riscului ratei de dobîndă:</w:t>
      </w:r>
    </w:p>
    <w:p w:rsidR="00A65639" w:rsidRPr="00A65639" w:rsidRDefault="00A65639" w:rsidP="00F9496F">
      <w:pPr>
        <w:spacing w:after="0" w:line="240" w:lineRule="auto"/>
        <w:ind w:firstLine="709"/>
        <w:jc w:val="both"/>
        <w:rPr>
          <w:rFonts w:ascii="Times New Roman" w:eastAsia="Times New Roman" w:hAnsi="Times New Roman" w:cs="Times New Roman"/>
          <w:b/>
          <w:sz w:val="28"/>
          <w:szCs w:val="28"/>
          <w:lang w:val="ro-RO" w:eastAsia="ru-RU"/>
        </w:rPr>
      </w:pPr>
      <w:r w:rsidRPr="00A65639">
        <w:rPr>
          <w:rFonts w:ascii="Times New Roman" w:eastAsia="Times New Roman" w:hAnsi="Times New Roman" w:cs="Times New Roman"/>
          <w:b/>
          <w:sz w:val="28"/>
          <w:szCs w:val="28"/>
          <w:lang w:val="ro-RO" w:eastAsia="ru-RU"/>
        </w:rPr>
        <w:t>Ponderea datoriei de stat cu rata dobînzii fixă în total datorie de stat</w:t>
      </w:r>
    </w:p>
    <w:p w:rsidR="00F9496F" w:rsidRPr="004F1B6D" w:rsidRDefault="00F9496F"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Analizînd structura datoriei de stat externe</w:t>
      </w:r>
      <w:r w:rsidRPr="004F1B6D">
        <w:rPr>
          <w:rFonts w:ascii="Times New Roman" w:eastAsia="Times New Roman" w:hAnsi="Times New Roman" w:cs="Times New Roman"/>
          <w:i/>
          <w:sz w:val="28"/>
          <w:szCs w:val="28"/>
          <w:lang w:val="ro-RO" w:eastAsia="ru-RU"/>
        </w:rPr>
        <w:t xml:space="preserve"> </w:t>
      </w:r>
      <w:r w:rsidRPr="004F1B6D">
        <w:rPr>
          <w:rFonts w:ascii="Times New Roman" w:eastAsia="Times New Roman" w:hAnsi="Times New Roman" w:cs="Times New Roman"/>
          <w:sz w:val="28"/>
          <w:szCs w:val="28"/>
          <w:lang w:val="ro-RO" w:eastAsia="ru-RU"/>
        </w:rPr>
        <w:t xml:space="preserve">pe tipuri de rată a dobînzii, se constată un risc relativ redus, întrucît la sfîrşitul anului </w:t>
      </w:r>
      <w:r w:rsidRPr="00975E4A">
        <w:rPr>
          <w:rFonts w:ascii="Times New Roman" w:eastAsia="Times New Roman" w:hAnsi="Times New Roman" w:cs="Times New Roman"/>
          <w:sz w:val="28"/>
          <w:szCs w:val="28"/>
          <w:lang w:val="ro-RO" w:eastAsia="ru-RU"/>
        </w:rPr>
        <w:t>201</w:t>
      </w:r>
      <w:r w:rsidR="00975E4A" w:rsidRPr="00975E4A">
        <w:rPr>
          <w:rFonts w:ascii="Times New Roman" w:eastAsia="Times New Roman" w:hAnsi="Times New Roman" w:cs="Times New Roman"/>
          <w:sz w:val="28"/>
          <w:szCs w:val="28"/>
          <w:lang w:val="ro-RO" w:eastAsia="ru-RU"/>
        </w:rPr>
        <w:t>3</w:t>
      </w:r>
      <w:r w:rsidR="00975E4A">
        <w:rPr>
          <w:rFonts w:ascii="Times New Roman" w:eastAsia="Times New Roman" w:hAnsi="Times New Roman" w:cs="Times New Roman"/>
          <w:sz w:val="28"/>
          <w:szCs w:val="28"/>
          <w:lang w:val="ro-RO" w:eastAsia="ru-RU"/>
        </w:rPr>
        <w:t>,</w:t>
      </w:r>
      <w:r w:rsidRPr="004F1B6D">
        <w:rPr>
          <w:rFonts w:ascii="Times New Roman" w:eastAsia="Times New Roman" w:hAnsi="Times New Roman" w:cs="Times New Roman"/>
          <w:sz w:val="28"/>
          <w:szCs w:val="28"/>
          <w:lang w:val="ro-RO" w:eastAsia="ru-RU"/>
        </w:rPr>
        <w:t xml:space="preserve"> </w:t>
      </w:r>
      <w:r w:rsidR="00975E4A">
        <w:rPr>
          <w:rFonts w:ascii="Times New Roman" w:eastAsia="Times New Roman" w:hAnsi="Times New Roman" w:cs="Times New Roman"/>
          <w:sz w:val="28"/>
          <w:szCs w:val="28"/>
          <w:lang w:val="ro-RO" w:eastAsia="ru-RU"/>
        </w:rPr>
        <w:t>27,8%</w:t>
      </w:r>
      <w:r w:rsidRPr="004F1B6D">
        <w:rPr>
          <w:rFonts w:ascii="Times New Roman" w:eastAsia="Times New Roman" w:hAnsi="Times New Roman" w:cs="Times New Roman"/>
          <w:sz w:val="28"/>
          <w:szCs w:val="28"/>
          <w:lang w:val="ro-RO" w:eastAsia="ru-RU"/>
        </w:rPr>
        <w:t xml:space="preserve"> din datoria de stat externă era cu rata dobînzii flotantă. Pe termen mediu nu se prevăd modificări semnificative în structura datoriei de stat externe pe tipuri de rată a dobînzii. </w:t>
      </w:r>
    </w:p>
    <w:p w:rsidR="00F9496F" w:rsidRPr="004F1B6D" w:rsidRDefault="00F9496F"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În ceea ce priveşte datoria de stat internă, peste 90 la sută din aceasta </w:t>
      </w:r>
      <w:r w:rsidR="00537418">
        <w:rPr>
          <w:rFonts w:ascii="Times New Roman" w:eastAsia="Times New Roman" w:hAnsi="Times New Roman" w:cs="Times New Roman"/>
          <w:sz w:val="28"/>
          <w:szCs w:val="28"/>
          <w:lang w:val="ro-RO" w:eastAsia="ru-RU"/>
        </w:rPr>
        <w:t>este expusă riscului ratei de dobîndă</w:t>
      </w:r>
      <w:r w:rsidRPr="004F1B6D">
        <w:rPr>
          <w:rFonts w:ascii="Times New Roman" w:eastAsia="Times New Roman" w:hAnsi="Times New Roman" w:cs="Times New Roman"/>
          <w:sz w:val="28"/>
          <w:szCs w:val="28"/>
          <w:lang w:val="ro-RO" w:eastAsia="ru-RU"/>
        </w:rPr>
        <w:t xml:space="preserve">, din cauza instrumentelor de datorie preponderent pe termen de pînă la un an, precum şi a instrumentelor cu maturitatea mai mare de un an cu rata dobînzii flotantă. </w:t>
      </w:r>
    </w:p>
    <w:p w:rsidR="00F9496F" w:rsidRPr="004F1B6D" w:rsidRDefault="00F9496F"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904510">
        <w:rPr>
          <w:rFonts w:ascii="Times New Roman" w:eastAsia="Times New Roman" w:hAnsi="Times New Roman" w:cs="Times New Roman"/>
          <w:sz w:val="28"/>
          <w:szCs w:val="28"/>
          <w:lang w:val="ro-RO" w:eastAsia="ru-RU"/>
        </w:rPr>
        <w:t xml:space="preserve">Riscul ratei de dobîndă asociat datoriei de stat totale, reieşind din structura pe tipuri de rată a dobînzii, urmează a se diminua pe termen mediu. Astfel, ponderea datoriei de stat cu rata dobînzii flotantă se va diminua de la </w:t>
      </w:r>
      <w:r w:rsidR="008B2355" w:rsidRPr="00904510">
        <w:rPr>
          <w:rFonts w:ascii="Times New Roman" w:eastAsia="Times New Roman" w:hAnsi="Times New Roman" w:cs="Times New Roman"/>
          <w:sz w:val="28"/>
          <w:szCs w:val="28"/>
          <w:lang w:val="ro-RO" w:eastAsia="ru-RU"/>
        </w:rPr>
        <w:t>46</w:t>
      </w:r>
      <w:r w:rsidRPr="00904510">
        <w:rPr>
          <w:rFonts w:ascii="Times New Roman" w:eastAsia="Times New Roman" w:hAnsi="Times New Roman" w:cs="Times New Roman"/>
          <w:sz w:val="28"/>
          <w:szCs w:val="28"/>
          <w:lang w:val="ro-RO" w:eastAsia="ru-RU"/>
        </w:rPr>
        <w:t>,</w:t>
      </w:r>
      <w:r w:rsidR="00975E4A" w:rsidRPr="00904510">
        <w:rPr>
          <w:rFonts w:ascii="Times New Roman" w:eastAsia="Times New Roman" w:hAnsi="Times New Roman" w:cs="Times New Roman"/>
          <w:sz w:val="28"/>
          <w:szCs w:val="28"/>
          <w:lang w:val="ro-RO" w:eastAsia="ru-RU"/>
        </w:rPr>
        <w:t>0</w:t>
      </w:r>
      <w:r w:rsidRPr="00904510">
        <w:rPr>
          <w:rFonts w:ascii="Times New Roman" w:eastAsia="Times New Roman" w:hAnsi="Times New Roman" w:cs="Times New Roman"/>
          <w:sz w:val="28"/>
          <w:szCs w:val="28"/>
          <w:lang w:val="ro-RO" w:eastAsia="ru-RU"/>
        </w:rPr>
        <w:t>% la sfîrşitul anului 201</w:t>
      </w:r>
      <w:r w:rsidR="00975E4A" w:rsidRPr="00904510">
        <w:rPr>
          <w:rFonts w:ascii="Times New Roman" w:eastAsia="Times New Roman" w:hAnsi="Times New Roman" w:cs="Times New Roman"/>
          <w:sz w:val="28"/>
          <w:szCs w:val="28"/>
          <w:lang w:val="ro-RO" w:eastAsia="ru-RU"/>
        </w:rPr>
        <w:t>4</w:t>
      </w:r>
      <w:r w:rsidRPr="00904510">
        <w:rPr>
          <w:rFonts w:ascii="Times New Roman" w:eastAsia="Times New Roman" w:hAnsi="Times New Roman" w:cs="Times New Roman"/>
          <w:sz w:val="28"/>
          <w:szCs w:val="28"/>
          <w:lang w:val="ro-RO" w:eastAsia="ru-RU"/>
        </w:rPr>
        <w:t xml:space="preserve"> pînă la 4</w:t>
      </w:r>
      <w:r w:rsidR="008B2355" w:rsidRPr="00904510">
        <w:rPr>
          <w:rFonts w:ascii="Times New Roman" w:eastAsia="Times New Roman" w:hAnsi="Times New Roman" w:cs="Times New Roman"/>
          <w:sz w:val="28"/>
          <w:szCs w:val="28"/>
          <w:lang w:val="ro-RO" w:eastAsia="ru-RU"/>
        </w:rPr>
        <w:t>4</w:t>
      </w:r>
      <w:r w:rsidRPr="00904510">
        <w:rPr>
          <w:rFonts w:ascii="Times New Roman" w:eastAsia="Times New Roman" w:hAnsi="Times New Roman" w:cs="Times New Roman"/>
          <w:sz w:val="28"/>
          <w:szCs w:val="28"/>
          <w:lang w:val="ro-RO" w:eastAsia="ru-RU"/>
        </w:rPr>
        <w:t>,</w:t>
      </w:r>
      <w:r w:rsidR="008B2355" w:rsidRPr="00904510">
        <w:rPr>
          <w:rFonts w:ascii="Times New Roman" w:eastAsia="Times New Roman" w:hAnsi="Times New Roman" w:cs="Times New Roman"/>
          <w:sz w:val="28"/>
          <w:szCs w:val="28"/>
          <w:lang w:val="ro-RO" w:eastAsia="ru-RU"/>
        </w:rPr>
        <w:t>8</w:t>
      </w:r>
      <w:r w:rsidRPr="00904510">
        <w:rPr>
          <w:rFonts w:ascii="Times New Roman" w:eastAsia="Times New Roman" w:hAnsi="Times New Roman" w:cs="Times New Roman"/>
          <w:sz w:val="28"/>
          <w:szCs w:val="28"/>
          <w:lang w:val="ro-RO" w:eastAsia="ru-RU"/>
        </w:rPr>
        <w:t>% la s</w:t>
      </w:r>
      <w:r w:rsidR="00904510" w:rsidRPr="00904510">
        <w:rPr>
          <w:rFonts w:ascii="Times New Roman" w:eastAsia="Times New Roman" w:hAnsi="Times New Roman" w:cs="Times New Roman"/>
          <w:sz w:val="28"/>
          <w:szCs w:val="28"/>
          <w:lang w:val="ro-RO" w:eastAsia="ru-RU"/>
        </w:rPr>
        <w:t>f</w:t>
      </w:r>
      <w:r w:rsidRPr="00904510">
        <w:rPr>
          <w:rFonts w:ascii="Times New Roman" w:eastAsia="Times New Roman" w:hAnsi="Times New Roman" w:cs="Times New Roman"/>
          <w:sz w:val="28"/>
          <w:szCs w:val="28"/>
          <w:lang w:val="ro-RO" w:eastAsia="ru-RU"/>
        </w:rPr>
        <w:t>îrşitul anului 201</w:t>
      </w:r>
      <w:r w:rsidR="00537418" w:rsidRPr="00904510">
        <w:rPr>
          <w:rFonts w:ascii="Times New Roman" w:eastAsia="Times New Roman" w:hAnsi="Times New Roman" w:cs="Times New Roman"/>
          <w:sz w:val="28"/>
          <w:szCs w:val="28"/>
          <w:lang w:val="ro-RO" w:eastAsia="ru-RU"/>
        </w:rPr>
        <w:t>6</w:t>
      </w:r>
      <w:r w:rsidRPr="00904510">
        <w:rPr>
          <w:rFonts w:ascii="Times New Roman" w:eastAsia="Times New Roman" w:hAnsi="Times New Roman" w:cs="Times New Roman"/>
          <w:sz w:val="28"/>
          <w:szCs w:val="28"/>
          <w:lang w:val="ro-RO" w:eastAsia="ru-RU"/>
        </w:rPr>
        <w:t>.</w:t>
      </w:r>
      <w:r w:rsidRPr="004F1B6D">
        <w:rPr>
          <w:rFonts w:ascii="Times New Roman" w:eastAsia="Times New Roman" w:hAnsi="Times New Roman" w:cs="Times New Roman"/>
          <w:sz w:val="28"/>
          <w:szCs w:val="28"/>
          <w:lang w:val="ro-RO" w:eastAsia="ru-RU"/>
        </w:rPr>
        <w:t xml:space="preserve"> </w:t>
      </w:r>
    </w:p>
    <w:tbl>
      <w:tblPr>
        <w:tblW w:w="0" w:type="auto"/>
        <w:tblInd w:w="108" w:type="dxa"/>
        <w:tblBorders>
          <w:top w:val="single" w:sz="8" w:space="0" w:color="4F81BD"/>
          <w:bottom w:val="single" w:sz="8" w:space="0" w:color="4F81BD"/>
        </w:tblBorders>
        <w:tblLook w:val="00A0"/>
      </w:tblPr>
      <w:tblGrid>
        <w:gridCol w:w="9356"/>
      </w:tblGrid>
      <w:tr w:rsidR="00F9496F" w:rsidRPr="004F1B6D" w:rsidTr="008B2355">
        <w:trPr>
          <w:trHeight w:val="2262"/>
        </w:trPr>
        <w:tc>
          <w:tcPr>
            <w:tcW w:w="9356" w:type="dxa"/>
            <w:tcBorders>
              <w:top w:val="double" w:sz="4" w:space="0" w:color="365F91"/>
              <w:left w:val="double" w:sz="4" w:space="0" w:color="365F91"/>
              <w:bottom w:val="double" w:sz="4" w:space="0" w:color="365F91"/>
              <w:right w:val="double" w:sz="4" w:space="0" w:color="365F91"/>
            </w:tcBorders>
          </w:tcPr>
          <w:p w:rsidR="00F9496F" w:rsidRPr="004F1B6D" w:rsidRDefault="008B2355" w:rsidP="00975E4A">
            <w:pPr>
              <w:tabs>
                <w:tab w:val="left" w:pos="540"/>
              </w:tabs>
              <w:spacing w:after="0" w:line="240" w:lineRule="auto"/>
              <w:jc w:val="both"/>
              <w:rPr>
                <w:rFonts w:ascii="Times New Roman" w:eastAsia="Times New Roman" w:hAnsi="Times New Roman" w:cs="Times New Roman"/>
                <w:b/>
                <w:bCs/>
                <w:color w:val="365F91"/>
                <w:sz w:val="28"/>
                <w:szCs w:val="28"/>
                <w:lang w:val="ro-RO" w:eastAsia="ru-RU"/>
              </w:rPr>
            </w:pPr>
            <w:r w:rsidRPr="00975E4A">
              <w:rPr>
                <w:rFonts w:ascii="Times New Roman" w:eastAsia="Times New Roman" w:hAnsi="Times New Roman" w:cs="Times New Roman"/>
                <w:b/>
                <w:noProof/>
                <w:color w:val="365F91"/>
                <w:sz w:val="28"/>
                <w:szCs w:val="28"/>
              </w:rPr>
              <w:drawing>
                <wp:inline distT="0" distB="0" distL="0" distR="0">
                  <wp:extent cx="1849888" cy="1531089"/>
                  <wp:effectExtent l="19050" t="0" r="0" b="0"/>
                  <wp:docPr id="1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srcRect/>
                          <a:stretch>
                            <a:fillRect/>
                          </a:stretch>
                        </pic:blipFill>
                        <pic:spPr bwMode="auto">
                          <a:xfrm>
                            <a:off x="0" y="0"/>
                            <a:ext cx="1854200" cy="1534658"/>
                          </a:xfrm>
                          <a:prstGeom prst="rect">
                            <a:avLst/>
                          </a:prstGeom>
                          <a:noFill/>
                        </pic:spPr>
                      </pic:pic>
                    </a:graphicData>
                  </a:graphic>
                </wp:inline>
              </w:drawing>
            </w:r>
            <w:r w:rsidRPr="00975E4A">
              <w:rPr>
                <w:rFonts w:ascii="Times New Roman" w:eastAsia="Times New Roman" w:hAnsi="Times New Roman" w:cs="Times New Roman"/>
                <w:b/>
                <w:noProof/>
                <w:color w:val="365F91"/>
                <w:sz w:val="28"/>
                <w:szCs w:val="28"/>
              </w:rPr>
              <w:t xml:space="preserve">  </w:t>
            </w:r>
            <w:r w:rsidR="00975E4A" w:rsidRPr="00975E4A">
              <w:rPr>
                <w:rFonts w:ascii="Times New Roman" w:eastAsia="Times New Roman" w:hAnsi="Times New Roman" w:cs="Times New Roman"/>
                <w:b/>
                <w:noProof/>
                <w:color w:val="365F91"/>
                <w:sz w:val="28"/>
                <w:szCs w:val="28"/>
              </w:rPr>
              <w:drawing>
                <wp:inline distT="0" distB="0" distL="0" distR="0">
                  <wp:extent cx="1803811" cy="1531089"/>
                  <wp:effectExtent l="19050" t="0" r="5939"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srcRect/>
                          <a:stretch>
                            <a:fillRect/>
                          </a:stretch>
                        </pic:blipFill>
                        <pic:spPr bwMode="auto">
                          <a:xfrm>
                            <a:off x="0" y="0"/>
                            <a:ext cx="1808254" cy="1534860"/>
                          </a:xfrm>
                          <a:prstGeom prst="rect">
                            <a:avLst/>
                          </a:prstGeom>
                          <a:noFill/>
                        </pic:spPr>
                      </pic:pic>
                    </a:graphicData>
                  </a:graphic>
                </wp:inline>
              </w:drawing>
            </w:r>
            <w:r w:rsidRPr="00975E4A">
              <w:rPr>
                <w:rFonts w:ascii="Times New Roman" w:eastAsia="Times New Roman" w:hAnsi="Times New Roman" w:cs="Times New Roman"/>
                <w:b/>
                <w:noProof/>
                <w:color w:val="365F91"/>
                <w:sz w:val="28"/>
                <w:szCs w:val="28"/>
              </w:rPr>
              <w:t xml:space="preserve"> </w:t>
            </w:r>
            <w:r w:rsidR="00F9496F" w:rsidRPr="00975E4A">
              <w:rPr>
                <w:rFonts w:ascii="Times New Roman" w:eastAsia="Times New Roman" w:hAnsi="Times New Roman" w:cs="Times New Roman"/>
                <w:b/>
                <w:bCs/>
                <w:noProof/>
                <w:color w:val="365F91"/>
                <w:sz w:val="28"/>
                <w:szCs w:val="28"/>
                <w:lang w:val="ro-RO" w:eastAsia="ru-RU"/>
              </w:rPr>
              <w:t xml:space="preserve"> </w:t>
            </w:r>
            <w:r w:rsidR="00975E4A" w:rsidRPr="00975E4A">
              <w:rPr>
                <w:rFonts w:ascii="Times New Roman" w:eastAsia="Times New Roman" w:hAnsi="Times New Roman" w:cs="Times New Roman"/>
                <w:b/>
                <w:bCs/>
                <w:noProof/>
                <w:color w:val="365F91"/>
                <w:sz w:val="28"/>
                <w:szCs w:val="28"/>
              </w:rPr>
              <w:drawing>
                <wp:inline distT="0" distB="0" distL="0" distR="0">
                  <wp:extent cx="1852280" cy="1534076"/>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srcRect/>
                          <a:stretch>
                            <a:fillRect/>
                          </a:stretch>
                        </pic:blipFill>
                        <pic:spPr bwMode="auto">
                          <a:xfrm>
                            <a:off x="0" y="0"/>
                            <a:ext cx="1857880" cy="1538714"/>
                          </a:xfrm>
                          <a:prstGeom prst="rect">
                            <a:avLst/>
                          </a:prstGeom>
                          <a:noFill/>
                        </pic:spPr>
                      </pic:pic>
                    </a:graphicData>
                  </a:graphic>
                </wp:inline>
              </w:drawing>
            </w:r>
            <w:r w:rsidR="00F9496F" w:rsidRPr="004F1B6D">
              <w:rPr>
                <w:rFonts w:ascii="Times New Roman" w:eastAsia="Times New Roman" w:hAnsi="Times New Roman" w:cs="Times New Roman"/>
                <w:b/>
                <w:bCs/>
                <w:noProof/>
                <w:color w:val="365F91"/>
                <w:sz w:val="28"/>
                <w:szCs w:val="28"/>
                <w:lang w:val="ro-RO" w:eastAsia="ru-RU"/>
              </w:rPr>
              <w:t xml:space="preserve">                </w:t>
            </w:r>
          </w:p>
        </w:tc>
      </w:tr>
    </w:tbl>
    <w:p w:rsidR="0076623C" w:rsidRPr="004F1B6D" w:rsidRDefault="00F9496F" w:rsidP="0076623C">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Împrumuturile de stat atrase din exterior sînt la rate flotante, preponderent USD Libor</w:t>
      </w:r>
      <w:r w:rsidR="00537418">
        <w:rPr>
          <w:rFonts w:ascii="Times New Roman" w:eastAsia="Times New Roman" w:hAnsi="Times New Roman" w:cs="Times New Roman"/>
          <w:sz w:val="28"/>
          <w:szCs w:val="28"/>
          <w:lang w:val="ro-RO" w:eastAsia="ru-RU"/>
        </w:rPr>
        <w:t xml:space="preserve"> pe 6 luni</w:t>
      </w:r>
      <w:r w:rsidRPr="004F1B6D">
        <w:rPr>
          <w:rFonts w:ascii="Times New Roman" w:eastAsia="Times New Roman" w:hAnsi="Times New Roman" w:cs="Times New Roman"/>
          <w:sz w:val="28"/>
          <w:szCs w:val="28"/>
          <w:lang w:val="ro-RO" w:eastAsia="ru-RU"/>
        </w:rPr>
        <w:t xml:space="preserve"> şi Euribor pe 6 luni. </w:t>
      </w:r>
      <w:r w:rsidR="0076623C">
        <w:rPr>
          <w:rFonts w:ascii="Times New Roman" w:eastAsia="Times New Roman" w:hAnsi="Times New Roman" w:cs="Times New Roman"/>
          <w:sz w:val="28"/>
          <w:szCs w:val="28"/>
          <w:lang w:val="ro-RO" w:eastAsia="ru-RU"/>
        </w:rPr>
        <w:t>P</w:t>
      </w:r>
      <w:r w:rsidR="0076623C" w:rsidRPr="00445627">
        <w:rPr>
          <w:rFonts w:ascii="Times New Roman" w:eastAsia="Times New Roman" w:hAnsi="Times New Roman" w:cs="Times New Roman"/>
          <w:sz w:val="28"/>
          <w:szCs w:val="28"/>
          <w:lang w:val="ro-RO" w:eastAsia="ru-RU"/>
        </w:rPr>
        <w:t>e parcrsul anului 2013, rata Euribor nu a avut o tendință stabilă, înregistrînd atît fluctuații ascendente,</w:t>
      </w:r>
      <w:r w:rsidR="0076623C">
        <w:rPr>
          <w:rFonts w:ascii="Times New Roman" w:eastAsia="Times New Roman" w:hAnsi="Times New Roman" w:cs="Times New Roman"/>
          <w:sz w:val="28"/>
          <w:szCs w:val="28"/>
          <w:lang w:val="ro-RO" w:eastAsia="ru-RU"/>
        </w:rPr>
        <w:t xml:space="preserve"> cît și descendente, iar </w:t>
      </w:r>
      <w:r w:rsidR="0076623C" w:rsidRPr="00445627">
        <w:rPr>
          <w:rFonts w:ascii="Times New Roman" w:eastAsia="Times New Roman" w:hAnsi="Times New Roman" w:cs="Times New Roman"/>
          <w:sz w:val="28"/>
          <w:szCs w:val="28"/>
          <w:lang w:val="ro-RO" w:eastAsia="ru-RU"/>
        </w:rPr>
        <w:t>rata USD Libor a avut o tendinţă descendentă stabilă.</w:t>
      </w:r>
    </w:p>
    <w:p w:rsidR="0076623C" w:rsidRPr="004F1B6D" w:rsidRDefault="00F9496F" w:rsidP="00F9496F">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Pe piaţa internă, rata de dobîndă la valorile mobiliare de stat emise pe piaţa primară, depinde de rata de bază stabilită de către Banca Naţională a Moldovei. Astfel, pe parcursul anului 201</w:t>
      </w:r>
      <w:r w:rsidR="0076623C">
        <w:rPr>
          <w:rFonts w:ascii="Times New Roman" w:eastAsia="Times New Roman" w:hAnsi="Times New Roman" w:cs="Times New Roman"/>
          <w:sz w:val="28"/>
          <w:szCs w:val="28"/>
          <w:lang w:val="ro-RO" w:eastAsia="ru-RU"/>
        </w:rPr>
        <w:t>3</w:t>
      </w:r>
      <w:r w:rsidRPr="004F1B6D">
        <w:rPr>
          <w:rFonts w:ascii="Times New Roman" w:eastAsia="Times New Roman" w:hAnsi="Times New Roman" w:cs="Times New Roman"/>
          <w:sz w:val="28"/>
          <w:szCs w:val="28"/>
          <w:lang w:val="ro-RO" w:eastAsia="ru-RU"/>
        </w:rPr>
        <w:t xml:space="preserve">, </w:t>
      </w:r>
      <w:r w:rsidRPr="004F1B6D">
        <w:rPr>
          <w:rFonts w:ascii="Times New Roman" w:eastAsia="Times New Roman" w:hAnsi="Times New Roman" w:cs="Times New Roman"/>
          <w:bCs/>
          <w:iCs/>
          <w:sz w:val="28"/>
          <w:szCs w:val="28"/>
          <w:lang w:val="ro-RO" w:eastAsia="ru-RU"/>
        </w:rPr>
        <w:t>rata de bază</w:t>
      </w:r>
      <w:r w:rsidRPr="004F1B6D">
        <w:rPr>
          <w:rFonts w:ascii="Times New Roman" w:eastAsia="Times New Roman" w:hAnsi="Times New Roman" w:cs="Times New Roman"/>
          <w:b/>
          <w:bCs/>
          <w:i/>
          <w:iCs/>
          <w:sz w:val="28"/>
          <w:szCs w:val="28"/>
          <w:lang w:val="ro-RO" w:eastAsia="ru-RU"/>
        </w:rPr>
        <w:t xml:space="preserve"> </w:t>
      </w:r>
      <w:r w:rsidRPr="004F1B6D">
        <w:rPr>
          <w:rFonts w:ascii="Times New Roman" w:eastAsia="Times New Roman" w:hAnsi="Times New Roman" w:cs="Times New Roman"/>
          <w:sz w:val="28"/>
          <w:szCs w:val="28"/>
          <w:lang w:val="ro-RO" w:eastAsia="ru-RU"/>
        </w:rPr>
        <w:t xml:space="preserve">a fost </w:t>
      </w:r>
      <w:r w:rsidR="0076623C">
        <w:rPr>
          <w:rFonts w:ascii="Times New Roman" w:eastAsia="Times New Roman" w:hAnsi="Times New Roman" w:cs="Times New Roman"/>
          <w:sz w:val="28"/>
          <w:szCs w:val="28"/>
          <w:lang w:val="ro-RO" w:eastAsia="ru-RU"/>
        </w:rPr>
        <w:t xml:space="preserve">modificată o singură dată în </w:t>
      </w:r>
      <w:r w:rsidR="008E2331">
        <w:rPr>
          <w:rFonts w:ascii="Times New Roman" w:eastAsia="Times New Roman" w:hAnsi="Times New Roman" w:cs="Times New Roman"/>
          <w:sz w:val="28"/>
          <w:szCs w:val="28"/>
          <w:lang w:val="ro-RO" w:eastAsia="ru-RU"/>
        </w:rPr>
        <w:t xml:space="preserve">luna </w:t>
      </w:r>
      <w:r w:rsidR="0076623C">
        <w:rPr>
          <w:rFonts w:ascii="Times New Roman" w:eastAsia="Times New Roman" w:hAnsi="Times New Roman" w:cs="Times New Roman"/>
          <w:sz w:val="28"/>
          <w:szCs w:val="28"/>
          <w:lang w:val="ro-RO" w:eastAsia="ru-RU"/>
        </w:rPr>
        <w:t>aprilie de la 4,5 la sută anual la 3,5 la sută anual</w:t>
      </w:r>
      <w:r w:rsidR="008E2331">
        <w:rPr>
          <w:rFonts w:ascii="Times New Roman" w:eastAsia="Times New Roman" w:hAnsi="Times New Roman" w:cs="Times New Roman"/>
          <w:sz w:val="28"/>
          <w:szCs w:val="28"/>
          <w:lang w:val="ro-RO" w:eastAsia="ru-RU"/>
        </w:rPr>
        <w:t xml:space="preserve">. Ulterior aceasta a fost </w:t>
      </w:r>
      <w:r w:rsidRPr="004F1B6D">
        <w:rPr>
          <w:rFonts w:ascii="Times New Roman" w:eastAsia="Times New Roman" w:hAnsi="Times New Roman" w:cs="Times New Roman"/>
          <w:sz w:val="28"/>
          <w:szCs w:val="28"/>
          <w:lang w:val="ro-RO" w:eastAsia="ru-RU"/>
        </w:rPr>
        <w:t xml:space="preserve">menţinută constantă la nivelul de </w:t>
      </w:r>
      <w:r w:rsidR="0076623C">
        <w:rPr>
          <w:rFonts w:ascii="Times New Roman" w:eastAsia="Times New Roman" w:hAnsi="Times New Roman" w:cs="Times New Roman"/>
          <w:sz w:val="28"/>
          <w:szCs w:val="28"/>
          <w:lang w:val="ro-RO" w:eastAsia="ru-RU"/>
        </w:rPr>
        <w:t>3</w:t>
      </w:r>
      <w:r w:rsidRPr="004F1B6D">
        <w:rPr>
          <w:rFonts w:ascii="Times New Roman" w:eastAsia="Times New Roman" w:hAnsi="Times New Roman" w:cs="Times New Roman"/>
          <w:sz w:val="28"/>
          <w:szCs w:val="28"/>
          <w:lang w:val="ro-RO" w:eastAsia="ru-RU"/>
        </w:rPr>
        <w:t>,</w:t>
      </w:r>
      <w:r w:rsidR="0076623C">
        <w:rPr>
          <w:rFonts w:ascii="Times New Roman" w:eastAsia="Times New Roman" w:hAnsi="Times New Roman" w:cs="Times New Roman"/>
          <w:sz w:val="28"/>
          <w:szCs w:val="28"/>
          <w:lang w:val="ro-RO" w:eastAsia="ru-RU"/>
        </w:rPr>
        <w:t>5</w:t>
      </w:r>
      <w:r w:rsidRPr="004F1B6D">
        <w:rPr>
          <w:rFonts w:ascii="Times New Roman" w:eastAsia="Times New Roman" w:hAnsi="Times New Roman" w:cs="Times New Roman"/>
          <w:sz w:val="28"/>
          <w:szCs w:val="28"/>
          <w:lang w:val="ro-RO" w:eastAsia="ru-RU"/>
        </w:rPr>
        <w:t xml:space="preserve"> p.p. </w:t>
      </w:r>
      <w:r w:rsidR="008E2331">
        <w:rPr>
          <w:rFonts w:ascii="Times New Roman" w:eastAsia="Times New Roman" w:hAnsi="Times New Roman" w:cs="Times New Roman"/>
          <w:sz w:val="28"/>
          <w:szCs w:val="28"/>
          <w:lang w:val="ro-RO" w:eastAsia="ru-RU"/>
        </w:rPr>
        <w:t>p</w:t>
      </w:r>
      <w:r w:rsidR="00904510">
        <w:rPr>
          <w:rFonts w:ascii="Times New Roman" w:eastAsia="Times New Roman" w:hAnsi="Times New Roman" w:cs="Times New Roman"/>
          <w:sz w:val="28"/>
          <w:szCs w:val="28"/>
          <w:lang w:val="ro-RO" w:eastAsia="ru-RU"/>
        </w:rPr>
        <w:t>î</w:t>
      </w:r>
      <w:r w:rsidR="008E2331">
        <w:rPr>
          <w:rFonts w:ascii="Times New Roman" w:eastAsia="Times New Roman" w:hAnsi="Times New Roman" w:cs="Times New Roman"/>
          <w:sz w:val="28"/>
          <w:szCs w:val="28"/>
          <w:lang w:val="ro-RO" w:eastAsia="ru-RU"/>
        </w:rPr>
        <w:t>n</w:t>
      </w:r>
      <w:r w:rsidR="00904510">
        <w:rPr>
          <w:rFonts w:ascii="Times New Roman" w:eastAsia="Times New Roman" w:hAnsi="Times New Roman" w:cs="Times New Roman"/>
          <w:sz w:val="28"/>
          <w:szCs w:val="28"/>
          <w:lang w:val="ro-RO" w:eastAsia="ru-RU"/>
        </w:rPr>
        <w:t>ă</w:t>
      </w:r>
      <w:r w:rsidR="008E2331">
        <w:rPr>
          <w:rFonts w:ascii="Times New Roman" w:eastAsia="Times New Roman" w:hAnsi="Times New Roman" w:cs="Times New Roman"/>
          <w:sz w:val="28"/>
          <w:szCs w:val="28"/>
          <w:lang w:val="ro-RO" w:eastAsia="ru-RU"/>
        </w:rPr>
        <w:t xml:space="preserve"> la sfîrșitul anului 2013</w:t>
      </w:r>
      <w:r w:rsidRPr="004F1B6D">
        <w:rPr>
          <w:rFonts w:ascii="Times New Roman" w:eastAsia="Times New Roman" w:hAnsi="Times New Roman" w:cs="Times New Roman"/>
          <w:sz w:val="28"/>
          <w:szCs w:val="28"/>
          <w:lang w:val="ro-RO" w:eastAsia="ru-RU"/>
        </w:rPr>
        <w:t>.</w:t>
      </w:r>
    </w:p>
    <w:p w:rsidR="00F9496F" w:rsidRPr="004F1B6D" w:rsidRDefault="00F9496F" w:rsidP="00F9496F">
      <w:pPr>
        <w:spacing w:after="0" w:line="240" w:lineRule="auto"/>
        <w:ind w:firstLine="709"/>
        <w:jc w:val="both"/>
        <w:rPr>
          <w:rFonts w:ascii="Times New Roman" w:eastAsia="Times New Roman" w:hAnsi="Times New Roman" w:cs="Times New Roman"/>
          <w:b/>
          <w:sz w:val="28"/>
          <w:szCs w:val="28"/>
          <w:lang w:val="ro-RO" w:eastAsia="ru-RU"/>
        </w:rPr>
      </w:pPr>
      <w:r w:rsidRPr="004F1B6D">
        <w:rPr>
          <w:rFonts w:ascii="Times New Roman" w:eastAsia="Times New Roman" w:hAnsi="Times New Roman" w:cs="Times New Roman"/>
          <w:b/>
          <w:sz w:val="28"/>
          <w:szCs w:val="28"/>
          <w:lang w:val="ro-RO" w:eastAsia="ru-RU"/>
        </w:rPr>
        <w:t xml:space="preserve">4. Riscul operaţional </w:t>
      </w:r>
    </w:p>
    <w:p w:rsidR="008E2331" w:rsidRPr="008E2331" w:rsidRDefault="008E2331" w:rsidP="008E2331">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8E2331">
        <w:rPr>
          <w:rFonts w:ascii="Times New Roman" w:eastAsia="Times New Roman" w:hAnsi="Times New Roman" w:cs="Times New Roman"/>
          <w:sz w:val="28"/>
          <w:szCs w:val="28"/>
          <w:lang w:val="ro-RO" w:eastAsia="ru-RU"/>
        </w:rPr>
        <w:t>În contextul prezentului document, riscul operaţional se identifică prin activităţi ce ţin de procesarea şi înregistrarea a datelor</w:t>
      </w:r>
      <w:r>
        <w:rPr>
          <w:rFonts w:ascii="Times New Roman" w:eastAsia="Times New Roman" w:hAnsi="Times New Roman" w:cs="Times New Roman"/>
          <w:sz w:val="28"/>
          <w:szCs w:val="28"/>
          <w:lang w:val="ro-RO" w:eastAsia="ru-RU"/>
        </w:rPr>
        <w:t xml:space="preserve"> aferente datoriei de stat</w:t>
      </w:r>
      <w:r w:rsidRPr="008E2331">
        <w:rPr>
          <w:rFonts w:ascii="Times New Roman" w:eastAsia="Times New Roman" w:hAnsi="Times New Roman" w:cs="Times New Roman"/>
          <w:sz w:val="28"/>
          <w:szCs w:val="28"/>
          <w:lang w:val="ro-RO" w:eastAsia="ru-RU"/>
        </w:rPr>
        <w:t>. De asemenea, riscul operaţional se referă la aspecte precum procesele şi sistemele informaţionale de ţinere a evidenţei datoriei de stat.</w:t>
      </w:r>
    </w:p>
    <w:p w:rsidR="008E2331" w:rsidRPr="008E2331" w:rsidRDefault="008E2331" w:rsidP="008E2331">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8E2331">
        <w:rPr>
          <w:rFonts w:ascii="Times New Roman" w:eastAsia="Times New Roman" w:hAnsi="Times New Roman" w:cs="Times New Roman"/>
          <w:sz w:val="28"/>
          <w:szCs w:val="28"/>
          <w:lang w:val="ro-RO" w:eastAsia="ru-RU"/>
        </w:rPr>
        <w:t>Urmare a elaborării Registrului Riscurilor pentru obiectivele de bază, în cadrul Direcţiei Generale Datorii Publice au fost identificate măsuri de control pentru fiecare risc potenţial ce ar putea afecta procesele operaţionale la nivel de subdiviziune şi pune în pericol veridicitatea datelor cu privire la datoria de stat.</w:t>
      </w:r>
    </w:p>
    <w:p w:rsidR="008E2331" w:rsidRPr="008E2331" w:rsidRDefault="008E2331" w:rsidP="008E2331">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8E2331">
        <w:rPr>
          <w:rFonts w:ascii="Times New Roman" w:eastAsia="Times New Roman" w:hAnsi="Times New Roman" w:cs="Times New Roman"/>
          <w:sz w:val="28"/>
          <w:szCs w:val="28"/>
          <w:lang w:val="ro-RO" w:eastAsia="ru-RU"/>
        </w:rPr>
        <w:t>Totodată, în scopul minimizării impactului riscului fluctuaţiei colaboratorilor dar şi a persoanelor cheie, au fost elaborate pe parcursul anului descrieri grafice şi narative ale principalelor procese ce definesc activitatea subdiviziunii responsabile de managementul datoriei de stat.</w:t>
      </w:r>
    </w:p>
    <w:p w:rsidR="00F9496F" w:rsidRPr="004F1B6D" w:rsidRDefault="00F9496F" w:rsidP="00F9496F">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p>
    <w:p w:rsidR="00F9496F" w:rsidRPr="004F1B6D" w:rsidRDefault="00F9496F" w:rsidP="00F9496F">
      <w:pPr>
        <w:keepNext/>
        <w:spacing w:after="0" w:line="240" w:lineRule="auto"/>
        <w:ind w:firstLine="709"/>
        <w:jc w:val="both"/>
        <w:outlineLvl w:val="1"/>
        <w:rPr>
          <w:rFonts w:ascii="Times New Roman" w:eastAsia="Times New Roman" w:hAnsi="Times New Roman" w:cs="Times New Roman"/>
          <w:b/>
          <w:bCs/>
          <w:iCs/>
          <w:sz w:val="28"/>
          <w:szCs w:val="28"/>
          <w:lang w:val="ro-RO" w:eastAsia="ru-RU"/>
        </w:rPr>
      </w:pPr>
      <w:bookmarkStart w:id="22" w:name="_Toc346609572"/>
      <w:r w:rsidRPr="004F1B6D">
        <w:rPr>
          <w:rFonts w:ascii="Times New Roman" w:eastAsia="Times New Roman" w:hAnsi="Times New Roman" w:cs="Times New Roman"/>
          <w:b/>
          <w:bCs/>
          <w:iCs/>
          <w:sz w:val="28"/>
          <w:szCs w:val="28"/>
          <w:lang w:val="ro-RO" w:eastAsia="ru-RU"/>
        </w:rPr>
        <w:t>Secţiunea 2. Constrîngerile care pot afecta implementarea managementului datoriei de stat pe termen mediu</w:t>
      </w:r>
      <w:bookmarkEnd w:id="22"/>
    </w:p>
    <w:p w:rsidR="00F9496F" w:rsidRPr="004F1B6D" w:rsidRDefault="00F9496F" w:rsidP="00F9496F">
      <w:pPr>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La acest compartiment se referă factorii care ar putea afecta implementarea </w:t>
      </w:r>
      <w:r w:rsidR="00292121">
        <w:rPr>
          <w:rFonts w:ascii="Times New Roman" w:eastAsia="Times New Roman" w:hAnsi="Times New Roman" w:cs="Times New Roman"/>
          <w:sz w:val="28"/>
          <w:szCs w:val="28"/>
          <w:lang w:val="ro-RO" w:eastAsia="ru-RU"/>
        </w:rPr>
        <w:t xml:space="preserve">obiectivelor și acțiunilor aferente </w:t>
      </w:r>
      <w:r w:rsidRPr="004F1B6D">
        <w:rPr>
          <w:rFonts w:ascii="Times New Roman" w:eastAsia="Times New Roman" w:hAnsi="Times New Roman" w:cs="Times New Roman"/>
          <w:sz w:val="28"/>
          <w:szCs w:val="28"/>
          <w:lang w:val="ro-RO" w:eastAsia="ru-RU"/>
        </w:rPr>
        <w:t>managementului datoriei de stat pe termen mediu, inclusiv prognozele stabilite:</w:t>
      </w:r>
    </w:p>
    <w:p w:rsidR="00F9496F" w:rsidRPr="004F1B6D" w:rsidRDefault="00F9496F" w:rsidP="005F06AC">
      <w:pPr>
        <w:numPr>
          <w:ilvl w:val="0"/>
          <w:numId w:val="12"/>
        </w:numPr>
        <w:tabs>
          <w:tab w:val="left" w:pos="0"/>
          <w:tab w:val="left" w:pos="900"/>
          <w:tab w:val="left" w:pos="1080"/>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 xml:space="preserve">factorii macroeconomici – reflectă </w:t>
      </w:r>
      <w:r w:rsidR="00C174DC">
        <w:rPr>
          <w:rFonts w:ascii="Times New Roman" w:eastAsia="Times New Roman" w:hAnsi="Times New Roman" w:cs="Times New Roman"/>
          <w:sz w:val="28"/>
          <w:szCs w:val="28"/>
          <w:lang w:val="ro-RO" w:eastAsia="ru-RU"/>
        </w:rPr>
        <w:t>modificările</w:t>
      </w:r>
      <w:r w:rsidRPr="004F1B6D">
        <w:rPr>
          <w:rFonts w:ascii="Times New Roman" w:eastAsia="Times New Roman" w:hAnsi="Times New Roman" w:cs="Times New Roman"/>
          <w:sz w:val="28"/>
          <w:szCs w:val="28"/>
          <w:lang w:val="ro-RO" w:eastAsia="ru-RU"/>
        </w:rPr>
        <w:t xml:space="preserve"> </w:t>
      </w:r>
      <w:r w:rsidR="00C174DC">
        <w:rPr>
          <w:rFonts w:ascii="Times New Roman" w:eastAsia="Times New Roman" w:hAnsi="Times New Roman" w:cs="Times New Roman"/>
          <w:sz w:val="28"/>
          <w:szCs w:val="28"/>
          <w:lang w:val="ro-RO" w:eastAsia="ru-RU"/>
        </w:rPr>
        <w:t>indicatorilor</w:t>
      </w:r>
      <w:r w:rsidRPr="004F1B6D">
        <w:rPr>
          <w:rFonts w:ascii="Times New Roman" w:eastAsia="Times New Roman" w:hAnsi="Times New Roman" w:cs="Times New Roman"/>
          <w:sz w:val="28"/>
          <w:szCs w:val="28"/>
          <w:lang w:val="ro-RO" w:eastAsia="ru-RU"/>
        </w:rPr>
        <w:t xml:space="preserve"> economici care au servit drept bază pentru </w:t>
      </w:r>
      <w:r w:rsidR="00C174DC">
        <w:rPr>
          <w:rFonts w:ascii="Times New Roman" w:eastAsia="Times New Roman" w:hAnsi="Times New Roman" w:cs="Times New Roman"/>
          <w:sz w:val="28"/>
          <w:szCs w:val="28"/>
          <w:lang w:val="ro-RO" w:eastAsia="ru-RU"/>
        </w:rPr>
        <w:t>elaborarea</w:t>
      </w:r>
      <w:r w:rsidRPr="004F1B6D">
        <w:rPr>
          <w:rFonts w:ascii="Times New Roman" w:eastAsia="Times New Roman" w:hAnsi="Times New Roman" w:cs="Times New Roman"/>
          <w:sz w:val="28"/>
          <w:szCs w:val="28"/>
          <w:lang w:val="ro-RO" w:eastAsia="ru-RU"/>
        </w:rPr>
        <w:t xml:space="preserve"> prognozelor</w:t>
      </w:r>
      <w:r w:rsidR="00C174DC">
        <w:rPr>
          <w:rFonts w:ascii="Times New Roman" w:eastAsia="Times New Roman" w:hAnsi="Times New Roman" w:cs="Times New Roman"/>
          <w:sz w:val="28"/>
          <w:szCs w:val="28"/>
          <w:lang w:val="ro-RO" w:eastAsia="ru-RU"/>
        </w:rPr>
        <w:t xml:space="preserve"> pe termen mediu</w:t>
      </w:r>
      <w:r w:rsidRPr="004F1B6D">
        <w:rPr>
          <w:rFonts w:ascii="Times New Roman" w:eastAsia="Times New Roman" w:hAnsi="Times New Roman" w:cs="Times New Roman"/>
          <w:sz w:val="28"/>
          <w:szCs w:val="28"/>
          <w:lang w:val="ro-RO" w:eastAsia="ru-RU"/>
        </w:rPr>
        <w:t xml:space="preserve">. În special, aceştia vizează: </w:t>
      </w:r>
    </w:p>
    <w:p w:rsidR="00292121" w:rsidRDefault="00D26339" w:rsidP="005F06AC">
      <w:pPr>
        <w:numPr>
          <w:ilvl w:val="0"/>
          <w:numId w:val="4"/>
        </w:numPr>
        <w:tabs>
          <w:tab w:val="left" w:pos="1080"/>
          <w:tab w:val="left" w:pos="1560"/>
        </w:tabs>
        <w:spacing w:after="0" w:line="240" w:lineRule="auto"/>
        <w:ind w:hanging="485"/>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încetinirea creşterii</w:t>
      </w:r>
      <w:r w:rsidR="00292121" w:rsidRPr="004F1B6D">
        <w:rPr>
          <w:rFonts w:ascii="Times New Roman" w:eastAsia="Times New Roman" w:hAnsi="Times New Roman" w:cs="Times New Roman"/>
          <w:sz w:val="28"/>
          <w:szCs w:val="28"/>
          <w:lang w:val="ro-RO" w:eastAsia="ru-RU"/>
        </w:rPr>
        <w:t xml:space="preserve"> economic</w:t>
      </w:r>
      <w:r>
        <w:rPr>
          <w:rFonts w:ascii="Times New Roman" w:eastAsia="Times New Roman" w:hAnsi="Times New Roman" w:cs="Times New Roman"/>
          <w:sz w:val="28"/>
          <w:szCs w:val="28"/>
          <w:lang w:val="ro-RO" w:eastAsia="ru-RU"/>
        </w:rPr>
        <w:t>e</w:t>
      </w:r>
      <w:r w:rsidR="00292121">
        <w:rPr>
          <w:rFonts w:ascii="Times New Roman" w:eastAsia="Times New Roman" w:hAnsi="Times New Roman" w:cs="Times New Roman"/>
          <w:sz w:val="28"/>
          <w:szCs w:val="28"/>
          <w:lang w:val="ro-RO" w:eastAsia="ru-RU"/>
        </w:rPr>
        <w:t>;</w:t>
      </w:r>
    </w:p>
    <w:p w:rsidR="00C174DC" w:rsidRDefault="00C174DC" w:rsidP="005F06AC">
      <w:pPr>
        <w:numPr>
          <w:ilvl w:val="0"/>
          <w:numId w:val="4"/>
        </w:numPr>
        <w:tabs>
          <w:tab w:val="left" w:pos="1080"/>
          <w:tab w:val="left" w:pos="1560"/>
        </w:tabs>
        <w:spacing w:after="0" w:line="240" w:lineRule="auto"/>
        <w:ind w:hanging="485"/>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dinamica</w:t>
      </w:r>
      <w:r>
        <w:rPr>
          <w:rFonts w:ascii="Times New Roman" w:eastAsia="Times New Roman" w:hAnsi="Times New Roman" w:cs="Times New Roman"/>
          <w:sz w:val="28"/>
          <w:szCs w:val="28"/>
          <w:lang w:val="ro-RO" w:eastAsia="ru-RU"/>
        </w:rPr>
        <w:t xml:space="preserve"> ratei</w:t>
      </w:r>
      <w:r w:rsidRPr="004F1B6D">
        <w:rPr>
          <w:rFonts w:ascii="Times New Roman" w:eastAsia="Times New Roman" w:hAnsi="Times New Roman" w:cs="Times New Roman"/>
          <w:sz w:val="28"/>
          <w:szCs w:val="28"/>
          <w:lang w:val="ro-RO" w:eastAsia="ru-RU"/>
        </w:rPr>
        <w:t xml:space="preserve"> inflaţiei</w:t>
      </w:r>
      <w:r>
        <w:rPr>
          <w:rFonts w:ascii="Times New Roman" w:eastAsia="Times New Roman" w:hAnsi="Times New Roman" w:cs="Times New Roman"/>
          <w:sz w:val="28"/>
          <w:szCs w:val="28"/>
          <w:lang w:val="ro-RO" w:eastAsia="ru-RU"/>
        </w:rPr>
        <w:t>;</w:t>
      </w:r>
    </w:p>
    <w:p w:rsidR="00F9496F" w:rsidRPr="004F1B6D" w:rsidRDefault="00F9496F" w:rsidP="005F06AC">
      <w:pPr>
        <w:numPr>
          <w:ilvl w:val="0"/>
          <w:numId w:val="4"/>
        </w:numPr>
        <w:tabs>
          <w:tab w:val="left" w:pos="1080"/>
          <w:tab w:val="left" w:pos="1560"/>
        </w:tabs>
        <w:spacing w:after="0" w:line="240" w:lineRule="auto"/>
        <w:ind w:hanging="485"/>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fluctuaţia cursului de schimb al monedei naţionale;</w:t>
      </w:r>
    </w:p>
    <w:p w:rsidR="00F9496F" w:rsidRPr="004F1B6D" w:rsidRDefault="00C174DC" w:rsidP="005F06AC">
      <w:pPr>
        <w:numPr>
          <w:ilvl w:val="0"/>
          <w:numId w:val="4"/>
        </w:numPr>
        <w:tabs>
          <w:tab w:val="left" w:pos="1080"/>
          <w:tab w:val="left" w:pos="1560"/>
        </w:tabs>
        <w:spacing w:after="0" w:line="240" w:lineRule="auto"/>
        <w:ind w:hanging="485"/>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fluctuația ratelor de dobîndă pe piața internă;</w:t>
      </w:r>
    </w:p>
    <w:p w:rsidR="00F9496F" w:rsidRPr="00C174DC" w:rsidRDefault="00F9496F" w:rsidP="00C174DC">
      <w:pPr>
        <w:numPr>
          <w:ilvl w:val="0"/>
          <w:numId w:val="4"/>
        </w:numPr>
        <w:tabs>
          <w:tab w:val="left" w:pos="1080"/>
          <w:tab w:val="left" w:pos="1560"/>
        </w:tabs>
        <w:spacing w:after="0" w:line="240" w:lineRule="auto"/>
        <w:ind w:hanging="485"/>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reformele structurale</w:t>
      </w:r>
      <w:r w:rsidR="00C174DC">
        <w:rPr>
          <w:rFonts w:ascii="Times New Roman" w:eastAsia="Times New Roman" w:hAnsi="Times New Roman" w:cs="Times New Roman"/>
          <w:sz w:val="28"/>
          <w:szCs w:val="28"/>
          <w:lang w:val="ro-RO" w:eastAsia="ru-RU"/>
        </w:rPr>
        <w:t>.</w:t>
      </w:r>
    </w:p>
    <w:p w:rsidR="00F9496F" w:rsidRPr="004F1B6D" w:rsidRDefault="00F9496F" w:rsidP="005F06AC">
      <w:pPr>
        <w:numPr>
          <w:ilvl w:val="0"/>
          <w:numId w:val="12"/>
        </w:numPr>
        <w:tabs>
          <w:tab w:val="left" w:pos="900"/>
          <w:tab w:val="left" w:pos="1080"/>
        </w:tabs>
        <w:spacing w:after="0" w:line="240" w:lineRule="auto"/>
        <w:ind w:hanging="547"/>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modificări ale politicii monetare;</w:t>
      </w:r>
    </w:p>
    <w:p w:rsidR="00F9496F" w:rsidRPr="004F1B6D" w:rsidRDefault="00F9496F" w:rsidP="005F06AC">
      <w:pPr>
        <w:numPr>
          <w:ilvl w:val="0"/>
          <w:numId w:val="12"/>
        </w:numPr>
        <w:tabs>
          <w:tab w:val="left" w:pos="720"/>
          <w:tab w:val="left" w:pos="900"/>
          <w:tab w:val="left" w:pos="1080"/>
        </w:tabs>
        <w:spacing w:after="0" w:line="240" w:lineRule="auto"/>
        <w:ind w:hanging="547"/>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modificări ale politicii bugetar-fiscale;</w:t>
      </w:r>
    </w:p>
    <w:p w:rsidR="00F9496F" w:rsidRPr="004F1B6D" w:rsidRDefault="00F9496F" w:rsidP="005F06AC">
      <w:pPr>
        <w:numPr>
          <w:ilvl w:val="0"/>
          <w:numId w:val="12"/>
        </w:numPr>
        <w:tabs>
          <w:tab w:val="left" w:pos="900"/>
          <w:tab w:val="left" w:pos="1080"/>
        </w:tabs>
        <w:spacing w:after="0" w:line="240" w:lineRule="auto"/>
        <w:ind w:hanging="547"/>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modificarea cadrului legislativ şi normativ.</w:t>
      </w:r>
    </w:p>
    <w:p w:rsidR="00F9496F" w:rsidRPr="004F1B6D" w:rsidRDefault="00F9496F" w:rsidP="00F9496F">
      <w:pPr>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În contextul constrîngerilor care pot afecta implementarea managementului datoriei de stat pe termen mediu, e oportună analiza scenariilor alternative de evoluţie a indicatorilor de piaţă care au impact asupra deservirii datoriei de stat.</w:t>
      </w:r>
    </w:p>
    <w:p w:rsidR="00F9496F" w:rsidRPr="00C174DC" w:rsidRDefault="00F9496F" w:rsidP="00F9496F">
      <w:pPr>
        <w:keepNext/>
        <w:tabs>
          <w:tab w:val="left" w:pos="810"/>
          <w:tab w:val="left" w:pos="900"/>
        </w:tabs>
        <w:spacing w:after="0" w:line="240" w:lineRule="auto"/>
        <w:ind w:firstLine="709"/>
        <w:jc w:val="both"/>
        <w:outlineLvl w:val="0"/>
        <w:rPr>
          <w:rFonts w:ascii="Times New Roman" w:eastAsia="Times New Roman" w:hAnsi="Times New Roman" w:cs="Times New Roman"/>
          <w:b/>
          <w:bCs/>
          <w:kern w:val="32"/>
          <w:sz w:val="28"/>
          <w:szCs w:val="28"/>
          <w:lang w:val="ro-RO" w:eastAsia="ru-RU"/>
        </w:rPr>
      </w:pPr>
      <w:bookmarkStart w:id="23" w:name="_Toc296437925"/>
      <w:bookmarkStart w:id="24" w:name="_Toc330302148"/>
      <w:bookmarkStart w:id="25" w:name="_Toc330302372"/>
      <w:bookmarkStart w:id="26" w:name="_Toc338754942"/>
      <w:bookmarkStart w:id="27" w:name="_Toc338756003"/>
      <w:bookmarkStart w:id="28" w:name="_Toc343594451"/>
      <w:bookmarkStart w:id="29" w:name="_Toc346609573"/>
      <w:r w:rsidRPr="00C174DC">
        <w:rPr>
          <w:rFonts w:ascii="Times New Roman" w:eastAsia="Times New Roman" w:hAnsi="Times New Roman" w:cs="Times New Roman"/>
          <w:b/>
          <w:bCs/>
          <w:kern w:val="32"/>
          <w:sz w:val="28"/>
          <w:szCs w:val="28"/>
          <w:lang w:val="ro-RO" w:eastAsia="ru-RU"/>
        </w:rPr>
        <w:t>Secţiunea 3. Scenarii alternative de evoluţie a indicatorilor de piaţă care au impact asupra deservirii datoriei de stat</w:t>
      </w:r>
      <w:bookmarkEnd w:id="23"/>
      <w:bookmarkEnd w:id="24"/>
      <w:bookmarkEnd w:id="25"/>
      <w:bookmarkEnd w:id="26"/>
      <w:bookmarkEnd w:id="27"/>
      <w:bookmarkEnd w:id="28"/>
      <w:bookmarkEnd w:id="29"/>
    </w:p>
    <w:p w:rsidR="00F9496F" w:rsidRPr="00C174DC" w:rsidRDefault="00F9496F" w:rsidP="00F9496F">
      <w:pPr>
        <w:spacing w:after="0" w:line="240" w:lineRule="auto"/>
        <w:ind w:firstLine="709"/>
        <w:jc w:val="both"/>
        <w:rPr>
          <w:rFonts w:ascii="Times New Roman" w:eastAsia="Times New Roman" w:hAnsi="Times New Roman" w:cs="Times New Roman"/>
          <w:sz w:val="28"/>
          <w:szCs w:val="28"/>
          <w:lang w:val="ro-RO" w:eastAsia="ru-RU"/>
        </w:rPr>
      </w:pPr>
      <w:r w:rsidRPr="00C174DC">
        <w:rPr>
          <w:rFonts w:ascii="Times New Roman" w:eastAsia="Times New Roman" w:hAnsi="Times New Roman" w:cs="Times New Roman"/>
          <w:sz w:val="28"/>
          <w:szCs w:val="28"/>
          <w:lang w:val="ro-RO" w:eastAsia="ru-RU"/>
        </w:rPr>
        <w:t xml:space="preserve">Pentru a examina volatilitatea portofoliului datoriei de stat la expunerea faţă de </w:t>
      </w:r>
      <w:r w:rsidR="00C174DC" w:rsidRPr="00C174DC">
        <w:rPr>
          <w:rFonts w:ascii="Times New Roman" w:eastAsia="Times New Roman" w:hAnsi="Times New Roman" w:cs="Times New Roman"/>
          <w:sz w:val="28"/>
          <w:szCs w:val="28"/>
          <w:lang w:val="ro-RO" w:eastAsia="ru-RU"/>
        </w:rPr>
        <w:t>principalele riscuri</w:t>
      </w:r>
      <w:r w:rsidRPr="00C174DC">
        <w:rPr>
          <w:rFonts w:ascii="Times New Roman" w:eastAsia="Times New Roman" w:hAnsi="Times New Roman" w:cs="Times New Roman"/>
          <w:sz w:val="28"/>
          <w:szCs w:val="28"/>
          <w:lang w:val="ro-RO" w:eastAsia="ru-RU"/>
        </w:rPr>
        <w:t xml:space="preserve"> de piaţă, adică riscul ratei de dobîndă şi riscul valutar, a fost analizată influenţa modificărilor potenţiale ale ratelor de dobîndă şi cursurilor de schimb asupra costurilor aferente datoriei de stat. </w:t>
      </w:r>
    </w:p>
    <w:p w:rsidR="00F9496F" w:rsidRPr="00D969D7" w:rsidRDefault="00C174DC"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În acest context, a</w:t>
      </w:r>
      <w:r w:rsidR="00F9496F" w:rsidRPr="00D969D7">
        <w:rPr>
          <w:rFonts w:ascii="Times New Roman" w:eastAsia="Times New Roman" w:hAnsi="Times New Roman" w:cs="Times New Roman"/>
          <w:sz w:val="28"/>
          <w:szCs w:val="28"/>
          <w:lang w:val="ro-RO" w:eastAsia="ru-RU"/>
        </w:rPr>
        <w:t>u fost elaborate patru scenarii de şoc A, B, C şi D</w:t>
      </w:r>
      <w:r w:rsidRPr="00D969D7">
        <w:rPr>
          <w:rFonts w:ascii="Times New Roman" w:eastAsia="Times New Roman" w:hAnsi="Times New Roman" w:cs="Times New Roman"/>
          <w:sz w:val="28"/>
          <w:szCs w:val="28"/>
          <w:lang w:val="ro-RO" w:eastAsia="ru-RU"/>
        </w:rPr>
        <w:t>, care au la bază</w:t>
      </w:r>
      <w:r w:rsidR="00F9496F" w:rsidRPr="00D969D7">
        <w:rPr>
          <w:rFonts w:ascii="Times New Roman" w:eastAsia="Times New Roman" w:hAnsi="Times New Roman" w:cs="Times New Roman"/>
          <w:sz w:val="28"/>
          <w:szCs w:val="28"/>
          <w:lang w:val="ro-RO" w:eastAsia="ru-RU"/>
        </w:rPr>
        <w:t xml:space="preserve"> modificările condiţiilor de piaţă, şi anume:</w:t>
      </w:r>
    </w:p>
    <w:p w:rsidR="00F9496F" w:rsidRPr="00D969D7" w:rsidRDefault="00F9496F" w:rsidP="00F9496F">
      <w:pPr>
        <w:tabs>
          <w:tab w:val="left" w:pos="540"/>
          <w:tab w:val="left" w:pos="993"/>
        </w:tabs>
        <w:spacing w:after="0" w:line="240" w:lineRule="auto"/>
        <w:ind w:firstLine="709"/>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A. Deprecierea monedei naţionale, în anul 201</w:t>
      </w:r>
      <w:r w:rsidR="00C174DC" w:rsidRPr="00D969D7">
        <w:rPr>
          <w:rFonts w:ascii="Times New Roman" w:eastAsia="Times New Roman" w:hAnsi="Times New Roman" w:cs="Times New Roman"/>
          <w:sz w:val="28"/>
          <w:szCs w:val="28"/>
          <w:lang w:val="ro-RO" w:eastAsia="ru-RU"/>
        </w:rPr>
        <w:t>4</w:t>
      </w:r>
      <w:r w:rsidRPr="00D969D7">
        <w:rPr>
          <w:rFonts w:ascii="Times New Roman" w:eastAsia="Times New Roman" w:hAnsi="Times New Roman" w:cs="Times New Roman"/>
          <w:sz w:val="28"/>
          <w:szCs w:val="28"/>
          <w:lang w:val="ro-RO" w:eastAsia="ru-RU"/>
        </w:rPr>
        <w:t>, faţă de:</w:t>
      </w:r>
    </w:p>
    <w:p w:rsidR="00F9496F" w:rsidRPr="00D969D7" w:rsidRDefault="00C174DC" w:rsidP="00D969D7">
      <w:pPr>
        <w:tabs>
          <w:tab w:val="left" w:pos="540"/>
        </w:tabs>
        <w:spacing w:after="0" w:line="240" w:lineRule="auto"/>
        <w:ind w:firstLine="1134"/>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a) dolarul SUA – cu 30</w:t>
      </w:r>
      <w:r w:rsidR="00F9496F" w:rsidRPr="00D969D7">
        <w:rPr>
          <w:rFonts w:ascii="Times New Roman" w:eastAsia="Times New Roman" w:hAnsi="Times New Roman" w:cs="Times New Roman"/>
          <w:sz w:val="28"/>
          <w:szCs w:val="28"/>
          <w:lang w:val="ro-RO" w:eastAsia="ru-RU"/>
        </w:rPr>
        <w:t>%;</w:t>
      </w:r>
    </w:p>
    <w:p w:rsidR="00F9496F" w:rsidRPr="00D969D7" w:rsidRDefault="00C174DC" w:rsidP="00D969D7">
      <w:pPr>
        <w:tabs>
          <w:tab w:val="left" w:pos="480"/>
        </w:tabs>
        <w:spacing w:after="0" w:line="240" w:lineRule="auto"/>
        <w:ind w:firstLine="1134"/>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b) euro – cu 30</w:t>
      </w:r>
      <w:r w:rsidR="00F9496F" w:rsidRPr="00D969D7">
        <w:rPr>
          <w:rFonts w:ascii="Times New Roman" w:eastAsia="Times New Roman" w:hAnsi="Times New Roman" w:cs="Times New Roman"/>
          <w:sz w:val="28"/>
          <w:szCs w:val="28"/>
          <w:lang w:val="ro-RO" w:eastAsia="ru-RU"/>
        </w:rPr>
        <w:t>%;</w:t>
      </w:r>
    </w:p>
    <w:p w:rsidR="00F9496F" w:rsidRPr="00D969D7" w:rsidRDefault="00F9496F" w:rsidP="00D969D7">
      <w:pPr>
        <w:tabs>
          <w:tab w:val="left" w:pos="240"/>
          <w:tab w:val="left" w:pos="540"/>
        </w:tabs>
        <w:spacing w:after="0" w:line="240" w:lineRule="auto"/>
        <w:ind w:firstLine="1134"/>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c) yenul japonez – cu 3</w:t>
      </w:r>
      <w:r w:rsidR="00C174DC" w:rsidRPr="00D969D7">
        <w:rPr>
          <w:rFonts w:ascii="Times New Roman" w:eastAsia="Times New Roman" w:hAnsi="Times New Roman" w:cs="Times New Roman"/>
          <w:sz w:val="28"/>
          <w:szCs w:val="28"/>
          <w:lang w:val="ro-RO" w:eastAsia="ru-RU"/>
        </w:rPr>
        <w:t>0</w:t>
      </w:r>
      <w:r w:rsidRPr="00D969D7">
        <w:rPr>
          <w:rFonts w:ascii="Times New Roman" w:eastAsia="Times New Roman" w:hAnsi="Times New Roman" w:cs="Times New Roman"/>
          <w:sz w:val="28"/>
          <w:szCs w:val="28"/>
          <w:lang w:val="ro-RO" w:eastAsia="ru-RU"/>
        </w:rPr>
        <w:t>%.</w:t>
      </w:r>
    </w:p>
    <w:p w:rsidR="00F9496F" w:rsidRPr="00D969D7" w:rsidRDefault="00F9496F" w:rsidP="00F9496F">
      <w:pPr>
        <w:tabs>
          <w:tab w:val="left" w:pos="540"/>
          <w:tab w:val="left" w:pos="993"/>
        </w:tabs>
        <w:spacing w:after="0" w:line="240" w:lineRule="auto"/>
        <w:ind w:firstLine="709"/>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 xml:space="preserve">B. Majorarea </w:t>
      </w:r>
      <w:r w:rsidR="009818BB" w:rsidRPr="00D969D7">
        <w:rPr>
          <w:rFonts w:ascii="Times New Roman" w:eastAsia="Times New Roman" w:hAnsi="Times New Roman" w:cs="Times New Roman"/>
          <w:sz w:val="28"/>
          <w:szCs w:val="28"/>
          <w:lang w:val="ro-RO" w:eastAsia="ru-RU"/>
        </w:rPr>
        <w:t xml:space="preserve">moderată </w:t>
      </w:r>
      <w:r w:rsidRPr="00D969D7">
        <w:rPr>
          <w:rFonts w:ascii="Times New Roman" w:eastAsia="Times New Roman" w:hAnsi="Times New Roman" w:cs="Times New Roman"/>
          <w:sz w:val="28"/>
          <w:szCs w:val="28"/>
          <w:lang w:val="ro-RO" w:eastAsia="ru-RU"/>
        </w:rPr>
        <w:t>ratelor de dobîndă</w:t>
      </w:r>
      <w:r w:rsidR="009818BB" w:rsidRPr="00D969D7">
        <w:rPr>
          <w:rFonts w:ascii="Times New Roman" w:eastAsia="Times New Roman" w:hAnsi="Times New Roman" w:cs="Times New Roman"/>
          <w:sz w:val="28"/>
          <w:szCs w:val="28"/>
          <w:lang w:val="ro-RO" w:eastAsia="ru-RU"/>
        </w:rPr>
        <w:t xml:space="preserve"> </w:t>
      </w:r>
      <w:r w:rsidRPr="00D969D7">
        <w:rPr>
          <w:rFonts w:ascii="Times New Roman" w:eastAsia="Times New Roman" w:hAnsi="Times New Roman" w:cs="Times New Roman"/>
          <w:sz w:val="28"/>
          <w:szCs w:val="28"/>
          <w:lang w:val="ro-RO" w:eastAsia="ru-RU"/>
        </w:rPr>
        <w:t>în anul 201</w:t>
      </w:r>
      <w:r w:rsidR="00C174DC" w:rsidRPr="00D969D7">
        <w:rPr>
          <w:rFonts w:ascii="Times New Roman" w:eastAsia="Times New Roman" w:hAnsi="Times New Roman" w:cs="Times New Roman"/>
          <w:sz w:val="28"/>
          <w:szCs w:val="28"/>
          <w:lang w:val="ro-RO" w:eastAsia="ru-RU"/>
        </w:rPr>
        <w:t>4</w:t>
      </w:r>
      <w:r w:rsidRPr="00D969D7">
        <w:rPr>
          <w:rFonts w:ascii="Times New Roman" w:eastAsia="Times New Roman" w:hAnsi="Times New Roman" w:cs="Times New Roman"/>
          <w:sz w:val="28"/>
          <w:szCs w:val="28"/>
          <w:lang w:val="ro-RO" w:eastAsia="ru-RU"/>
        </w:rPr>
        <w:t>:</w:t>
      </w:r>
    </w:p>
    <w:p w:rsidR="00F9496F" w:rsidRPr="00D969D7" w:rsidRDefault="00F9496F" w:rsidP="00D969D7">
      <w:pPr>
        <w:numPr>
          <w:ilvl w:val="0"/>
          <w:numId w:val="16"/>
        </w:numPr>
        <w:tabs>
          <w:tab w:val="left" w:pos="993"/>
          <w:tab w:val="left" w:pos="1418"/>
          <w:tab w:val="left" w:pos="2410"/>
        </w:tabs>
        <w:spacing w:after="0" w:line="240" w:lineRule="auto"/>
        <w:ind w:left="1134" w:firstLine="0"/>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 xml:space="preserve">cu </w:t>
      </w:r>
      <w:r w:rsidR="00C174DC" w:rsidRPr="00D969D7">
        <w:rPr>
          <w:rFonts w:ascii="Times New Roman" w:eastAsia="Times New Roman" w:hAnsi="Times New Roman" w:cs="Times New Roman"/>
          <w:sz w:val="28"/>
          <w:szCs w:val="28"/>
          <w:lang w:val="ro-RO" w:eastAsia="ru-RU"/>
        </w:rPr>
        <w:t>2</w:t>
      </w:r>
      <w:r w:rsidRPr="00D969D7">
        <w:rPr>
          <w:rFonts w:ascii="Times New Roman" w:eastAsia="Times New Roman" w:hAnsi="Times New Roman" w:cs="Times New Roman"/>
          <w:sz w:val="28"/>
          <w:szCs w:val="28"/>
          <w:lang w:val="ro-RO" w:eastAsia="ru-RU"/>
        </w:rPr>
        <w:t>,</w:t>
      </w:r>
      <w:r w:rsidR="00C174DC" w:rsidRPr="00D969D7">
        <w:rPr>
          <w:rFonts w:ascii="Times New Roman" w:eastAsia="Times New Roman" w:hAnsi="Times New Roman" w:cs="Times New Roman"/>
          <w:sz w:val="28"/>
          <w:szCs w:val="28"/>
          <w:lang w:val="ro-RO" w:eastAsia="ru-RU"/>
        </w:rPr>
        <w:t>0</w:t>
      </w:r>
      <w:r w:rsidRPr="00D969D7">
        <w:rPr>
          <w:rFonts w:ascii="Times New Roman" w:eastAsia="Times New Roman" w:hAnsi="Times New Roman" w:cs="Times New Roman"/>
          <w:sz w:val="28"/>
          <w:szCs w:val="28"/>
          <w:lang w:val="ro-RO" w:eastAsia="ru-RU"/>
        </w:rPr>
        <w:t xml:space="preserve"> p.p. pe piaţa externă</w:t>
      </w:r>
      <w:r w:rsidR="009818BB" w:rsidRPr="00D969D7">
        <w:rPr>
          <w:rFonts w:ascii="Times New Roman" w:eastAsia="Times New Roman" w:hAnsi="Times New Roman" w:cs="Times New Roman"/>
          <w:sz w:val="28"/>
          <w:szCs w:val="28"/>
          <w:lang w:val="ro-RO" w:eastAsia="ru-RU"/>
        </w:rPr>
        <w:t>.</w:t>
      </w:r>
      <w:r w:rsidRPr="00D969D7">
        <w:rPr>
          <w:rFonts w:ascii="Times New Roman" w:eastAsia="Times New Roman" w:hAnsi="Times New Roman" w:cs="Times New Roman"/>
          <w:sz w:val="28"/>
          <w:szCs w:val="28"/>
          <w:lang w:val="ro-RO" w:eastAsia="ru-RU"/>
        </w:rPr>
        <w:t xml:space="preserve"> </w:t>
      </w:r>
      <w:r w:rsidR="009818BB" w:rsidRPr="00D969D7">
        <w:rPr>
          <w:rFonts w:ascii="Times New Roman" w:eastAsia="Times New Roman" w:hAnsi="Times New Roman" w:cs="Times New Roman"/>
          <w:sz w:val="28"/>
          <w:szCs w:val="28"/>
          <w:lang w:val="ro-RO" w:eastAsia="ru-RU"/>
        </w:rPr>
        <w:t>Modificarea vizează ratele de dobîndă flotante (Euribor 6-month, USD Libor 6-month, etc.)</w:t>
      </w:r>
      <w:r w:rsidRPr="00D969D7">
        <w:rPr>
          <w:rFonts w:ascii="Times New Roman" w:eastAsia="Times New Roman" w:hAnsi="Times New Roman" w:cs="Times New Roman"/>
          <w:sz w:val="28"/>
          <w:szCs w:val="28"/>
          <w:lang w:val="ro-RO" w:eastAsia="ru-RU"/>
        </w:rPr>
        <w:t>;</w:t>
      </w:r>
    </w:p>
    <w:p w:rsidR="00F9496F" w:rsidRPr="00D969D7" w:rsidRDefault="00F9496F" w:rsidP="00D969D7">
      <w:pPr>
        <w:tabs>
          <w:tab w:val="left" w:pos="993"/>
          <w:tab w:val="left" w:pos="1418"/>
          <w:tab w:val="left" w:pos="2640"/>
        </w:tabs>
        <w:spacing w:after="0" w:line="240" w:lineRule="auto"/>
        <w:ind w:left="1134"/>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b) cu 5 p.p. pe piaţa internă;</w:t>
      </w:r>
    </w:p>
    <w:p w:rsidR="00F9496F" w:rsidRPr="00D969D7" w:rsidRDefault="00F9496F" w:rsidP="00F9496F">
      <w:pPr>
        <w:tabs>
          <w:tab w:val="left" w:pos="540"/>
          <w:tab w:val="left" w:pos="993"/>
        </w:tabs>
        <w:spacing w:after="0" w:line="240" w:lineRule="auto"/>
        <w:ind w:firstLine="709"/>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 xml:space="preserve">C. Majorarea </w:t>
      </w:r>
      <w:r w:rsidR="00D969D7" w:rsidRPr="00D969D7">
        <w:rPr>
          <w:rFonts w:ascii="Times New Roman" w:eastAsia="Times New Roman" w:hAnsi="Times New Roman" w:cs="Times New Roman"/>
          <w:sz w:val="28"/>
          <w:szCs w:val="28"/>
          <w:lang w:val="ro-RO" w:eastAsia="ru-RU"/>
        </w:rPr>
        <w:t>considerabilă a ratelor de dobîndă în anul 2014</w:t>
      </w:r>
      <w:r w:rsidRPr="00D969D7">
        <w:rPr>
          <w:rFonts w:ascii="Times New Roman" w:eastAsia="Times New Roman" w:hAnsi="Times New Roman" w:cs="Times New Roman"/>
          <w:sz w:val="28"/>
          <w:szCs w:val="28"/>
          <w:lang w:val="ro-RO" w:eastAsia="ru-RU"/>
        </w:rPr>
        <w:t>:</w:t>
      </w:r>
    </w:p>
    <w:p w:rsidR="00D969D7" w:rsidRPr="00D969D7" w:rsidRDefault="00D969D7" w:rsidP="00D969D7">
      <w:pPr>
        <w:tabs>
          <w:tab w:val="left" w:pos="993"/>
          <w:tab w:val="left" w:pos="2410"/>
        </w:tabs>
        <w:spacing w:after="0" w:line="240" w:lineRule="auto"/>
        <w:ind w:left="1134"/>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a) cu 4 p.p. pe piaţa externă.</w:t>
      </w:r>
      <w:r w:rsidR="00F9496F" w:rsidRPr="00D969D7">
        <w:rPr>
          <w:rFonts w:ascii="Times New Roman" w:eastAsia="Times New Roman" w:hAnsi="Times New Roman" w:cs="Times New Roman"/>
          <w:sz w:val="28"/>
          <w:szCs w:val="28"/>
          <w:lang w:val="ro-RO" w:eastAsia="ru-RU"/>
        </w:rPr>
        <w:t xml:space="preserve"> </w:t>
      </w:r>
      <w:r w:rsidRPr="00D969D7">
        <w:rPr>
          <w:rFonts w:ascii="Times New Roman" w:eastAsia="Times New Roman" w:hAnsi="Times New Roman" w:cs="Times New Roman"/>
          <w:sz w:val="28"/>
          <w:szCs w:val="28"/>
          <w:lang w:val="ro-RO" w:eastAsia="ru-RU"/>
        </w:rPr>
        <w:t>Modificarea vizează ratele de dobîndă flotante (Euribor 6-month, USD Libor 6-month, etc.);</w:t>
      </w:r>
    </w:p>
    <w:p w:rsidR="00F9496F" w:rsidRPr="00D969D7" w:rsidRDefault="00F9496F" w:rsidP="00D969D7">
      <w:pPr>
        <w:tabs>
          <w:tab w:val="left" w:pos="540"/>
          <w:tab w:val="left" w:pos="1843"/>
        </w:tabs>
        <w:spacing w:after="0" w:line="240" w:lineRule="auto"/>
        <w:ind w:left="1134"/>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b) cu 10 p.p. pe piaţa internă;</w:t>
      </w:r>
    </w:p>
    <w:p w:rsidR="00F9496F" w:rsidRPr="00D969D7" w:rsidRDefault="00F9496F" w:rsidP="00F9496F">
      <w:pPr>
        <w:tabs>
          <w:tab w:val="left" w:pos="540"/>
          <w:tab w:val="left" w:pos="993"/>
        </w:tabs>
        <w:spacing w:after="0" w:line="240" w:lineRule="auto"/>
        <w:ind w:firstLine="709"/>
        <w:jc w:val="both"/>
        <w:rPr>
          <w:rFonts w:ascii="Times New Roman" w:eastAsia="Times New Roman" w:hAnsi="Times New Roman" w:cs="Times New Roman"/>
          <w:sz w:val="28"/>
          <w:szCs w:val="28"/>
          <w:lang w:val="ro-RO" w:eastAsia="ru-RU"/>
        </w:rPr>
      </w:pPr>
      <w:r w:rsidRPr="00D969D7">
        <w:rPr>
          <w:rFonts w:ascii="Times New Roman" w:eastAsia="Times New Roman" w:hAnsi="Times New Roman" w:cs="Times New Roman"/>
          <w:sz w:val="28"/>
          <w:szCs w:val="28"/>
          <w:lang w:val="ro-RO" w:eastAsia="ru-RU"/>
        </w:rPr>
        <w:t>D. Şoc combinat care constă în combinarea şocului deprecierii monedei naţionale cu 15% faţă de dolarul SUA, euro şi yenul japonez</w:t>
      </w:r>
      <w:r w:rsidR="00D969D7" w:rsidRPr="00D969D7">
        <w:rPr>
          <w:rFonts w:ascii="Times New Roman" w:eastAsia="Times New Roman" w:hAnsi="Times New Roman" w:cs="Times New Roman"/>
          <w:sz w:val="28"/>
          <w:szCs w:val="28"/>
          <w:lang w:val="ro-RO" w:eastAsia="ru-RU"/>
        </w:rPr>
        <w:t xml:space="preserve"> în anul 2014</w:t>
      </w:r>
      <w:r w:rsidRPr="00D969D7">
        <w:rPr>
          <w:rFonts w:ascii="Times New Roman" w:eastAsia="Times New Roman" w:hAnsi="Times New Roman" w:cs="Times New Roman"/>
          <w:sz w:val="28"/>
          <w:szCs w:val="28"/>
          <w:lang w:val="ro-RO" w:eastAsia="ru-RU"/>
        </w:rPr>
        <w:t xml:space="preserve"> cu cel din al doilea scenariu (B). </w:t>
      </w:r>
    </w:p>
    <w:p w:rsidR="00F9496F" w:rsidRPr="006C78F4" w:rsidRDefault="00F9496F" w:rsidP="00F9496F">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6C78F4">
        <w:rPr>
          <w:rFonts w:ascii="Times New Roman" w:eastAsia="Times New Roman" w:hAnsi="Times New Roman" w:cs="Times New Roman"/>
          <w:sz w:val="28"/>
          <w:szCs w:val="28"/>
          <w:lang w:val="ro-RO" w:eastAsia="ru-RU"/>
        </w:rPr>
        <w:t>Raţionamentul care s-a aflat la baza selectării acestor şocuri a fost evoluţia cursurilor de schimb şi a ratelor de dobîndă din ultimii doi ani, inclusiv evoluţia acestora în anul de criză 2009. Astfel, drept exemplu, este prezentată evoluţia cursului de schimb al leului moldovenesc faţă de dolarul SUA, euro şi yenul japonez</w:t>
      </w:r>
      <w:r w:rsidR="00D969D7" w:rsidRPr="006C78F4">
        <w:rPr>
          <w:rFonts w:ascii="Times New Roman" w:eastAsia="Times New Roman" w:hAnsi="Times New Roman" w:cs="Times New Roman"/>
          <w:sz w:val="28"/>
          <w:szCs w:val="28"/>
          <w:lang w:val="ro-RO" w:eastAsia="ru-RU"/>
        </w:rPr>
        <w:t xml:space="preserve"> în perioada anilor 2011-2013</w:t>
      </w:r>
      <w:r w:rsidRPr="006C78F4">
        <w:rPr>
          <w:rFonts w:ascii="Times New Roman" w:eastAsia="Times New Roman" w:hAnsi="Times New Roman" w:cs="Times New Roman"/>
          <w:sz w:val="28"/>
          <w:szCs w:val="28"/>
          <w:lang w:val="ro-RO" w:eastAsia="ru-RU"/>
        </w:rPr>
        <w:t xml:space="preserve">. Au fost selectate anume aceste valute deoarece formează ponderea majoritară în coşul valutar </w:t>
      </w:r>
      <w:r w:rsidR="006C78F4" w:rsidRPr="006C78F4">
        <w:rPr>
          <w:rFonts w:ascii="Times New Roman" w:eastAsia="Times New Roman" w:hAnsi="Times New Roman" w:cs="Times New Roman"/>
          <w:sz w:val="28"/>
          <w:szCs w:val="28"/>
          <w:lang w:val="ro-RO" w:eastAsia="ru-RU"/>
        </w:rPr>
        <w:t>D</w:t>
      </w:r>
      <w:r w:rsidRPr="006C78F4">
        <w:rPr>
          <w:rFonts w:ascii="Times New Roman" w:eastAsia="Times New Roman" w:hAnsi="Times New Roman" w:cs="Times New Roman"/>
          <w:sz w:val="28"/>
          <w:szCs w:val="28"/>
          <w:lang w:val="ro-RO" w:eastAsia="ru-RU"/>
        </w:rPr>
        <w:t xml:space="preserve">repturi </w:t>
      </w:r>
      <w:r w:rsidR="006C78F4" w:rsidRPr="006C78F4">
        <w:rPr>
          <w:rFonts w:ascii="Times New Roman" w:eastAsia="Times New Roman" w:hAnsi="Times New Roman" w:cs="Times New Roman"/>
          <w:sz w:val="28"/>
          <w:szCs w:val="28"/>
          <w:lang w:val="ro-RO" w:eastAsia="ru-RU"/>
        </w:rPr>
        <w:t>Speciale de T</w:t>
      </w:r>
      <w:r w:rsidRPr="006C78F4">
        <w:rPr>
          <w:rFonts w:ascii="Times New Roman" w:eastAsia="Times New Roman" w:hAnsi="Times New Roman" w:cs="Times New Roman"/>
          <w:sz w:val="28"/>
          <w:szCs w:val="28"/>
          <w:lang w:val="ro-RO" w:eastAsia="ru-RU"/>
        </w:rPr>
        <w:t>ragere</w:t>
      </w:r>
      <w:r w:rsidR="006C78F4" w:rsidRPr="006C78F4">
        <w:rPr>
          <w:rFonts w:ascii="Times New Roman" w:eastAsia="Times New Roman" w:hAnsi="Times New Roman" w:cs="Times New Roman"/>
          <w:sz w:val="28"/>
          <w:szCs w:val="28"/>
          <w:lang w:val="ro-RO" w:eastAsia="ru-RU"/>
        </w:rPr>
        <w:t>,</w:t>
      </w:r>
      <w:r w:rsidRPr="006C78F4">
        <w:rPr>
          <w:rFonts w:ascii="Times New Roman" w:eastAsia="Times New Roman" w:hAnsi="Times New Roman" w:cs="Times New Roman"/>
          <w:sz w:val="28"/>
          <w:szCs w:val="28"/>
          <w:lang w:val="ro-RO" w:eastAsia="ru-RU"/>
        </w:rPr>
        <w:t xml:space="preserve"> care ocupă cea mai mare pondere în datoria de stat externă. </w:t>
      </w:r>
    </w:p>
    <w:p w:rsidR="00F9496F" w:rsidRPr="006C78F4" w:rsidRDefault="00F9496F" w:rsidP="00D26339">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6C78F4">
        <w:rPr>
          <w:rFonts w:ascii="Times New Roman" w:eastAsia="Times New Roman" w:hAnsi="Times New Roman" w:cs="Times New Roman"/>
          <w:sz w:val="28"/>
          <w:szCs w:val="28"/>
          <w:lang w:val="ro-RO" w:eastAsia="ru-RU"/>
        </w:rPr>
        <w:t>Ceilalţi indicatori macroeconomici, cum sînt PIB-ul, inflaţia, indicatorii bugetului de stat, ş.a. sînt consideraţi a nu suferi modificări pe perioada analizată faţă de scenariul de bază.</w:t>
      </w:r>
    </w:p>
    <w:p w:rsidR="00F9496F" w:rsidRPr="006C78F4" w:rsidRDefault="00F9496F" w:rsidP="004F1B6D">
      <w:pPr>
        <w:tabs>
          <w:tab w:val="left" w:pos="540"/>
        </w:tabs>
        <w:spacing w:after="0" w:line="240" w:lineRule="auto"/>
        <w:ind w:left="7560"/>
        <w:jc w:val="right"/>
        <w:rPr>
          <w:rFonts w:ascii="Times New Roman" w:eastAsia="Times New Roman" w:hAnsi="Times New Roman" w:cs="Times New Roman"/>
          <w:sz w:val="28"/>
          <w:szCs w:val="28"/>
          <w:lang w:val="ro-RO" w:eastAsia="ru-RU"/>
        </w:rPr>
      </w:pPr>
      <w:r w:rsidRPr="006C78F4">
        <w:rPr>
          <w:rFonts w:ascii="Times New Roman" w:eastAsia="Times New Roman" w:hAnsi="Times New Roman" w:cs="Times New Roman"/>
          <w:sz w:val="28"/>
          <w:szCs w:val="28"/>
          <w:lang w:val="ro-RO" w:eastAsia="ru-RU"/>
        </w:rPr>
        <w:t xml:space="preserve"> Tabelul </w:t>
      </w:r>
      <w:r w:rsidR="00D969D7" w:rsidRPr="006C78F4">
        <w:rPr>
          <w:rFonts w:ascii="Times New Roman" w:eastAsia="Times New Roman" w:hAnsi="Times New Roman" w:cs="Times New Roman"/>
          <w:sz w:val="28"/>
          <w:szCs w:val="28"/>
          <w:lang w:val="ro-RO" w:eastAsia="ru-RU"/>
        </w:rPr>
        <w:t>6</w:t>
      </w:r>
      <w:r w:rsidRPr="006C78F4">
        <w:rPr>
          <w:rFonts w:ascii="Times New Roman" w:eastAsia="Times New Roman" w:hAnsi="Times New Roman" w:cs="Times New Roman"/>
          <w:sz w:val="28"/>
          <w:szCs w:val="28"/>
          <w:lang w:val="ro-RO" w:eastAsia="ru-RU"/>
        </w:rPr>
        <w:t xml:space="preserve">.4. </w:t>
      </w:r>
    </w:p>
    <w:p w:rsidR="00F9496F" w:rsidRPr="006C78F4" w:rsidRDefault="00F9496F" w:rsidP="00F9496F">
      <w:pPr>
        <w:tabs>
          <w:tab w:val="left" w:pos="540"/>
        </w:tabs>
        <w:spacing w:after="0" w:line="240" w:lineRule="auto"/>
        <w:ind w:firstLine="709"/>
        <w:jc w:val="both"/>
        <w:rPr>
          <w:rFonts w:ascii="Times New Roman" w:eastAsia="Times New Roman" w:hAnsi="Times New Roman" w:cs="Times New Roman"/>
          <w:bCs/>
          <w:sz w:val="28"/>
          <w:szCs w:val="28"/>
          <w:lang w:val="ro-RO" w:eastAsia="ru-RU"/>
        </w:rPr>
      </w:pPr>
      <w:r w:rsidRPr="006C78F4">
        <w:rPr>
          <w:rFonts w:ascii="Times New Roman" w:eastAsia="Times New Roman" w:hAnsi="Times New Roman" w:cs="Times New Roman"/>
          <w:sz w:val="28"/>
          <w:szCs w:val="28"/>
          <w:lang w:val="ro-RO" w:eastAsia="ru-RU"/>
        </w:rPr>
        <w:t>Evoluţia cursului de schimb al leului moldovenesc, în perioada anilor 201</w:t>
      </w:r>
      <w:r w:rsidR="006C78F4" w:rsidRPr="006C78F4">
        <w:rPr>
          <w:rFonts w:ascii="Times New Roman" w:eastAsia="Times New Roman" w:hAnsi="Times New Roman" w:cs="Times New Roman"/>
          <w:sz w:val="28"/>
          <w:szCs w:val="28"/>
          <w:lang w:val="ro-RO" w:eastAsia="ru-RU"/>
        </w:rPr>
        <w:t>1</w:t>
      </w:r>
      <w:r w:rsidRPr="006C78F4">
        <w:rPr>
          <w:rFonts w:ascii="Times New Roman" w:eastAsia="Times New Roman" w:hAnsi="Times New Roman" w:cs="Times New Roman"/>
          <w:sz w:val="28"/>
          <w:szCs w:val="28"/>
          <w:lang w:val="ro-RO" w:eastAsia="ru-RU"/>
        </w:rPr>
        <w:t>-201</w:t>
      </w:r>
      <w:r w:rsidR="006C78F4" w:rsidRPr="006C78F4">
        <w:rPr>
          <w:rFonts w:ascii="Times New Roman" w:eastAsia="Times New Roman" w:hAnsi="Times New Roman" w:cs="Times New Roman"/>
          <w:sz w:val="28"/>
          <w:szCs w:val="28"/>
          <w:lang w:val="ro-RO" w:eastAsia="ru-RU"/>
        </w:rPr>
        <w:t>3</w:t>
      </w:r>
    </w:p>
    <w:tbl>
      <w:tblPr>
        <w:tblW w:w="0" w:type="auto"/>
        <w:tblInd w:w="108" w:type="dxa"/>
        <w:tblBorders>
          <w:top w:val="single" w:sz="8" w:space="0" w:color="4F81BD"/>
          <w:bottom w:val="single" w:sz="8" w:space="0" w:color="4F81BD"/>
        </w:tblBorders>
        <w:tblLook w:val="00A0"/>
      </w:tblPr>
      <w:tblGrid>
        <w:gridCol w:w="9356"/>
      </w:tblGrid>
      <w:tr w:rsidR="00F9496F" w:rsidRPr="004F1B6D" w:rsidTr="008D6420">
        <w:trPr>
          <w:trHeight w:val="2555"/>
        </w:trPr>
        <w:tc>
          <w:tcPr>
            <w:tcW w:w="9356" w:type="dxa"/>
            <w:tcBorders>
              <w:top w:val="double" w:sz="4" w:space="0" w:color="365F91"/>
              <w:left w:val="double" w:sz="4" w:space="0" w:color="365F91"/>
              <w:bottom w:val="double" w:sz="4" w:space="0" w:color="365F91"/>
              <w:right w:val="double" w:sz="4" w:space="0" w:color="365F91"/>
            </w:tcBorders>
          </w:tcPr>
          <w:p w:rsidR="00F9496F" w:rsidRPr="004F1B6D" w:rsidRDefault="00643F1D" w:rsidP="00007668">
            <w:pPr>
              <w:tabs>
                <w:tab w:val="left" w:pos="540"/>
              </w:tabs>
              <w:spacing w:after="0" w:line="240" w:lineRule="auto"/>
              <w:jc w:val="both"/>
              <w:rPr>
                <w:rFonts w:ascii="Times New Roman" w:eastAsia="Times New Roman" w:hAnsi="Times New Roman" w:cs="Times New Roman"/>
                <w:bCs/>
                <w:color w:val="365F91"/>
                <w:sz w:val="28"/>
                <w:szCs w:val="28"/>
                <w:highlight w:val="lightGray"/>
                <w:lang w:val="ro-RO" w:eastAsia="ru-RU"/>
              </w:rPr>
            </w:pPr>
            <w:r>
              <w:rPr>
                <w:rFonts w:ascii="Times New Roman" w:eastAsia="Times New Roman" w:hAnsi="Times New Roman" w:cs="Times New Roman"/>
                <w:bCs/>
                <w:noProof/>
                <w:color w:val="365F91"/>
                <w:sz w:val="28"/>
                <w:szCs w:val="28"/>
              </w:rPr>
              <w:drawing>
                <wp:inline distT="0" distB="0" distL="0" distR="0">
                  <wp:extent cx="1943824" cy="1690577"/>
                  <wp:effectExtent l="19050" t="0" r="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srcRect/>
                          <a:stretch>
                            <a:fillRect/>
                          </a:stretch>
                        </pic:blipFill>
                        <pic:spPr bwMode="auto">
                          <a:xfrm>
                            <a:off x="0" y="0"/>
                            <a:ext cx="1950252" cy="1696167"/>
                          </a:xfrm>
                          <a:prstGeom prst="rect">
                            <a:avLst/>
                          </a:prstGeom>
                          <a:noFill/>
                        </pic:spPr>
                      </pic:pic>
                    </a:graphicData>
                  </a:graphic>
                </wp:inline>
              </w:drawing>
            </w:r>
            <w:r w:rsidR="00895CD6">
              <w:rPr>
                <w:rFonts w:ascii="Times New Roman" w:eastAsia="Times New Roman" w:hAnsi="Times New Roman" w:cs="Times New Roman"/>
                <w:bCs/>
                <w:noProof/>
                <w:color w:val="365F91"/>
                <w:sz w:val="28"/>
                <w:szCs w:val="28"/>
              </w:rPr>
              <w:drawing>
                <wp:inline distT="0" distB="0" distL="0" distR="0">
                  <wp:extent cx="1894810" cy="1690577"/>
                  <wp:effectExtent l="1905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srcRect/>
                          <a:stretch>
                            <a:fillRect/>
                          </a:stretch>
                        </pic:blipFill>
                        <pic:spPr bwMode="auto">
                          <a:xfrm>
                            <a:off x="0" y="0"/>
                            <a:ext cx="1891548" cy="1687667"/>
                          </a:xfrm>
                          <a:prstGeom prst="rect">
                            <a:avLst/>
                          </a:prstGeom>
                          <a:noFill/>
                        </pic:spPr>
                      </pic:pic>
                    </a:graphicData>
                  </a:graphic>
                </wp:inline>
              </w:drawing>
            </w:r>
            <w:r w:rsidR="00007668">
              <w:rPr>
                <w:rFonts w:ascii="Times New Roman" w:eastAsia="Times New Roman" w:hAnsi="Times New Roman" w:cs="Times New Roman"/>
                <w:bCs/>
                <w:noProof/>
                <w:color w:val="365F91"/>
                <w:sz w:val="28"/>
                <w:szCs w:val="28"/>
              </w:rPr>
              <w:drawing>
                <wp:inline distT="0" distB="0" distL="0" distR="0">
                  <wp:extent cx="1905443" cy="168568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srcRect/>
                          <a:stretch>
                            <a:fillRect/>
                          </a:stretch>
                        </pic:blipFill>
                        <pic:spPr bwMode="auto">
                          <a:xfrm>
                            <a:off x="0" y="0"/>
                            <a:ext cx="1905443" cy="1685685"/>
                          </a:xfrm>
                          <a:prstGeom prst="rect">
                            <a:avLst/>
                          </a:prstGeom>
                          <a:noFill/>
                        </pic:spPr>
                      </pic:pic>
                    </a:graphicData>
                  </a:graphic>
                </wp:inline>
              </w:drawing>
            </w:r>
          </w:p>
        </w:tc>
      </w:tr>
    </w:tbl>
    <w:p w:rsidR="00F9496F" w:rsidRPr="004F1B6D" w:rsidRDefault="00F9496F" w:rsidP="00F9496F">
      <w:pPr>
        <w:tabs>
          <w:tab w:val="left" w:pos="540"/>
        </w:tabs>
        <w:spacing w:after="0" w:line="240" w:lineRule="auto"/>
        <w:ind w:firstLine="709"/>
        <w:jc w:val="both"/>
        <w:rPr>
          <w:rFonts w:ascii="Times New Roman" w:eastAsia="Times New Roman" w:hAnsi="Times New Roman" w:cs="Times New Roman"/>
          <w:sz w:val="24"/>
          <w:szCs w:val="24"/>
          <w:highlight w:val="lightGray"/>
          <w:lang w:val="ro-RO" w:eastAsia="ru-RU"/>
        </w:rPr>
      </w:pPr>
      <w:r w:rsidRPr="00007668">
        <w:rPr>
          <w:rFonts w:ascii="Times New Roman" w:eastAsia="Times New Roman" w:hAnsi="Times New Roman" w:cs="Times New Roman"/>
          <w:sz w:val="24"/>
          <w:szCs w:val="24"/>
          <w:lang w:val="ro-RO" w:eastAsia="ru-RU"/>
        </w:rPr>
        <w:t xml:space="preserve">Sursa: </w:t>
      </w:r>
      <w:hyperlink r:id="rId26" w:history="1">
        <w:r w:rsidRPr="00007668">
          <w:rPr>
            <w:rFonts w:ascii="Times New Roman" w:eastAsia="Times New Roman" w:hAnsi="Times New Roman" w:cs="Times New Roman"/>
            <w:color w:val="0000FF"/>
            <w:sz w:val="24"/>
            <w:szCs w:val="24"/>
            <w:u w:val="single"/>
            <w:lang w:val="ro-RO" w:eastAsia="ru-RU"/>
          </w:rPr>
          <w:t>www.bnm.md</w:t>
        </w:r>
      </w:hyperlink>
      <w:r w:rsidRPr="004F1B6D">
        <w:rPr>
          <w:rFonts w:ascii="Times New Roman" w:eastAsia="Times New Roman" w:hAnsi="Times New Roman" w:cs="Times New Roman"/>
          <w:sz w:val="24"/>
          <w:szCs w:val="24"/>
          <w:highlight w:val="lightGray"/>
          <w:lang w:val="ro-RO" w:eastAsia="ru-RU"/>
        </w:rPr>
        <w:t xml:space="preserve"> </w:t>
      </w:r>
    </w:p>
    <w:p w:rsidR="00F9496F" w:rsidRPr="004F1B6D" w:rsidRDefault="00F9496F" w:rsidP="00F9496F">
      <w:pPr>
        <w:tabs>
          <w:tab w:val="left" w:pos="540"/>
        </w:tabs>
        <w:spacing w:after="0" w:line="240" w:lineRule="auto"/>
        <w:ind w:firstLine="709"/>
        <w:jc w:val="both"/>
        <w:rPr>
          <w:rFonts w:ascii="Times New Roman" w:eastAsia="Times New Roman" w:hAnsi="Times New Roman" w:cs="Times New Roman"/>
          <w:bCs/>
          <w:sz w:val="28"/>
          <w:szCs w:val="28"/>
          <w:highlight w:val="lightGray"/>
          <w:lang w:val="ro-RO" w:eastAsia="ru-RU"/>
        </w:rPr>
      </w:pPr>
    </w:p>
    <w:p w:rsidR="00F9496F" w:rsidRPr="00732466" w:rsidRDefault="00F9496F" w:rsidP="00F9496F">
      <w:pPr>
        <w:tabs>
          <w:tab w:val="left" w:pos="540"/>
        </w:tabs>
        <w:spacing w:after="0" w:line="240" w:lineRule="auto"/>
        <w:ind w:firstLine="709"/>
        <w:jc w:val="both"/>
        <w:rPr>
          <w:rFonts w:ascii="Times New Roman" w:eastAsia="Times New Roman" w:hAnsi="Times New Roman" w:cs="Times New Roman"/>
          <w:bCs/>
          <w:sz w:val="28"/>
          <w:szCs w:val="28"/>
          <w:lang w:val="ro-RO" w:eastAsia="ru-RU"/>
        </w:rPr>
      </w:pPr>
      <w:r w:rsidRPr="00732466">
        <w:rPr>
          <w:rFonts w:ascii="Times New Roman" w:eastAsia="Times New Roman" w:hAnsi="Times New Roman" w:cs="Times New Roman"/>
          <w:bCs/>
          <w:sz w:val="28"/>
          <w:szCs w:val="28"/>
          <w:lang w:val="ro-RO" w:eastAsia="ru-RU"/>
        </w:rPr>
        <w:t>Pentru a urmări efectele şocurilor stabilite asupra portofoliului datoriei de stat, sîn</w:t>
      </w:r>
      <w:r w:rsidR="00732466" w:rsidRPr="00732466">
        <w:rPr>
          <w:rFonts w:ascii="Times New Roman" w:eastAsia="Times New Roman" w:hAnsi="Times New Roman" w:cs="Times New Roman"/>
          <w:bCs/>
          <w:sz w:val="28"/>
          <w:szCs w:val="28"/>
          <w:lang w:val="ro-RO" w:eastAsia="ru-RU"/>
        </w:rPr>
        <w:t>t analizaţi indicatorii: ponderea datoriei de stat în PIB,</w:t>
      </w:r>
      <w:r w:rsidRPr="00732466">
        <w:rPr>
          <w:rFonts w:ascii="Times New Roman" w:eastAsia="Times New Roman" w:hAnsi="Times New Roman" w:cs="Times New Roman"/>
          <w:bCs/>
          <w:sz w:val="28"/>
          <w:szCs w:val="28"/>
          <w:lang w:val="ro-RO" w:eastAsia="ru-RU"/>
        </w:rPr>
        <w:t xml:space="preserve"> servi</w:t>
      </w:r>
      <w:r w:rsidR="00732466" w:rsidRPr="00732466">
        <w:rPr>
          <w:rFonts w:ascii="Times New Roman" w:eastAsia="Times New Roman" w:hAnsi="Times New Roman" w:cs="Times New Roman"/>
          <w:bCs/>
          <w:sz w:val="28"/>
          <w:szCs w:val="28"/>
          <w:lang w:val="ro-RO" w:eastAsia="ru-RU"/>
        </w:rPr>
        <w:t xml:space="preserve">ciului datoriei de stat în PIB și </w:t>
      </w:r>
      <w:r w:rsidRPr="00732466">
        <w:rPr>
          <w:rFonts w:ascii="Times New Roman" w:eastAsia="Times New Roman" w:hAnsi="Times New Roman" w:cs="Times New Roman"/>
          <w:bCs/>
          <w:sz w:val="28"/>
          <w:szCs w:val="28"/>
          <w:lang w:val="ro-RO" w:eastAsia="ru-RU"/>
        </w:rPr>
        <w:t xml:space="preserve">serviciului datoriei de stat în veniturile </w:t>
      </w:r>
      <w:r w:rsidR="00732466" w:rsidRPr="00732466">
        <w:rPr>
          <w:rFonts w:ascii="Times New Roman" w:eastAsia="Times New Roman" w:hAnsi="Times New Roman" w:cs="Times New Roman"/>
          <w:bCs/>
          <w:sz w:val="28"/>
          <w:szCs w:val="28"/>
          <w:lang w:val="ro-RO" w:eastAsia="ru-RU"/>
        </w:rPr>
        <w:t>pe componenta de bază a</w:t>
      </w:r>
      <w:r w:rsidRPr="00732466">
        <w:rPr>
          <w:rFonts w:ascii="Times New Roman" w:eastAsia="Times New Roman" w:hAnsi="Times New Roman" w:cs="Times New Roman"/>
          <w:bCs/>
          <w:sz w:val="28"/>
          <w:szCs w:val="28"/>
          <w:lang w:val="ro-RO" w:eastAsia="ru-RU"/>
        </w:rPr>
        <w:t xml:space="preserve"> bugetului de stat</w:t>
      </w:r>
      <w:r w:rsidR="00732466" w:rsidRPr="00732466">
        <w:rPr>
          <w:rFonts w:ascii="Times New Roman" w:eastAsia="Times New Roman" w:hAnsi="Times New Roman" w:cs="Times New Roman"/>
          <w:bCs/>
          <w:sz w:val="28"/>
          <w:szCs w:val="28"/>
          <w:lang w:val="ro-RO" w:eastAsia="ru-RU"/>
        </w:rPr>
        <w:t>.</w:t>
      </w:r>
      <w:r w:rsidRPr="00732466">
        <w:rPr>
          <w:rFonts w:ascii="Times New Roman" w:eastAsia="Times New Roman" w:hAnsi="Times New Roman" w:cs="Times New Roman"/>
          <w:bCs/>
          <w:sz w:val="28"/>
          <w:szCs w:val="28"/>
          <w:lang w:val="ro-RO" w:eastAsia="ru-RU"/>
        </w:rPr>
        <w:t xml:space="preserve"> </w:t>
      </w:r>
      <w:r w:rsidR="00732466">
        <w:rPr>
          <w:rFonts w:ascii="Times New Roman" w:eastAsia="Times New Roman" w:hAnsi="Times New Roman" w:cs="Times New Roman"/>
          <w:bCs/>
          <w:sz w:val="28"/>
          <w:szCs w:val="28"/>
          <w:lang w:val="ro-RO" w:eastAsia="ru-RU"/>
        </w:rPr>
        <w:t xml:space="preserve">Evoluția acestor indicatori </w:t>
      </w:r>
      <w:r w:rsidRPr="00732466">
        <w:rPr>
          <w:rFonts w:ascii="Times New Roman" w:eastAsia="Times New Roman" w:hAnsi="Times New Roman" w:cs="Times New Roman"/>
          <w:bCs/>
          <w:sz w:val="28"/>
          <w:szCs w:val="28"/>
          <w:lang w:val="ro-RO" w:eastAsia="ru-RU"/>
        </w:rPr>
        <w:t>prezintă variaţiile volumului datoriei de stat şi a costurilor aferente acesteia</w:t>
      </w:r>
      <w:r w:rsidR="00732466">
        <w:rPr>
          <w:rFonts w:ascii="Times New Roman" w:eastAsia="Times New Roman" w:hAnsi="Times New Roman" w:cs="Times New Roman"/>
          <w:bCs/>
          <w:sz w:val="28"/>
          <w:szCs w:val="28"/>
          <w:lang w:val="ro-RO" w:eastAsia="ru-RU"/>
        </w:rPr>
        <w:t xml:space="preserve"> sub influența </w:t>
      </w:r>
      <w:r w:rsidR="00E678FB">
        <w:rPr>
          <w:rFonts w:ascii="Times New Roman" w:eastAsia="Times New Roman" w:hAnsi="Times New Roman" w:cs="Times New Roman"/>
          <w:bCs/>
          <w:sz w:val="28"/>
          <w:szCs w:val="28"/>
          <w:lang w:val="ro-RO" w:eastAsia="ru-RU"/>
        </w:rPr>
        <w:t>șocurilor analizate</w:t>
      </w:r>
      <w:r w:rsidRPr="001C2768">
        <w:rPr>
          <w:rFonts w:ascii="Times New Roman" w:eastAsia="Times New Roman" w:hAnsi="Times New Roman" w:cs="Times New Roman"/>
          <w:bCs/>
          <w:sz w:val="28"/>
          <w:szCs w:val="28"/>
          <w:lang w:val="ro-RO" w:eastAsia="ru-RU"/>
        </w:rPr>
        <w:t>.</w:t>
      </w:r>
    </w:p>
    <w:p w:rsidR="00F9496F" w:rsidRPr="001C2768" w:rsidRDefault="00F9496F" w:rsidP="004F1B6D">
      <w:pPr>
        <w:tabs>
          <w:tab w:val="left" w:pos="540"/>
        </w:tabs>
        <w:spacing w:after="0" w:line="240" w:lineRule="auto"/>
        <w:ind w:left="7680"/>
        <w:jc w:val="right"/>
        <w:rPr>
          <w:rFonts w:ascii="Times New Roman" w:eastAsia="Times New Roman" w:hAnsi="Times New Roman" w:cs="Times New Roman"/>
          <w:bCs/>
          <w:sz w:val="28"/>
          <w:szCs w:val="28"/>
          <w:lang w:val="ro-RO" w:eastAsia="ru-RU"/>
        </w:rPr>
      </w:pPr>
      <w:r w:rsidRPr="001C2768">
        <w:rPr>
          <w:rFonts w:ascii="Times New Roman" w:eastAsia="Times New Roman" w:hAnsi="Times New Roman" w:cs="Times New Roman"/>
          <w:bCs/>
          <w:sz w:val="28"/>
          <w:szCs w:val="28"/>
          <w:lang w:val="ro-RO" w:eastAsia="ru-RU"/>
        </w:rPr>
        <w:t xml:space="preserve">Tabelul </w:t>
      </w:r>
      <w:r w:rsidR="00D969D7" w:rsidRPr="001C2768">
        <w:rPr>
          <w:rFonts w:ascii="Times New Roman" w:eastAsia="Times New Roman" w:hAnsi="Times New Roman" w:cs="Times New Roman"/>
          <w:bCs/>
          <w:sz w:val="28"/>
          <w:szCs w:val="28"/>
          <w:lang w:val="ro-RO" w:eastAsia="ru-RU"/>
        </w:rPr>
        <w:t>6</w:t>
      </w:r>
      <w:r w:rsidRPr="001C2768">
        <w:rPr>
          <w:rFonts w:ascii="Times New Roman" w:eastAsia="Times New Roman" w:hAnsi="Times New Roman" w:cs="Times New Roman"/>
          <w:bCs/>
          <w:sz w:val="28"/>
          <w:szCs w:val="28"/>
          <w:lang w:val="ro-RO" w:eastAsia="ru-RU"/>
        </w:rPr>
        <w:t>.5.</w:t>
      </w:r>
    </w:p>
    <w:p w:rsidR="00F9496F" w:rsidRPr="001C2768" w:rsidRDefault="00F9496F" w:rsidP="00F9496F">
      <w:pPr>
        <w:tabs>
          <w:tab w:val="left" w:pos="540"/>
        </w:tabs>
        <w:spacing w:after="0" w:line="240" w:lineRule="auto"/>
        <w:ind w:firstLine="709"/>
        <w:jc w:val="both"/>
        <w:rPr>
          <w:rFonts w:ascii="Times New Roman" w:eastAsia="Times New Roman" w:hAnsi="Times New Roman" w:cs="Times New Roman"/>
          <w:bCs/>
          <w:sz w:val="28"/>
          <w:szCs w:val="28"/>
          <w:lang w:val="ro-RO" w:eastAsia="ru-RU"/>
        </w:rPr>
      </w:pPr>
      <w:r w:rsidRPr="001C2768">
        <w:rPr>
          <w:rFonts w:ascii="Times New Roman" w:eastAsia="Times New Roman" w:hAnsi="Times New Roman" w:cs="Times New Roman"/>
          <w:bCs/>
          <w:sz w:val="28"/>
          <w:szCs w:val="28"/>
          <w:lang w:val="ro-RO" w:eastAsia="ru-RU"/>
        </w:rPr>
        <w:t>Evoluţia indicatorilor datoriei de stat sub influenţa şocurilor reieşind din modificarea condiţiilor de piaţă, conform situaţiei de la sfîrşitul anului 201</w:t>
      </w:r>
      <w:r w:rsidR="00E678FB">
        <w:rPr>
          <w:rFonts w:ascii="Times New Roman" w:eastAsia="Times New Roman" w:hAnsi="Times New Roman" w:cs="Times New Roman"/>
          <w:bCs/>
          <w:sz w:val="28"/>
          <w:szCs w:val="28"/>
          <w:lang w:val="ro-RO" w:eastAsia="ru-RU"/>
        </w:rPr>
        <w:t>6</w:t>
      </w:r>
      <w:r w:rsidRPr="001C2768">
        <w:rPr>
          <w:rFonts w:ascii="Times New Roman" w:eastAsia="Times New Roman" w:hAnsi="Times New Roman" w:cs="Times New Roman"/>
          <w:bCs/>
          <w:sz w:val="28"/>
          <w:szCs w:val="28"/>
          <w:lang w:val="ro-RO" w:eastAsia="ru-RU"/>
        </w:rPr>
        <w:t xml:space="preserve"> </w:t>
      </w:r>
    </w:p>
    <w:tbl>
      <w:tblPr>
        <w:tblW w:w="9337" w:type="dxa"/>
        <w:jc w:val="center"/>
        <w:tblInd w:w="-157" w:type="dxa"/>
        <w:tblBorders>
          <w:top w:val="single" w:sz="8" w:space="0" w:color="4F81BD"/>
          <w:bottom w:val="single" w:sz="8" w:space="0" w:color="4F81BD"/>
        </w:tblBorders>
        <w:tblLook w:val="00A0"/>
      </w:tblPr>
      <w:tblGrid>
        <w:gridCol w:w="9337"/>
      </w:tblGrid>
      <w:tr w:rsidR="00F9496F" w:rsidRPr="004F1B6D" w:rsidTr="00E17F51">
        <w:trPr>
          <w:trHeight w:val="2306"/>
          <w:jc w:val="center"/>
        </w:trPr>
        <w:tc>
          <w:tcPr>
            <w:tcW w:w="9337" w:type="dxa"/>
            <w:tcBorders>
              <w:top w:val="double" w:sz="4" w:space="0" w:color="365F91"/>
              <w:left w:val="double" w:sz="4" w:space="0" w:color="365F91"/>
              <w:bottom w:val="double" w:sz="4" w:space="0" w:color="365F91"/>
              <w:right w:val="double" w:sz="4" w:space="0" w:color="365F91"/>
            </w:tcBorders>
          </w:tcPr>
          <w:p w:rsidR="00F9496F" w:rsidRPr="00E17F51" w:rsidRDefault="00E17F51" w:rsidP="00E17F51">
            <w:pPr>
              <w:tabs>
                <w:tab w:val="left" w:pos="540"/>
              </w:tabs>
              <w:spacing w:after="0" w:line="240" w:lineRule="auto"/>
              <w:ind w:left="-117"/>
              <w:jc w:val="both"/>
              <w:rPr>
                <w:rFonts w:ascii="Times New Roman" w:eastAsia="Times New Roman" w:hAnsi="Times New Roman" w:cs="Times New Roman"/>
                <w:b/>
                <w:i/>
                <w:noProof/>
                <w:color w:val="365F91"/>
                <w:sz w:val="16"/>
                <w:szCs w:val="28"/>
                <w:highlight w:val="lightGray"/>
                <w:lang w:val="ro-RO" w:eastAsia="ru-RU"/>
              </w:rPr>
            </w:pPr>
            <w:r>
              <w:rPr>
                <w:rFonts w:ascii="Times New Roman" w:eastAsia="Times New Roman" w:hAnsi="Times New Roman" w:cs="Times New Roman"/>
                <w:noProof/>
                <w:sz w:val="28"/>
                <w:szCs w:val="28"/>
              </w:rPr>
              <w:drawing>
                <wp:inline distT="0" distB="0" distL="0" distR="0">
                  <wp:extent cx="1946786" cy="152045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print"/>
                          <a:srcRect/>
                          <a:stretch>
                            <a:fillRect/>
                          </a:stretch>
                        </pic:blipFill>
                        <pic:spPr bwMode="auto">
                          <a:xfrm>
                            <a:off x="0" y="0"/>
                            <a:ext cx="1954144" cy="1526201"/>
                          </a:xfrm>
                          <a:prstGeom prst="rect">
                            <a:avLst/>
                          </a:prstGeom>
                          <a:noFill/>
                        </pic:spPr>
                      </pic:pic>
                    </a:graphicData>
                  </a:graphic>
                </wp:inline>
              </w:drawing>
            </w:r>
            <w:r>
              <w:rPr>
                <w:rFonts w:ascii="Times New Roman" w:eastAsia="Times New Roman" w:hAnsi="Times New Roman" w:cs="Times New Roman"/>
                <w:noProof/>
                <w:sz w:val="28"/>
                <w:szCs w:val="28"/>
              </w:rPr>
              <w:drawing>
                <wp:inline distT="0" distB="0" distL="0" distR="0">
                  <wp:extent cx="1922817" cy="1520455"/>
                  <wp:effectExtent l="19050" t="0" r="1233"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cstate="print"/>
                          <a:srcRect/>
                          <a:stretch>
                            <a:fillRect/>
                          </a:stretch>
                        </pic:blipFill>
                        <pic:spPr bwMode="auto">
                          <a:xfrm>
                            <a:off x="0" y="0"/>
                            <a:ext cx="1940276" cy="1534261"/>
                          </a:xfrm>
                          <a:prstGeom prst="rect">
                            <a:avLst/>
                          </a:prstGeom>
                          <a:noFill/>
                        </pic:spPr>
                      </pic:pic>
                    </a:graphicData>
                  </a:graphic>
                </wp:inline>
              </w:drawing>
            </w:r>
            <w:r>
              <w:rPr>
                <w:rFonts w:ascii="Times New Roman" w:eastAsia="Times New Roman" w:hAnsi="Times New Roman" w:cs="Times New Roman"/>
                <w:b/>
                <w:i/>
                <w:noProof/>
                <w:color w:val="365F91"/>
                <w:sz w:val="16"/>
                <w:szCs w:val="28"/>
              </w:rPr>
              <w:drawing>
                <wp:inline distT="0" distB="0" distL="0" distR="0">
                  <wp:extent cx="1905443" cy="1517648"/>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cstate="print"/>
                          <a:srcRect/>
                          <a:stretch>
                            <a:fillRect/>
                          </a:stretch>
                        </pic:blipFill>
                        <pic:spPr bwMode="auto">
                          <a:xfrm>
                            <a:off x="0" y="0"/>
                            <a:ext cx="1906757" cy="1518695"/>
                          </a:xfrm>
                          <a:prstGeom prst="rect">
                            <a:avLst/>
                          </a:prstGeom>
                          <a:noFill/>
                        </pic:spPr>
                      </pic:pic>
                    </a:graphicData>
                  </a:graphic>
                </wp:inline>
              </w:drawing>
            </w:r>
          </w:p>
        </w:tc>
      </w:tr>
    </w:tbl>
    <w:p w:rsidR="00E17F51" w:rsidRPr="008D6420" w:rsidRDefault="00E17F51" w:rsidP="004F1B6D">
      <w:pPr>
        <w:tabs>
          <w:tab w:val="left" w:pos="567"/>
        </w:tabs>
        <w:spacing w:after="0" w:line="240" w:lineRule="auto"/>
        <w:ind w:firstLine="709"/>
        <w:jc w:val="both"/>
        <w:rPr>
          <w:rFonts w:ascii="Times New Roman" w:eastAsia="Times New Roman" w:hAnsi="Times New Roman" w:cs="Times New Roman"/>
          <w:sz w:val="24"/>
          <w:szCs w:val="28"/>
          <w:lang w:val="ro-RO" w:eastAsia="ru-RU"/>
        </w:rPr>
      </w:pPr>
      <w:r w:rsidRPr="008D6420">
        <w:rPr>
          <w:rFonts w:ascii="Times New Roman" w:eastAsia="Times New Roman" w:hAnsi="Times New Roman" w:cs="Times New Roman"/>
          <w:i/>
          <w:sz w:val="24"/>
          <w:szCs w:val="28"/>
          <w:lang w:val="ro-RO" w:eastAsia="ru-RU"/>
        </w:rPr>
        <w:t>Notă:</w:t>
      </w:r>
      <w:r w:rsidRPr="008D6420">
        <w:rPr>
          <w:rFonts w:ascii="Times New Roman" w:eastAsia="Times New Roman" w:hAnsi="Times New Roman" w:cs="Times New Roman"/>
          <w:sz w:val="24"/>
          <w:szCs w:val="28"/>
          <w:lang w:val="ro-RO" w:eastAsia="ru-RU"/>
        </w:rPr>
        <w:t xml:space="preserve"> La calcularea indicatorilor prezentați nu au fost incluse instrumentele de datorie alocarea DST și valorile mobiliare de stat convertite </w:t>
      </w:r>
      <w:r w:rsidR="008D6420">
        <w:rPr>
          <w:rFonts w:ascii="Times New Roman" w:eastAsia="Times New Roman" w:hAnsi="Times New Roman" w:cs="Times New Roman"/>
          <w:sz w:val="24"/>
          <w:szCs w:val="28"/>
          <w:lang w:val="ro-RO" w:eastAsia="ru-RU"/>
        </w:rPr>
        <w:t>datorită condițiilor specifice care le caracterizează.</w:t>
      </w:r>
    </w:p>
    <w:p w:rsidR="008D6420" w:rsidRDefault="008D6420" w:rsidP="004F1B6D">
      <w:pPr>
        <w:tabs>
          <w:tab w:val="left" w:pos="567"/>
        </w:tabs>
        <w:spacing w:after="0" w:line="240" w:lineRule="auto"/>
        <w:ind w:firstLine="709"/>
        <w:jc w:val="both"/>
        <w:rPr>
          <w:rFonts w:ascii="Times New Roman" w:eastAsia="Times New Roman" w:hAnsi="Times New Roman" w:cs="Times New Roman"/>
          <w:sz w:val="28"/>
          <w:szCs w:val="28"/>
          <w:highlight w:val="lightGray"/>
          <w:lang w:val="ro-RO" w:eastAsia="ru-RU"/>
        </w:rPr>
      </w:pPr>
    </w:p>
    <w:p w:rsidR="00F9496F" w:rsidRPr="008D6420" w:rsidRDefault="00F9496F" w:rsidP="004F1B6D">
      <w:pPr>
        <w:tabs>
          <w:tab w:val="left" w:pos="567"/>
        </w:tabs>
        <w:spacing w:after="0" w:line="240" w:lineRule="auto"/>
        <w:ind w:firstLine="709"/>
        <w:jc w:val="both"/>
        <w:rPr>
          <w:rFonts w:ascii="Times New Roman" w:eastAsia="Times New Roman" w:hAnsi="Times New Roman" w:cs="Times New Roman"/>
          <w:sz w:val="28"/>
          <w:szCs w:val="28"/>
          <w:lang w:val="ro-RO" w:eastAsia="ru-RU"/>
        </w:rPr>
      </w:pPr>
      <w:r w:rsidRPr="008D6420">
        <w:rPr>
          <w:rFonts w:ascii="Times New Roman" w:eastAsia="Times New Roman" w:hAnsi="Times New Roman" w:cs="Times New Roman"/>
          <w:sz w:val="28"/>
          <w:szCs w:val="28"/>
          <w:lang w:val="ro-RO" w:eastAsia="ru-RU"/>
        </w:rPr>
        <w:t>Principalele concluzii ce pot fi stabilite în baza datelor prezentate sînt:</w:t>
      </w:r>
    </w:p>
    <w:p w:rsidR="00F9496F" w:rsidRPr="008D6420" w:rsidRDefault="00E678FB" w:rsidP="005F06AC">
      <w:pPr>
        <w:numPr>
          <w:ilvl w:val="0"/>
          <w:numId w:val="6"/>
        </w:numPr>
        <w:tabs>
          <w:tab w:val="left" w:pos="540"/>
          <w:tab w:val="left" w:pos="993"/>
        </w:tabs>
        <w:spacing w:after="0" w:line="240" w:lineRule="auto"/>
        <w:ind w:left="0" w:firstLine="709"/>
        <w:jc w:val="both"/>
        <w:rPr>
          <w:rFonts w:ascii="Times New Roman" w:eastAsia="Times New Roman" w:hAnsi="Times New Roman" w:cs="Times New Roman"/>
          <w:sz w:val="28"/>
          <w:szCs w:val="28"/>
          <w:lang w:val="ro-RO" w:eastAsia="ru-RU"/>
        </w:rPr>
      </w:pPr>
      <w:r w:rsidRPr="008D6420">
        <w:rPr>
          <w:rFonts w:ascii="Times New Roman" w:eastAsia="Times New Roman" w:hAnsi="Times New Roman" w:cs="Times New Roman"/>
          <w:sz w:val="28"/>
          <w:szCs w:val="28"/>
          <w:lang w:val="ro-RO" w:eastAsia="ru-RU"/>
        </w:rPr>
        <w:t xml:space="preserve">volumul datoriei de stat </w:t>
      </w:r>
      <w:r w:rsidR="00F9496F" w:rsidRPr="008D6420">
        <w:rPr>
          <w:rFonts w:ascii="Times New Roman" w:eastAsia="Times New Roman" w:hAnsi="Times New Roman" w:cs="Times New Roman"/>
          <w:sz w:val="28"/>
          <w:szCs w:val="28"/>
          <w:lang w:val="ro-RO" w:eastAsia="ru-RU"/>
        </w:rPr>
        <w:t>prezintă cea mai mare expunere faţă de riscul valuta</w:t>
      </w:r>
      <w:r w:rsidRPr="008D6420">
        <w:rPr>
          <w:rFonts w:ascii="Times New Roman" w:eastAsia="Times New Roman" w:hAnsi="Times New Roman" w:cs="Times New Roman"/>
          <w:sz w:val="28"/>
          <w:szCs w:val="28"/>
          <w:lang w:val="ro-RO" w:eastAsia="ru-RU"/>
        </w:rPr>
        <w:t>r. Astfel, la o depreciere de 30</w:t>
      </w:r>
      <w:r w:rsidR="00F9496F" w:rsidRPr="008D6420">
        <w:rPr>
          <w:rFonts w:ascii="Times New Roman" w:eastAsia="Times New Roman" w:hAnsi="Times New Roman" w:cs="Times New Roman"/>
          <w:sz w:val="28"/>
          <w:szCs w:val="28"/>
          <w:lang w:val="ro-RO" w:eastAsia="ru-RU"/>
        </w:rPr>
        <w:t>% a</w:t>
      </w:r>
      <w:r w:rsidRPr="008D6420">
        <w:rPr>
          <w:rFonts w:ascii="Times New Roman" w:eastAsia="Times New Roman" w:hAnsi="Times New Roman" w:cs="Times New Roman"/>
          <w:sz w:val="28"/>
          <w:szCs w:val="28"/>
          <w:lang w:val="ro-RO" w:eastAsia="ru-RU"/>
        </w:rPr>
        <w:t xml:space="preserve"> leului moldovenesc față de</w:t>
      </w:r>
      <w:r w:rsidR="00F9496F" w:rsidRPr="008D6420">
        <w:rPr>
          <w:rFonts w:ascii="Times New Roman" w:eastAsia="Times New Roman" w:hAnsi="Times New Roman" w:cs="Times New Roman"/>
          <w:sz w:val="28"/>
          <w:szCs w:val="28"/>
          <w:lang w:val="ro-RO" w:eastAsia="ru-RU"/>
        </w:rPr>
        <w:t xml:space="preserve"> dolarul SUA, euro şi yenul japonez, ponderea datoriei de stat în PIB se măreşte cu </w:t>
      </w:r>
      <w:r w:rsidR="008D6420">
        <w:rPr>
          <w:rFonts w:ascii="Times New Roman" w:eastAsia="Times New Roman" w:hAnsi="Times New Roman" w:cs="Times New Roman"/>
          <w:sz w:val="28"/>
          <w:szCs w:val="28"/>
          <w:lang w:val="ro-RO" w:eastAsia="ru-RU"/>
        </w:rPr>
        <w:t>3</w:t>
      </w:r>
      <w:r w:rsidR="00F9496F" w:rsidRPr="008D6420">
        <w:rPr>
          <w:rFonts w:ascii="Times New Roman" w:eastAsia="Times New Roman" w:hAnsi="Times New Roman" w:cs="Times New Roman"/>
          <w:sz w:val="28"/>
          <w:szCs w:val="28"/>
          <w:lang w:val="ro-RO" w:eastAsia="ru-RU"/>
        </w:rPr>
        <w:t>,</w:t>
      </w:r>
      <w:r w:rsidR="008D6420">
        <w:rPr>
          <w:rFonts w:ascii="Times New Roman" w:eastAsia="Times New Roman" w:hAnsi="Times New Roman" w:cs="Times New Roman"/>
          <w:sz w:val="28"/>
          <w:szCs w:val="28"/>
          <w:lang w:val="ro-RO" w:eastAsia="ru-RU"/>
        </w:rPr>
        <w:t>5</w:t>
      </w:r>
      <w:r w:rsidR="00F9496F" w:rsidRPr="008D6420">
        <w:rPr>
          <w:rFonts w:ascii="Times New Roman" w:eastAsia="Times New Roman" w:hAnsi="Times New Roman" w:cs="Times New Roman"/>
          <w:sz w:val="28"/>
          <w:szCs w:val="28"/>
          <w:lang w:val="ro-RO" w:eastAsia="ru-RU"/>
        </w:rPr>
        <w:t xml:space="preserve"> p.p. Majorarea ratelor de dobîndă nu influenţează semnificativ evoluţia acestui indicator;</w:t>
      </w:r>
    </w:p>
    <w:p w:rsidR="00F9496F" w:rsidRPr="008D6420" w:rsidRDefault="00F9496F" w:rsidP="005F06AC">
      <w:pPr>
        <w:numPr>
          <w:ilvl w:val="0"/>
          <w:numId w:val="6"/>
        </w:numPr>
        <w:tabs>
          <w:tab w:val="left" w:pos="540"/>
          <w:tab w:val="left" w:pos="993"/>
        </w:tabs>
        <w:spacing w:after="0" w:line="240" w:lineRule="auto"/>
        <w:ind w:left="0" w:firstLine="709"/>
        <w:jc w:val="both"/>
        <w:rPr>
          <w:rFonts w:ascii="Times New Roman" w:eastAsia="Times New Roman" w:hAnsi="Times New Roman" w:cs="Times New Roman"/>
          <w:sz w:val="28"/>
          <w:szCs w:val="28"/>
          <w:lang w:val="ro-RO" w:eastAsia="ru-RU"/>
        </w:rPr>
      </w:pPr>
      <w:r w:rsidRPr="008D6420">
        <w:rPr>
          <w:rFonts w:ascii="Times New Roman" w:eastAsia="Times New Roman" w:hAnsi="Times New Roman" w:cs="Times New Roman"/>
          <w:sz w:val="28"/>
          <w:szCs w:val="28"/>
          <w:lang w:val="ro-RO" w:eastAsia="ru-RU"/>
        </w:rPr>
        <w:t>serviciul datoriei de stat, adică costul asociat acesteia este expus în cea mai mare măsură riscului ratei de dobîndă. Astfel</w:t>
      </w:r>
      <w:r w:rsidR="00E678FB" w:rsidRPr="008D6420">
        <w:rPr>
          <w:rFonts w:ascii="Times New Roman" w:eastAsia="Times New Roman" w:hAnsi="Times New Roman" w:cs="Times New Roman"/>
          <w:sz w:val="28"/>
          <w:szCs w:val="28"/>
          <w:lang w:val="ro-RO" w:eastAsia="ru-RU"/>
        </w:rPr>
        <w:t>,</w:t>
      </w:r>
      <w:r w:rsidRPr="008D6420">
        <w:rPr>
          <w:rFonts w:ascii="Times New Roman" w:eastAsia="Times New Roman" w:hAnsi="Times New Roman" w:cs="Times New Roman"/>
          <w:sz w:val="28"/>
          <w:szCs w:val="28"/>
          <w:lang w:val="ro-RO" w:eastAsia="ru-RU"/>
        </w:rPr>
        <w:t xml:space="preserve"> în cazul şocului asociat majorării </w:t>
      </w:r>
      <w:r w:rsidR="00E678FB" w:rsidRPr="008D6420">
        <w:rPr>
          <w:rFonts w:ascii="Times New Roman" w:eastAsia="Times New Roman" w:hAnsi="Times New Roman" w:cs="Times New Roman"/>
          <w:sz w:val="28"/>
          <w:szCs w:val="28"/>
          <w:lang w:val="ro-RO" w:eastAsia="ru-RU"/>
        </w:rPr>
        <w:t>considerabile</w:t>
      </w:r>
      <w:r w:rsidRPr="008D6420">
        <w:rPr>
          <w:rFonts w:ascii="Times New Roman" w:eastAsia="Times New Roman" w:hAnsi="Times New Roman" w:cs="Times New Roman"/>
          <w:sz w:val="28"/>
          <w:szCs w:val="28"/>
          <w:lang w:val="ro-RO" w:eastAsia="ru-RU"/>
        </w:rPr>
        <w:t xml:space="preserve"> a ratelor de dobîndă, indicatorul </w:t>
      </w:r>
      <w:r w:rsidR="001C726F">
        <w:rPr>
          <w:rFonts w:ascii="Times New Roman" w:eastAsia="Times New Roman" w:hAnsi="Times New Roman" w:cs="Times New Roman"/>
          <w:sz w:val="28"/>
          <w:szCs w:val="28"/>
          <w:lang w:val="ro-RO" w:eastAsia="ru-RU"/>
        </w:rPr>
        <w:t xml:space="preserve">ponderea </w:t>
      </w:r>
      <w:r w:rsidRPr="008D6420">
        <w:rPr>
          <w:rFonts w:ascii="Times New Roman" w:eastAsia="Times New Roman" w:hAnsi="Times New Roman" w:cs="Times New Roman"/>
          <w:sz w:val="28"/>
          <w:szCs w:val="28"/>
          <w:lang w:val="ro-RO" w:eastAsia="ru-RU"/>
        </w:rPr>
        <w:t>serviciul</w:t>
      </w:r>
      <w:r w:rsidR="001C726F">
        <w:rPr>
          <w:rFonts w:ascii="Times New Roman" w:eastAsia="Times New Roman" w:hAnsi="Times New Roman" w:cs="Times New Roman"/>
          <w:sz w:val="28"/>
          <w:szCs w:val="28"/>
          <w:lang w:val="ro-RO" w:eastAsia="ru-RU"/>
        </w:rPr>
        <w:t>ui</w:t>
      </w:r>
      <w:r w:rsidRPr="008D6420">
        <w:rPr>
          <w:rFonts w:ascii="Times New Roman" w:eastAsia="Times New Roman" w:hAnsi="Times New Roman" w:cs="Times New Roman"/>
          <w:sz w:val="28"/>
          <w:szCs w:val="28"/>
          <w:lang w:val="ro-RO" w:eastAsia="ru-RU"/>
        </w:rPr>
        <w:t xml:space="preserve"> datoriei de stat în PIB se măreşte cu 0,</w:t>
      </w:r>
      <w:r w:rsidR="008D6420">
        <w:rPr>
          <w:rFonts w:ascii="Times New Roman" w:eastAsia="Times New Roman" w:hAnsi="Times New Roman" w:cs="Times New Roman"/>
          <w:sz w:val="28"/>
          <w:szCs w:val="28"/>
          <w:lang w:val="ro-RO" w:eastAsia="ru-RU"/>
        </w:rPr>
        <w:t>6</w:t>
      </w:r>
      <w:r w:rsidRPr="008D6420">
        <w:rPr>
          <w:rFonts w:ascii="Times New Roman" w:eastAsia="Times New Roman" w:hAnsi="Times New Roman" w:cs="Times New Roman"/>
          <w:sz w:val="28"/>
          <w:szCs w:val="28"/>
          <w:lang w:val="ro-RO" w:eastAsia="ru-RU"/>
        </w:rPr>
        <w:t xml:space="preserve"> p.p. sau de </w:t>
      </w:r>
      <w:r w:rsidR="001C726F">
        <w:rPr>
          <w:rFonts w:ascii="Times New Roman" w:eastAsia="Times New Roman" w:hAnsi="Times New Roman" w:cs="Times New Roman"/>
          <w:sz w:val="28"/>
          <w:szCs w:val="28"/>
          <w:lang w:val="ro-RO" w:eastAsia="ru-RU"/>
        </w:rPr>
        <w:t>circa două ori, iar indicatorul ponderea serviciului datoriei de stat în veniturile pe componenta de bază a bugetului de stat se majorează cu 2,2 p.p de la 2,4% pînă la 5,2%. Totodată, modificarea cursului de schimb nu influențează semnificativ acești indicatori;</w:t>
      </w:r>
    </w:p>
    <w:p w:rsidR="005F45C8" w:rsidRDefault="001C726F" w:rsidP="001C726F">
      <w:pPr>
        <w:tabs>
          <w:tab w:val="left" w:pos="709"/>
        </w:tabs>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În concluzie, </w:t>
      </w:r>
      <w:r w:rsidR="005F45C8" w:rsidRPr="008D6420">
        <w:rPr>
          <w:rFonts w:ascii="Times New Roman" w:eastAsia="Times New Roman" w:hAnsi="Times New Roman" w:cs="Times New Roman"/>
          <w:sz w:val="28"/>
          <w:szCs w:val="28"/>
          <w:lang w:val="ro-RO" w:eastAsia="ru-RU"/>
        </w:rPr>
        <w:t>pe termen mediu portofoliul datoriei de stat se încadrează în limite rezonabile în ceea ce priveşte riscurile asociate</w:t>
      </w:r>
      <w:r w:rsidR="005F45C8">
        <w:rPr>
          <w:rFonts w:ascii="Times New Roman" w:eastAsia="Times New Roman" w:hAnsi="Times New Roman" w:cs="Times New Roman"/>
          <w:sz w:val="28"/>
          <w:szCs w:val="28"/>
          <w:lang w:val="ro-RO" w:eastAsia="ru-RU"/>
        </w:rPr>
        <w:t xml:space="preserve">, însă </w:t>
      </w:r>
      <w:r w:rsidR="00F9496F" w:rsidRPr="008D6420">
        <w:rPr>
          <w:rFonts w:ascii="Times New Roman" w:eastAsia="Times New Roman" w:hAnsi="Times New Roman" w:cs="Times New Roman"/>
          <w:sz w:val="28"/>
          <w:szCs w:val="28"/>
          <w:lang w:val="ro-RO" w:eastAsia="ru-RU"/>
        </w:rPr>
        <w:t>risc</w:t>
      </w:r>
      <w:r w:rsidR="005F45C8">
        <w:rPr>
          <w:rFonts w:ascii="Times New Roman" w:eastAsia="Times New Roman" w:hAnsi="Times New Roman" w:cs="Times New Roman"/>
          <w:sz w:val="28"/>
          <w:szCs w:val="28"/>
          <w:lang w:val="ro-RO" w:eastAsia="ru-RU"/>
        </w:rPr>
        <w:t>ul</w:t>
      </w:r>
      <w:r>
        <w:rPr>
          <w:rFonts w:ascii="Times New Roman" w:eastAsia="Times New Roman" w:hAnsi="Times New Roman" w:cs="Times New Roman"/>
          <w:sz w:val="28"/>
          <w:szCs w:val="28"/>
          <w:lang w:val="ro-RO" w:eastAsia="ru-RU"/>
        </w:rPr>
        <w:t xml:space="preserve"> valutar și cel al ratei de dobîndă</w:t>
      </w:r>
      <w:r w:rsidR="00F9496F" w:rsidRPr="008D6420">
        <w:rPr>
          <w:rFonts w:ascii="Times New Roman" w:eastAsia="Times New Roman" w:hAnsi="Times New Roman" w:cs="Times New Roman"/>
          <w:sz w:val="28"/>
          <w:szCs w:val="28"/>
          <w:lang w:val="ro-RO" w:eastAsia="ru-RU"/>
        </w:rPr>
        <w:t xml:space="preserve"> ar putea crea presiuni asupra portofoliului datoriei de stat </w:t>
      </w:r>
      <w:r>
        <w:rPr>
          <w:rFonts w:ascii="Times New Roman" w:eastAsia="Times New Roman" w:hAnsi="Times New Roman" w:cs="Times New Roman"/>
          <w:sz w:val="28"/>
          <w:szCs w:val="28"/>
          <w:lang w:val="ro-RO" w:eastAsia="ru-RU"/>
        </w:rPr>
        <w:t xml:space="preserve">în cazul modificărilor </w:t>
      </w:r>
      <w:r w:rsidR="005F45C8">
        <w:rPr>
          <w:rFonts w:ascii="Times New Roman" w:eastAsia="Times New Roman" w:hAnsi="Times New Roman" w:cs="Times New Roman"/>
          <w:sz w:val="28"/>
          <w:szCs w:val="28"/>
          <w:lang w:val="ro-RO" w:eastAsia="ru-RU"/>
        </w:rPr>
        <w:t>considerabile ale indicatorilor de piață</w:t>
      </w:r>
      <w:r w:rsidR="00F9496F" w:rsidRPr="008D6420">
        <w:rPr>
          <w:rFonts w:ascii="Times New Roman" w:eastAsia="Times New Roman" w:hAnsi="Times New Roman" w:cs="Times New Roman"/>
          <w:sz w:val="28"/>
          <w:szCs w:val="28"/>
          <w:lang w:val="ro-RO" w:eastAsia="ru-RU"/>
        </w:rPr>
        <w:t xml:space="preserve">. </w:t>
      </w:r>
    </w:p>
    <w:p w:rsidR="005F45C8" w:rsidRDefault="005F45C8" w:rsidP="001C726F">
      <w:pPr>
        <w:tabs>
          <w:tab w:val="left" w:pos="709"/>
        </w:tabs>
        <w:spacing w:after="0" w:line="240" w:lineRule="auto"/>
        <w:jc w:val="both"/>
        <w:rPr>
          <w:rFonts w:ascii="Times New Roman" w:eastAsia="Times New Roman" w:hAnsi="Times New Roman" w:cs="Times New Roman"/>
          <w:sz w:val="28"/>
          <w:szCs w:val="28"/>
          <w:lang w:val="ro-RO" w:eastAsia="ru-RU"/>
        </w:rPr>
      </w:pPr>
    </w:p>
    <w:p w:rsidR="00F9496F" w:rsidRPr="004F1B6D" w:rsidRDefault="00F9496F" w:rsidP="004F1B6D">
      <w:pPr>
        <w:keepNext/>
        <w:spacing w:after="0" w:line="240" w:lineRule="auto"/>
        <w:ind w:firstLine="709"/>
        <w:jc w:val="center"/>
        <w:outlineLvl w:val="0"/>
        <w:rPr>
          <w:rFonts w:ascii="Times New Roman" w:eastAsia="Times New Roman" w:hAnsi="Times New Roman" w:cs="Times New Roman"/>
          <w:b/>
          <w:kern w:val="32"/>
          <w:sz w:val="28"/>
          <w:lang w:val="ro-RO" w:eastAsia="ru-RU"/>
        </w:rPr>
      </w:pPr>
      <w:r w:rsidRPr="004F1B6D">
        <w:rPr>
          <w:rFonts w:ascii="Times New Roman" w:eastAsia="Times New Roman" w:hAnsi="Times New Roman" w:cs="Times New Roman"/>
          <w:b/>
          <w:kern w:val="32"/>
          <w:sz w:val="28"/>
          <w:lang w:val="ro-RO" w:eastAsia="ru-RU"/>
        </w:rPr>
        <w:t>Glosar de termeni</w:t>
      </w:r>
    </w:p>
    <w:p w:rsidR="00F9496F" w:rsidRPr="004F1B6D" w:rsidRDefault="00F9496F" w:rsidP="004F1B6D">
      <w:pPr>
        <w:tabs>
          <w:tab w:val="left" w:pos="72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Analiza de sensibilitate</w:t>
      </w:r>
      <w:r w:rsidRPr="004F1B6D">
        <w:rPr>
          <w:rFonts w:ascii="Times New Roman" w:eastAsia="Times New Roman" w:hAnsi="Times New Roman" w:cs="Times New Roman"/>
          <w:sz w:val="28"/>
          <w:szCs w:val="28"/>
          <w:lang w:val="ro-RO" w:eastAsia="ru-RU"/>
        </w:rPr>
        <w:t xml:space="preserve"> – reprezintă o tehnică utilizată pentru a determina modul în care diferite valori ale unei variabile independente vor afecta o anumită variabilă dependentă dat fiind un set de presupuneri.</w:t>
      </w:r>
    </w:p>
    <w:p w:rsidR="00F9496F" w:rsidRPr="004F1B6D" w:rsidRDefault="00F9496F" w:rsidP="004F1B6D">
      <w:pPr>
        <w:tabs>
          <w:tab w:val="left" w:pos="72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ATR (Perioada medie de refixare)</w:t>
      </w:r>
      <w:r w:rsidRPr="004F1B6D">
        <w:rPr>
          <w:rFonts w:ascii="Times New Roman" w:eastAsia="Times New Roman" w:hAnsi="Times New Roman" w:cs="Times New Roman"/>
          <w:sz w:val="28"/>
          <w:szCs w:val="28"/>
          <w:lang w:val="ro-RO" w:eastAsia="ru-RU"/>
        </w:rPr>
        <w:t xml:space="preserve"> – reprezintă indicatorul de măsură a riscului ratei de dobîndă asociat portofoliului datoriei de stat. ATR reprezintă perioada medie, exprimată în ani, pentru care costurile serviciului datoriei de stat sînt fixe. Cu cît mai mare este ponderea datoriei de stat pe termen scurt şi cu rata dobînzii flotantă, cu atît este mai mare riscul ratei de dobîndă şi mai mic ATR. </w:t>
      </w:r>
    </w:p>
    <w:p w:rsidR="00F9496F" w:rsidRPr="004F1B6D" w:rsidRDefault="00F9496F" w:rsidP="004F1B6D">
      <w:pPr>
        <w:tabs>
          <w:tab w:val="left" w:pos="72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ATM (Perioada medie de maturitate)</w:t>
      </w:r>
      <w:r w:rsidRPr="004F1B6D">
        <w:rPr>
          <w:rFonts w:ascii="Times New Roman" w:eastAsia="Times New Roman" w:hAnsi="Times New Roman" w:cs="Times New Roman"/>
          <w:sz w:val="28"/>
          <w:szCs w:val="28"/>
          <w:lang w:val="ro-RO" w:eastAsia="ru-RU"/>
        </w:rPr>
        <w:t xml:space="preserve"> – reprezintă indicatorul de măsură a riscului de refinanţare asociat portofoliului datoriei de stat. ATM este perioada medie, exprimată în ani, în care toată datoria existentă va fi rambursată. Cu cît mai mare este maturitatea instrumentelor de datorie, cu atît mai mic este riscul de refinanţare şi mai mare ATM.</w:t>
      </w:r>
    </w:p>
    <w:p w:rsidR="00F9496F" w:rsidRPr="004F1B6D" w:rsidRDefault="00F9496F" w:rsidP="004F1B6D">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Managementul riscurilor datoriei de stat</w:t>
      </w:r>
      <w:r w:rsidRPr="004F1B6D">
        <w:rPr>
          <w:rFonts w:ascii="Times New Roman" w:eastAsia="Times New Roman" w:hAnsi="Times New Roman" w:cs="Times New Roman"/>
          <w:sz w:val="28"/>
          <w:szCs w:val="28"/>
          <w:lang w:val="ro-RO" w:eastAsia="ru-RU"/>
        </w:rPr>
        <w:t xml:space="preserve"> – este orientat spre menţinerea unei structuri optime a datoriei de stat. Cu toate acestea, este un proces strîns legat de şi direct îndreptat pe mai multe dimensiuni, precum:</w:t>
      </w:r>
    </w:p>
    <w:p w:rsidR="00F9496F" w:rsidRPr="004F1B6D" w:rsidRDefault="00F9496F" w:rsidP="004F1B6D">
      <w:pPr>
        <w:numPr>
          <w:ilvl w:val="0"/>
          <w:numId w:val="1"/>
        </w:numPr>
        <w:tabs>
          <w:tab w:val="clear" w:pos="1725"/>
          <w:tab w:val="left" w:pos="540"/>
          <w:tab w:val="num" w:pos="1134"/>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cadrul macroeconomic</w:t>
      </w:r>
      <w:r w:rsidRPr="004F1B6D">
        <w:rPr>
          <w:rFonts w:ascii="Times New Roman" w:eastAsia="Times New Roman" w:hAnsi="Times New Roman" w:cs="Times New Roman"/>
          <w:sz w:val="28"/>
          <w:szCs w:val="28"/>
          <w:lang w:val="ro-RO" w:eastAsia="ru-RU"/>
        </w:rPr>
        <w:t xml:space="preserve"> (creşterea economică în Moldova şi în restul lumii, rata inflaţiei, crizele economice globale);</w:t>
      </w:r>
    </w:p>
    <w:p w:rsidR="00F9496F" w:rsidRPr="004F1B6D" w:rsidRDefault="00F9496F" w:rsidP="004F1B6D">
      <w:pPr>
        <w:numPr>
          <w:ilvl w:val="0"/>
          <w:numId w:val="1"/>
        </w:numPr>
        <w:tabs>
          <w:tab w:val="clear" w:pos="1725"/>
          <w:tab w:val="left" w:pos="540"/>
          <w:tab w:val="num" w:pos="1134"/>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cadrul bugetar-fiscal</w:t>
      </w:r>
      <w:r w:rsidRPr="004F1B6D">
        <w:rPr>
          <w:rFonts w:ascii="Times New Roman" w:eastAsia="Times New Roman" w:hAnsi="Times New Roman" w:cs="Times New Roman"/>
          <w:sz w:val="28"/>
          <w:szCs w:val="28"/>
          <w:lang w:val="ro-RO" w:eastAsia="ru-RU"/>
        </w:rPr>
        <w:t xml:space="preserve"> (volumul necesităţilor de finanţare);</w:t>
      </w:r>
    </w:p>
    <w:p w:rsidR="00F9496F" w:rsidRPr="004F1B6D" w:rsidRDefault="00F9496F" w:rsidP="004F1B6D">
      <w:pPr>
        <w:numPr>
          <w:ilvl w:val="0"/>
          <w:numId w:val="1"/>
        </w:numPr>
        <w:tabs>
          <w:tab w:val="clear" w:pos="1725"/>
          <w:tab w:val="left" w:pos="540"/>
          <w:tab w:val="num" w:pos="1134"/>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condiţiile pieţei</w:t>
      </w:r>
      <w:r w:rsidRPr="004F1B6D">
        <w:rPr>
          <w:rFonts w:ascii="Times New Roman" w:eastAsia="Times New Roman" w:hAnsi="Times New Roman" w:cs="Times New Roman"/>
          <w:sz w:val="28"/>
          <w:szCs w:val="28"/>
          <w:lang w:val="ro-RO" w:eastAsia="ru-RU"/>
        </w:rPr>
        <w:t xml:space="preserve"> (nivelul ratelor dobînzii pe piaţa autohtonă şi internaţională, cursul valutar, cererea pentru valorile mobiliare de stat);</w:t>
      </w:r>
    </w:p>
    <w:p w:rsidR="00F9496F" w:rsidRPr="004F1B6D" w:rsidRDefault="00F9496F" w:rsidP="004F1B6D">
      <w:pPr>
        <w:numPr>
          <w:ilvl w:val="0"/>
          <w:numId w:val="1"/>
        </w:numPr>
        <w:tabs>
          <w:tab w:val="clear" w:pos="1725"/>
          <w:tab w:val="left" w:pos="540"/>
          <w:tab w:val="num" w:pos="1134"/>
        </w:tabs>
        <w:spacing w:after="0" w:line="240" w:lineRule="auto"/>
        <w:ind w:left="0"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cadrul instituţional şi legal</w:t>
      </w:r>
      <w:r w:rsidRPr="004F1B6D">
        <w:rPr>
          <w:rFonts w:ascii="Times New Roman" w:eastAsia="Times New Roman" w:hAnsi="Times New Roman" w:cs="Times New Roman"/>
          <w:sz w:val="28"/>
          <w:szCs w:val="28"/>
          <w:lang w:val="ro-RO" w:eastAsia="ru-RU"/>
        </w:rPr>
        <w:t xml:space="preserve"> (modificări în legislaţie).</w:t>
      </w:r>
    </w:p>
    <w:p w:rsidR="00F9496F" w:rsidRPr="004F1B6D" w:rsidRDefault="00F9496F" w:rsidP="004F1B6D">
      <w:pPr>
        <w:tabs>
          <w:tab w:val="left" w:pos="72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Riscurile de piaţă</w:t>
      </w:r>
      <w:r w:rsidRPr="004F1B6D">
        <w:rPr>
          <w:rFonts w:ascii="Times New Roman" w:eastAsia="Times New Roman" w:hAnsi="Times New Roman" w:cs="Times New Roman"/>
          <w:sz w:val="28"/>
          <w:szCs w:val="28"/>
          <w:lang w:val="ro-RO" w:eastAsia="ru-RU"/>
        </w:rPr>
        <w:t xml:space="preserve"> – se referă la riscurile asociate cu modificările preţurilor de piaţă, cum ar fi ratele de dobîndă, ratele de schimb valutar etc. şi impactul acestora asupra costurilor deservirii datoriei de stat.</w:t>
      </w:r>
    </w:p>
    <w:p w:rsidR="00F9496F" w:rsidRPr="004F1B6D" w:rsidRDefault="00F9496F" w:rsidP="004F1B6D">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Riscul de refinanţare</w:t>
      </w:r>
      <w:r w:rsidRPr="004F1B6D">
        <w:rPr>
          <w:rFonts w:ascii="Times New Roman" w:eastAsia="Times New Roman" w:hAnsi="Times New Roman" w:cs="Times New Roman"/>
          <w:sz w:val="28"/>
          <w:szCs w:val="28"/>
          <w:lang w:val="ro-RO" w:eastAsia="ru-RU"/>
        </w:rPr>
        <w:t xml:space="preserve"> – acest tip de risc este strîns legat de riscul ratei dobînzii şi se referă la probabilitatea incapacităţii de obţinere de noi surse de finanţare pe măsură ce datoria ajunge la scadenţă sau obţinerea finanţării la costuri foarte înalte</w:t>
      </w:r>
      <w:r w:rsidRPr="004F1B6D">
        <w:rPr>
          <w:rFonts w:ascii="Times New Roman" w:eastAsia="Times New Roman" w:hAnsi="Times New Roman" w:cs="Times New Roman"/>
          <w:bCs/>
          <w:sz w:val="28"/>
          <w:szCs w:val="28"/>
          <w:lang w:val="ro-RO" w:eastAsia="ru-RU"/>
        </w:rPr>
        <w:t>, fapt care depinde de nivelul de dezvoltare al pieţei financiare interne (lichiditatea şi evoluţiile ratelor dobînzilor în lei)</w:t>
      </w:r>
      <w:r w:rsidRPr="004F1B6D">
        <w:rPr>
          <w:rFonts w:ascii="Times New Roman" w:eastAsia="Times New Roman" w:hAnsi="Times New Roman" w:cs="Times New Roman"/>
          <w:sz w:val="28"/>
          <w:szCs w:val="28"/>
          <w:lang w:val="ro-RO" w:eastAsia="ru-RU"/>
        </w:rPr>
        <w:t xml:space="preserve">, precum şi de evoluţia pieţelor financiare internaţionale. </w:t>
      </w:r>
    </w:p>
    <w:p w:rsidR="00F9496F" w:rsidRPr="004F1B6D" w:rsidRDefault="00F9496F" w:rsidP="004F1B6D">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ab/>
      </w:r>
      <w:r w:rsidRPr="004F1B6D">
        <w:rPr>
          <w:rFonts w:ascii="Times New Roman" w:eastAsia="Times New Roman" w:hAnsi="Times New Roman" w:cs="Times New Roman"/>
          <w:color w:val="000000"/>
          <w:sz w:val="28"/>
          <w:szCs w:val="28"/>
          <w:lang w:val="ro-RO" w:eastAsia="ru-RU"/>
        </w:rPr>
        <w:t>Dat fiind faptul că riscul de refinanţare se limitează la riscul că datoria va putea fi refinanţată la rate de dobîndă ridicate, acesta poate fi considerat ca aparţinînd riscurilor de piaţă. Cu toate astea, incapacitatea de refinanţare a datoriei şi/sau majorarea considerabilă a costurilor de finanţare poate evolua într-o criză a datoriei şi, prin urmare, poate cauza pierderi economice reale. Din acest motiv,  în plus la efectele pur financiare ale ratelor de dobîndă ridicate, acest tip de risc este, de obicei, tratat separat.</w:t>
      </w:r>
    </w:p>
    <w:p w:rsidR="00F9496F" w:rsidRPr="004F1B6D" w:rsidRDefault="00F9496F" w:rsidP="004F1B6D">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i/>
          <w:sz w:val="28"/>
          <w:szCs w:val="28"/>
          <w:lang w:val="ro-RO" w:eastAsia="ru-RU"/>
        </w:rPr>
        <w:t>Riscul operaţional</w:t>
      </w:r>
      <w:r w:rsidRPr="004F1B6D">
        <w:rPr>
          <w:rFonts w:ascii="Times New Roman" w:eastAsia="Times New Roman" w:hAnsi="Times New Roman" w:cs="Times New Roman"/>
          <w:sz w:val="28"/>
          <w:szCs w:val="28"/>
          <w:lang w:val="ro-RO" w:eastAsia="ru-RU"/>
        </w:rPr>
        <w:t xml:space="preserve"> – include o multitudine de diferite tipuri de riscuri, cum ar fi erori la diferite etape în executarea şi înregistrarea tranzacţiilor, imperfecţiuni sau eşecuri în controalele interne, sau în sisteme şi servicii, riscuri juridice, încălcări ale securităţii sau calamităţi naturale care pot afecta activitatea de afaceri.</w:t>
      </w:r>
    </w:p>
    <w:p w:rsidR="00F9496F" w:rsidRPr="004F1B6D" w:rsidRDefault="00F9496F" w:rsidP="004F1B6D">
      <w:pPr>
        <w:tabs>
          <w:tab w:val="left" w:pos="540"/>
        </w:tabs>
        <w:spacing w:after="0" w:line="240" w:lineRule="auto"/>
        <w:ind w:firstLine="709"/>
        <w:jc w:val="both"/>
        <w:rPr>
          <w:rFonts w:ascii="Times New Roman" w:eastAsia="Times New Roman" w:hAnsi="Times New Roman" w:cs="Times New Roman"/>
          <w:sz w:val="28"/>
          <w:szCs w:val="28"/>
          <w:lang w:val="ro-RO" w:eastAsia="ru-RU"/>
        </w:rPr>
      </w:pPr>
      <w:r w:rsidRPr="004F1B6D">
        <w:rPr>
          <w:rFonts w:ascii="Times New Roman" w:eastAsia="Times New Roman" w:hAnsi="Times New Roman" w:cs="Times New Roman"/>
          <w:sz w:val="28"/>
          <w:szCs w:val="28"/>
          <w:lang w:val="ro-RO" w:eastAsia="ru-RU"/>
        </w:rPr>
        <w:tab/>
      </w:r>
      <w:r w:rsidRPr="004F1B6D">
        <w:rPr>
          <w:rFonts w:ascii="Times New Roman" w:eastAsia="Times New Roman" w:hAnsi="Times New Roman" w:cs="Times New Roman"/>
          <w:i/>
          <w:sz w:val="28"/>
          <w:szCs w:val="28"/>
          <w:lang w:val="ro-RO" w:eastAsia="ru-RU"/>
        </w:rPr>
        <w:t>Riscul ratei de dobîndă</w:t>
      </w:r>
      <w:r w:rsidRPr="004F1B6D">
        <w:rPr>
          <w:rFonts w:ascii="Times New Roman" w:eastAsia="Times New Roman" w:hAnsi="Times New Roman" w:cs="Times New Roman"/>
          <w:sz w:val="28"/>
          <w:szCs w:val="28"/>
          <w:lang w:val="ro-RO" w:eastAsia="ru-RU"/>
        </w:rPr>
        <w:t xml:space="preserve"> – reprezintă riscul modificării ratelor de dobîndă pe piaţa financiară internă sau externă şi este influenţat de volatilitatea ratelor de dobîndă, politica monetară şi bugetară, evoluţia pieţelor financiare internaţionale. Aceste modificări pot influenţa asimetric costurile datoriei în raport cu bugetul de stat şi pot conduce la devieri faţă de bugetul planificat. Portofoliul datoriei de stat este expus riscului ratei de dobîndă prin datoria contractată la rate flotante şi prin datoria care ajunge la scadenţă şi urmează a fi refinanţată în decurs de un an. În ambele cazuri, ratele de dobîndă sunt ajustate în conformitate cu ratele curente de pe piaţă.</w:t>
      </w:r>
    </w:p>
    <w:p w:rsidR="00F9496F" w:rsidRPr="004F1B6D" w:rsidRDefault="00F9496F" w:rsidP="004F1B6D">
      <w:pPr>
        <w:spacing w:after="0" w:line="240" w:lineRule="auto"/>
        <w:ind w:firstLine="709"/>
        <w:jc w:val="both"/>
        <w:rPr>
          <w:lang w:val="ro-RO"/>
        </w:rPr>
      </w:pPr>
      <w:r w:rsidRPr="004F1B6D">
        <w:rPr>
          <w:rFonts w:ascii="Times New Roman" w:eastAsia="Times New Roman" w:hAnsi="Times New Roman" w:cs="Times New Roman"/>
          <w:sz w:val="28"/>
          <w:szCs w:val="28"/>
          <w:lang w:val="ro-RO" w:eastAsia="ru-RU"/>
        </w:rPr>
        <w:tab/>
      </w:r>
      <w:r w:rsidRPr="004F1B6D">
        <w:rPr>
          <w:rFonts w:ascii="Times New Roman" w:eastAsia="Times New Roman" w:hAnsi="Times New Roman" w:cs="Times New Roman"/>
          <w:i/>
          <w:sz w:val="28"/>
          <w:szCs w:val="28"/>
          <w:lang w:val="ro-RO" w:eastAsia="ru-RU"/>
        </w:rPr>
        <w:t>Riscul valutar</w:t>
      </w:r>
      <w:r w:rsidRPr="004F1B6D">
        <w:rPr>
          <w:rFonts w:ascii="Times New Roman" w:eastAsia="Times New Roman" w:hAnsi="Times New Roman" w:cs="Times New Roman"/>
          <w:sz w:val="28"/>
          <w:szCs w:val="28"/>
          <w:lang w:val="ro-RO" w:eastAsia="ru-RU"/>
        </w:rPr>
        <w:t xml:space="preserve"> – este parte componentă a riscului de piaţă şi exprimă posibilitatea ca fluctuaţia </w:t>
      </w:r>
      <w:r w:rsidRPr="004F1B6D">
        <w:rPr>
          <w:rFonts w:ascii="Times New Roman" w:eastAsia="Times New Roman" w:hAnsi="Times New Roman" w:cs="Times New Roman"/>
          <w:bCs/>
          <w:sz w:val="28"/>
          <w:szCs w:val="28"/>
          <w:lang w:val="ro-RO" w:eastAsia="ru-RU"/>
        </w:rPr>
        <w:t>cursurilor de schimb să afecteze negativ sau pozitiv costurile datoriei de stat, avînd un impact şi asupra bugetului. Datoria exprimată în valută străină sporeşte volatilitatea costurilor deservirii datoriei de stat exprimate în monedă naţională.</w:t>
      </w:r>
    </w:p>
    <w:sectPr w:rsidR="00F9496F" w:rsidRPr="004F1B6D" w:rsidSect="006F39D4">
      <w:footerReference w:type="default" r:id="rId30"/>
      <w:pgSz w:w="11907" w:h="16839" w:code="9"/>
      <w:pgMar w:top="1134" w:right="850"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8E5" w:rsidRDefault="005F58E5" w:rsidP="006F39D4">
      <w:pPr>
        <w:spacing w:after="0" w:line="240" w:lineRule="auto"/>
      </w:pPr>
      <w:r>
        <w:separator/>
      </w:r>
    </w:p>
  </w:endnote>
  <w:endnote w:type="continuationSeparator" w:id="1">
    <w:p w:rsidR="005F58E5" w:rsidRDefault="005F58E5" w:rsidP="006F3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64876"/>
      <w:docPartObj>
        <w:docPartGallery w:val="Page Numbers (Bottom of Page)"/>
        <w:docPartUnique/>
      </w:docPartObj>
    </w:sdtPr>
    <w:sdtContent>
      <w:p w:rsidR="005F58E5" w:rsidRDefault="005F58E5">
        <w:pPr>
          <w:pStyle w:val="Footer"/>
          <w:jc w:val="right"/>
        </w:pPr>
        <w:fldSimple w:instr=" PAGE   \* MERGEFORMAT ">
          <w:r w:rsidR="003F0E43">
            <w:rPr>
              <w:noProof/>
            </w:rPr>
            <w:t>1</w:t>
          </w:r>
        </w:fldSimple>
      </w:p>
    </w:sdtContent>
  </w:sdt>
  <w:p w:rsidR="005F58E5" w:rsidRDefault="005F5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8E5" w:rsidRDefault="005F58E5" w:rsidP="006F39D4">
      <w:pPr>
        <w:spacing w:after="0" w:line="240" w:lineRule="auto"/>
      </w:pPr>
      <w:r>
        <w:separator/>
      </w:r>
    </w:p>
  </w:footnote>
  <w:footnote w:type="continuationSeparator" w:id="1">
    <w:p w:rsidR="005F58E5" w:rsidRDefault="005F58E5" w:rsidP="006F39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671"/>
    <w:multiLevelType w:val="hybridMultilevel"/>
    <w:tmpl w:val="6648427C"/>
    <w:lvl w:ilvl="0" w:tplc="9C087768">
      <w:start w:val="6"/>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04A30BD1"/>
    <w:multiLevelType w:val="hybridMultilevel"/>
    <w:tmpl w:val="0520FF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DB189A"/>
    <w:multiLevelType w:val="hybridMultilevel"/>
    <w:tmpl w:val="A3FC894C"/>
    <w:lvl w:ilvl="0" w:tplc="87FE96D0">
      <w:start w:val="1"/>
      <w:numFmt w:val="lowerLetter"/>
      <w:lvlText w:val="%1)"/>
      <w:lvlJc w:val="left"/>
      <w:pPr>
        <w:ind w:left="770" w:hanging="360"/>
      </w:pPr>
      <w:rPr>
        <w:rFonts w:ascii="Times New Roman" w:eastAsia="Times New Roman" w:hAnsi="Times New Roman" w:cs="Times New Roman"/>
      </w:rPr>
    </w:lvl>
    <w:lvl w:ilvl="1" w:tplc="04090003">
      <w:start w:val="1"/>
      <w:numFmt w:val="bullet"/>
      <w:lvlText w:val="o"/>
      <w:lvlJc w:val="left"/>
      <w:pPr>
        <w:ind w:left="149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hint="default"/>
      </w:rPr>
    </w:lvl>
    <w:lvl w:ilvl="8" w:tplc="04090005">
      <w:start w:val="1"/>
      <w:numFmt w:val="bullet"/>
      <w:lvlText w:val=""/>
      <w:lvlJc w:val="left"/>
      <w:pPr>
        <w:ind w:left="6530" w:hanging="360"/>
      </w:pPr>
      <w:rPr>
        <w:rFonts w:ascii="Wingdings" w:hAnsi="Wingdings" w:hint="default"/>
      </w:rPr>
    </w:lvl>
  </w:abstractNum>
  <w:abstractNum w:abstractNumId="3">
    <w:nsid w:val="0C221ABE"/>
    <w:multiLevelType w:val="hybridMultilevel"/>
    <w:tmpl w:val="FAD8C976"/>
    <w:lvl w:ilvl="0" w:tplc="4576451A">
      <w:start w:val="1"/>
      <w:numFmt w:val="decimal"/>
      <w:lvlText w:val="%1)"/>
      <w:lvlJc w:val="left"/>
      <w:pPr>
        <w:ind w:left="786" w:hanging="360"/>
      </w:pPr>
      <w:rPr>
        <w:rFonts w:cs="Times New Roman" w:hint="default"/>
        <w:b/>
        <w:i/>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4">
    <w:nsid w:val="0F084C3D"/>
    <w:multiLevelType w:val="hybridMultilevel"/>
    <w:tmpl w:val="6C241416"/>
    <w:lvl w:ilvl="0" w:tplc="1332B9D4">
      <w:start w:val="1"/>
      <w:numFmt w:val="decimal"/>
      <w:lvlText w:val="%1)"/>
      <w:lvlJc w:val="left"/>
      <w:pPr>
        <w:ind w:left="1256" w:hanging="360"/>
      </w:pPr>
      <w:rPr>
        <w:rFonts w:cs="Times New Roman" w:hint="default"/>
      </w:rPr>
    </w:lvl>
    <w:lvl w:ilvl="1" w:tplc="04090019">
      <w:start w:val="1"/>
      <w:numFmt w:val="lowerLetter"/>
      <w:lvlText w:val="%2."/>
      <w:lvlJc w:val="left"/>
      <w:pPr>
        <w:ind w:left="1976" w:hanging="360"/>
      </w:pPr>
      <w:rPr>
        <w:rFonts w:cs="Times New Roman"/>
      </w:rPr>
    </w:lvl>
    <w:lvl w:ilvl="2" w:tplc="0409001B">
      <w:start w:val="1"/>
      <w:numFmt w:val="lowerRoman"/>
      <w:lvlText w:val="%3."/>
      <w:lvlJc w:val="right"/>
      <w:pPr>
        <w:ind w:left="2696" w:hanging="180"/>
      </w:pPr>
      <w:rPr>
        <w:rFonts w:cs="Times New Roman"/>
      </w:rPr>
    </w:lvl>
    <w:lvl w:ilvl="3" w:tplc="0409000F">
      <w:start w:val="1"/>
      <w:numFmt w:val="decimal"/>
      <w:lvlText w:val="%4."/>
      <w:lvlJc w:val="left"/>
      <w:pPr>
        <w:ind w:left="3416" w:hanging="360"/>
      </w:pPr>
      <w:rPr>
        <w:rFonts w:cs="Times New Roman"/>
      </w:rPr>
    </w:lvl>
    <w:lvl w:ilvl="4" w:tplc="04090019">
      <w:start w:val="1"/>
      <w:numFmt w:val="lowerLetter"/>
      <w:lvlText w:val="%5."/>
      <w:lvlJc w:val="left"/>
      <w:pPr>
        <w:ind w:left="4136" w:hanging="360"/>
      </w:pPr>
      <w:rPr>
        <w:rFonts w:cs="Times New Roman"/>
      </w:rPr>
    </w:lvl>
    <w:lvl w:ilvl="5" w:tplc="0409001B">
      <w:start w:val="1"/>
      <w:numFmt w:val="lowerRoman"/>
      <w:lvlText w:val="%6."/>
      <w:lvlJc w:val="right"/>
      <w:pPr>
        <w:ind w:left="4856" w:hanging="180"/>
      </w:pPr>
      <w:rPr>
        <w:rFonts w:cs="Times New Roman"/>
      </w:rPr>
    </w:lvl>
    <w:lvl w:ilvl="6" w:tplc="0409000F">
      <w:start w:val="1"/>
      <w:numFmt w:val="decimal"/>
      <w:lvlText w:val="%7."/>
      <w:lvlJc w:val="left"/>
      <w:pPr>
        <w:ind w:left="5576" w:hanging="360"/>
      </w:pPr>
      <w:rPr>
        <w:rFonts w:cs="Times New Roman"/>
      </w:rPr>
    </w:lvl>
    <w:lvl w:ilvl="7" w:tplc="04090019">
      <w:start w:val="1"/>
      <w:numFmt w:val="lowerLetter"/>
      <w:lvlText w:val="%8."/>
      <w:lvlJc w:val="left"/>
      <w:pPr>
        <w:ind w:left="6296" w:hanging="360"/>
      </w:pPr>
      <w:rPr>
        <w:rFonts w:cs="Times New Roman"/>
      </w:rPr>
    </w:lvl>
    <w:lvl w:ilvl="8" w:tplc="0409001B">
      <w:start w:val="1"/>
      <w:numFmt w:val="lowerRoman"/>
      <w:lvlText w:val="%9."/>
      <w:lvlJc w:val="right"/>
      <w:pPr>
        <w:ind w:left="7016" w:hanging="180"/>
      </w:pPr>
      <w:rPr>
        <w:rFonts w:cs="Times New Roman"/>
      </w:rPr>
    </w:lvl>
  </w:abstractNum>
  <w:abstractNum w:abstractNumId="5">
    <w:nsid w:val="21C95C80"/>
    <w:multiLevelType w:val="hybridMultilevel"/>
    <w:tmpl w:val="DC589CCA"/>
    <w:lvl w:ilvl="0" w:tplc="FC841E6E">
      <w:start w:val="1"/>
      <w:numFmt w:val="lowerLetter"/>
      <w:lvlText w:val="%1)"/>
      <w:lvlJc w:val="left"/>
      <w:pPr>
        <w:tabs>
          <w:tab w:val="num" w:pos="1725"/>
        </w:tabs>
        <w:ind w:left="1725" w:hanging="100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2805044D"/>
    <w:multiLevelType w:val="hybridMultilevel"/>
    <w:tmpl w:val="77B4C88A"/>
    <w:lvl w:ilvl="0" w:tplc="FA3C6462">
      <w:start w:val="1"/>
      <w:numFmt w:val="lowerLetter"/>
      <w:lvlText w:val="%1)"/>
      <w:lvlJc w:val="left"/>
      <w:pPr>
        <w:ind w:left="1509" w:hanging="360"/>
      </w:pPr>
      <w:rPr>
        <w:sz w:val="28"/>
        <w:szCs w:val="28"/>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7">
    <w:nsid w:val="3B223CDA"/>
    <w:multiLevelType w:val="hybridMultilevel"/>
    <w:tmpl w:val="22B6E3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B2D7F59"/>
    <w:multiLevelType w:val="hybridMultilevel"/>
    <w:tmpl w:val="E53478DC"/>
    <w:lvl w:ilvl="0" w:tplc="1FBCBF98">
      <w:start w:val="1"/>
      <w:numFmt w:val="decimal"/>
      <w:lvlText w:val="%1)"/>
      <w:lvlJc w:val="left"/>
      <w:pPr>
        <w:ind w:left="928" w:hanging="360"/>
      </w:pPr>
      <w:rPr>
        <w:rFonts w:cs="Times New Roman" w:hint="default"/>
        <w:b/>
        <w:i/>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9">
    <w:nsid w:val="442E6077"/>
    <w:multiLevelType w:val="hybridMultilevel"/>
    <w:tmpl w:val="5CACCE8C"/>
    <w:lvl w:ilvl="0" w:tplc="8CF2903C">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673691E"/>
    <w:multiLevelType w:val="hybridMultilevel"/>
    <w:tmpl w:val="C674FC0A"/>
    <w:lvl w:ilvl="0" w:tplc="B212E186">
      <w:start w:val="1"/>
      <w:numFmt w:val="decimal"/>
      <w:lvlText w:val="%1."/>
      <w:lvlJc w:val="left"/>
      <w:pPr>
        <w:ind w:left="1236" w:hanging="810"/>
      </w:pPr>
      <w:rPr>
        <w:rFonts w:cs="Times New Roman" w:hint="default"/>
        <w:b/>
      </w:rPr>
    </w:lvl>
    <w:lvl w:ilvl="1" w:tplc="04090019">
      <w:start w:val="1"/>
      <w:numFmt w:val="lowerLetter"/>
      <w:lvlText w:val="%2."/>
      <w:lvlJc w:val="left"/>
      <w:pPr>
        <w:ind w:left="1619" w:hanging="360"/>
      </w:pPr>
      <w:rPr>
        <w:rFonts w:cs="Times New Roman"/>
      </w:rPr>
    </w:lvl>
    <w:lvl w:ilvl="2" w:tplc="0409001B">
      <w:start w:val="1"/>
      <w:numFmt w:val="lowerRoman"/>
      <w:lvlText w:val="%3."/>
      <w:lvlJc w:val="right"/>
      <w:pPr>
        <w:ind w:left="2339" w:hanging="180"/>
      </w:pPr>
      <w:rPr>
        <w:rFonts w:cs="Times New Roman"/>
      </w:rPr>
    </w:lvl>
    <w:lvl w:ilvl="3" w:tplc="0409000F">
      <w:start w:val="1"/>
      <w:numFmt w:val="decimal"/>
      <w:lvlText w:val="%4."/>
      <w:lvlJc w:val="left"/>
      <w:pPr>
        <w:ind w:left="3059" w:hanging="360"/>
      </w:pPr>
      <w:rPr>
        <w:rFonts w:cs="Times New Roman"/>
      </w:rPr>
    </w:lvl>
    <w:lvl w:ilvl="4" w:tplc="04090019">
      <w:start w:val="1"/>
      <w:numFmt w:val="lowerLetter"/>
      <w:lvlText w:val="%5."/>
      <w:lvlJc w:val="left"/>
      <w:pPr>
        <w:ind w:left="3779" w:hanging="360"/>
      </w:pPr>
      <w:rPr>
        <w:rFonts w:cs="Times New Roman"/>
      </w:rPr>
    </w:lvl>
    <w:lvl w:ilvl="5" w:tplc="0409001B">
      <w:start w:val="1"/>
      <w:numFmt w:val="lowerRoman"/>
      <w:lvlText w:val="%6."/>
      <w:lvlJc w:val="right"/>
      <w:pPr>
        <w:ind w:left="4499" w:hanging="180"/>
      </w:pPr>
      <w:rPr>
        <w:rFonts w:cs="Times New Roman"/>
      </w:rPr>
    </w:lvl>
    <w:lvl w:ilvl="6" w:tplc="0409000F">
      <w:start w:val="1"/>
      <w:numFmt w:val="decimal"/>
      <w:lvlText w:val="%7."/>
      <w:lvlJc w:val="left"/>
      <w:pPr>
        <w:ind w:left="5219" w:hanging="360"/>
      </w:pPr>
      <w:rPr>
        <w:rFonts w:cs="Times New Roman"/>
      </w:rPr>
    </w:lvl>
    <w:lvl w:ilvl="7" w:tplc="04090019">
      <w:start w:val="1"/>
      <w:numFmt w:val="lowerLetter"/>
      <w:lvlText w:val="%8."/>
      <w:lvlJc w:val="left"/>
      <w:pPr>
        <w:ind w:left="5939" w:hanging="360"/>
      </w:pPr>
      <w:rPr>
        <w:rFonts w:cs="Times New Roman"/>
      </w:rPr>
    </w:lvl>
    <w:lvl w:ilvl="8" w:tplc="0409001B">
      <w:start w:val="1"/>
      <w:numFmt w:val="lowerRoman"/>
      <w:lvlText w:val="%9."/>
      <w:lvlJc w:val="right"/>
      <w:pPr>
        <w:ind w:left="6659" w:hanging="180"/>
      </w:pPr>
      <w:rPr>
        <w:rFonts w:cs="Times New Roman"/>
      </w:rPr>
    </w:lvl>
  </w:abstractNum>
  <w:abstractNum w:abstractNumId="11">
    <w:nsid w:val="5126685C"/>
    <w:multiLevelType w:val="hybridMultilevel"/>
    <w:tmpl w:val="52922706"/>
    <w:lvl w:ilvl="0" w:tplc="69CE6E56">
      <w:start w:val="2"/>
      <w:numFmt w:val="decimal"/>
      <w:lvlText w:val="%1)"/>
      <w:lvlJc w:val="left"/>
      <w:pPr>
        <w:ind w:left="960" w:hanging="360"/>
      </w:pPr>
      <w:rPr>
        <w:rFonts w:cs="Times New Roman" w:hint="default"/>
        <w:i/>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5797068B"/>
    <w:multiLevelType w:val="hybridMultilevel"/>
    <w:tmpl w:val="37FAD1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D6B1CD5"/>
    <w:multiLevelType w:val="hybridMultilevel"/>
    <w:tmpl w:val="0018F168"/>
    <w:lvl w:ilvl="0" w:tplc="C0F046B8">
      <w:start w:val="1"/>
      <w:numFmt w:val="lowerLetter"/>
      <w:lvlText w:val="%1)"/>
      <w:lvlJc w:val="left"/>
      <w:pPr>
        <w:ind w:left="1619" w:hanging="360"/>
      </w:pPr>
      <w:rPr>
        <w:rFonts w:ascii="Times New Roman" w:eastAsia="Times New Roman" w:hAnsi="Times New Roman" w:cs="Times New Roman"/>
      </w:rPr>
    </w:lvl>
    <w:lvl w:ilvl="1" w:tplc="04190003">
      <w:start w:val="1"/>
      <w:numFmt w:val="bullet"/>
      <w:lvlText w:val="o"/>
      <w:lvlJc w:val="left"/>
      <w:pPr>
        <w:ind w:left="2339" w:hanging="360"/>
      </w:pPr>
      <w:rPr>
        <w:rFonts w:ascii="Courier New" w:hAnsi="Courier New" w:hint="default"/>
      </w:rPr>
    </w:lvl>
    <w:lvl w:ilvl="2" w:tplc="04190005">
      <w:start w:val="1"/>
      <w:numFmt w:val="bullet"/>
      <w:lvlText w:val=""/>
      <w:lvlJc w:val="left"/>
      <w:pPr>
        <w:ind w:left="3059" w:hanging="360"/>
      </w:pPr>
      <w:rPr>
        <w:rFonts w:ascii="Wingdings" w:hAnsi="Wingdings" w:hint="default"/>
      </w:rPr>
    </w:lvl>
    <w:lvl w:ilvl="3" w:tplc="04190001">
      <w:start w:val="1"/>
      <w:numFmt w:val="bullet"/>
      <w:lvlText w:val=""/>
      <w:lvlJc w:val="left"/>
      <w:pPr>
        <w:ind w:left="3779" w:hanging="360"/>
      </w:pPr>
      <w:rPr>
        <w:rFonts w:ascii="Symbol" w:hAnsi="Symbol" w:hint="default"/>
      </w:rPr>
    </w:lvl>
    <w:lvl w:ilvl="4" w:tplc="04190003">
      <w:start w:val="1"/>
      <w:numFmt w:val="bullet"/>
      <w:lvlText w:val="o"/>
      <w:lvlJc w:val="left"/>
      <w:pPr>
        <w:ind w:left="4499" w:hanging="360"/>
      </w:pPr>
      <w:rPr>
        <w:rFonts w:ascii="Courier New" w:hAnsi="Courier New" w:hint="default"/>
      </w:rPr>
    </w:lvl>
    <w:lvl w:ilvl="5" w:tplc="04190005">
      <w:start w:val="1"/>
      <w:numFmt w:val="bullet"/>
      <w:lvlText w:val=""/>
      <w:lvlJc w:val="left"/>
      <w:pPr>
        <w:ind w:left="5219" w:hanging="360"/>
      </w:pPr>
      <w:rPr>
        <w:rFonts w:ascii="Wingdings" w:hAnsi="Wingdings" w:hint="default"/>
      </w:rPr>
    </w:lvl>
    <w:lvl w:ilvl="6" w:tplc="04190001">
      <w:start w:val="1"/>
      <w:numFmt w:val="bullet"/>
      <w:lvlText w:val=""/>
      <w:lvlJc w:val="left"/>
      <w:pPr>
        <w:ind w:left="5939" w:hanging="360"/>
      </w:pPr>
      <w:rPr>
        <w:rFonts w:ascii="Symbol" w:hAnsi="Symbol" w:hint="default"/>
      </w:rPr>
    </w:lvl>
    <w:lvl w:ilvl="7" w:tplc="04190003">
      <w:start w:val="1"/>
      <w:numFmt w:val="bullet"/>
      <w:lvlText w:val="o"/>
      <w:lvlJc w:val="left"/>
      <w:pPr>
        <w:ind w:left="6659" w:hanging="360"/>
      </w:pPr>
      <w:rPr>
        <w:rFonts w:ascii="Courier New" w:hAnsi="Courier New" w:hint="default"/>
      </w:rPr>
    </w:lvl>
    <w:lvl w:ilvl="8" w:tplc="04190005">
      <w:start w:val="1"/>
      <w:numFmt w:val="bullet"/>
      <w:lvlText w:val=""/>
      <w:lvlJc w:val="left"/>
      <w:pPr>
        <w:ind w:left="7379" w:hanging="360"/>
      </w:pPr>
      <w:rPr>
        <w:rFonts w:ascii="Wingdings" w:hAnsi="Wingdings" w:hint="default"/>
      </w:rPr>
    </w:lvl>
  </w:abstractNum>
  <w:abstractNum w:abstractNumId="14">
    <w:nsid w:val="5FD24138"/>
    <w:multiLevelType w:val="hybridMultilevel"/>
    <w:tmpl w:val="88CC8BBE"/>
    <w:lvl w:ilvl="0" w:tplc="81260B00">
      <w:start w:val="1"/>
      <w:numFmt w:val="lowerLetter"/>
      <w:lvlText w:val="%1)"/>
      <w:lvlJc w:val="left"/>
      <w:pPr>
        <w:tabs>
          <w:tab w:val="num" w:pos="900"/>
        </w:tabs>
        <w:ind w:left="900" w:hanging="360"/>
      </w:pPr>
      <w:rPr>
        <w:rFonts w:cs="Times New Roman" w:hint="default"/>
      </w:rPr>
    </w:lvl>
    <w:lvl w:ilvl="1" w:tplc="743486D2">
      <w:start w:val="1"/>
      <w:numFmt w:val="decimal"/>
      <w:lvlText w:val="%2)"/>
      <w:lvlJc w:val="left"/>
      <w:pPr>
        <w:tabs>
          <w:tab w:val="num" w:pos="1620"/>
        </w:tabs>
        <w:ind w:left="1620" w:hanging="360"/>
      </w:pPr>
      <w:rPr>
        <w:rFonts w:cs="Times New Roman" w:hint="default"/>
        <w:b/>
        <w:i w:val="0"/>
      </w:rPr>
    </w:lvl>
    <w:lvl w:ilvl="2" w:tplc="0FA6B624">
      <w:numFmt w:val="bullet"/>
      <w:lvlText w:val="→"/>
      <w:lvlJc w:val="left"/>
      <w:pPr>
        <w:tabs>
          <w:tab w:val="num" w:pos="2685"/>
        </w:tabs>
        <w:ind w:left="2685" w:hanging="525"/>
      </w:pPr>
      <w:rPr>
        <w:rFonts w:ascii="Times New Roman" w:eastAsia="Times New Roman" w:hAnsi="Times New Roman" w:hint="default"/>
      </w:rPr>
    </w:lvl>
    <w:lvl w:ilvl="3" w:tplc="8A1827B0">
      <w:start w:val="3"/>
      <w:numFmt w:val="decimal"/>
      <w:lvlText w:val="%4"/>
      <w:lvlJc w:val="left"/>
      <w:pPr>
        <w:ind w:left="3060" w:hanging="360"/>
      </w:pPr>
      <w:rPr>
        <w:rFonts w:cs="Times New Roman" w:hint="default"/>
        <w:i/>
      </w:rPr>
    </w:lvl>
    <w:lvl w:ilvl="4" w:tplc="5D1A3FF8">
      <w:start w:val="1"/>
      <w:numFmt w:val="upperLetter"/>
      <w:lvlText w:val="%5)"/>
      <w:lvlJc w:val="left"/>
      <w:pPr>
        <w:ind w:left="3780" w:hanging="360"/>
      </w:pPr>
      <w:rPr>
        <w:rFonts w:cs="Times New Roman" w:hint="default"/>
        <w:b/>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5">
    <w:nsid w:val="5FE06D79"/>
    <w:multiLevelType w:val="hybridMultilevel"/>
    <w:tmpl w:val="EE3E5654"/>
    <w:lvl w:ilvl="0" w:tplc="63B48996">
      <w:start w:val="1"/>
      <w:numFmt w:val="lowerLetter"/>
      <w:lvlText w:val="%1)"/>
      <w:lvlJc w:val="left"/>
      <w:pPr>
        <w:tabs>
          <w:tab w:val="num" w:pos="1428"/>
        </w:tabs>
        <w:ind w:left="1428" w:hanging="360"/>
      </w:pPr>
      <w:rPr>
        <w:rFonts w:ascii="Times New Roman" w:eastAsia="Times New Roman" w:hAnsi="Times New Roman" w:cs="Times New Roman"/>
      </w:rPr>
    </w:lvl>
    <w:lvl w:ilvl="1" w:tplc="B4A00BFA">
      <w:numFmt w:val="bullet"/>
      <w:lvlText w:val="-"/>
      <w:lvlJc w:val="left"/>
      <w:pPr>
        <w:tabs>
          <w:tab w:val="num" w:pos="2148"/>
        </w:tabs>
        <w:ind w:left="2148" w:hanging="360"/>
      </w:pPr>
      <w:rPr>
        <w:rFonts w:ascii="Times New Roman" w:eastAsia="Times New Roman" w:hAnsi="Times New Roman" w:hint="default"/>
        <w:b w:val="0"/>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716C10E9"/>
    <w:multiLevelType w:val="hybridMultilevel"/>
    <w:tmpl w:val="312AA0D8"/>
    <w:lvl w:ilvl="0" w:tplc="064ABB7E">
      <w:start w:val="1"/>
      <w:numFmt w:val="decimal"/>
      <w:lvlText w:val="%1."/>
      <w:lvlJc w:val="left"/>
      <w:pPr>
        <w:ind w:left="720" w:hanging="360"/>
      </w:pPr>
      <w:rPr>
        <w:rFonts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774C76F4"/>
    <w:multiLevelType w:val="hybridMultilevel"/>
    <w:tmpl w:val="5016EED4"/>
    <w:lvl w:ilvl="0" w:tplc="A100FA2E">
      <w:start w:val="1"/>
      <w:numFmt w:val="decimal"/>
      <w:lvlText w:val="%1."/>
      <w:lvlJc w:val="left"/>
      <w:pPr>
        <w:ind w:left="930" w:hanging="360"/>
      </w:pPr>
      <w:rPr>
        <w:rFonts w:cs="Times New Roman" w:hint="default"/>
        <w:b/>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18">
    <w:nsid w:val="7B357EF8"/>
    <w:multiLevelType w:val="hybridMultilevel"/>
    <w:tmpl w:val="8136658E"/>
    <w:lvl w:ilvl="0" w:tplc="04180017">
      <w:start w:val="1"/>
      <w:numFmt w:val="lowerLetter"/>
      <w:lvlText w:val="%1)"/>
      <w:lvlJc w:val="left"/>
      <w:pPr>
        <w:ind w:left="3129" w:hanging="360"/>
      </w:pPr>
      <w:rPr>
        <w:rFonts w:cs="Times New Roman"/>
      </w:rPr>
    </w:lvl>
    <w:lvl w:ilvl="1" w:tplc="04090019">
      <w:start w:val="1"/>
      <w:numFmt w:val="lowerLetter"/>
      <w:lvlText w:val="%2."/>
      <w:lvlJc w:val="left"/>
      <w:pPr>
        <w:ind w:left="3849" w:hanging="360"/>
      </w:pPr>
      <w:rPr>
        <w:rFonts w:cs="Times New Roman"/>
      </w:rPr>
    </w:lvl>
    <w:lvl w:ilvl="2" w:tplc="0409001B">
      <w:start w:val="1"/>
      <w:numFmt w:val="lowerRoman"/>
      <w:lvlText w:val="%3."/>
      <w:lvlJc w:val="right"/>
      <w:pPr>
        <w:ind w:left="4569" w:hanging="180"/>
      </w:pPr>
      <w:rPr>
        <w:rFonts w:cs="Times New Roman"/>
      </w:rPr>
    </w:lvl>
    <w:lvl w:ilvl="3" w:tplc="0409000F">
      <w:start w:val="1"/>
      <w:numFmt w:val="decimal"/>
      <w:lvlText w:val="%4."/>
      <w:lvlJc w:val="left"/>
      <w:pPr>
        <w:ind w:left="5289" w:hanging="360"/>
      </w:pPr>
      <w:rPr>
        <w:rFonts w:cs="Times New Roman"/>
      </w:rPr>
    </w:lvl>
    <w:lvl w:ilvl="4" w:tplc="04090019">
      <w:start w:val="1"/>
      <w:numFmt w:val="lowerLetter"/>
      <w:lvlText w:val="%5."/>
      <w:lvlJc w:val="left"/>
      <w:pPr>
        <w:ind w:left="6009" w:hanging="360"/>
      </w:pPr>
      <w:rPr>
        <w:rFonts w:cs="Times New Roman"/>
      </w:rPr>
    </w:lvl>
    <w:lvl w:ilvl="5" w:tplc="0409001B">
      <w:start w:val="1"/>
      <w:numFmt w:val="lowerRoman"/>
      <w:lvlText w:val="%6."/>
      <w:lvlJc w:val="right"/>
      <w:pPr>
        <w:ind w:left="6729" w:hanging="180"/>
      </w:pPr>
      <w:rPr>
        <w:rFonts w:cs="Times New Roman"/>
      </w:rPr>
    </w:lvl>
    <w:lvl w:ilvl="6" w:tplc="0409000F">
      <w:start w:val="1"/>
      <w:numFmt w:val="decimal"/>
      <w:lvlText w:val="%7."/>
      <w:lvlJc w:val="left"/>
      <w:pPr>
        <w:ind w:left="7449" w:hanging="360"/>
      </w:pPr>
      <w:rPr>
        <w:rFonts w:cs="Times New Roman"/>
      </w:rPr>
    </w:lvl>
    <w:lvl w:ilvl="7" w:tplc="04090019">
      <w:start w:val="1"/>
      <w:numFmt w:val="lowerLetter"/>
      <w:lvlText w:val="%8."/>
      <w:lvlJc w:val="left"/>
      <w:pPr>
        <w:ind w:left="8169" w:hanging="360"/>
      </w:pPr>
      <w:rPr>
        <w:rFonts w:cs="Times New Roman"/>
      </w:rPr>
    </w:lvl>
    <w:lvl w:ilvl="8" w:tplc="0409001B">
      <w:start w:val="1"/>
      <w:numFmt w:val="lowerRoman"/>
      <w:lvlText w:val="%9."/>
      <w:lvlJc w:val="right"/>
      <w:pPr>
        <w:ind w:left="8889" w:hanging="180"/>
      </w:pPr>
      <w:rPr>
        <w:rFonts w:cs="Times New Roman"/>
      </w:rPr>
    </w:lvl>
  </w:abstractNum>
  <w:num w:numId="1">
    <w:abstractNumId w:val="5"/>
  </w:num>
  <w:num w:numId="2">
    <w:abstractNumId w:val="14"/>
  </w:num>
  <w:num w:numId="3">
    <w:abstractNumId w:val="15"/>
  </w:num>
  <w:num w:numId="4">
    <w:abstractNumId w:val="13"/>
  </w:num>
  <w:num w:numId="5">
    <w:abstractNumId w:val="7"/>
  </w:num>
  <w:num w:numId="6">
    <w:abstractNumId w:val="9"/>
  </w:num>
  <w:num w:numId="7">
    <w:abstractNumId w:val="10"/>
  </w:num>
  <w:num w:numId="8">
    <w:abstractNumId w:val="2"/>
  </w:num>
  <w:num w:numId="9">
    <w:abstractNumId w:val="11"/>
  </w:num>
  <w:num w:numId="10">
    <w:abstractNumId w:val="12"/>
  </w:num>
  <w:num w:numId="11">
    <w:abstractNumId w:val="8"/>
  </w:num>
  <w:num w:numId="12">
    <w:abstractNumId w:val="4"/>
  </w:num>
  <w:num w:numId="13">
    <w:abstractNumId w:val="17"/>
  </w:num>
  <w:num w:numId="14">
    <w:abstractNumId w:val="3"/>
  </w:num>
  <w:num w:numId="15">
    <w:abstractNumId w:val="16"/>
  </w:num>
  <w:num w:numId="16">
    <w:abstractNumId w:val="18"/>
  </w:num>
  <w:num w:numId="17">
    <w:abstractNumId w:val="1"/>
  </w:num>
  <w:num w:numId="18">
    <w:abstractNumId w:val="0"/>
  </w:num>
  <w:num w:numId="19">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4647"/>
    <w:rsid w:val="0000031B"/>
    <w:rsid w:val="00005952"/>
    <w:rsid w:val="00007668"/>
    <w:rsid w:val="00007773"/>
    <w:rsid w:val="00013825"/>
    <w:rsid w:val="00022F6A"/>
    <w:rsid w:val="00023A14"/>
    <w:rsid w:val="00024360"/>
    <w:rsid w:val="00030386"/>
    <w:rsid w:val="000347DD"/>
    <w:rsid w:val="00041347"/>
    <w:rsid w:val="00051831"/>
    <w:rsid w:val="00076D88"/>
    <w:rsid w:val="00083828"/>
    <w:rsid w:val="000872FC"/>
    <w:rsid w:val="000948D8"/>
    <w:rsid w:val="00094F70"/>
    <w:rsid w:val="00095D0F"/>
    <w:rsid w:val="000A2887"/>
    <w:rsid w:val="000A635C"/>
    <w:rsid w:val="000A6CC2"/>
    <w:rsid w:val="000B337A"/>
    <w:rsid w:val="000B349E"/>
    <w:rsid w:val="000B52C9"/>
    <w:rsid w:val="000C1C50"/>
    <w:rsid w:val="000D3ADE"/>
    <w:rsid w:val="000D6230"/>
    <w:rsid w:val="000F2467"/>
    <w:rsid w:val="000F4647"/>
    <w:rsid w:val="00100ACA"/>
    <w:rsid w:val="001051D2"/>
    <w:rsid w:val="0011388B"/>
    <w:rsid w:val="00116EE1"/>
    <w:rsid w:val="00120F4A"/>
    <w:rsid w:val="00127C66"/>
    <w:rsid w:val="00133C6B"/>
    <w:rsid w:val="00134C9D"/>
    <w:rsid w:val="001474AD"/>
    <w:rsid w:val="00157DD7"/>
    <w:rsid w:val="00161629"/>
    <w:rsid w:val="00180CE8"/>
    <w:rsid w:val="00183D41"/>
    <w:rsid w:val="00187809"/>
    <w:rsid w:val="001A4C71"/>
    <w:rsid w:val="001C2768"/>
    <w:rsid w:val="001C726F"/>
    <w:rsid w:val="001D6AF0"/>
    <w:rsid w:val="001E0A33"/>
    <w:rsid w:val="001F08C7"/>
    <w:rsid w:val="001F207D"/>
    <w:rsid w:val="002154AD"/>
    <w:rsid w:val="00216BFC"/>
    <w:rsid w:val="00223BE7"/>
    <w:rsid w:val="002243D0"/>
    <w:rsid w:val="00226B79"/>
    <w:rsid w:val="00234278"/>
    <w:rsid w:val="00235C48"/>
    <w:rsid w:val="00236403"/>
    <w:rsid w:val="00240D0D"/>
    <w:rsid w:val="002457A2"/>
    <w:rsid w:val="00246B91"/>
    <w:rsid w:val="00246BE4"/>
    <w:rsid w:val="002501D1"/>
    <w:rsid w:val="002534B9"/>
    <w:rsid w:val="002567CB"/>
    <w:rsid w:val="0026457E"/>
    <w:rsid w:val="00266450"/>
    <w:rsid w:val="0027180F"/>
    <w:rsid w:val="00271BDD"/>
    <w:rsid w:val="00272042"/>
    <w:rsid w:val="00274DDC"/>
    <w:rsid w:val="00284E13"/>
    <w:rsid w:val="00292121"/>
    <w:rsid w:val="00294A02"/>
    <w:rsid w:val="002A4C59"/>
    <w:rsid w:val="002C6849"/>
    <w:rsid w:val="002D1ADF"/>
    <w:rsid w:val="002E082C"/>
    <w:rsid w:val="002F0FB7"/>
    <w:rsid w:val="00302135"/>
    <w:rsid w:val="003041CA"/>
    <w:rsid w:val="003077ED"/>
    <w:rsid w:val="00310FDA"/>
    <w:rsid w:val="00311A22"/>
    <w:rsid w:val="003138A1"/>
    <w:rsid w:val="00321871"/>
    <w:rsid w:val="00321E5B"/>
    <w:rsid w:val="00325265"/>
    <w:rsid w:val="00352DA0"/>
    <w:rsid w:val="00356D1B"/>
    <w:rsid w:val="003626AE"/>
    <w:rsid w:val="00363403"/>
    <w:rsid w:val="00366724"/>
    <w:rsid w:val="0037178B"/>
    <w:rsid w:val="003A198D"/>
    <w:rsid w:val="003C0574"/>
    <w:rsid w:val="003D1400"/>
    <w:rsid w:val="003F018B"/>
    <w:rsid w:val="003F0E43"/>
    <w:rsid w:val="003F1949"/>
    <w:rsid w:val="003F1B8B"/>
    <w:rsid w:val="004108FD"/>
    <w:rsid w:val="00411543"/>
    <w:rsid w:val="00417C8C"/>
    <w:rsid w:val="00434A55"/>
    <w:rsid w:val="00442FA8"/>
    <w:rsid w:val="00445627"/>
    <w:rsid w:val="004524CD"/>
    <w:rsid w:val="00465EFA"/>
    <w:rsid w:val="00470731"/>
    <w:rsid w:val="0047715D"/>
    <w:rsid w:val="00481B05"/>
    <w:rsid w:val="00482E43"/>
    <w:rsid w:val="00492E37"/>
    <w:rsid w:val="004A1E74"/>
    <w:rsid w:val="004A294E"/>
    <w:rsid w:val="004B1E7D"/>
    <w:rsid w:val="004B62B3"/>
    <w:rsid w:val="004C2AB1"/>
    <w:rsid w:val="004C4607"/>
    <w:rsid w:val="004C50ED"/>
    <w:rsid w:val="004C5604"/>
    <w:rsid w:val="004C7C83"/>
    <w:rsid w:val="004E673A"/>
    <w:rsid w:val="004F1B6D"/>
    <w:rsid w:val="004F29EB"/>
    <w:rsid w:val="004F3E79"/>
    <w:rsid w:val="005073BB"/>
    <w:rsid w:val="0051275C"/>
    <w:rsid w:val="00513704"/>
    <w:rsid w:val="00515CA4"/>
    <w:rsid w:val="00520903"/>
    <w:rsid w:val="00536176"/>
    <w:rsid w:val="00536BDA"/>
    <w:rsid w:val="00537418"/>
    <w:rsid w:val="005520C3"/>
    <w:rsid w:val="0055294A"/>
    <w:rsid w:val="005531C0"/>
    <w:rsid w:val="005610F1"/>
    <w:rsid w:val="00565E38"/>
    <w:rsid w:val="005934F1"/>
    <w:rsid w:val="00595ECF"/>
    <w:rsid w:val="005A61D7"/>
    <w:rsid w:val="005B5080"/>
    <w:rsid w:val="005C1980"/>
    <w:rsid w:val="005D3CDB"/>
    <w:rsid w:val="005E19A9"/>
    <w:rsid w:val="005F06AC"/>
    <w:rsid w:val="005F0A35"/>
    <w:rsid w:val="005F45C8"/>
    <w:rsid w:val="005F4768"/>
    <w:rsid w:val="005F58E5"/>
    <w:rsid w:val="00607F2C"/>
    <w:rsid w:val="006146CE"/>
    <w:rsid w:val="006240FB"/>
    <w:rsid w:val="00625649"/>
    <w:rsid w:val="00627B48"/>
    <w:rsid w:val="00632173"/>
    <w:rsid w:val="00636F0A"/>
    <w:rsid w:val="00642CD2"/>
    <w:rsid w:val="00643F1D"/>
    <w:rsid w:val="00646BD1"/>
    <w:rsid w:val="00657EA5"/>
    <w:rsid w:val="0067522A"/>
    <w:rsid w:val="00680071"/>
    <w:rsid w:val="00684C9F"/>
    <w:rsid w:val="006A52E7"/>
    <w:rsid w:val="006A6D09"/>
    <w:rsid w:val="006A788E"/>
    <w:rsid w:val="006B2D5C"/>
    <w:rsid w:val="006C6C0E"/>
    <w:rsid w:val="006C78F4"/>
    <w:rsid w:val="006D1F68"/>
    <w:rsid w:val="006E3F2F"/>
    <w:rsid w:val="006E6516"/>
    <w:rsid w:val="006E721D"/>
    <w:rsid w:val="006F0241"/>
    <w:rsid w:val="006F39D4"/>
    <w:rsid w:val="006F6FFF"/>
    <w:rsid w:val="00702140"/>
    <w:rsid w:val="007105E5"/>
    <w:rsid w:val="00717667"/>
    <w:rsid w:val="00727BC5"/>
    <w:rsid w:val="00732466"/>
    <w:rsid w:val="00732AD3"/>
    <w:rsid w:val="007551EA"/>
    <w:rsid w:val="007620E2"/>
    <w:rsid w:val="00763BDE"/>
    <w:rsid w:val="0076623C"/>
    <w:rsid w:val="00780058"/>
    <w:rsid w:val="00780A34"/>
    <w:rsid w:val="00780AA8"/>
    <w:rsid w:val="007925AA"/>
    <w:rsid w:val="00796289"/>
    <w:rsid w:val="007A4F1C"/>
    <w:rsid w:val="007A7EEF"/>
    <w:rsid w:val="007D7D5D"/>
    <w:rsid w:val="007E2D78"/>
    <w:rsid w:val="007E6AAC"/>
    <w:rsid w:val="007F1115"/>
    <w:rsid w:val="007F79F1"/>
    <w:rsid w:val="007F7B33"/>
    <w:rsid w:val="00806CEF"/>
    <w:rsid w:val="00807D38"/>
    <w:rsid w:val="00821EE6"/>
    <w:rsid w:val="008237D3"/>
    <w:rsid w:val="00836044"/>
    <w:rsid w:val="00842212"/>
    <w:rsid w:val="0085350A"/>
    <w:rsid w:val="0085437C"/>
    <w:rsid w:val="00863863"/>
    <w:rsid w:val="008665E4"/>
    <w:rsid w:val="00867C06"/>
    <w:rsid w:val="008737CF"/>
    <w:rsid w:val="0089554F"/>
    <w:rsid w:val="00895CD6"/>
    <w:rsid w:val="008A5208"/>
    <w:rsid w:val="008A5E2E"/>
    <w:rsid w:val="008B2355"/>
    <w:rsid w:val="008B2B95"/>
    <w:rsid w:val="008B3D4E"/>
    <w:rsid w:val="008C13FF"/>
    <w:rsid w:val="008C60C7"/>
    <w:rsid w:val="008C6CF4"/>
    <w:rsid w:val="008D0168"/>
    <w:rsid w:val="008D2A86"/>
    <w:rsid w:val="008D6420"/>
    <w:rsid w:val="008E1591"/>
    <w:rsid w:val="008E2331"/>
    <w:rsid w:val="008F1163"/>
    <w:rsid w:val="008F25E6"/>
    <w:rsid w:val="008F286F"/>
    <w:rsid w:val="00903A83"/>
    <w:rsid w:val="00904510"/>
    <w:rsid w:val="00907A4D"/>
    <w:rsid w:val="00911AC9"/>
    <w:rsid w:val="00934270"/>
    <w:rsid w:val="00936232"/>
    <w:rsid w:val="0094166E"/>
    <w:rsid w:val="009468BD"/>
    <w:rsid w:val="0095718B"/>
    <w:rsid w:val="00961635"/>
    <w:rsid w:val="009672D3"/>
    <w:rsid w:val="00972D29"/>
    <w:rsid w:val="00975E4A"/>
    <w:rsid w:val="00976B5C"/>
    <w:rsid w:val="009818BB"/>
    <w:rsid w:val="009933AA"/>
    <w:rsid w:val="0099576C"/>
    <w:rsid w:val="009A1DD4"/>
    <w:rsid w:val="009A3042"/>
    <w:rsid w:val="009B581D"/>
    <w:rsid w:val="009B645B"/>
    <w:rsid w:val="009B7670"/>
    <w:rsid w:val="009C04CC"/>
    <w:rsid w:val="009C66A7"/>
    <w:rsid w:val="009E37E8"/>
    <w:rsid w:val="009E37F7"/>
    <w:rsid w:val="009E5784"/>
    <w:rsid w:val="009E58DD"/>
    <w:rsid w:val="009E6E8E"/>
    <w:rsid w:val="00A07C64"/>
    <w:rsid w:val="00A11271"/>
    <w:rsid w:val="00A20CCF"/>
    <w:rsid w:val="00A21108"/>
    <w:rsid w:val="00A21DA8"/>
    <w:rsid w:val="00A2733D"/>
    <w:rsid w:val="00A410C1"/>
    <w:rsid w:val="00A44047"/>
    <w:rsid w:val="00A505DF"/>
    <w:rsid w:val="00A529EE"/>
    <w:rsid w:val="00A55F44"/>
    <w:rsid w:val="00A5646B"/>
    <w:rsid w:val="00A579CE"/>
    <w:rsid w:val="00A61038"/>
    <w:rsid w:val="00A65639"/>
    <w:rsid w:val="00A74007"/>
    <w:rsid w:val="00A7657E"/>
    <w:rsid w:val="00A77B3C"/>
    <w:rsid w:val="00A81F38"/>
    <w:rsid w:val="00AA5A2C"/>
    <w:rsid w:val="00AB30C2"/>
    <w:rsid w:val="00AB40B6"/>
    <w:rsid w:val="00AC0698"/>
    <w:rsid w:val="00AC183E"/>
    <w:rsid w:val="00AD4ADF"/>
    <w:rsid w:val="00AE1D81"/>
    <w:rsid w:val="00AE32BC"/>
    <w:rsid w:val="00AE7810"/>
    <w:rsid w:val="00AF3451"/>
    <w:rsid w:val="00B026AB"/>
    <w:rsid w:val="00B0788F"/>
    <w:rsid w:val="00B1242B"/>
    <w:rsid w:val="00B2076F"/>
    <w:rsid w:val="00B210BB"/>
    <w:rsid w:val="00B22BD4"/>
    <w:rsid w:val="00B27735"/>
    <w:rsid w:val="00B30535"/>
    <w:rsid w:val="00B4127D"/>
    <w:rsid w:val="00B52C55"/>
    <w:rsid w:val="00B5426E"/>
    <w:rsid w:val="00B63D02"/>
    <w:rsid w:val="00B74702"/>
    <w:rsid w:val="00B75AFD"/>
    <w:rsid w:val="00B8240E"/>
    <w:rsid w:val="00B84308"/>
    <w:rsid w:val="00BA5797"/>
    <w:rsid w:val="00BA760F"/>
    <w:rsid w:val="00BC1FEC"/>
    <w:rsid w:val="00BD71DB"/>
    <w:rsid w:val="00BE0011"/>
    <w:rsid w:val="00BE5EBF"/>
    <w:rsid w:val="00BF064F"/>
    <w:rsid w:val="00BF1704"/>
    <w:rsid w:val="00BF3938"/>
    <w:rsid w:val="00BF7D35"/>
    <w:rsid w:val="00C174DC"/>
    <w:rsid w:val="00C176FA"/>
    <w:rsid w:val="00C23A54"/>
    <w:rsid w:val="00C30561"/>
    <w:rsid w:val="00C32CBE"/>
    <w:rsid w:val="00C437FC"/>
    <w:rsid w:val="00C460FF"/>
    <w:rsid w:val="00C66098"/>
    <w:rsid w:val="00C67AE0"/>
    <w:rsid w:val="00C74EDA"/>
    <w:rsid w:val="00C83FFA"/>
    <w:rsid w:val="00C853DA"/>
    <w:rsid w:val="00C85504"/>
    <w:rsid w:val="00C950D8"/>
    <w:rsid w:val="00CA6374"/>
    <w:rsid w:val="00CB70A7"/>
    <w:rsid w:val="00CC4892"/>
    <w:rsid w:val="00CD1F88"/>
    <w:rsid w:val="00CD3E25"/>
    <w:rsid w:val="00CE7667"/>
    <w:rsid w:val="00CF0274"/>
    <w:rsid w:val="00D03A35"/>
    <w:rsid w:val="00D26339"/>
    <w:rsid w:val="00D27E1F"/>
    <w:rsid w:val="00D43DC8"/>
    <w:rsid w:val="00D443C2"/>
    <w:rsid w:val="00D5264B"/>
    <w:rsid w:val="00D54821"/>
    <w:rsid w:val="00D54CC4"/>
    <w:rsid w:val="00D646AC"/>
    <w:rsid w:val="00D658D5"/>
    <w:rsid w:val="00D76CE7"/>
    <w:rsid w:val="00D80348"/>
    <w:rsid w:val="00D92576"/>
    <w:rsid w:val="00D92C9B"/>
    <w:rsid w:val="00D969D7"/>
    <w:rsid w:val="00D973E7"/>
    <w:rsid w:val="00DA43A4"/>
    <w:rsid w:val="00DB1F80"/>
    <w:rsid w:val="00DC071B"/>
    <w:rsid w:val="00DC22A9"/>
    <w:rsid w:val="00DD5D0F"/>
    <w:rsid w:val="00DD65CB"/>
    <w:rsid w:val="00DF03E3"/>
    <w:rsid w:val="00DF6773"/>
    <w:rsid w:val="00DF6AA9"/>
    <w:rsid w:val="00E06D95"/>
    <w:rsid w:val="00E135B2"/>
    <w:rsid w:val="00E1476B"/>
    <w:rsid w:val="00E17F51"/>
    <w:rsid w:val="00E32464"/>
    <w:rsid w:val="00E33B5C"/>
    <w:rsid w:val="00E36250"/>
    <w:rsid w:val="00E409AA"/>
    <w:rsid w:val="00E5207E"/>
    <w:rsid w:val="00E678FB"/>
    <w:rsid w:val="00E74779"/>
    <w:rsid w:val="00E84E40"/>
    <w:rsid w:val="00E93204"/>
    <w:rsid w:val="00E965A5"/>
    <w:rsid w:val="00EA075C"/>
    <w:rsid w:val="00EC22B2"/>
    <w:rsid w:val="00EC33CF"/>
    <w:rsid w:val="00EC6306"/>
    <w:rsid w:val="00EC6C53"/>
    <w:rsid w:val="00EE03C5"/>
    <w:rsid w:val="00EF0C4C"/>
    <w:rsid w:val="00EF32AC"/>
    <w:rsid w:val="00EF6840"/>
    <w:rsid w:val="00F1754D"/>
    <w:rsid w:val="00F26F48"/>
    <w:rsid w:val="00F31434"/>
    <w:rsid w:val="00F33A99"/>
    <w:rsid w:val="00F53249"/>
    <w:rsid w:val="00F553F7"/>
    <w:rsid w:val="00F6209A"/>
    <w:rsid w:val="00F6237D"/>
    <w:rsid w:val="00F630BE"/>
    <w:rsid w:val="00F63945"/>
    <w:rsid w:val="00F67D56"/>
    <w:rsid w:val="00F727C8"/>
    <w:rsid w:val="00F94924"/>
    <w:rsid w:val="00F9496F"/>
    <w:rsid w:val="00FA21B3"/>
    <w:rsid w:val="00FB3BB8"/>
    <w:rsid w:val="00FB5288"/>
    <w:rsid w:val="00FC365C"/>
    <w:rsid w:val="00FD70AC"/>
    <w:rsid w:val="00FF4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F1115"/>
  </w:style>
  <w:style w:type="paragraph" w:styleId="Heading1">
    <w:name w:val="heading 1"/>
    <w:basedOn w:val="Normal"/>
    <w:next w:val="Normal"/>
    <w:link w:val="Heading1Char"/>
    <w:uiPriority w:val="99"/>
    <w:qFormat/>
    <w:rsid w:val="00F9496F"/>
    <w:pPr>
      <w:keepNext/>
      <w:spacing w:before="240" w:after="60" w:line="240" w:lineRule="auto"/>
      <w:jc w:val="center"/>
      <w:outlineLvl w:val="0"/>
    </w:pPr>
    <w:rPr>
      <w:rFonts w:ascii="Times New Roman" w:eastAsia="Times New Roman" w:hAnsi="Times New Roman" w:cs="Times New Roman"/>
      <w:b/>
      <w:bCs/>
      <w:kern w:val="32"/>
      <w:sz w:val="32"/>
      <w:szCs w:val="32"/>
      <w:lang w:val="fr-FR" w:eastAsia="ru-RU"/>
    </w:rPr>
  </w:style>
  <w:style w:type="paragraph" w:styleId="Heading2">
    <w:name w:val="heading 2"/>
    <w:basedOn w:val="Normal"/>
    <w:next w:val="Normal"/>
    <w:link w:val="Heading2Char"/>
    <w:uiPriority w:val="99"/>
    <w:qFormat/>
    <w:rsid w:val="00F9496F"/>
    <w:pPr>
      <w:keepNext/>
      <w:spacing w:before="240" w:after="60" w:line="240" w:lineRule="auto"/>
      <w:outlineLvl w:val="1"/>
    </w:pPr>
    <w:rPr>
      <w:rFonts w:ascii="Cambria" w:eastAsia="Times New Roman" w:hAnsi="Cambria" w:cs="Times New Roman"/>
      <w:b/>
      <w:bCs/>
      <w:i/>
      <w:iCs/>
      <w:sz w:val="28"/>
      <w:szCs w:val="28"/>
      <w:lang w:val="fr-F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496F"/>
    <w:rPr>
      <w:rFonts w:ascii="Times New Roman" w:eastAsia="Times New Roman" w:hAnsi="Times New Roman" w:cs="Times New Roman"/>
      <w:b/>
      <w:bCs/>
      <w:kern w:val="32"/>
      <w:sz w:val="32"/>
      <w:szCs w:val="32"/>
      <w:lang w:val="fr-FR" w:eastAsia="ru-RU"/>
    </w:rPr>
  </w:style>
  <w:style w:type="character" w:customStyle="1" w:styleId="Heading2Char">
    <w:name w:val="Heading 2 Char"/>
    <w:basedOn w:val="DefaultParagraphFont"/>
    <w:link w:val="Heading2"/>
    <w:uiPriority w:val="99"/>
    <w:rsid w:val="00F9496F"/>
    <w:rPr>
      <w:rFonts w:ascii="Cambria" w:eastAsia="Times New Roman" w:hAnsi="Cambria" w:cs="Times New Roman"/>
      <w:b/>
      <w:bCs/>
      <w:i/>
      <w:iCs/>
      <w:sz w:val="28"/>
      <w:szCs w:val="28"/>
      <w:lang w:val="fr-FR" w:eastAsia="ru-RU"/>
    </w:rPr>
  </w:style>
  <w:style w:type="numbering" w:customStyle="1" w:styleId="NoList1">
    <w:name w:val="No List1"/>
    <w:next w:val="NoList"/>
    <w:uiPriority w:val="99"/>
    <w:semiHidden/>
    <w:unhideWhenUsed/>
    <w:rsid w:val="00F9496F"/>
  </w:style>
  <w:style w:type="paragraph" w:styleId="BodyText">
    <w:name w:val="Body Text"/>
    <w:basedOn w:val="Normal"/>
    <w:link w:val="BodyTextChar"/>
    <w:uiPriority w:val="99"/>
    <w:rsid w:val="00F9496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9496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F9496F"/>
    <w:pPr>
      <w:spacing w:after="120" w:line="240" w:lineRule="auto"/>
      <w:ind w:left="283"/>
    </w:pPr>
    <w:rPr>
      <w:rFonts w:ascii="Times New Roman" w:eastAsia="Times New Roman" w:hAnsi="Times New Roman" w:cs="Times New Roman"/>
      <w:sz w:val="16"/>
      <w:szCs w:val="16"/>
      <w:lang w:val="ro-RO" w:eastAsia="ru-RU"/>
    </w:rPr>
  </w:style>
  <w:style w:type="character" w:customStyle="1" w:styleId="BodyTextIndent3Char">
    <w:name w:val="Body Text Indent 3 Char"/>
    <w:basedOn w:val="DefaultParagraphFont"/>
    <w:link w:val="BodyTextIndent3"/>
    <w:uiPriority w:val="99"/>
    <w:rsid w:val="00F9496F"/>
    <w:rPr>
      <w:rFonts w:ascii="Times New Roman" w:eastAsia="Times New Roman" w:hAnsi="Times New Roman" w:cs="Times New Roman"/>
      <w:sz w:val="16"/>
      <w:szCs w:val="16"/>
      <w:lang w:val="ro-RO" w:eastAsia="ru-RU"/>
    </w:rPr>
  </w:style>
  <w:style w:type="paragraph" w:styleId="BodyTextIndent2">
    <w:name w:val="Body Text Indent 2"/>
    <w:basedOn w:val="Normal"/>
    <w:link w:val="BodyTextIndent2Char"/>
    <w:uiPriority w:val="99"/>
    <w:rsid w:val="00F9496F"/>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rsid w:val="00F9496F"/>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rsid w:val="00F9496F"/>
    <w:pPr>
      <w:spacing w:after="120" w:line="240" w:lineRule="auto"/>
      <w:ind w:left="283"/>
    </w:pPr>
    <w:rPr>
      <w:rFonts w:ascii="Times New Roman" w:eastAsia="Times New Roman" w:hAnsi="Times New Roman" w:cs="Times New Roman"/>
      <w:sz w:val="24"/>
      <w:szCs w:val="24"/>
      <w:lang w:val="ro-RO" w:eastAsia="ru-RU"/>
    </w:rPr>
  </w:style>
  <w:style w:type="character" w:customStyle="1" w:styleId="BodyTextIndentChar">
    <w:name w:val="Body Text Indent Char"/>
    <w:basedOn w:val="DefaultParagraphFont"/>
    <w:link w:val="BodyTextIndent"/>
    <w:uiPriority w:val="99"/>
    <w:rsid w:val="00F9496F"/>
    <w:rPr>
      <w:rFonts w:ascii="Times New Roman" w:eastAsia="Times New Roman" w:hAnsi="Times New Roman" w:cs="Times New Roman"/>
      <w:sz w:val="24"/>
      <w:szCs w:val="24"/>
      <w:lang w:val="ro-RO" w:eastAsia="ru-RU"/>
    </w:rPr>
  </w:style>
  <w:style w:type="paragraph" w:styleId="Title">
    <w:name w:val="Title"/>
    <w:basedOn w:val="Normal"/>
    <w:link w:val="TitleChar"/>
    <w:uiPriority w:val="99"/>
    <w:qFormat/>
    <w:rsid w:val="00F9496F"/>
    <w:pPr>
      <w:spacing w:after="0" w:line="240" w:lineRule="auto"/>
      <w:ind w:firstLine="709"/>
      <w:jc w:val="center"/>
    </w:pPr>
    <w:rPr>
      <w:rFonts w:ascii="Times New Roman" w:eastAsia="Times New Roman" w:hAnsi="Times New Roman" w:cs="Times New Roman"/>
      <w:b/>
      <w:sz w:val="26"/>
      <w:szCs w:val="20"/>
      <w:lang w:val="ro-RO" w:eastAsia="ru-RU"/>
    </w:rPr>
  </w:style>
  <w:style w:type="character" w:customStyle="1" w:styleId="TitleChar">
    <w:name w:val="Title Char"/>
    <w:basedOn w:val="DefaultParagraphFont"/>
    <w:link w:val="Title"/>
    <w:uiPriority w:val="99"/>
    <w:rsid w:val="00F9496F"/>
    <w:rPr>
      <w:rFonts w:ascii="Times New Roman" w:eastAsia="Times New Roman" w:hAnsi="Times New Roman" w:cs="Times New Roman"/>
      <w:b/>
      <w:sz w:val="26"/>
      <w:szCs w:val="20"/>
      <w:lang w:val="ro-RO" w:eastAsia="ru-RU"/>
    </w:rPr>
  </w:style>
  <w:style w:type="paragraph" w:customStyle="1" w:styleId="Default">
    <w:name w:val="Default"/>
    <w:uiPriority w:val="99"/>
    <w:rsid w:val="00F9496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Footer">
    <w:name w:val="footer"/>
    <w:basedOn w:val="Normal"/>
    <w:link w:val="FooterChar"/>
    <w:uiPriority w:val="99"/>
    <w:rsid w:val="00F9496F"/>
    <w:pPr>
      <w:tabs>
        <w:tab w:val="center" w:pos="4677"/>
        <w:tab w:val="right" w:pos="9355"/>
      </w:tabs>
      <w:spacing w:after="0" w:line="240" w:lineRule="auto"/>
    </w:pPr>
    <w:rPr>
      <w:rFonts w:ascii="Times New Roman" w:eastAsia="Times New Roman" w:hAnsi="Times New Roman" w:cs="Times New Roman"/>
      <w:sz w:val="24"/>
      <w:szCs w:val="24"/>
      <w:lang w:val="fr-FR" w:eastAsia="ru-RU"/>
    </w:rPr>
  </w:style>
  <w:style w:type="character" w:customStyle="1" w:styleId="FooterChar">
    <w:name w:val="Footer Char"/>
    <w:basedOn w:val="DefaultParagraphFont"/>
    <w:link w:val="Footer"/>
    <w:uiPriority w:val="99"/>
    <w:rsid w:val="00F9496F"/>
    <w:rPr>
      <w:rFonts w:ascii="Times New Roman" w:eastAsia="Times New Roman" w:hAnsi="Times New Roman" w:cs="Times New Roman"/>
      <w:sz w:val="24"/>
      <w:szCs w:val="24"/>
      <w:lang w:val="fr-FR" w:eastAsia="ru-RU"/>
    </w:rPr>
  </w:style>
  <w:style w:type="character" w:styleId="PageNumber">
    <w:name w:val="page number"/>
    <w:basedOn w:val="DefaultParagraphFont"/>
    <w:uiPriority w:val="99"/>
    <w:rsid w:val="00F9496F"/>
    <w:rPr>
      <w:rFonts w:cs="Times New Roman"/>
    </w:rPr>
  </w:style>
  <w:style w:type="paragraph" w:styleId="NormalWeb">
    <w:name w:val="Normal (Web)"/>
    <w:basedOn w:val="Normal"/>
    <w:uiPriority w:val="99"/>
    <w:rsid w:val="00F9496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F9496F"/>
    <w:pPr>
      <w:spacing w:after="0" w:line="240" w:lineRule="auto"/>
    </w:pPr>
    <w:rPr>
      <w:rFonts w:ascii="Times New Roman" w:eastAsia="Times New Roman" w:hAnsi="Times New Roman" w:cs="Times New Roman"/>
      <w:sz w:val="20"/>
      <w:szCs w:val="20"/>
      <w:lang w:val="fr-FR" w:eastAsia="ru-RU"/>
    </w:rPr>
  </w:style>
  <w:style w:type="character" w:customStyle="1" w:styleId="FootnoteTextChar">
    <w:name w:val="Footnote Text Char"/>
    <w:basedOn w:val="DefaultParagraphFont"/>
    <w:link w:val="FootnoteText"/>
    <w:uiPriority w:val="99"/>
    <w:semiHidden/>
    <w:rsid w:val="00F9496F"/>
    <w:rPr>
      <w:rFonts w:ascii="Times New Roman" w:eastAsia="Times New Roman" w:hAnsi="Times New Roman" w:cs="Times New Roman"/>
      <w:sz w:val="20"/>
      <w:szCs w:val="20"/>
      <w:lang w:val="fr-FR" w:eastAsia="ru-RU"/>
    </w:rPr>
  </w:style>
  <w:style w:type="character" w:styleId="FootnoteReference">
    <w:name w:val="footnote reference"/>
    <w:basedOn w:val="DefaultParagraphFont"/>
    <w:uiPriority w:val="99"/>
    <w:semiHidden/>
    <w:rsid w:val="00F9496F"/>
    <w:rPr>
      <w:rFonts w:cs="Times New Roman"/>
      <w:vertAlign w:val="superscript"/>
    </w:rPr>
  </w:style>
  <w:style w:type="table" w:styleId="TableGrid">
    <w:name w:val="Table Grid"/>
    <w:basedOn w:val="TableNormal"/>
    <w:uiPriority w:val="99"/>
    <w:rsid w:val="00F949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eneralText">
    <w:name w:val="General Text"/>
    <w:basedOn w:val="Normal"/>
    <w:uiPriority w:val="99"/>
    <w:rsid w:val="00F9496F"/>
    <w:pPr>
      <w:spacing w:before="120" w:after="60" w:line="240" w:lineRule="auto"/>
      <w:jc w:val="both"/>
    </w:pPr>
    <w:rPr>
      <w:rFonts w:ascii="Times New Roman" w:eastAsia="Times New Roman" w:hAnsi="Times New Roman" w:cs="Times New Roman"/>
      <w:sz w:val="20"/>
      <w:szCs w:val="20"/>
      <w:lang w:val="ro-RO"/>
    </w:rPr>
  </w:style>
  <w:style w:type="table" w:styleId="TableClassic1">
    <w:name w:val="Table Classic 1"/>
    <w:basedOn w:val="TableNormal"/>
    <w:uiPriority w:val="99"/>
    <w:rsid w:val="00F9496F"/>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longtext">
    <w:name w:val="long_text"/>
    <w:uiPriority w:val="99"/>
    <w:rsid w:val="00F9496F"/>
  </w:style>
  <w:style w:type="character" w:styleId="Hyperlink">
    <w:name w:val="Hyperlink"/>
    <w:basedOn w:val="DefaultParagraphFont"/>
    <w:uiPriority w:val="99"/>
    <w:rsid w:val="00F9496F"/>
    <w:rPr>
      <w:rFonts w:cs="Times New Roman"/>
      <w:color w:val="0000FF"/>
      <w:u w:val="single"/>
    </w:rPr>
  </w:style>
  <w:style w:type="paragraph" w:styleId="BalloonText">
    <w:name w:val="Balloon Text"/>
    <w:basedOn w:val="Normal"/>
    <w:link w:val="BalloonTextChar"/>
    <w:uiPriority w:val="99"/>
    <w:semiHidden/>
    <w:rsid w:val="00F9496F"/>
    <w:pPr>
      <w:spacing w:after="0" w:line="240" w:lineRule="auto"/>
    </w:pPr>
    <w:rPr>
      <w:rFonts w:ascii="Tahoma" w:eastAsia="Times New Roman" w:hAnsi="Tahoma" w:cs="Tahoma"/>
      <w:sz w:val="16"/>
      <w:szCs w:val="16"/>
      <w:lang w:val="ro-RO" w:eastAsia="ru-RU"/>
    </w:rPr>
  </w:style>
  <w:style w:type="character" w:customStyle="1" w:styleId="BalloonTextChar">
    <w:name w:val="Balloon Text Char"/>
    <w:basedOn w:val="DefaultParagraphFont"/>
    <w:link w:val="BalloonText"/>
    <w:uiPriority w:val="99"/>
    <w:semiHidden/>
    <w:rsid w:val="00F9496F"/>
    <w:rPr>
      <w:rFonts w:ascii="Tahoma" w:eastAsia="Times New Roman" w:hAnsi="Tahoma" w:cs="Tahoma"/>
      <w:sz w:val="16"/>
      <w:szCs w:val="16"/>
      <w:lang w:val="ro-RO" w:eastAsia="ru-RU"/>
    </w:rPr>
  </w:style>
  <w:style w:type="paragraph" w:styleId="Header">
    <w:name w:val="header"/>
    <w:basedOn w:val="Normal"/>
    <w:link w:val="HeaderChar"/>
    <w:uiPriority w:val="99"/>
    <w:rsid w:val="00F9496F"/>
    <w:pPr>
      <w:tabs>
        <w:tab w:val="center" w:pos="4677"/>
        <w:tab w:val="right" w:pos="9355"/>
      </w:tabs>
      <w:spacing w:after="0" w:line="240" w:lineRule="auto"/>
    </w:pPr>
    <w:rPr>
      <w:rFonts w:ascii="Times New Roman" w:eastAsia="Times New Roman" w:hAnsi="Times New Roman" w:cs="Times New Roman"/>
      <w:sz w:val="24"/>
      <w:szCs w:val="24"/>
      <w:lang w:val="fr-FR" w:eastAsia="ru-RU"/>
    </w:rPr>
  </w:style>
  <w:style w:type="character" w:customStyle="1" w:styleId="HeaderChar">
    <w:name w:val="Header Char"/>
    <w:basedOn w:val="DefaultParagraphFont"/>
    <w:link w:val="Header"/>
    <w:uiPriority w:val="99"/>
    <w:rsid w:val="00F9496F"/>
    <w:rPr>
      <w:rFonts w:ascii="Times New Roman" w:eastAsia="Times New Roman" w:hAnsi="Times New Roman" w:cs="Times New Roman"/>
      <w:sz w:val="24"/>
      <w:szCs w:val="24"/>
      <w:lang w:val="fr-FR" w:eastAsia="ru-RU"/>
    </w:rPr>
  </w:style>
  <w:style w:type="paragraph" w:styleId="NoSpacing">
    <w:name w:val="No Spacing"/>
    <w:link w:val="NoSpacingChar"/>
    <w:uiPriority w:val="1"/>
    <w:qFormat/>
    <w:rsid w:val="00F9496F"/>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F9496F"/>
    <w:rPr>
      <w:rFonts w:ascii="Calibri" w:eastAsia="Times New Roman" w:hAnsi="Calibri" w:cs="Times New Roman"/>
    </w:rPr>
  </w:style>
  <w:style w:type="paragraph" w:styleId="Revision">
    <w:name w:val="Revision"/>
    <w:hidden/>
    <w:uiPriority w:val="99"/>
    <w:semiHidden/>
    <w:rsid w:val="00F9496F"/>
    <w:pPr>
      <w:spacing w:after="0" w:line="240" w:lineRule="auto"/>
    </w:pPr>
    <w:rPr>
      <w:rFonts w:ascii="Times New Roman" w:eastAsia="Times New Roman" w:hAnsi="Times New Roman" w:cs="Times New Roman"/>
      <w:sz w:val="24"/>
      <w:szCs w:val="24"/>
      <w:lang w:val="fr-FR" w:eastAsia="ru-RU"/>
    </w:rPr>
  </w:style>
  <w:style w:type="paragraph" w:styleId="ListParagraph">
    <w:name w:val="List Paragraph"/>
    <w:basedOn w:val="Normal"/>
    <w:uiPriority w:val="99"/>
    <w:qFormat/>
    <w:rsid w:val="00F9496F"/>
    <w:pPr>
      <w:spacing w:after="0" w:line="240" w:lineRule="auto"/>
      <w:ind w:left="720"/>
    </w:pPr>
    <w:rPr>
      <w:rFonts w:ascii="Times New Roman" w:eastAsia="Times New Roman" w:hAnsi="Times New Roman" w:cs="Times New Roman"/>
      <w:sz w:val="24"/>
      <w:szCs w:val="24"/>
      <w:lang w:val="ro-RO" w:eastAsia="ru-RU"/>
    </w:rPr>
  </w:style>
  <w:style w:type="table" w:customStyle="1" w:styleId="LightShading-Accent11">
    <w:name w:val="Light Shading - Accent 11"/>
    <w:uiPriority w:val="99"/>
    <w:rsid w:val="00F9496F"/>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TableClassic3">
    <w:name w:val="Table Classic 3"/>
    <w:basedOn w:val="TableNormal"/>
    <w:uiPriority w:val="99"/>
    <w:rsid w:val="00F9496F"/>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styleId="TOCHeading">
    <w:name w:val="TOC Heading"/>
    <w:basedOn w:val="Heading1"/>
    <w:next w:val="Normal"/>
    <w:uiPriority w:val="99"/>
    <w:qFormat/>
    <w:rsid w:val="00F9496F"/>
    <w:pPr>
      <w:keepLines/>
      <w:spacing w:before="480" w:after="0" w:line="276" w:lineRule="auto"/>
      <w:outlineLvl w:val="9"/>
    </w:pPr>
    <w:rPr>
      <w:color w:val="365F91"/>
      <w:kern w:val="0"/>
      <w:sz w:val="28"/>
      <w:szCs w:val="28"/>
      <w:lang w:val="en-US" w:eastAsia="en-US"/>
    </w:rPr>
  </w:style>
  <w:style w:type="character" w:styleId="Strong">
    <w:name w:val="Strong"/>
    <w:basedOn w:val="DefaultParagraphFont"/>
    <w:uiPriority w:val="99"/>
    <w:qFormat/>
    <w:rsid w:val="00F9496F"/>
    <w:rPr>
      <w:rFonts w:ascii="Times New Roman" w:hAnsi="Times New Roman" w:cs="Times New Roman"/>
      <w:b/>
      <w:sz w:val="40"/>
    </w:rPr>
  </w:style>
  <w:style w:type="paragraph" w:styleId="Subtitle">
    <w:name w:val="Subtitle"/>
    <w:basedOn w:val="Heading2"/>
    <w:next w:val="Normal"/>
    <w:link w:val="SubtitleChar"/>
    <w:uiPriority w:val="99"/>
    <w:qFormat/>
    <w:rsid w:val="00F9496F"/>
    <w:pPr>
      <w:jc w:val="both"/>
    </w:pPr>
    <w:rPr>
      <w:rFonts w:ascii="Times New Roman" w:hAnsi="Times New Roman"/>
      <w:i w:val="0"/>
    </w:rPr>
  </w:style>
  <w:style w:type="character" w:customStyle="1" w:styleId="SubtitleChar">
    <w:name w:val="Subtitle Char"/>
    <w:basedOn w:val="DefaultParagraphFont"/>
    <w:link w:val="Subtitle"/>
    <w:uiPriority w:val="99"/>
    <w:rsid w:val="00F9496F"/>
    <w:rPr>
      <w:rFonts w:ascii="Times New Roman" w:eastAsia="Times New Roman" w:hAnsi="Times New Roman" w:cs="Times New Roman"/>
      <w:b/>
      <w:bCs/>
      <w:iCs/>
      <w:sz w:val="28"/>
      <w:szCs w:val="28"/>
      <w:lang w:val="fr-FR" w:eastAsia="ru-RU"/>
    </w:rPr>
  </w:style>
  <w:style w:type="paragraph" w:styleId="TOC2">
    <w:name w:val="toc 2"/>
    <w:basedOn w:val="Normal"/>
    <w:next w:val="Normal"/>
    <w:autoRedefine/>
    <w:uiPriority w:val="99"/>
    <w:semiHidden/>
    <w:rsid w:val="00F9496F"/>
    <w:pPr>
      <w:tabs>
        <w:tab w:val="right" w:leader="dot" w:pos="9344"/>
      </w:tabs>
      <w:spacing w:after="100"/>
      <w:ind w:left="220"/>
      <w:jc w:val="both"/>
    </w:pPr>
    <w:rPr>
      <w:rFonts w:ascii="Calibri" w:eastAsia="Times New Roman" w:hAnsi="Calibri" w:cs="Times New Roman"/>
    </w:rPr>
  </w:style>
  <w:style w:type="paragraph" w:styleId="TOC1">
    <w:name w:val="toc 1"/>
    <w:basedOn w:val="Normal"/>
    <w:next w:val="Normal"/>
    <w:autoRedefine/>
    <w:uiPriority w:val="99"/>
    <w:semiHidden/>
    <w:rsid w:val="00F9496F"/>
    <w:pPr>
      <w:tabs>
        <w:tab w:val="right" w:leader="dot" w:pos="9344"/>
      </w:tabs>
      <w:spacing w:after="100"/>
      <w:jc w:val="both"/>
    </w:pPr>
    <w:rPr>
      <w:rFonts w:ascii="Times New Roman" w:eastAsia="Times New Roman" w:hAnsi="Times New Roman" w:cs="Times New Roman"/>
      <w:b/>
      <w:noProof/>
      <w:sz w:val="24"/>
    </w:rPr>
  </w:style>
  <w:style w:type="paragraph" w:styleId="TOC3">
    <w:name w:val="toc 3"/>
    <w:basedOn w:val="Normal"/>
    <w:next w:val="Normal"/>
    <w:autoRedefine/>
    <w:uiPriority w:val="99"/>
    <w:semiHidden/>
    <w:rsid w:val="00F9496F"/>
    <w:pPr>
      <w:spacing w:after="100"/>
      <w:ind w:left="440"/>
    </w:pPr>
    <w:rPr>
      <w:rFonts w:ascii="Calibri" w:eastAsia="Times New Roman" w:hAnsi="Calibri" w:cs="Times New Roman"/>
    </w:rPr>
  </w:style>
  <w:style w:type="character" w:customStyle="1" w:styleId="hps">
    <w:name w:val="hps"/>
    <w:uiPriority w:val="99"/>
    <w:rsid w:val="00F9496F"/>
  </w:style>
  <w:style w:type="character" w:styleId="Emphasis">
    <w:name w:val="Emphasis"/>
    <w:basedOn w:val="DefaultParagraphFont"/>
    <w:uiPriority w:val="99"/>
    <w:qFormat/>
    <w:rsid w:val="00F9496F"/>
    <w:rPr>
      <w:rFonts w:cs="Times New Roman"/>
      <w:i/>
    </w:rPr>
  </w:style>
  <w:style w:type="character" w:styleId="FollowedHyperlink">
    <w:name w:val="FollowedHyperlink"/>
    <w:basedOn w:val="DefaultParagraphFont"/>
    <w:uiPriority w:val="99"/>
    <w:rsid w:val="00F9496F"/>
    <w:rPr>
      <w:rFonts w:cs="Times New Roman"/>
      <w:color w:val="800080"/>
      <w:u w:val="single"/>
    </w:rPr>
  </w:style>
  <w:style w:type="character" w:styleId="CommentReference">
    <w:name w:val="annotation reference"/>
    <w:basedOn w:val="DefaultParagraphFont"/>
    <w:uiPriority w:val="99"/>
    <w:semiHidden/>
    <w:rsid w:val="00F9496F"/>
    <w:rPr>
      <w:rFonts w:cs="Times New Roman"/>
      <w:sz w:val="16"/>
    </w:rPr>
  </w:style>
  <w:style w:type="paragraph" w:styleId="CommentText">
    <w:name w:val="annotation text"/>
    <w:basedOn w:val="Normal"/>
    <w:link w:val="CommentTextChar"/>
    <w:uiPriority w:val="99"/>
    <w:semiHidden/>
    <w:rsid w:val="00F9496F"/>
    <w:pPr>
      <w:spacing w:after="0" w:line="240" w:lineRule="auto"/>
    </w:pPr>
    <w:rPr>
      <w:rFonts w:ascii="Times New Roman" w:eastAsia="Times New Roman" w:hAnsi="Times New Roman" w:cs="Times New Roman"/>
      <w:sz w:val="20"/>
      <w:szCs w:val="20"/>
      <w:lang w:val="fr-FR" w:eastAsia="ru-RU"/>
    </w:rPr>
  </w:style>
  <w:style w:type="character" w:customStyle="1" w:styleId="CommentTextChar">
    <w:name w:val="Comment Text Char"/>
    <w:basedOn w:val="DefaultParagraphFont"/>
    <w:link w:val="CommentText"/>
    <w:uiPriority w:val="99"/>
    <w:semiHidden/>
    <w:rsid w:val="00F9496F"/>
    <w:rPr>
      <w:rFonts w:ascii="Times New Roman" w:eastAsia="Times New Roman" w:hAnsi="Times New Roman" w:cs="Times New Roman"/>
      <w:sz w:val="20"/>
      <w:szCs w:val="20"/>
      <w:lang w:val="fr-FR" w:eastAsia="ru-RU"/>
    </w:rPr>
  </w:style>
  <w:style w:type="table" w:customStyle="1" w:styleId="LightShading-Accent12">
    <w:name w:val="Light Shading - Accent 12"/>
    <w:uiPriority w:val="99"/>
    <w:rsid w:val="00F9496F"/>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apple-converted-space">
    <w:name w:val="apple-converted-space"/>
    <w:uiPriority w:val="99"/>
    <w:rsid w:val="00F9496F"/>
  </w:style>
  <w:style w:type="paragraph" w:customStyle="1" w:styleId="news">
    <w:name w:val="news"/>
    <w:basedOn w:val="Normal"/>
    <w:uiPriority w:val="99"/>
    <w:rsid w:val="00F9496F"/>
    <w:pPr>
      <w:spacing w:after="0" w:line="240" w:lineRule="auto"/>
    </w:pPr>
    <w:rPr>
      <w:rFonts w:ascii="Arial" w:eastAsia="Times New Roman" w:hAnsi="Arial" w:cs="Arial"/>
      <w:sz w:val="20"/>
      <w:szCs w:val="20"/>
      <w:lang w:val="ro-RO" w:eastAsia="ru-RU"/>
    </w:rPr>
  </w:style>
</w:styles>
</file>

<file path=word/webSettings.xml><?xml version="1.0" encoding="utf-8"?>
<w:webSettings xmlns:r="http://schemas.openxmlformats.org/officeDocument/2006/relationships" xmlns:w="http://schemas.openxmlformats.org/wordprocessingml/2006/main">
  <w:divs>
    <w:div w:id="87703324">
      <w:bodyDiv w:val="1"/>
      <w:marLeft w:val="0"/>
      <w:marRight w:val="0"/>
      <w:marTop w:val="0"/>
      <w:marBottom w:val="0"/>
      <w:divBdr>
        <w:top w:val="none" w:sz="0" w:space="0" w:color="auto"/>
        <w:left w:val="none" w:sz="0" w:space="0" w:color="auto"/>
        <w:bottom w:val="none" w:sz="0" w:space="0" w:color="auto"/>
        <w:right w:val="none" w:sz="0" w:space="0" w:color="auto"/>
      </w:divBdr>
    </w:div>
    <w:div w:id="282227937">
      <w:bodyDiv w:val="1"/>
      <w:marLeft w:val="0"/>
      <w:marRight w:val="0"/>
      <w:marTop w:val="0"/>
      <w:marBottom w:val="0"/>
      <w:divBdr>
        <w:top w:val="none" w:sz="0" w:space="0" w:color="auto"/>
        <w:left w:val="none" w:sz="0" w:space="0" w:color="auto"/>
        <w:bottom w:val="none" w:sz="0" w:space="0" w:color="auto"/>
        <w:right w:val="none" w:sz="0" w:space="0" w:color="auto"/>
      </w:divBdr>
      <w:divsChild>
        <w:div w:id="823401486">
          <w:marLeft w:val="0"/>
          <w:marRight w:val="0"/>
          <w:marTop w:val="0"/>
          <w:marBottom w:val="0"/>
          <w:divBdr>
            <w:top w:val="none" w:sz="0" w:space="0" w:color="auto"/>
            <w:left w:val="none" w:sz="0" w:space="0" w:color="auto"/>
            <w:bottom w:val="none" w:sz="0" w:space="0" w:color="auto"/>
            <w:right w:val="none" w:sz="0" w:space="0" w:color="auto"/>
          </w:divBdr>
        </w:div>
        <w:div w:id="1704986498">
          <w:marLeft w:val="0"/>
          <w:marRight w:val="0"/>
          <w:marTop w:val="0"/>
          <w:marBottom w:val="0"/>
          <w:divBdr>
            <w:top w:val="none" w:sz="0" w:space="0" w:color="auto"/>
            <w:left w:val="none" w:sz="0" w:space="0" w:color="auto"/>
            <w:bottom w:val="none" w:sz="0" w:space="0" w:color="auto"/>
            <w:right w:val="none" w:sz="0" w:space="0" w:color="auto"/>
          </w:divBdr>
        </w:div>
        <w:div w:id="91822882">
          <w:marLeft w:val="0"/>
          <w:marRight w:val="0"/>
          <w:marTop w:val="0"/>
          <w:marBottom w:val="0"/>
          <w:divBdr>
            <w:top w:val="none" w:sz="0" w:space="0" w:color="auto"/>
            <w:left w:val="none" w:sz="0" w:space="0" w:color="auto"/>
            <w:bottom w:val="none" w:sz="0" w:space="0" w:color="auto"/>
            <w:right w:val="none" w:sz="0" w:space="0" w:color="auto"/>
          </w:divBdr>
        </w:div>
        <w:div w:id="60911079">
          <w:marLeft w:val="0"/>
          <w:marRight w:val="0"/>
          <w:marTop w:val="0"/>
          <w:marBottom w:val="0"/>
          <w:divBdr>
            <w:top w:val="none" w:sz="0" w:space="0" w:color="auto"/>
            <w:left w:val="none" w:sz="0" w:space="0" w:color="auto"/>
            <w:bottom w:val="none" w:sz="0" w:space="0" w:color="auto"/>
            <w:right w:val="none" w:sz="0" w:space="0" w:color="auto"/>
          </w:divBdr>
        </w:div>
        <w:div w:id="1725371404">
          <w:marLeft w:val="0"/>
          <w:marRight w:val="0"/>
          <w:marTop w:val="0"/>
          <w:marBottom w:val="0"/>
          <w:divBdr>
            <w:top w:val="none" w:sz="0" w:space="0" w:color="auto"/>
            <w:left w:val="none" w:sz="0" w:space="0" w:color="auto"/>
            <w:bottom w:val="none" w:sz="0" w:space="0" w:color="auto"/>
            <w:right w:val="none" w:sz="0" w:space="0" w:color="auto"/>
          </w:divBdr>
        </w:div>
        <w:div w:id="216864427">
          <w:marLeft w:val="0"/>
          <w:marRight w:val="0"/>
          <w:marTop w:val="0"/>
          <w:marBottom w:val="0"/>
          <w:divBdr>
            <w:top w:val="none" w:sz="0" w:space="0" w:color="auto"/>
            <w:left w:val="none" w:sz="0" w:space="0" w:color="auto"/>
            <w:bottom w:val="none" w:sz="0" w:space="0" w:color="auto"/>
            <w:right w:val="none" w:sz="0" w:space="0" w:color="auto"/>
          </w:divBdr>
        </w:div>
        <w:div w:id="744962137">
          <w:marLeft w:val="0"/>
          <w:marRight w:val="0"/>
          <w:marTop w:val="0"/>
          <w:marBottom w:val="0"/>
          <w:divBdr>
            <w:top w:val="none" w:sz="0" w:space="0" w:color="auto"/>
            <w:left w:val="none" w:sz="0" w:space="0" w:color="auto"/>
            <w:bottom w:val="none" w:sz="0" w:space="0" w:color="auto"/>
            <w:right w:val="none" w:sz="0" w:space="0" w:color="auto"/>
          </w:divBdr>
        </w:div>
        <w:div w:id="1245603787">
          <w:marLeft w:val="0"/>
          <w:marRight w:val="0"/>
          <w:marTop w:val="0"/>
          <w:marBottom w:val="0"/>
          <w:divBdr>
            <w:top w:val="none" w:sz="0" w:space="0" w:color="auto"/>
            <w:left w:val="none" w:sz="0" w:space="0" w:color="auto"/>
            <w:bottom w:val="none" w:sz="0" w:space="0" w:color="auto"/>
            <w:right w:val="none" w:sz="0" w:space="0" w:color="auto"/>
          </w:divBdr>
        </w:div>
        <w:div w:id="128061009">
          <w:marLeft w:val="0"/>
          <w:marRight w:val="0"/>
          <w:marTop w:val="0"/>
          <w:marBottom w:val="0"/>
          <w:divBdr>
            <w:top w:val="none" w:sz="0" w:space="0" w:color="auto"/>
            <w:left w:val="none" w:sz="0" w:space="0" w:color="auto"/>
            <w:bottom w:val="none" w:sz="0" w:space="0" w:color="auto"/>
            <w:right w:val="none" w:sz="0" w:space="0" w:color="auto"/>
          </w:divBdr>
        </w:div>
        <w:div w:id="1205365642">
          <w:marLeft w:val="0"/>
          <w:marRight w:val="0"/>
          <w:marTop w:val="0"/>
          <w:marBottom w:val="0"/>
          <w:divBdr>
            <w:top w:val="none" w:sz="0" w:space="0" w:color="auto"/>
            <w:left w:val="none" w:sz="0" w:space="0" w:color="auto"/>
            <w:bottom w:val="none" w:sz="0" w:space="0" w:color="auto"/>
            <w:right w:val="none" w:sz="0" w:space="0" w:color="auto"/>
          </w:divBdr>
        </w:div>
        <w:div w:id="900137219">
          <w:marLeft w:val="0"/>
          <w:marRight w:val="0"/>
          <w:marTop w:val="0"/>
          <w:marBottom w:val="0"/>
          <w:divBdr>
            <w:top w:val="none" w:sz="0" w:space="0" w:color="auto"/>
            <w:left w:val="none" w:sz="0" w:space="0" w:color="auto"/>
            <w:bottom w:val="none" w:sz="0" w:space="0" w:color="auto"/>
            <w:right w:val="none" w:sz="0" w:space="0" w:color="auto"/>
          </w:divBdr>
        </w:div>
        <w:div w:id="1406952163">
          <w:marLeft w:val="0"/>
          <w:marRight w:val="0"/>
          <w:marTop w:val="0"/>
          <w:marBottom w:val="0"/>
          <w:divBdr>
            <w:top w:val="none" w:sz="0" w:space="0" w:color="auto"/>
            <w:left w:val="none" w:sz="0" w:space="0" w:color="auto"/>
            <w:bottom w:val="none" w:sz="0" w:space="0" w:color="auto"/>
            <w:right w:val="none" w:sz="0" w:space="0" w:color="auto"/>
          </w:divBdr>
        </w:div>
        <w:div w:id="855002540">
          <w:marLeft w:val="0"/>
          <w:marRight w:val="0"/>
          <w:marTop w:val="0"/>
          <w:marBottom w:val="0"/>
          <w:divBdr>
            <w:top w:val="none" w:sz="0" w:space="0" w:color="auto"/>
            <w:left w:val="none" w:sz="0" w:space="0" w:color="auto"/>
            <w:bottom w:val="none" w:sz="0" w:space="0" w:color="auto"/>
            <w:right w:val="none" w:sz="0" w:space="0" w:color="auto"/>
          </w:divBdr>
        </w:div>
        <w:div w:id="1285304667">
          <w:marLeft w:val="0"/>
          <w:marRight w:val="0"/>
          <w:marTop w:val="0"/>
          <w:marBottom w:val="0"/>
          <w:divBdr>
            <w:top w:val="none" w:sz="0" w:space="0" w:color="auto"/>
            <w:left w:val="none" w:sz="0" w:space="0" w:color="auto"/>
            <w:bottom w:val="none" w:sz="0" w:space="0" w:color="auto"/>
            <w:right w:val="none" w:sz="0" w:space="0" w:color="auto"/>
          </w:divBdr>
        </w:div>
        <w:div w:id="271937671">
          <w:marLeft w:val="0"/>
          <w:marRight w:val="0"/>
          <w:marTop w:val="0"/>
          <w:marBottom w:val="0"/>
          <w:divBdr>
            <w:top w:val="none" w:sz="0" w:space="0" w:color="auto"/>
            <w:left w:val="none" w:sz="0" w:space="0" w:color="auto"/>
            <w:bottom w:val="none" w:sz="0" w:space="0" w:color="auto"/>
            <w:right w:val="none" w:sz="0" w:space="0" w:color="auto"/>
          </w:divBdr>
        </w:div>
        <w:div w:id="442699034">
          <w:marLeft w:val="0"/>
          <w:marRight w:val="0"/>
          <w:marTop w:val="0"/>
          <w:marBottom w:val="0"/>
          <w:divBdr>
            <w:top w:val="none" w:sz="0" w:space="0" w:color="auto"/>
            <w:left w:val="none" w:sz="0" w:space="0" w:color="auto"/>
            <w:bottom w:val="none" w:sz="0" w:space="0" w:color="auto"/>
            <w:right w:val="none" w:sz="0" w:space="0" w:color="auto"/>
          </w:divBdr>
        </w:div>
        <w:div w:id="433091869">
          <w:marLeft w:val="0"/>
          <w:marRight w:val="0"/>
          <w:marTop w:val="0"/>
          <w:marBottom w:val="0"/>
          <w:divBdr>
            <w:top w:val="none" w:sz="0" w:space="0" w:color="auto"/>
            <w:left w:val="none" w:sz="0" w:space="0" w:color="auto"/>
            <w:bottom w:val="none" w:sz="0" w:space="0" w:color="auto"/>
            <w:right w:val="none" w:sz="0" w:space="0" w:color="auto"/>
          </w:divBdr>
        </w:div>
        <w:div w:id="2045131388">
          <w:marLeft w:val="0"/>
          <w:marRight w:val="0"/>
          <w:marTop w:val="0"/>
          <w:marBottom w:val="0"/>
          <w:divBdr>
            <w:top w:val="none" w:sz="0" w:space="0" w:color="auto"/>
            <w:left w:val="none" w:sz="0" w:space="0" w:color="auto"/>
            <w:bottom w:val="none" w:sz="0" w:space="0" w:color="auto"/>
            <w:right w:val="none" w:sz="0" w:space="0" w:color="auto"/>
          </w:divBdr>
        </w:div>
        <w:div w:id="1009255409">
          <w:marLeft w:val="0"/>
          <w:marRight w:val="0"/>
          <w:marTop w:val="0"/>
          <w:marBottom w:val="0"/>
          <w:divBdr>
            <w:top w:val="none" w:sz="0" w:space="0" w:color="auto"/>
            <w:left w:val="none" w:sz="0" w:space="0" w:color="auto"/>
            <w:bottom w:val="none" w:sz="0" w:space="0" w:color="auto"/>
            <w:right w:val="none" w:sz="0" w:space="0" w:color="auto"/>
          </w:divBdr>
        </w:div>
        <w:div w:id="1326324233">
          <w:marLeft w:val="0"/>
          <w:marRight w:val="0"/>
          <w:marTop w:val="0"/>
          <w:marBottom w:val="0"/>
          <w:divBdr>
            <w:top w:val="none" w:sz="0" w:space="0" w:color="auto"/>
            <w:left w:val="none" w:sz="0" w:space="0" w:color="auto"/>
            <w:bottom w:val="none" w:sz="0" w:space="0" w:color="auto"/>
            <w:right w:val="none" w:sz="0" w:space="0" w:color="auto"/>
          </w:divBdr>
        </w:div>
        <w:div w:id="1209684936">
          <w:marLeft w:val="0"/>
          <w:marRight w:val="0"/>
          <w:marTop w:val="0"/>
          <w:marBottom w:val="0"/>
          <w:divBdr>
            <w:top w:val="none" w:sz="0" w:space="0" w:color="auto"/>
            <w:left w:val="none" w:sz="0" w:space="0" w:color="auto"/>
            <w:bottom w:val="none" w:sz="0" w:space="0" w:color="auto"/>
            <w:right w:val="none" w:sz="0" w:space="0" w:color="auto"/>
          </w:divBdr>
        </w:div>
        <w:div w:id="962535789">
          <w:marLeft w:val="0"/>
          <w:marRight w:val="0"/>
          <w:marTop w:val="0"/>
          <w:marBottom w:val="0"/>
          <w:divBdr>
            <w:top w:val="none" w:sz="0" w:space="0" w:color="auto"/>
            <w:left w:val="none" w:sz="0" w:space="0" w:color="auto"/>
            <w:bottom w:val="none" w:sz="0" w:space="0" w:color="auto"/>
            <w:right w:val="none" w:sz="0" w:space="0" w:color="auto"/>
          </w:divBdr>
        </w:div>
        <w:div w:id="1655909406">
          <w:marLeft w:val="0"/>
          <w:marRight w:val="0"/>
          <w:marTop w:val="0"/>
          <w:marBottom w:val="0"/>
          <w:divBdr>
            <w:top w:val="none" w:sz="0" w:space="0" w:color="auto"/>
            <w:left w:val="none" w:sz="0" w:space="0" w:color="auto"/>
            <w:bottom w:val="none" w:sz="0" w:space="0" w:color="auto"/>
            <w:right w:val="none" w:sz="0" w:space="0" w:color="auto"/>
          </w:divBdr>
        </w:div>
        <w:div w:id="18360691">
          <w:marLeft w:val="0"/>
          <w:marRight w:val="0"/>
          <w:marTop w:val="0"/>
          <w:marBottom w:val="0"/>
          <w:divBdr>
            <w:top w:val="none" w:sz="0" w:space="0" w:color="auto"/>
            <w:left w:val="none" w:sz="0" w:space="0" w:color="auto"/>
            <w:bottom w:val="none" w:sz="0" w:space="0" w:color="auto"/>
            <w:right w:val="none" w:sz="0" w:space="0" w:color="auto"/>
          </w:divBdr>
        </w:div>
        <w:div w:id="901717721">
          <w:marLeft w:val="0"/>
          <w:marRight w:val="0"/>
          <w:marTop w:val="0"/>
          <w:marBottom w:val="0"/>
          <w:divBdr>
            <w:top w:val="none" w:sz="0" w:space="0" w:color="auto"/>
            <w:left w:val="none" w:sz="0" w:space="0" w:color="auto"/>
            <w:bottom w:val="none" w:sz="0" w:space="0" w:color="auto"/>
            <w:right w:val="none" w:sz="0" w:space="0" w:color="auto"/>
          </w:divBdr>
        </w:div>
        <w:div w:id="1885364861">
          <w:marLeft w:val="0"/>
          <w:marRight w:val="0"/>
          <w:marTop w:val="0"/>
          <w:marBottom w:val="0"/>
          <w:divBdr>
            <w:top w:val="none" w:sz="0" w:space="0" w:color="auto"/>
            <w:left w:val="none" w:sz="0" w:space="0" w:color="auto"/>
            <w:bottom w:val="none" w:sz="0" w:space="0" w:color="auto"/>
            <w:right w:val="none" w:sz="0" w:space="0" w:color="auto"/>
          </w:divBdr>
        </w:div>
        <w:div w:id="1856649441">
          <w:marLeft w:val="0"/>
          <w:marRight w:val="0"/>
          <w:marTop w:val="0"/>
          <w:marBottom w:val="0"/>
          <w:divBdr>
            <w:top w:val="none" w:sz="0" w:space="0" w:color="auto"/>
            <w:left w:val="none" w:sz="0" w:space="0" w:color="auto"/>
            <w:bottom w:val="none" w:sz="0" w:space="0" w:color="auto"/>
            <w:right w:val="none" w:sz="0" w:space="0" w:color="auto"/>
          </w:divBdr>
        </w:div>
        <w:div w:id="394818285">
          <w:marLeft w:val="0"/>
          <w:marRight w:val="0"/>
          <w:marTop w:val="0"/>
          <w:marBottom w:val="0"/>
          <w:divBdr>
            <w:top w:val="none" w:sz="0" w:space="0" w:color="auto"/>
            <w:left w:val="none" w:sz="0" w:space="0" w:color="auto"/>
            <w:bottom w:val="none" w:sz="0" w:space="0" w:color="auto"/>
            <w:right w:val="none" w:sz="0" w:space="0" w:color="auto"/>
          </w:divBdr>
        </w:div>
        <w:div w:id="175311681">
          <w:marLeft w:val="0"/>
          <w:marRight w:val="0"/>
          <w:marTop w:val="0"/>
          <w:marBottom w:val="0"/>
          <w:divBdr>
            <w:top w:val="none" w:sz="0" w:space="0" w:color="auto"/>
            <w:left w:val="none" w:sz="0" w:space="0" w:color="auto"/>
            <w:bottom w:val="none" w:sz="0" w:space="0" w:color="auto"/>
            <w:right w:val="none" w:sz="0" w:space="0" w:color="auto"/>
          </w:divBdr>
        </w:div>
        <w:div w:id="1005939416">
          <w:marLeft w:val="0"/>
          <w:marRight w:val="0"/>
          <w:marTop w:val="0"/>
          <w:marBottom w:val="0"/>
          <w:divBdr>
            <w:top w:val="none" w:sz="0" w:space="0" w:color="auto"/>
            <w:left w:val="none" w:sz="0" w:space="0" w:color="auto"/>
            <w:bottom w:val="none" w:sz="0" w:space="0" w:color="auto"/>
            <w:right w:val="none" w:sz="0" w:space="0" w:color="auto"/>
          </w:divBdr>
        </w:div>
        <w:div w:id="306128126">
          <w:marLeft w:val="0"/>
          <w:marRight w:val="0"/>
          <w:marTop w:val="0"/>
          <w:marBottom w:val="0"/>
          <w:divBdr>
            <w:top w:val="none" w:sz="0" w:space="0" w:color="auto"/>
            <w:left w:val="none" w:sz="0" w:space="0" w:color="auto"/>
            <w:bottom w:val="none" w:sz="0" w:space="0" w:color="auto"/>
            <w:right w:val="none" w:sz="0" w:space="0" w:color="auto"/>
          </w:divBdr>
        </w:div>
        <w:div w:id="1204175310">
          <w:marLeft w:val="0"/>
          <w:marRight w:val="0"/>
          <w:marTop w:val="0"/>
          <w:marBottom w:val="0"/>
          <w:divBdr>
            <w:top w:val="none" w:sz="0" w:space="0" w:color="auto"/>
            <w:left w:val="none" w:sz="0" w:space="0" w:color="auto"/>
            <w:bottom w:val="none" w:sz="0" w:space="0" w:color="auto"/>
            <w:right w:val="none" w:sz="0" w:space="0" w:color="auto"/>
          </w:divBdr>
        </w:div>
        <w:div w:id="228462984">
          <w:marLeft w:val="0"/>
          <w:marRight w:val="0"/>
          <w:marTop w:val="0"/>
          <w:marBottom w:val="0"/>
          <w:divBdr>
            <w:top w:val="none" w:sz="0" w:space="0" w:color="auto"/>
            <w:left w:val="none" w:sz="0" w:space="0" w:color="auto"/>
            <w:bottom w:val="none" w:sz="0" w:space="0" w:color="auto"/>
            <w:right w:val="none" w:sz="0" w:space="0" w:color="auto"/>
          </w:divBdr>
        </w:div>
        <w:div w:id="728460592">
          <w:marLeft w:val="0"/>
          <w:marRight w:val="0"/>
          <w:marTop w:val="0"/>
          <w:marBottom w:val="0"/>
          <w:divBdr>
            <w:top w:val="none" w:sz="0" w:space="0" w:color="auto"/>
            <w:left w:val="none" w:sz="0" w:space="0" w:color="auto"/>
            <w:bottom w:val="none" w:sz="0" w:space="0" w:color="auto"/>
            <w:right w:val="none" w:sz="0" w:space="0" w:color="auto"/>
          </w:divBdr>
        </w:div>
        <w:div w:id="1951467011">
          <w:marLeft w:val="0"/>
          <w:marRight w:val="0"/>
          <w:marTop w:val="0"/>
          <w:marBottom w:val="0"/>
          <w:divBdr>
            <w:top w:val="none" w:sz="0" w:space="0" w:color="auto"/>
            <w:left w:val="none" w:sz="0" w:space="0" w:color="auto"/>
            <w:bottom w:val="none" w:sz="0" w:space="0" w:color="auto"/>
            <w:right w:val="none" w:sz="0" w:space="0" w:color="auto"/>
          </w:divBdr>
        </w:div>
        <w:div w:id="1015962943">
          <w:marLeft w:val="0"/>
          <w:marRight w:val="0"/>
          <w:marTop w:val="0"/>
          <w:marBottom w:val="0"/>
          <w:divBdr>
            <w:top w:val="none" w:sz="0" w:space="0" w:color="auto"/>
            <w:left w:val="none" w:sz="0" w:space="0" w:color="auto"/>
            <w:bottom w:val="none" w:sz="0" w:space="0" w:color="auto"/>
            <w:right w:val="none" w:sz="0" w:space="0" w:color="auto"/>
          </w:divBdr>
        </w:div>
        <w:div w:id="1463842271">
          <w:marLeft w:val="0"/>
          <w:marRight w:val="0"/>
          <w:marTop w:val="0"/>
          <w:marBottom w:val="0"/>
          <w:divBdr>
            <w:top w:val="none" w:sz="0" w:space="0" w:color="auto"/>
            <w:left w:val="none" w:sz="0" w:space="0" w:color="auto"/>
            <w:bottom w:val="none" w:sz="0" w:space="0" w:color="auto"/>
            <w:right w:val="none" w:sz="0" w:space="0" w:color="auto"/>
          </w:divBdr>
        </w:div>
        <w:div w:id="278267647">
          <w:marLeft w:val="0"/>
          <w:marRight w:val="0"/>
          <w:marTop w:val="0"/>
          <w:marBottom w:val="0"/>
          <w:divBdr>
            <w:top w:val="none" w:sz="0" w:space="0" w:color="auto"/>
            <w:left w:val="none" w:sz="0" w:space="0" w:color="auto"/>
            <w:bottom w:val="none" w:sz="0" w:space="0" w:color="auto"/>
            <w:right w:val="none" w:sz="0" w:space="0" w:color="auto"/>
          </w:divBdr>
        </w:div>
        <w:div w:id="1583295265">
          <w:marLeft w:val="0"/>
          <w:marRight w:val="0"/>
          <w:marTop w:val="0"/>
          <w:marBottom w:val="0"/>
          <w:divBdr>
            <w:top w:val="none" w:sz="0" w:space="0" w:color="auto"/>
            <w:left w:val="none" w:sz="0" w:space="0" w:color="auto"/>
            <w:bottom w:val="none" w:sz="0" w:space="0" w:color="auto"/>
            <w:right w:val="none" w:sz="0" w:space="0" w:color="auto"/>
          </w:divBdr>
        </w:div>
        <w:div w:id="546989984">
          <w:marLeft w:val="0"/>
          <w:marRight w:val="0"/>
          <w:marTop w:val="0"/>
          <w:marBottom w:val="0"/>
          <w:divBdr>
            <w:top w:val="none" w:sz="0" w:space="0" w:color="auto"/>
            <w:left w:val="none" w:sz="0" w:space="0" w:color="auto"/>
            <w:bottom w:val="none" w:sz="0" w:space="0" w:color="auto"/>
            <w:right w:val="none" w:sz="0" w:space="0" w:color="auto"/>
          </w:divBdr>
        </w:div>
        <w:div w:id="63525629">
          <w:marLeft w:val="0"/>
          <w:marRight w:val="0"/>
          <w:marTop w:val="0"/>
          <w:marBottom w:val="0"/>
          <w:divBdr>
            <w:top w:val="none" w:sz="0" w:space="0" w:color="auto"/>
            <w:left w:val="none" w:sz="0" w:space="0" w:color="auto"/>
            <w:bottom w:val="none" w:sz="0" w:space="0" w:color="auto"/>
            <w:right w:val="none" w:sz="0" w:space="0" w:color="auto"/>
          </w:divBdr>
        </w:div>
        <w:div w:id="1538276575">
          <w:marLeft w:val="0"/>
          <w:marRight w:val="0"/>
          <w:marTop w:val="0"/>
          <w:marBottom w:val="0"/>
          <w:divBdr>
            <w:top w:val="none" w:sz="0" w:space="0" w:color="auto"/>
            <w:left w:val="none" w:sz="0" w:space="0" w:color="auto"/>
            <w:bottom w:val="none" w:sz="0" w:space="0" w:color="auto"/>
            <w:right w:val="none" w:sz="0" w:space="0" w:color="auto"/>
          </w:divBdr>
        </w:div>
        <w:div w:id="1637879670">
          <w:marLeft w:val="0"/>
          <w:marRight w:val="0"/>
          <w:marTop w:val="0"/>
          <w:marBottom w:val="0"/>
          <w:divBdr>
            <w:top w:val="none" w:sz="0" w:space="0" w:color="auto"/>
            <w:left w:val="none" w:sz="0" w:space="0" w:color="auto"/>
            <w:bottom w:val="none" w:sz="0" w:space="0" w:color="auto"/>
            <w:right w:val="none" w:sz="0" w:space="0" w:color="auto"/>
          </w:divBdr>
        </w:div>
        <w:div w:id="774440132">
          <w:marLeft w:val="0"/>
          <w:marRight w:val="0"/>
          <w:marTop w:val="0"/>
          <w:marBottom w:val="0"/>
          <w:divBdr>
            <w:top w:val="none" w:sz="0" w:space="0" w:color="auto"/>
            <w:left w:val="none" w:sz="0" w:space="0" w:color="auto"/>
            <w:bottom w:val="none" w:sz="0" w:space="0" w:color="auto"/>
            <w:right w:val="none" w:sz="0" w:space="0" w:color="auto"/>
          </w:divBdr>
        </w:div>
        <w:div w:id="1612542758">
          <w:marLeft w:val="0"/>
          <w:marRight w:val="0"/>
          <w:marTop w:val="0"/>
          <w:marBottom w:val="0"/>
          <w:divBdr>
            <w:top w:val="none" w:sz="0" w:space="0" w:color="auto"/>
            <w:left w:val="none" w:sz="0" w:space="0" w:color="auto"/>
            <w:bottom w:val="none" w:sz="0" w:space="0" w:color="auto"/>
            <w:right w:val="none" w:sz="0" w:space="0" w:color="auto"/>
          </w:divBdr>
        </w:div>
      </w:divsChild>
    </w:div>
    <w:div w:id="310713508">
      <w:bodyDiv w:val="1"/>
      <w:marLeft w:val="0"/>
      <w:marRight w:val="0"/>
      <w:marTop w:val="0"/>
      <w:marBottom w:val="0"/>
      <w:divBdr>
        <w:top w:val="none" w:sz="0" w:space="0" w:color="auto"/>
        <w:left w:val="none" w:sz="0" w:space="0" w:color="auto"/>
        <w:bottom w:val="none" w:sz="0" w:space="0" w:color="auto"/>
        <w:right w:val="none" w:sz="0" w:space="0" w:color="auto"/>
      </w:divBdr>
      <w:divsChild>
        <w:div w:id="1760060105">
          <w:marLeft w:val="0"/>
          <w:marRight w:val="0"/>
          <w:marTop w:val="0"/>
          <w:marBottom w:val="0"/>
          <w:divBdr>
            <w:top w:val="none" w:sz="0" w:space="0" w:color="auto"/>
            <w:left w:val="none" w:sz="0" w:space="0" w:color="auto"/>
            <w:bottom w:val="none" w:sz="0" w:space="0" w:color="auto"/>
            <w:right w:val="none" w:sz="0" w:space="0" w:color="auto"/>
          </w:divBdr>
        </w:div>
        <w:div w:id="1661930641">
          <w:marLeft w:val="0"/>
          <w:marRight w:val="0"/>
          <w:marTop w:val="0"/>
          <w:marBottom w:val="0"/>
          <w:divBdr>
            <w:top w:val="none" w:sz="0" w:space="0" w:color="auto"/>
            <w:left w:val="none" w:sz="0" w:space="0" w:color="auto"/>
            <w:bottom w:val="none" w:sz="0" w:space="0" w:color="auto"/>
            <w:right w:val="none" w:sz="0" w:space="0" w:color="auto"/>
          </w:divBdr>
        </w:div>
      </w:divsChild>
    </w:div>
    <w:div w:id="558320585">
      <w:bodyDiv w:val="1"/>
      <w:marLeft w:val="0"/>
      <w:marRight w:val="0"/>
      <w:marTop w:val="0"/>
      <w:marBottom w:val="0"/>
      <w:divBdr>
        <w:top w:val="none" w:sz="0" w:space="0" w:color="auto"/>
        <w:left w:val="none" w:sz="0" w:space="0" w:color="auto"/>
        <w:bottom w:val="none" w:sz="0" w:space="0" w:color="auto"/>
        <w:right w:val="none" w:sz="0" w:space="0" w:color="auto"/>
      </w:divBdr>
      <w:divsChild>
        <w:div w:id="2047637818">
          <w:marLeft w:val="0"/>
          <w:marRight w:val="0"/>
          <w:marTop w:val="0"/>
          <w:marBottom w:val="0"/>
          <w:divBdr>
            <w:top w:val="none" w:sz="0" w:space="0" w:color="auto"/>
            <w:left w:val="none" w:sz="0" w:space="0" w:color="auto"/>
            <w:bottom w:val="none" w:sz="0" w:space="0" w:color="auto"/>
            <w:right w:val="none" w:sz="0" w:space="0" w:color="auto"/>
          </w:divBdr>
        </w:div>
        <w:div w:id="1124883891">
          <w:marLeft w:val="0"/>
          <w:marRight w:val="0"/>
          <w:marTop w:val="0"/>
          <w:marBottom w:val="0"/>
          <w:divBdr>
            <w:top w:val="none" w:sz="0" w:space="0" w:color="auto"/>
            <w:left w:val="none" w:sz="0" w:space="0" w:color="auto"/>
            <w:bottom w:val="none" w:sz="0" w:space="0" w:color="auto"/>
            <w:right w:val="none" w:sz="0" w:space="0" w:color="auto"/>
          </w:divBdr>
        </w:div>
        <w:div w:id="1110473683">
          <w:marLeft w:val="0"/>
          <w:marRight w:val="0"/>
          <w:marTop w:val="0"/>
          <w:marBottom w:val="0"/>
          <w:divBdr>
            <w:top w:val="none" w:sz="0" w:space="0" w:color="auto"/>
            <w:left w:val="none" w:sz="0" w:space="0" w:color="auto"/>
            <w:bottom w:val="none" w:sz="0" w:space="0" w:color="auto"/>
            <w:right w:val="none" w:sz="0" w:space="0" w:color="auto"/>
          </w:divBdr>
        </w:div>
        <w:div w:id="158369">
          <w:marLeft w:val="0"/>
          <w:marRight w:val="0"/>
          <w:marTop w:val="0"/>
          <w:marBottom w:val="0"/>
          <w:divBdr>
            <w:top w:val="none" w:sz="0" w:space="0" w:color="auto"/>
            <w:left w:val="none" w:sz="0" w:space="0" w:color="auto"/>
            <w:bottom w:val="none" w:sz="0" w:space="0" w:color="auto"/>
            <w:right w:val="none" w:sz="0" w:space="0" w:color="auto"/>
          </w:divBdr>
        </w:div>
        <w:div w:id="1078474978">
          <w:marLeft w:val="0"/>
          <w:marRight w:val="0"/>
          <w:marTop w:val="0"/>
          <w:marBottom w:val="0"/>
          <w:divBdr>
            <w:top w:val="none" w:sz="0" w:space="0" w:color="auto"/>
            <w:left w:val="none" w:sz="0" w:space="0" w:color="auto"/>
            <w:bottom w:val="none" w:sz="0" w:space="0" w:color="auto"/>
            <w:right w:val="none" w:sz="0" w:space="0" w:color="auto"/>
          </w:divBdr>
        </w:div>
        <w:div w:id="1205825639">
          <w:marLeft w:val="0"/>
          <w:marRight w:val="0"/>
          <w:marTop w:val="0"/>
          <w:marBottom w:val="0"/>
          <w:divBdr>
            <w:top w:val="none" w:sz="0" w:space="0" w:color="auto"/>
            <w:left w:val="none" w:sz="0" w:space="0" w:color="auto"/>
            <w:bottom w:val="none" w:sz="0" w:space="0" w:color="auto"/>
            <w:right w:val="none" w:sz="0" w:space="0" w:color="auto"/>
          </w:divBdr>
        </w:div>
        <w:div w:id="927999263">
          <w:marLeft w:val="0"/>
          <w:marRight w:val="0"/>
          <w:marTop w:val="0"/>
          <w:marBottom w:val="0"/>
          <w:divBdr>
            <w:top w:val="none" w:sz="0" w:space="0" w:color="auto"/>
            <w:left w:val="none" w:sz="0" w:space="0" w:color="auto"/>
            <w:bottom w:val="none" w:sz="0" w:space="0" w:color="auto"/>
            <w:right w:val="none" w:sz="0" w:space="0" w:color="auto"/>
          </w:divBdr>
        </w:div>
        <w:div w:id="767581608">
          <w:marLeft w:val="0"/>
          <w:marRight w:val="0"/>
          <w:marTop w:val="0"/>
          <w:marBottom w:val="0"/>
          <w:divBdr>
            <w:top w:val="none" w:sz="0" w:space="0" w:color="auto"/>
            <w:left w:val="none" w:sz="0" w:space="0" w:color="auto"/>
            <w:bottom w:val="none" w:sz="0" w:space="0" w:color="auto"/>
            <w:right w:val="none" w:sz="0" w:space="0" w:color="auto"/>
          </w:divBdr>
        </w:div>
        <w:div w:id="114376198">
          <w:marLeft w:val="0"/>
          <w:marRight w:val="0"/>
          <w:marTop w:val="0"/>
          <w:marBottom w:val="0"/>
          <w:divBdr>
            <w:top w:val="none" w:sz="0" w:space="0" w:color="auto"/>
            <w:left w:val="none" w:sz="0" w:space="0" w:color="auto"/>
            <w:bottom w:val="none" w:sz="0" w:space="0" w:color="auto"/>
            <w:right w:val="none" w:sz="0" w:space="0" w:color="auto"/>
          </w:divBdr>
        </w:div>
        <w:div w:id="331570725">
          <w:marLeft w:val="0"/>
          <w:marRight w:val="0"/>
          <w:marTop w:val="0"/>
          <w:marBottom w:val="0"/>
          <w:divBdr>
            <w:top w:val="none" w:sz="0" w:space="0" w:color="auto"/>
            <w:left w:val="none" w:sz="0" w:space="0" w:color="auto"/>
            <w:bottom w:val="none" w:sz="0" w:space="0" w:color="auto"/>
            <w:right w:val="none" w:sz="0" w:space="0" w:color="auto"/>
          </w:divBdr>
        </w:div>
        <w:div w:id="1385450403">
          <w:marLeft w:val="0"/>
          <w:marRight w:val="0"/>
          <w:marTop w:val="0"/>
          <w:marBottom w:val="0"/>
          <w:divBdr>
            <w:top w:val="none" w:sz="0" w:space="0" w:color="auto"/>
            <w:left w:val="none" w:sz="0" w:space="0" w:color="auto"/>
            <w:bottom w:val="none" w:sz="0" w:space="0" w:color="auto"/>
            <w:right w:val="none" w:sz="0" w:space="0" w:color="auto"/>
          </w:divBdr>
        </w:div>
        <w:div w:id="1086725406">
          <w:marLeft w:val="0"/>
          <w:marRight w:val="0"/>
          <w:marTop w:val="0"/>
          <w:marBottom w:val="0"/>
          <w:divBdr>
            <w:top w:val="none" w:sz="0" w:space="0" w:color="auto"/>
            <w:left w:val="none" w:sz="0" w:space="0" w:color="auto"/>
            <w:bottom w:val="none" w:sz="0" w:space="0" w:color="auto"/>
            <w:right w:val="none" w:sz="0" w:space="0" w:color="auto"/>
          </w:divBdr>
        </w:div>
        <w:div w:id="487325761">
          <w:marLeft w:val="0"/>
          <w:marRight w:val="0"/>
          <w:marTop w:val="0"/>
          <w:marBottom w:val="0"/>
          <w:divBdr>
            <w:top w:val="none" w:sz="0" w:space="0" w:color="auto"/>
            <w:left w:val="none" w:sz="0" w:space="0" w:color="auto"/>
            <w:bottom w:val="none" w:sz="0" w:space="0" w:color="auto"/>
            <w:right w:val="none" w:sz="0" w:space="0" w:color="auto"/>
          </w:divBdr>
        </w:div>
        <w:div w:id="1007440049">
          <w:marLeft w:val="0"/>
          <w:marRight w:val="0"/>
          <w:marTop w:val="0"/>
          <w:marBottom w:val="0"/>
          <w:divBdr>
            <w:top w:val="none" w:sz="0" w:space="0" w:color="auto"/>
            <w:left w:val="none" w:sz="0" w:space="0" w:color="auto"/>
            <w:bottom w:val="none" w:sz="0" w:space="0" w:color="auto"/>
            <w:right w:val="none" w:sz="0" w:space="0" w:color="auto"/>
          </w:divBdr>
        </w:div>
        <w:div w:id="867986215">
          <w:marLeft w:val="0"/>
          <w:marRight w:val="0"/>
          <w:marTop w:val="0"/>
          <w:marBottom w:val="0"/>
          <w:divBdr>
            <w:top w:val="none" w:sz="0" w:space="0" w:color="auto"/>
            <w:left w:val="none" w:sz="0" w:space="0" w:color="auto"/>
            <w:bottom w:val="none" w:sz="0" w:space="0" w:color="auto"/>
            <w:right w:val="none" w:sz="0" w:space="0" w:color="auto"/>
          </w:divBdr>
        </w:div>
        <w:div w:id="1594782319">
          <w:marLeft w:val="0"/>
          <w:marRight w:val="0"/>
          <w:marTop w:val="0"/>
          <w:marBottom w:val="0"/>
          <w:divBdr>
            <w:top w:val="none" w:sz="0" w:space="0" w:color="auto"/>
            <w:left w:val="none" w:sz="0" w:space="0" w:color="auto"/>
            <w:bottom w:val="none" w:sz="0" w:space="0" w:color="auto"/>
            <w:right w:val="none" w:sz="0" w:space="0" w:color="auto"/>
          </w:divBdr>
        </w:div>
        <w:div w:id="628435762">
          <w:marLeft w:val="0"/>
          <w:marRight w:val="0"/>
          <w:marTop w:val="0"/>
          <w:marBottom w:val="0"/>
          <w:divBdr>
            <w:top w:val="none" w:sz="0" w:space="0" w:color="auto"/>
            <w:left w:val="none" w:sz="0" w:space="0" w:color="auto"/>
            <w:bottom w:val="none" w:sz="0" w:space="0" w:color="auto"/>
            <w:right w:val="none" w:sz="0" w:space="0" w:color="auto"/>
          </w:divBdr>
        </w:div>
        <w:div w:id="1061178382">
          <w:marLeft w:val="0"/>
          <w:marRight w:val="0"/>
          <w:marTop w:val="0"/>
          <w:marBottom w:val="0"/>
          <w:divBdr>
            <w:top w:val="none" w:sz="0" w:space="0" w:color="auto"/>
            <w:left w:val="none" w:sz="0" w:space="0" w:color="auto"/>
            <w:bottom w:val="none" w:sz="0" w:space="0" w:color="auto"/>
            <w:right w:val="none" w:sz="0" w:space="0" w:color="auto"/>
          </w:divBdr>
        </w:div>
        <w:div w:id="1509716643">
          <w:marLeft w:val="0"/>
          <w:marRight w:val="0"/>
          <w:marTop w:val="0"/>
          <w:marBottom w:val="0"/>
          <w:divBdr>
            <w:top w:val="none" w:sz="0" w:space="0" w:color="auto"/>
            <w:left w:val="none" w:sz="0" w:space="0" w:color="auto"/>
            <w:bottom w:val="none" w:sz="0" w:space="0" w:color="auto"/>
            <w:right w:val="none" w:sz="0" w:space="0" w:color="auto"/>
          </w:divBdr>
        </w:div>
        <w:div w:id="1863932153">
          <w:marLeft w:val="0"/>
          <w:marRight w:val="0"/>
          <w:marTop w:val="0"/>
          <w:marBottom w:val="0"/>
          <w:divBdr>
            <w:top w:val="none" w:sz="0" w:space="0" w:color="auto"/>
            <w:left w:val="none" w:sz="0" w:space="0" w:color="auto"/>
            <w:bottom w:val="none" w:sz="0" w:space="0" w:color="auto"/>
            <w:right w:val="none" w:sz="0" w:space="0" w:color="auto"/>
          </w:divBdr>
        </w:div>
        <w:div w:id="2022201942">
          <w:marLeft w:val="0"/>
          <w:marRight w:val="0"/>
          <w:marTop w:val="0"/>
          <w:marBottom w:val="0"/>
          <w:divBdr>
            <w:top w:val="none" w:sz="0" w:space="0" w:color="auto"/>
            <w:left w:val="none" w:sz="0" w:space="0" w:color="auto"/>
            <w:bottom w:val="none" w:sz="0" w:space="0" w:color="auto"/>
            <w:right w:val="none" w:sz="0" w:space="0" w:color="auto"/>
          </w:divBdr>
        </w:div>
        <w:div w:id="1236283530">
          <w:marLeft w:val="0"/>
          <w:marRight w:val="0"/>
          <w:marTop w:val="0"/>
          <w:marBottom w:val="0"/>
          <w:divBdr>
            <w:top w:val="none" w:sz="0" w:space="0" w:color="auto"/>
            <w:left w:val="none" w:sz="0" w:space="0" w:color="auto"/>
            <w:bottom w:val="none" w:sz="0" w:space="0" w:color="auto"/>
            <w:right w:val="none" w:sz="0" w:space="0" w:color="auto"/>
          </w:divBdr>
        </w:div>
        <w:div w:id="787511864">
          <w:marLeft w:val="0"/>
          <w:marRight w:val="0"/>
          <w:marTop w:val="0"/>
          <w:marBottom w:val="0"/>
          <w:divBdr>
            <w:top w:val="none" w:sz="0" w:space="0" w:color="auto"/>
            <w:left w:val="none" w:sz="0" w:space="0" w:color="auto"/>
            <w:bottom w:val="none" w:sz="0" w:space="0" w:color="auto"/>
            <w:right w:val="none" w:sz="0" w:space="0" w:color="auto"/>
          </w:divBdr>
        </w:div>
        <w:div w:id="1622879884">
          <w:marLeft w:val="0"/>
          <w:marRight w:val="0"/>
          <w:marTop w:val="0"/>
          <w:marBottom w:val="0"/>
          <w:divBdr>
            <w:top w:val="none" w:sz="0" w:space="0" w:color="auto"/>
            <w:left w:val="none" w:sz="0" w:space="0" w:color="auto"/>
            <w:bottom w:val="none" w:sz="0" w:space="0" w:color="auto"/>
            <w:right w:val="none" w:sz="0" w:space="0" w:color="auto"/>
          </w:divBdr>
        </w:div>
        <w:div w:id="1148474677">
          <w:marLeft w:val="0"/>
          <w:marRight w:val="0"/>
          <w:marTop w:val="0"/>
          <w:marBottom w:val="0"/>
          <w:divBdr>
            <w:top w:val="none" w:sz="0" w:space="0" w:color="auto"/>
            <w:left w:val="none" w:sz="0" w:space="0" w:color="auto"/>
            <w:bottom w:val="none" w:sz="0" w:space="0" w:color="auto"/>
            <w:right w:val="none" w:sz="0" w:space="0" w:color="auto"/>
          </w:divBdr>
        </w:div>
        <w:div w:id="35474009">
          <w:marLeft w:val="0"/>
          <w:marRight w:val="0"/>
          <w:marTop w:val="0"/>
          <w:marBottom w:val="0"/>
          <w:divBdr>
            <w:top w:val="none" w:sz="0" w:space="0" w:color="auto"/>
            <w:left w:val="none" w:sz="0" w:space="0" w:color="auto"/>
            <w:bottom w:val="none" w:sz="0" w:space="0" w:color="auto"/>
            <w:right w:val="none" w:sz="0" w:space="0" w:color="auto"/>
          </w:divBdr>
        </w:div>
        <w:div w:id="1602758713">
          <w:marLeft w:val="0"/>
          <w:marRight w:val="0"/>
          <w:marTop w:val="0"/>
          <w:marBottom w:val="0"/>
          <w:divBdr>
            <w:top w:val="none" w:sz="0" w:space="0" w:color="auto"/>
            <w:left w:val="none" w:sz="0" w:space="0" w:color="auto"/>
            <w:bottom w:val="none" w:sz="0" w:space="0" w:color="auto"/>
            <w:right w:val="none" w:sz="0" w:space="0" w:color="auto"/>
          </w:divBdr>
        </w:div>
        <w:div w:id="863055278">
          <w:marLeft w:val="0"/>
          <w:marRight w:val="0"/>
          <w:marTop w:val="0"/>
          <w:marBottom w:val="0"/>
          <w:divBdr>
            <w:top w:val="none" w:sz="0" w:space="0" w:color="auto"/>
            <w:left w:val="none" w:sz="0" w:space="0" w:color="auto"/>
            <w:bottom w:val="none" w:sz="0" w:space="0" w:color="auto"/>
            <w:right w:val="none" w:sz="0" w:space="0" w:color="auto"/>
          </w:divBdr>
        </w:div>
        <w:div w:id="124322504">
          <w:marLeft w:val="0"/>
          <w:marRight w:val="0"/>
          <w:marTop w:val="0"/>
          <w:marBottom w:val="0"/>
          <w:divBdr>
            <w:top w:val="none" w:sz="0" w:space="0" w:color="auto"/>
            <w:left w:val="none" w:sz="0" w:space="0" w:color="auto"/>
            <w:bottom w:val="none" w:sz="0" w:space="0" w:color="auto"/>
            <w:right w:val="none" w:sz="0" w:space="0" w:color="auto"/>
          </w:divBdr>
        </w:div>
        <w:div w:id="859007528">
          <w:marLeft w:val="0"/>
          <w:marRight w:val="0"/>
          <w:marTop w:val="0"/>
          <w:marBottom w:val="0"/>
          <w:divBdr>
            <w:top w:val="none" w:sz="0" w:space="0" w:color="auto"/>
            <w:left w:val="none" w:sz="0" w:space="0" w:color="auto"/>
            <w:bottom w:val="none" w:sz="0" w:space="0" w:color="auto"/>
            <w:right w:val="none" w:sz="0" w:space="0" w:color="auto"/>
          </w:divBdr>
        </w:div>
        <w:div w:id="537661810">
          <w:marLeft w:val="0"/>
          <w:marRight w:val="0"/>
          <w:marTop w:val="0"/>
          <w:marBottom w:val="0"/>
          <w:divBdr>
            <w:top w:val="none" w:sz="0" w:space="0" w:color="auto"/>
            <w:left w:val="none" w:sz="0" w:space="0" w:color="auto"/>
            <w:bottom w:val="none" w:sz="0" w:space="0" w:color="auto"/>
            <w:right w:val="none" w:sz="0" w:space="0" w:color="auto"/>
          </w:divBdr>
        </w:div>
        <w:div w:id="1068531554">
          <w:marLeft w:val="0"/>
          <w:marRight w:val="0"/>
          <w:marTop w:val="0"/>
          <w:marBottom w:val="0"/>
          <w:divBdr>
            <w:top w:val="none" w:sz="0" w:space="0" w:color="auto"/>
            <w:left w:val="none" w:sz="0" w:space="0" w:color="auto"/>
            <w:bottom w:val="none" w:sz="0" w:space="0" w:color="auto"/>
            <w:right w:val="none" w:sz="0" w:space="0" w:color="auto"/>
          </w:divBdr>
        </w:div>
        <w:div w:id="1838114896">
          <w:marLeft w:val="0"/>
          <w:marRight w:val="0"/>
          <w:marTop w:val="0"/>
          <w:marBottom w:val="0"/>
          <w:divBdr>
            <w:top w:val="none" w:sz="0" w:space="0" w:color="auto"/>
            <w:left w:val="none" w:sz="0" w:space="0" w:color="auto"/>
            <w:bottom w:val="none" w:sz="0" w:space="0" w:color="auto"/>
            <w:right w:val="none" w:sz="0" w:space="0" w:color="auto"/>
          </w:divBdr>
        </w:div>
        <w:div w:id="1772243651">
          <w:marLeft w:val="0"/>
          <w:marRight w:val="0"/>
          <w:marTop w:val="0"/>
          <w:marBottom w:val="0"/>
          <w:divBdr>
            <w:top w:val="none" w:sz="0" w:space="0" w:color="auto"/>
            <w:left w:val="none" w:sz="0" w:space="0" w:color="auto"/>
            <w:bottom w:val="none" w:sz="0" w:space="0" w:color="auto"/>
            <w:right w:val="none" w:sz="0" w:space="0" w:color="auto"/>
          </w:divBdr>
        </w:div>
        <w:div w:id="1103108397">
          <w:marLeft w:val="0"/>
          <w:marRight w:val="0"/>
          <w:marTop w:val="0"/>
          <w:marBottom w:val="0"/>
          <w:divBdr>
            <w:top w:val="none" w:sz="0" w:space="0" w:color="auto"/>
            <w:left w:val="none" w:sz="0" w:space="0" w:color="auto"/>
            <w:bottom w:val="none" w:sz="0" w:space="0" w:color="auto"/>
            <w:right w:val="none" w:sz="0" w:space="0" w:color="auto"/>
          </w:divBdr>
        </w:div>
        <w:div w:id="1858228588">
          <w:marLeft w:val="0"/>
          <w:marRight w:val="0"/>
          <w:marTop w:val="0"/>
          <w:marBottom w:val="0"/>
          <w:divBdr>
            <w:top w:val="none" w:sz="0" w:space="0" w:color="auto"/>
            <w:left w:val="none" w:sz="0" w:space="0" w:color="auto"/>
            <w:bottom w:val="none" w:sz="0" w:space="0" w:color="auto"/>
            <w:right w:val="none" w:sz="0" w:space="0" w:color="auto"/>
          </w:divBdr>
        </w:div>
        <w:div w:id="1092580209">
          <w:marLeft w:val="0"/>
          <w:marRight w:val="0"/>
          <w:marTop w:val="0"/>
          <w:marBottom w:val="0"/>
          <w:divBdr>
            <w:top w:val="none" w:sz="0" w:space="0" w:color="auto"/>
            <w:left w:val="none" w:sz="0" w:space="0" w:color="auto"/>
            <w:bottom w:val="none" w:sz="0" w:space="0" w:color="auto"/>
            <w:right w:val="none" w:sz="0" w:space="0" w:color="auto"/>
          </w:divBdr>
        </w:div>
        <w:div w:id="1721634875">
          <w:marLeft w:val="0"/>
          <w:marRight w:val="0"/>
          <w:marTop w:val="0"/>
          <w:marBottom w:val="0"/>
          <w:divBdr>
            <w:top w:val="none" w:sz="0" w:space="0" w:color="auto"/>
            <w:left w:val="none" w:sz="0" w:space="0" w:color="auto"/>
            <w:bottom w:val="none" w:sz="0" w:space="0" w:color="auto"/>
            <w:right w:val="none" w:sz="0" w:space="0" w:color="auto"/>
          </w:divBdr>
        </w:div>
        <w:div w:id="1103379598">
          <w:marLeft w:val="0"/>
          <w:marRight w:val="0"/>
          <w:marTop w:val="0"/>
          <w:marBottom w:val="0"/>
          <w:divBdr>
            <w:top w:val="none" w:sz="0" w:space="0" w:color="auto"/>
            <w:left w:val="none" w:sz="0" w:space="0" w:color="auto"/>
            <w:bottom w:val="none" w:sz="0" w:space="0" w:color="auto"/>
            <w:right w:val="none" w:sz="0" w:space="0" w:color="auto"/>
          </w:divBdr>
        </w:div>
        <w:div w:id="1035160833">
          <w:marLeft w:val="0"/>
          <w:marRight w:val="0"/>
          <w:marTop w:val="0"/>
          <w:marBottom w:val="0"/>
          <w:divBdr>
            <w:top w:val="none" w:sz="0" w:space="0" w:color="auto"/>
            <w:left w:val="none" w:sz="0" w:space="0" w:color="auto"/>
            <w:bottom w:val="none" w:sz="0" w:space="0" w:color="auto"/>
            <w:right w:val="none" w:sz="0" w:space="0" w:color="auto"/>
          </w:divBdr>
        </w:div>
        <w:div w:id="1220482643">
          <w:marLeft w:val="0"/>
          <w:marRight w:val="0"/>
          <w:marTop w:val="0"/>
          <w:marBottom w:val="0"/>
          <w:divBdr>
            <w:top w:val="none" w:sz="0" w:space="0" w:color="auto"/>
            <w:left w:val="none" w:sz="0" w:space="0" w:color="auto"/>
            <w:bottom w:val="none" w:sz="0" w:space="0" w:color="auto"/>
            <w:right w:val="none" w:sz="0" w:space="0" w:color="auto"/>
          </w:divBdr>
        </w:div>
        <w:div w:id="139350129">
          <w:marLeft w:val="0"/>
          <w:marRight w:val="0"/>
          <w:marTop w:val="0"/>
          <w:marBottom w:val="0"/>
          <w:divBdr>
            <w:top w:val="none" w:sz="0" w:space="0" w:color="auto"/>
            <w:left w:val="none" w:sz="0" w:space="0" w:color="auto"/>
            <w:bottom w:val="none" w:sz="0" w:space="0" w:color="auto"/>
            <w:right w:val="none" w:sz="0" w:space="0" w:color="auto"/>
          </w:divBdr>
        </w:div>
        <w:div w:id="701444965">
          <w:marLeft w:val="0"/>
          <w:marRight w:val="0"/>
          <w:marTop w:val="0"/>
          <w:marBottom w:val="0"/>
          <w:divBdr>
            <w:top w:val="none" w:sz="0" w:space="0" w:color="auto"/>
            <w:left w:val="none" w:sz="0" w:space="0" w:color="auto"/>
            <w:bottom w:val="none" w:sz="0" w:space="0" w:color="auto"/>
            <w:right w:val="none" w:sz="0" w:space="0" w:color="auto"/>
          </w:divBdr>
        </w:div>
        <w:div w:id="1272085755">
          <w:marLeft w:val="0"/>
          <w:marRight w:val="0"/>
          <w:marTop w:val="0"/>
          <w:marBottom w:val="0"/>
          <w:divBdr>
            <w:top w:val="none" w:sz="0" w:space="0" w:color="auto"/>
            <w:left w:val="none" w:sz="0" w:space="0" w:color="auto"/>
            <w:bottom w:val="none" w:sz="0" w:space="0" w:color="auto"/>
            <w:right w:val="none" w:sz="0" w:space="0" w:color="auto"/>
          </w:divBdr>
        </w:div>
        <w:div w:id="1669821202">
          <w:marLeft w:val="0"/>
          <w:marRight w:val="0"/>
          <w:marTop w:val="0"/>
          <w:marBottom w:val="0"/>
          <w:divBdr>
            <w:top w:val="none" w:sz="0" w:space="0" w:color="auto"/>
            <w:left w:val="none" w:sz="0" w:space="0" w:color="auto"/>
            <w:bottom w:val="none" w:sz="0" w:space="0" w:color="auto"/>
            <w:right w:val="none" w:sz="0" w:space="0" w:color="auto"/>
          </w:divBdr>
        </w:div>
      </w:divsChild>
    </w:div>
    <w:div w:id="600065033">
      <w:bodyDiv w:val="1"/>
      <w:marLeft w:val="0"/>
      <w:marRight w:val="0"/>
      <w:marTop w:val="0"/>
      <w:marBottom w:val="0"/>
      <w:divBdr>
        <w:top w:val="none" w:sz="0" w:space="0" w:color="auto"/>
        <w:left w:val="none" w:sz="0" w:space="0" w:color="auto"/>
        <w:bottom w:val="none" w:sz="0" w:space="0" w:color="auto"/>
        <w:right w:val="none" w:sz="0" w:space="0" w:color="auto"/>
      </w:divBdr>
    </w:div>
    <w:div w:id="871303136">
      <w:bodyDiv w:val="1"/>
      <w:marLeft w:val="0"/>
      <w:marRight w:val="0"/>
      <w:marTop w:val="0"/>
      <w:marBottom w:val="0"/>
      <w:divBdr>
        <w:top w:val="none" w:sz="0" w:space="0" w:color="auto"/>
        <w:left w:val="none" w:sz="0" w:space="0" w:color="auto"/>
        <w:bottom w:val="none" w:sz="0" w:space="0" w:color="auto"/>
        <w:right w:val="none" w:sz="0" w:space="0" w:color="auto"/>
      </w:divBdr>
      <w:divsChild>
        <w:div w:id="615065650">
          <w:marLeft w:val="0"/>
          <w:marRight w:val="0"/>
          <w:marTop w:val="0"/>
          <w:marBottom w:val="0"/>
          <w:divBdr>
            <w:top w:val="none" w:sz="0" w:space="0" w:color="auto"/>
            <w:left w:val="none" w:sz="0" w:space="0" w:color="auto"/>
            <w:bottom w:val="none" w:sz="0" w:space="0" w:color="auto"/>
            <w:right w:val="none" w:sz="0" w:space="0" w:color="auto"/>
          </w:divBdr>
        </w:div>
        <w:div w:id="628976142">
          <w:marLeft w:val="0"/>
          <w:marRight w:val="0"/>
          <w:marTop w:val="0"/>
          <w:marBottom w:val="0"/>
          <w:divBdr>
            <w:top w:val="none" w:sz="0" w:space="0" w:color="auto"/>
            <w:left w:val="none" w:sz="0" w:space="0" w:color="auto"/>
            <w:bottom w:val="none" w:sz="0" w:space="0" w:color="auto"/>
            <w:right w:val="none" w:sz="0" w:space="0" w:color="auto"/>
          </w:divBdr>
        </w:div>
      </w:divsChild>
    </w:div>
    <w:div w:id="1112700257">
      <w:bodyDiv w:val="1"/>
      <w:marLeft w:val="0"/>
      <w:marRight w:val="0"/>
      <w:marTop w:val="0"/>
      <w:marBottom w:val="0"/>
      <w:divBdr>
        <w:top w:val="none" w:sz="0" w:space="0" w:color="auto"/>
        <w:left w:val="none" w:sz="0" w:space="0" w:color="auto"/>
        <w:bottom w:val="none" w:sz="0" w:space="0" w:color="auto"/>
        <w:right w:val="none" w:sz="0" w:space="0" w:color="auto"/>
      </w:divBdr>
      <w:divsChild>
        <w:div w:id="1019745357">
          <w:marLeft w:val="0"/>
          <w:marRight w:val="0"/>
          <w:marTop w:val="0"/>
          <w:marBottom w:val="0"/>
          <w:divBdr>
            <w:top w:val="none" w:sz="0" w:space="0" w:color="auto"/>
            <w:left w:val="none" w:sz="0" w:space="0" w:color="auto"/>
            <w:bottom w:val="none" w:sz="0" w:space="0" w:color="auto"/>
            <w:right w:val="none" w:sz="0" w:space="0" w:color="auto"/>
          </w:divBdr>
        </w:div>
        <w:div w:id="1333296362">
          <w:marLeft w:val="0"/>
          <w:marRight w:val="0"/>
          <w:marTop w:val="0"/>
          <w:marBottom w:val="0"/>
          <w:divBdr>
            <w:top w:val="none" w:sz="0" w:space="0" w:color="auto"/>
            <w:left w:val="none" w:sz="0" w:space="0" w:color="auto"/>
            <w:bottom w:val="none" w:sz="0" w:space="0" w:color="auto"/>
            <w:right w:val="none" w:sz="0" w:space="0" w:color="auto"/>
          </w:divBdr>
        </w:div>
      </w:divsChild>
    </w:div>
    <w:div w:id="1311445779">
      <w:bodyDiv w:val="1"/>
      <w:marLeft w:val="0"/>
      <w:marRight w:val="0"/>
      <w:marTop w:val="0"/>
      <w:marBottom w:val="0"/>
      <w:divBdr>
        <w:top w:val="none" w:sz="0" w:space="0" w:color="auto"/>
        <w:left w:val="none" w:sz="0" w:space="0" w:color="auto"/>
        <w:bottom w:val="none" w:sz="0" w:space="0" w:color="auto"/>
        <w:right w:val="none" w:sz="0" w:space="0" w:color="auto"/>
      </w:divBdr>
      <w:divsChild>
        <w:div w:id="1830826304">
          <w:marLeft w:val="0"/>
          <w:marRight w:val="0"/>
          <w:marTop w:val="0"/>
          <w:marBottom w:val="0"/>
          <w:divBdr>
            <w:top w:val="none" w:sz="0" w:space="0" w:color="auto"/>
            <w:left w:val="none" w:sz="0" w:space="0" w:color="auto"/>
            <w:bottom w:val="none" w:sz="0" w:space="0" w:color="auto"/>
            <w:right w:val="none" w:sz="0" w:space="0" w:color="auto"/>
          </w:divBdr>
        </w:div>
        <w:div w:id="2133742380">
          <w:marLeft w:val="0"/>
          <w:marRight w:val="0"/>
          <w:marTop w:val="0"/>
          <w:marBottom w:val="0"/>
          <w:divBdr>
            <w:top w:val="none" w:sz="0" w:space="0" w:color="auto"/>
            <w:left w:val="none" w:sz="0" w:space="0" w:color="auto"/>
            <w:bottom w:val="none" w:sz="0" w:space="0" w:color="auto"/>
            <w:right w:val="none" w:sz="0" w:space="0" w:color="auto"/>
          </w:divBdr>
        </w:div>
      </w:divsChild>
    </w:div>
    <w:div w:id="1326401499">
      <w:bodyDiv w:val="1"/>
      <w:marLeft w:val="0"/>
      <w:marRight w:val="0"/>
      <w:marTop w:val="0"/>
      <w:marBottom w:val="0"/>
      <w:divBdr>
        <w:top w:val="none" w:sz="0" w:space="0" w:color="auto"/>
        <w:left w:val="none" w:sz="0" w:space="0" w:color="auto"/>
        <w:bottom w:val="none" w:sz="0" w:space="0" w:color="auto"/>
        <w:right w:val="none" w:sz="0" w:space="0" w:color="auto"/>
      </w:divBdr>
      <w:divsChild>
        <w:div w:id="345448144">
          <w:marLeft w:val="0"/>
          <w:marRight w:val="0"/>
          <w:marTop w:val="0"/>
          <w:marBottom w:val="0"/>
          <w:divBdr>
            <w:top w:val="none" w:sz="0" w:space="0" w:color="auto"/>
            <w:left w:val="none" w:sz="0" w:space="0" w:color="auto"/>
            <w:bottom w:val="none" w:sz="0" w:space="0" w:color="auto"/>
            <w:right w:val="none" w:sz="0" w:space="0" w:color="auto"/>
          </w:divBdr>
        </w:div>
        <w:div w:id="475418989">
          <w:marLeft w:val="0"/>
          <w:marRight w:val="0"/>
          <w:marTop w:val="0"/>
          <w:marBottom w:val="0"/>
          <w:divBdr>
            <w:top w:val="none" w:sz="0" w:space="0" w:color="auto"/>
            <w:left w:val="none" w:sz="0" w:space="0" w:color="auto"/>
            <w:bottom w:val="none" w:sz="0" w:space="0" w:color="auto"/>
            <w:right w:val="none" w:sz="0" w:space="0" w:color="auto"/>
          </w:divBdr>
        </w:div>
        <w:div w:id="1860506808">
          <w:marLeft w:val="0"/>
          <w:marRight w:val="0"/>
          <w:marTop w:val="0"/>
          <w:marBottom w:val="0"/>
          <w:divBdr>
            <w:top w:val="none" w:sz="0" w:space="0" w:color="auto"/>
            <w:left w:val="none" w:sz="0" w:space="0" w:color="auto"/>
            <w:bottom w:val="none" w:sz="0" w:space="0" w:color="auto"/>
            <w:right w:val="none" w:sz="0" w:space="0" w:color="auto"/>
          </w:divBdr>
        </w:div>
        <w:div w:id="1394425475">
          <w:marLeft w:val="0"/>
          <w:marRight w:val="0"/>
          <w:marTop w:val="0"/>
          <w:marBottom w:val="0"/>
          <w:divBdr>
            <w:top w:val="none" w:sz="0" w:space="0" w:color="auto"/>
            <w:left w:val="none" w:sz="0" w:space="0" w:color="auto"/>
            <w:bottom w:val="none" w:sz="0" w:space="0" w:color="auto"/>
            <w:right w:val="none" w:sz="0" w:space="0" w:color="auto"/>
          </w:divBdr>
        </w:div>
        <w:div w:id="853956637">
          <w:marLeft w:val="0"/>
          <w:marRight w:val="0"/>
          <w:marTop w:val="0"/>
          <w:marBottom w:val="0"/>
          <w:divBdr>
            <w:top w:val="none" w:sz="0" w:space="0" w:color="auto"/>
            <w:left w:val="none" w:sz="0" w:space="0" w:color="auto"/>
            <w:bottom w:val="none" w:sz="0" w:space="0" w:color="auto"/>
            <w:right w:val="none" w:sz="0" w:space="0" w:color="auto"/>
          </w:divBdr>
        </w:div>
        <w:div w:id="67071901">
          <w:marLeft w:val="0"/>
          <w:marRight w:val="0"/>
          <w:marTop w:val="0"/>
          <w:marBottom w:val="0"/>
          <w:divBdr>
            <w:top w:val="none" w:sz="0" w:space="0" w:color="auto"/>
            <w:left w:val="none" w:sz="0" w:space="0" w:color="auto"/>
            <w:bottom w:val="none" w:sz="0" w:space="0" w:color="auto"/>
            <w:right w:val="none" w:sz="0" w:space="0" w:color="auto"/>
          </w:divBdr>
        </w:div>
        <w:div w:id="335888803">
          <w:marLeft w:val="0"/>
          <w:marRight w:val="0"/>
          <w:marTop w:val="0"/>
          <w:marBottom w:val="0"/>
          <w:divBdr>
            <w:top w:val="none" w:sz="0" w:space="0" w:color="auto"/>
            <w:left w:val="none" w:sz="0" w:space="0" w:color="auto"/>
            <w:bottom w:val="none" w:sz="0" w:space="0" w:color="auto"/>
            <w:right w:val="none" w:sz="0" w:space="0" w:color="auto"/>
          </w:divBdr>
        </w:div>
        <w:div w:id="555632016">
          <w:marLeft w:val="0"/>
          <w:marRight w:val="0"/>
          <w:marTop w:val="0"/>
          <w:marBottom w:val="0"/>
          <w:divBdr>
            <w:top w:val="none" w:sz="0" w:space="0" w:color="auto"/>
            <w:left w:val="none" w:sz="0" w:space="0" w:color="auto"/>
            <w:bottom w:val="none" w:sz="0" w:space="0" w:color="auto"/>
            <w:right w:val="none" w:sz="0" w:space="0" w:color="auto"/>
          </w:divBdr>
        </w:div>
        <w:div w:id="853112503">
          <w:marLeft w:val="0"/>
          <w:marRight w:val="0"/>
          <w:marTop w:val="0"/>
          <w:marBottom w:val="0"/>
          <w:divBdr>
            <w:top w:val="none" w:sz="0" w:space="0" w:color="auto"/>
            <w:left w:val="none" w:sz="0" w:space="0" w:color="auto"/>
            <w:bottom w:val="none" w:sz="0" w:space="0" w:color="auto"/>
            <w:right w:val="none" w:sz="0" w:space="0" w:color="auto"/>
          </w:divBdr>
        </w:div>
        <w:div w:id="1970165574">
          <w:marLeft w:val="0"/>
          <w:marRight w:val="0"/>
          <w:marTop w:val="0"/>
          <w:marBottom w:val="0"/>
          <w:divBdr>
            <w:top w:val="none" w:sz="0" w:space="0" w:color="auto"/>
            <w:left w:val="none" w:sz="0" w:space="0" w:color="auto"/>
            <w:bottom w:val="none" w:sz="0" w:space="0" w:color="auto"/>
            <w:right w:val="none" w:sz="0" w:space="0" w:color="auto"/>
          </w:divBdr>
        </w:div>
        <w:div w:id="1244215529">
          <w:marLeft w:val="0"/>
          <w:marRight w:val="0"/>
          <w:marTop w:val="0"/>
          <w:marBottom w:val="0"/>
          <w:divBdr>
            <w:top w:val="none" w:sz="0" w:space="0" w:color="auto"/>
            <w:left w:val="none" w:sz="0" w:space="0" w:color="auto"/>
            <w:bottom w:val="none" w:sz="0" w:space="0" w:color="auto"/>
            <w:right w:val="none" w:sz="0" w:space="0" w:color="auto"/>
          </w:divBdr>
        </w:div>
        <w:div w:id="1218513963">
          <w:marLeft w:val="0"/>
          <w:marRight w:val="0"/>
          <w:marTop w:val="0"/>
          <w:marBottom w:val="0"/>
          <w:divBdr>
            <w:top w:val="none" w:sz="0" w:space="0" w:color="auto"/>
            <w:left w:val="none" w:sz="0" w:space="0" w:color="auto"/>
            <w:bottom w:val="none" w:sz="0" w:space="0" w:color="auto"/>
            <w:right w:val="none" w:sz="0" w:space="0" w:color="auto"/>
          </w:divBdr>
        </w:div>
        <w:div w:id="1645159127">
          <w:marLeft w:val="0"/>
          <w:marRight w:val="0"/>
          <w:marTop w:val="0"/>
          <w:marBottom w:val="0"/>
          <w:divBdr>
            <w:top w:val="none" w:sz="0" w:space="0" w:color="auto"/>
            <w:left w:val="none" w:sz="0" w:space="0" w:color="auto"/>
            <w:bottom w:val="none" w:sz="0" w:space="0" w:color="auto"/>
            <w:right w:val="none" w:sz="0" w:space="0" w:color="auto"/>
          </w:divBdr>
        </w:div>
        <w:div w:id="846407642">
          <w:marLeft w:val="0"/>
          <w:marRight w:val="0"/>
          <w:marTop w:val="0"/>
          <w:marBottom w:val="0"/>
          <w:divBdr>
            <w:top w:val="none" w:sz="0" w:space="0" w:color="auto"/>
            <w:left w:val="none" w:sz="0" w:space="0" w:color="auto"/>
            <w:bottom w:val="none" w:sz="0" w:space="0" w:color="auto"/>
            <w:right w:val="none" w:sz="0" w:space="0" w:color="auto"/>
          </w:divBdr>
        </w:div>
        <w:div w:id="1503231633">
          <w:marLeft w:val="0"/>
          <w:marRight w:val="0"/>
          <w:marTop w:val="0"/>
          <w:marBottom w:val="0"/>
          <w:divBdr>
            <w:top w:val="none" w:sz="0" w:space="0" w:color="auto"/>
            <w:left w:val="none" w:sz="0" w:space="0" w:color="auto"/>
            <w:bottom w:val="none" w:sz="0" w:space="0" w:color="auto"/>
            <w:right w:val="none" w:sz="0" w:space="0" w:color="auto"/>
          </w:divBdr>
        </w:div>
        <w:div w:id="662587423">
          <w:marLeft w:val="0"/>
          <w:marRight w:val="0"/>
          <w:marTop w:val="0"/>
          <w:marBottom w:val="0"/>
          <w:divBdr>
            <w:top w:val="none" w:sz="0" w:space="0" w:color="auto"/>
            <w:left w:val="none" w:sz="0" w:space="0" w:color="auto"/>
            <w:bottom w:val="none" w:sz="0" w:space="0" w:color="auto"/>
            <w:right w:val="none" w:sz="0" w:space="0" w:color="auto"/>
          </w:divBdr>
        </w:div>
        <w:div w:id="1886596081">
          <w:marLeft w:val="0"/>
          <w:marRight w:val="0"/>
          <w:marTop w:val="0"/>
          <w:marBottom w:val="0"/>
          <w:divBdr>
            <w:top w:val="none" w:sz="0" w:space="0" w:color="auto"/>
            <w:left w:val="none" w:sz="0" w:space="0" w:color="auto"/>
            <w:bottom w:val="none" w:sz="0" w:space="0" w:color="auto"/>
            <w:right w:val="none" w:sz="0" w:space="0" w:color="auto"/>
          </w:divBdr>
        </w:div>
        <w:div w:id="1192912217">
          <w:marLeft w:val="0"/>
          <w:marRight w:val="0"/>
          <w:marTop w:val="0"/>
          <w:marBottom w:val="0"/>
          <w:divBdr>
            <w:top w:val="none" w:sz="0" w:space="0" w:color="auto"/>
            <w:left w:val="none" w:sz="0" w:space="0" w:color="auto"/>
            <w:bottom w:val="none" w:sz="0" w:space="0" w:color="auto"/>
            <w:right w:val="none" w:sz="0" w:space="0" w:color="auto"/>
          </w:divBdr>
        </w:div>
        <w:div w:id="933323381">
          <w:marLeft w:val="0"/>
          <w:marRight w:val="0"/>
          <w:marTop w:val="0"/>
          <w:marBottom w:val="0"/>
          <w:divBdr>
            <w:top w:val="none" w:sz="0" w:space="0" w:color="auto"/>
            <w:left w:val="none" w:sz="0" w:space="0" w:color="auto"/>
            <w:bottom w:val="none" w:sz="0" w:space="0" w:color="auto"/>
            <w:right w:val="none" w:sz="0" w:space="0" w:color="auto"/>
          </w:divBdr>
        </w:div>
        <w:div w:id="1160385852">
          <w:marLeft w:val="0"/>
          <w:marRight w:val="0"/>
          <w:marTop w:val="0"/>
          <w:marBottom w:val="0"/>
          <w:divBdr>
            <w:top w:val="none" w:sz="0" w:space="0" w:color="auto"/>
            <w:left w:val="none" w:sz="0" w:space="0" w:color="auto"/>
            <w:bottom w:val="none" w:sz="0" w:space="0" w:color="auto"/>
            <w:right w:val="none" w:sz="0" w:space="0" w:color="auto"/>
          </w:divBdr>
        </w:div>
        <w:div w:id="988249697">
          <w:marLeft w:val="0"/>
          <w:marRight w:val="0"/>
          <w:marTop w:val="0"/>
          <w:marBottom w:val="0"/>
          <w:divBdr>
            <w:top w:val="none" w:sz="0" w:space="0" w:color="auto"/>
            <w:left w:val="none" w:sz="0" w:space="0" w:color="auto"/>
            <w:bottom w:val="none" w:sz="0" w:space="0" w:color="auto"/>
            <w:right w:val="none" w:sz="0" w:space="0" w:color="auto"/>
          </w:divBdr>
        </w:div>
        <w:div w:id="1803227983">
          <w:marLeft w:val="0"/>
          <w:marRight w:val="0"/>
          <w:marTop w:val="0"/>
          <w:marBottom w:val="0"/>
          <w:divBdr>
            <w:top w:val="none" w:sz="0" w:space="0" w:color="auto"/>
            <w:left w:val="none" w:sz="0" w:space="0" w:color="auto"/>
            <w:bottom w:val="none" w:sz="0" w:space="0" w:color="auto"/>
            <w:right w:val="none" w:sz="0" w:space="0" w:color="auto"/>
          </w:divBdr>
        </w:div>
        <w:div w:id="1340354086">
          <w:marLeft w:val="0"/>
          <w:marRight w:val="0"/>
          <w:marTop w:val="0"/>
          <w:marBottom w:val="0"/>
          <w:divBdr>
            <w:top w:val="none" w:sz="0" w:space="0" w:color="auto"/>
            <w:left w:val="none" w:sz="0" w:space="0" w:color="auto"/>
            <w:bottom w:val="none" w:sz="0" w:space="0" w:color="auto"/>
            <w:right w:val="none" w:sz="0" w:space="0" w:color="auto"/>
          </w:divBdr>
        </w:div>
        <w:div w:id="223955882">
          <w:marLeft w:val="0"/>
          <w:marRight w:val="0"/>
          <w:marTop w:val="0"/>
          <w:marBottom w:val="0"/>
          <w:divBdr>
            <w:top w:val="none" w:sz="0" w:space="0" w:color="auto"/>
            <w:left w:val="none" w:sz="0" w:space="0" w:color="auto"/>
            <w:bottom w:val="none" w:sz="0" w:space="0" w:color="auto"/>
            <w:right w:val="none" w:sz="0" w:space="0" w:color="auto"/>
          </w:divBdr>
        </w:div>
        <w:div w:id="1626158470">
          <w:marLeft w:val="0"/>
          <w:marRight w:val="0"/>
          <w:marTop w:val="0"/>
          <w:marBottom w:val="0"/>
          <w:divBdr>
            <w:top w:val="none" w:sz="0" w:space="0" w:color="auto"/>
            <w:left w:val="none" w:sz="0" w:space="0" w:color="auto"/>
            <w:bottom w:val="none" w:sz="0" w:space="0" w:color="auto"/>
            <w:right w:val="none" w:sz="0" w:space="0" w:color="auto"/>
          </w:divBdr>
        </w:div>
        <w:div w:id="2067684823">
          <w:marLeft w:val="0"/>
          <w:marRight w:val="0"/>
          <w:marTop w:val="0"/>
          <w:marBottom w:val="0"/>
          <w:divBdr>
            <w:top w:val="none" w:sz="0" w:space="0" w:color="auto"/>
            <w:left w:val="none" w:sz="0" w:space="0" w:color="auto"/>
            <w:bottom w:val="none" w:sz="0" w:space="0" w:color="auto"/>
            <w:right w:val="none" w:sz="0" w:space="0" w:color="auto"/>
          </w:divBdr>
        </w:div>
        <w:div w:id="738283738">
          <w:marLeft w:val="0"/>
          <w:marRight w:val="0"/>
          <w:marTop w:val="0"/>
          <w:marBottom w:val="0"/>
          <w:divBdr>
            <w:top w:val="none" w:sz="0" w:space="0" w:color="auto"/>
            <w:left w:val="none" w:sz="0" w:space="0" w:color="auto"/>
            <w:bottom w:val="none" w:sz="0" w:space="0" w:color="auto"/>
            <w:right w:val="none" w:sz="0" w:space="0" w:color="auto"/>
          </w:divBdr>
        </w:div>
        <w:div w:id="1366715554">
          <w:marLeft w:val="0"/>
          <w:marRight w:val="0"/>
          <w:marTop w:val="0"/>
          <w:marBottom w:val="0"/>
          <w:divBdr>
            <w:top w:val="none" w:sz="0" w:space="0" w:color="auto"/>
            <w:left w:val="none" w:sz="0" w:space="0" w:color="auto"/>
            <w:bottom w:val="none" w:sz="0" w:space="0" w:color="auto"/>
            <w:right w:val="none" w:sz="0" w:space="0" w:color="auto"/>
          </w:divBdr>
        </w:div>
        <w:div w:id="1010331726">
          <w:marLeft w:val="0"/>
          <w:marRight w:val="0"/>
          <w:marTop w:val="0"/>
          <w:marBottom w:val="0"/>
          <w:divBdr>
            <w:top w:val="none" w:sz="0" w:space="0" w:color="auto"/>
            <w:left w:val="none" w:sz="0" w:space="0" w:color="auto"/>
            <w:bottom w:val="none" w:sz="0" w:space="0" w:color="auto"/>
            <w:right w:val="none" w:sz="0" w:space="0" w:color="auto"/>
          </w:divBdr>
        </w:div>
        <w:div w:id="246229502">
          <w:marLeft w:val="0"/>
          <w:marRight w:val="0"/>
          <w:marTop w:val="0"/>
          <w:marBottom w:val="0"/>
          <w:divBdr>
            <w:top w:val="none" w:sz="0" w:space="0" w:color="auto"/>
            <w:left w:val="none" w:sz="0" w:space="0" w:color="auto"/>
            <w:bottom w:val="none" w:sz="0" w:space="0" w:color="auto"/>
            <w:right w:val="none" w:sz="0" w:space="0" w:color="auto"/>
          </w:divBdr>
        </w:div>
        <w:div w:id="421531703">
          <w:marLeft w:val="0"/>
          <w:marRight w:val="0"/>
          <w:marTop w:val="0"/>
          <w:marBottom w:val="0"/>
          <w:divBdr>
            <w:top w:val="none" w:sz="0" w:space="0" w:color="auto"/>
            <w:left w:val="none" w:sz="0" w:space="0" w:color="auto"/>
            <w:bottom w:val="none" w:sz="0" w:space="0" w:color="auto"/>
            <w:right w:val="none" w:sz="0" w:space="0" w:color="auto"/>
          </w:divBdr>
        </w:div>
        <w:div w:id="460806590">
          <w:marLeft w:val="0"/>
          <w:marRight w:val="0"/>
          <w:marTop w:val="0"/>
          <w:marBottom w:val="0"/>
          <w:divBdr>
            <w:top w:val="none" w:sz="0" w:space="0" w:color="auto"/>
            <w:left w:val="none" w:sz="0" w:space="0" w:color="auto"/>
            <w:bottom w:val="none" w:sz="0" w:space="0" w:color="auto"/>
            <w:right w:val="none" w:sz="0" w:space="0" w:color="auto"/>
          </w:divBdr>
        </w:div>
        <w:div w:id="1878077074">
          <w:marLeft w:val="0"/>
          <w:marRight w:val="0"/>
          <w:marTop w:val="0"/>
          <w:marBottom w:val="0"/>
          <w:divBdr>
            <w:top w:val="none" w:sz="0" w:space="0" w:color="auto"/>
            <w:left w:val="none" w:sz="0" w:space="0" w:color="auto"/>
            <w:bottom w:val="none" w:sz="0" w:space="0" w:color="auto"/>
            <w:right w:val="none" w:sz="0" w:space="0" w:color="auto"/>
          </w:divBdr>
        </w:div>
        <w:div w:id="753359567">
          <w:marLeft w:val="0"/>
          <w:marRight w:val="0"/>
          <w:marTop w:val="0"/>
          <w:marBottom w:val="0"/>
          <w:divBdr>
            <w:top w:val="none" w:sz="0" w:space="0" w:color="auto"/>
            <w:left w:val="none" w:sz="0" w:space="0" w:color="auto"/>
            <w:bottom w:val="none" w:sz="0" w:space="0" w:color="auto"/>
            <w:right w:val="none" w:sz="0" w:space="0" w:color="auto"/>
          </w:divBdr>
        </w:div>
        <w:div w:id="1239747089">
          <w:marLeft w:val="0"/>
          <w:marRight w:val="0"/>
          <w:marTop w:val="0"/>
          <w:marBottom w:val="0"/>
          <w:divBdr>
            <w:top w:val="none" w:sz="0" w:space="0" w:color="auto"/>
            <w:left w:val="none" w:sz="0" w:space="0" w:color="auto"/>
            <w:bottom w:val="none" w:sz="0" w:space="0" w:color="auto"/>
            <w:right w:val="none" w:sz="0" w:space="0" w:color="auto"/>
          </w:divBdr>
        </w:div>
        <w:div w:id="1164128370">
          <w:marLeft w:val="0"/>
          <w:marRight w:val="0"/>
          <w:marTop w:val="0"/>
          <w:marBottom w:val="0"/>
          <w:divBdr>
            <w:top w:val="none" w:sz="0" w:space="0" w:color="auto"/>
            <w:left w:val="none" w:sz="0" w:space="0" w:color="auto"/>
            <w:bottom w:val="none" w:sz="0" w:space="0" w:color="auto"/>
            <w:right w:val="none" w:sz="0" w:space="0" w:color="auto"/>
          </w:divBdr>
        </w:div>
        <w:div w:id="176191205">
          <w:marLeft w:val="0"/>
          <w:marRight w:val="0"/>
          <w:marTop w:val="0"/>
          <w:marBottom w:val="0"/>
          <w:divBdr>
            <w:top w:val="none" w:sz="0" w:space="0" w:color="auto"/>
            <w:left w:val="none" w:sz="0" w:space="0" w:color="auto"/>
            <w:bottom w:val="none" w:sz="0" w:space="0" w:color="auto"/>
            <w:right w:val="none" w:sz="0" w:space="0" w:color="auto"/>
          </w:divBdr>
        </w:div>
        <w:div w:id="1486317016">
          <w:marLeft w:val="0"/>
          <w:marRight w:val="0"/>
          <w:marTop w:val="0"/>
          <w:marBottom w:val="0"/>
          <w:divBdr>
            <w:top w:val="none" w:sz="0" w:space="0" w:color="auto"/>
            <w:left w:val="none" w:sz="0" w:space="0" w:color="auto"/>
            <w:bottom w:val="none" w:sz="0" w:space="0" w:color="auto"/>
            <w:right w:val="none" w:sz="0" w:space="0" w:color="auto"/>
          </w:divBdr>
        </w:div>
        <w:div w:id="1058013980">
          <w:marLeft w:val="0"/>
          <w:marRight w:val="0"/>
          <w:marTop w:val="0"/>
          <w:marBottom w:val="0"/>
          <w:divBdr>
            <w:top w:val="none" w:sz="0" w:space="0" w:color="auto"/>
            <w:left w:val="none" w:sz="0" w:space="0" w:color="auto"/>
            <w:bottom w:val="none" w:sz="0" w:space="0" w:color="auto"/>
            <w:right w:val="none" w:sz="0" w:space="0" w:color="auto"/>
          </w:divBdr>
        </w:div>
        <w:div w:id="1084688175">
          <w:marLeft w:val="0"/>
          <w:marRight w:val="0"/>
          <w:marTop w:val="0"/>
          <w:marBottom w:val="0"/>
          <w:divBdr>
            <w:top w:val="none" w:sz="0" w:space="0" w:color="auto"/>
            <w:left w:val="none" w:sz="0" w:space="0" w:color="auto"/>
            <w:bottom w:val="none" w:sz="0" w:space="0" w:color="auto"/>
            <w:right w:val="none" w:sz="0" w:space="0" w:color="auto"/>
          </w:divBdr>
        </w:div>
        <w:div w:id="480343324">
          <w:marLeft w:val="0"/>
          <w:marRight w:val="0"/>
          <w:marTop w:val="0"/>
          <w:marBottom w:val="0"/>
          <w:divBdr>
            <w:top w:val="none" w:sz="0" w:space="0" w:color="auto"/>
            <w:left w:val="none" w:sz="0" w:space="0" w:color="auto"/>
            <w:bottom w:val="none" w:sz="0" w:space="0" w:color="auto"/>
            <w:right w:val="none" w:sz="0" w:space="0" w:color="auto"/>
          </w:divBdr>
        </w:div>
        <w:div w:id="1505172072">
          <w:marLeft w:val="0"/>
          <w:marRight w:val="0"/>
          <w:marTop w:val="0"/>
          <w:marBottom w:val="0"/>
          <w:divBdr>
            <w:top w:val="none" w:sz="0" w:space="0" w:color="auto"/>
            <w:left w:val="none" w:sz="0" w:space="0" w:color="auto"/>
            <w:bottom w:val="none" w:sz="0" w:space="0" w:color="auto"/>
            <w:right w:val="none" w:sz="0" w:space="0" w:color="auto"/>
          </w:divBdr>
        </w:div>
        <w:div w:id="392045493">
          <w:marLeft w:val="0"/>
          <w:marRight w:val="0"/>
          <w:marTop w:val="0"/>
          <w:marBottom w:val="0"/>
          <w:divBdr>
            <w:top w:val="none" w:sz="0" w:space="0" w:color="auto"/>
            <w:left w:val="none" w:sz="0" w:space="0" w:color="auto"/>
            <w:bottom w:val="none" w:sz="0" w:space="0" w:color="auto"/>
            <w:right w:val="none" w:sz="0" w:space="0" w:color="auto"/>
          </w:divBdr>
        </w:div>
        <w:div w:id="2055034320">
          <w:marLeft w:val="0"/>
          <w:marRight w:val="0"/>
          <w:marTop w:val="0"/>
          <w:marBottom w:val="0"/>
          <w:divBdr>
            <w:top w:val="none" w:sz="0" w:space="0" w:color="auto"/>
            <w:left w:val="none" w:sz="0" w:space="0" w:color="auto"/>
            <w:bottom w:val="none" w:sz="0" w:space="0" w:color="auto"/>
            <w:right w:val="none" w:sz="0" w:space="0" w:color="auto"/>
          </w:divBdr>
        </w:div>
        <w:div w:id="863981932">
          <w:marLeft w:val="0"/>
          <w:marRight w:val="0"/>
          <w:marTop w:val="0"/>
          <w:marBottom w:val="0"/>
          <w:divBdr>
            <w:top w:val="none" w:sz="0" w:space="0" w:color="auto"/>
            <w:left w:val="none" w:sz="0" w:space="0" w:color="auto"/>
            <w:bottom w:val="none" w:sz="0" w:space="0" w:color="auto"/>
            <w:right w:val="none" w:sz="0" w:space="0" w:color="auto"/>
          </w:divBdr>
        </w:div>
      </w:divsChild>
    </w:div>
    <w:div w:id="1956594498">
      <w:bodyDiv w:val="1"/>
      <w:marLeft w:val="0"/>
      <w:marRight w:val="0"/>
      <w:marTop w:val="0"/>
      <w:marBottom w:val="0"/>
      <w:divBdr>
        <w:top w:val="none" w:sz="0" w:space="0" w:color="auto"/>
        <w:left w:val="none" w:sz="0" w:space="0" w:color="auto"/>
        <w:bottom w:val="none" w:sz="0" w:space="0" w:color="auto"/>
        <w:right w:val="none" w:sz="0" w:space="0" w:color="auto"/>
      </w:divBdr>
    </w:div>
    <w:div w:id="2070376859">
      <w:bodyDiv w:val="1"/>
      <w:marLeft w:val="0"/>
      <w:marRight w:val="0"/>
      <w:marTop w:val="0"/>
      <w:marBottom w:val="0"/>
      <w:divBdr>
        <w:top w:val="none" w:sz="0" w:space="0" w:color="auto"/>
        <w:left w:val="none" w:sz="0" w:space="0" w:color="auto"/>
        <w:bottom w:val="none" w:sz="0" w:space="0" w:color="auto"/>
        <w:right w:val="none" w:sz="0" w:space="0" w:color="auto"/>
      </w:divBdr>
    </w:div>
    <w:div w:id="2074964684">
      <w:bodyDiv w:val="1"/>
      <w:marLeft w:val="0"/>
      <w:marRight w:val="0"/>
      <w:marTop w:val="0"/>
      <w:marBottom w:val="0"/>
      <w:divBdr>
        <w:top w:val="none" w:sz="0" w:space="0" w:color="auto"/>
        <w:left w:val="none" w:sz="0" w:space="0" w:color="auto"/>
        <w:bottom w:val="none" w:sz="0" w:space="0" w:color="auto"/>
        <w:right w:val="none" w:sz="0" w:space="0" w:color="auto"/>
      </w:divBdr>
      <w:divsChild>
        <w:div w:id="1145314610">
          <w:marLeft w:val="0"/>
          <w:marRight w:val="0"/>
          <w:marTop w:val="0"/>
          <w:marBottom w:val="0"/>
          <w:divBdr>
            <w:top w:val="none" w:sz="0" w:space="0" w:color="auto"/>
            <w:left w:val="none" w:sz="0" w:space="0" w:color="auto"/>
            <w:bottom w:val="none" w:sz="0" w:space="0" w:color="auto"/>
            <w:right w:val="none" w:sz="0" w:space="0" w:color="auto"/>
          </w:divBdr>
        </w:div>
        <w:div w:id="676619557">
          <w:marLeft w:val="0"/>
          <w:marRight w:val="0"/>
          <w:marTop w:val="0"/>
          <w:marBottom w:val="0"/>
          <w:divBdr>
            <w:top w:val="none" w:sz="0" w:space="0" w:color="auto"/>
            <w:left w:val="none" w:sz="0" w:space="0" w:color="auto"/>
            <w:bottom w:val="none" w:sz="0" w:space="0" w:color="auto"/>
            <w:right w:val="none" w:sz="0" w:space="0" w:color="auto"/>
          </w:divBdr>
        </w:div>
        <w:div w:id="1609121434">
          <w:marLeft w:val="0"/>
          <w:marRight w:val="0"/>
          <w:marTop w:val="0"/>
          <w:marBottom w:val="0"/>
          <w:divBdr>
            <w:top w:val="none" w:sz="0" w:space="0" w:color="auto"/>
            <w:left w:val="none" w:sz="0" w:space="0" w:color="auto"/>
            <w:bottom w:val="none" w:sz="0" w:space="0" w:color="auto"/>
            <w:right w:val="none" w:sz="0" w:space="0" w:color="auto"/>
          </w:divBdr>
        </w:div>
        <w:div w:id="997030657">
          <w:marLeft w:val="0"/>
          <w:marRight w:val="0"/>
          <w:marTop w:val="0"/>
          <w:marBottom w:val="0"/>
          <w:divBdr>
            <w:top w:val="none" w:sz="0" w:space="0" w:color="auto"/>
            <w:left w:val="none" w:sz="0" w:space="0" w:color="auto"/>
            <w:bottom w:val="none" w:sz="0" w:space="0" w:color="auto"/>
            <w:right w:val="none" w:sz="0" w:space="0" w:color="auto"/>
          </w:divBdr>
        </w:div>
        <w:div w:id="152836892">
          <w:marLeft w:val="0"/>
          <w:marRight w:val="0"/>
          <w:marTop w:val="0"/>
          <w:marBottom w:val="0"/>
          <w:divBdr>
            <w:top w:val="none" w:sz="0" w:space="0" w:color="auto"/>
            <w:left w:val="none" w:sz="0" w:space="0" w:color="auto"/>
            <w:bottom w:val="none" w:sz="0" w:space="0" w:color="auto"/>
            <w:right w:val="none" w:sz="0" w:space="0" w:color="auto"/>
          </w:divBdr>
        </w:div>
        <w:div w:id="133062486">
          <w:marLeft w:val="0"/>
          <w:marRight w:val="0"/>
          <w:marTop w:val="0"/>
          <w:marBottom w:val="0"/>
          <w:divBdr>
            <w:top w:val="none" w:sz="0" w:space="0" w:color="auto"/>
            <w:left w:val="none" w:sz="0" w:space="0" w:color="auto"/>
            <w:bottom w:val="none" w:sz="0" w:space="0" w:color="auto"/>
            <w:right w:val="none" w:sz="0" w:space="0" w:color="auto"/>
          </w:divBdr>
        </w:div>
        <w:div w:id="418449769">
          <w:marLeft w:val="0"/>
          <w:marRight w:val="0"/>
          <w:marTop w:val="0"/>
          <w:marBottom w:val="0"/>
          <w:divBdr>
            <w:top w:val="none" w:sz="0" w:space="0" w:color="auto"/>
            <w:left w:val="none" w:sz="0" w:space="0" w:color="auto"/>
            <w:bottom w:val="none" w:sz="0" w:space="0" w:color="auto"/>
            <w:right w:val="none" w:sz="0" w:space="0" w:color="auto"/>
          </w:divBdr>
        </w:div>
        <w:div w:id="2103137612">
          <w:marLeft w:val="0"/>
          <w:marRight w:val="0"/>
          <w:marTop w:val="0"/>
          <w:marBottom w:val="0"/>
          <w:divBdr>
            <w:top w:val="none" w:sz="0" w:space="0" w:color="auto"/>
            <w:left w:val="none" w:sz="0" w:space="0" w:color="auto"/>
            <w:bottom w:val="none" w:sz="0" w:space="0" w:color="auto"/>
            <w:right w:val="none" w:sz="0" w:space="0" w:color="auto"/>
          </w:divBdr>
        </w:div>
        <w:div w:id="1535924692">
          <w:marLeft w:val="0"/>
          <w:marRight w:val="0"/>
          <w:marTop w:val="0"/>
          <w:marBottom w:val="0"/>
          <w:divBdr>
            <w:top w:val="none" w:sz="0" w:space="0" w:color="auto"/>
            <w:left w:val="none" w:sz="0" w:space="0" w:color="auto"/>
            <w:bottom w:val="none" w:sz="0" w:space="0" w:color="auto"/>
            <w:right w:val="none" w:sz="0" w:space="0" w:color="auto"/>
          </w:divBdr>
        </w:div>
        <w:div w:id="861431158">
          <w:marLeft w:val="0"/>
          <w:marRight w:val="0"/>
          <w:marTop w:val="0"/>
          <w:marBottom w:val="0"/>
          <w:divBdr>
            <w:top w:val="none" w:sz="0" w:space="0" w:color="auto"/>
            <w:left w:val="none" w:sz="0" w:space="0" w:color="auto"/>
            <w:bottom w:val="none" w:sz="0" w:space="0" w:color="auto"/>
            <w:right w:val="none" w:sz="0" w:space="0" w:color="auto"/>
          </w:divBdr>
        </w:div>
        <w:div w:id="1999185465">
          <w:marLeft w:val="0"/>
          <w:marRight w:val="0"/>
          <w:marTop w:val="0"/>
          <w:marBottom w:val="0"/>
          <w:divBdr>
            <w:top w:val="none" w:sz="0" w:space="0" w:color="auto"/>
            <w:left w:val="none" w:sz="0" w:space="0" w:color="auto"/>
            <w:bottom w:val="none" w:sz="0" w:space="0" w:color="auto"/>
            <w:right w:val="none" w:sz="0" w:space="0" w:color="auto"/>
          </w:divBdr>
        </w:div>
        <w:div w:id="1828352992">
          <w:marLeft w:val="0"/>
          <w:marRight w:val="0"/>
          <w:marTop w:val="0"/>
          <w:marBottom w:val="0"/>
          <w:divBdr>
            <w:top w:val="none" w:sz="0" w:space="0" w:color="auto"/>
            <w:left w:val="none" w:sz="0" w:space="0" w:color="auto"/>
            <w:bottom w:val="none" w:sz="0" w:space="0" w:color="auto"/>
            <w:right w:val="none" w:sz="0" w:space="0" w:color="auto"/>
          </w:divBdr>
        </w:div>
        <w:div w:id="259409722">
          <w:marLeft w:val="0"/>
          <w:marRight w:val="0"/>
          <w:marTop w:val="0"/>
          <w:marBottom w:val="0"/>
          <w:divBdr>
            <w:top w:val="none" w:sz="0" w:space="0" w:color="auto"/>
            <w:left w:val="none" w:sz="0" w:space="0" w:color="auto"/>
            <w:bottom w:val="none" w:sz="0" w:space="0" w:color="auto"/>
            <w:right w:val="none" w:sz="0" w:space="0" w:color="auto"/>
          </w:divBdr>
        </w:div>
        <w:div w:id="182597728">
          <w:marLeft w:val="0"/>
          <w:marRight w:val="0"/>
          <w:marTop w:val="0"/>
          <w:marBottom w:val="0"/>
          <w:divBdr>
            <w:top w:val="none" w:sz="0" w:space="0" w:color="auto"/>
            <w:left w:val="none" w:sz="0" w:space="0" w:color="auto"/>
            <w:bottom w:val="none" w:sz="0" w:space="0" w:color="auto"/>
            <w:right w:val="none" w:sz="0" w:space="0" w:color="auto"/>
          </w:divBdr>
        </w:div>
        <w:div w:id="1419979016">
          <w:marLeft w:val="0"/>
          <w:marRight w:val="0"/>
          <w:marTop w:val="0"/>
          <w:marBottom w:val="0"/>
          <w:divBdr>
            <w:top w:val="none" w:sz="0" w:space="0" w:color="auto"/>
            <w:left w:val="none" w:sz="0" w:space="0" w:color="auto"/>
            <w:bottom w:val="none" w:sz="0" w:space="0" w:color="auto"/>
            <w:right w:val="none" w:sz="0" w:space="0" w:color="auto"/>
          </w:divBdr>
        </w:div>
        <w:div w:id="708262099">
          <w:marLeft w:val="0"/>
          <w:marRight w:val="0"/>
          <w:marTop w:val="0"/>
          <w:marBottom w:val="0"/>
          <w:divBdr>
            <w:top w:val="none" w:sz="0" w:space="0" w:color="auto"/>
            <w:left w:val="none" w:sz="0" w:space="0" w:color="auto"/>
            <w:bottom w:val="none" w:sz="0" w:space="0" w:color="auto"/>
            <w:right w:val="none" w:sz="0" w:space="0" w:color="auto"/>
          </w:divBdr>
        </w:div>
        <w:div w:id="87820009">
          <w:marLeft w:val="0"/>
          <w:marRight w:val="0"/>
          <w:marTop w:val="0"/>
          <w:marBottom w:val="0"/>
          <w:divBdr>
            <w:top w:val="none" w:sz="0" w:space="0" w:color="auto"/>
            <w:left w:val="none" w:sz="0" w:space="0" w:color="auto"/>
            <w:bottom w:val="none" w:sz="0" w:space="0" w:color="auto"/>
            <w:right w:val="none" w:sz="0" w:space="0" w:color="auto"/>
          </w:divBdr>
        </w:div>
        <w:div w:id="260720899">
          <w:marLeft w:val="0"/>
          <w:marRight w:val="0"/>
          <w:marTop w:val="0"/>
          <w:marBottom w:val="0"/>
          <w:divBdr>
            <w:top w:val="none" w:sz="0" w:space="0" w:color="auto"/>
            <w:left w:val="none" w:sz="0" w:space="0" w:color="auto"/>
            <w:bottom w:val="none" w:sz="0" w:space="0" w:color="auto"/>
            <w:right w:val="none" w:sz="0" w:space="0" w:color="auto"/>
          </w:divBdr>
        </w:div>
        <w:div w:id="303972440">
          <w:marLeft w:val="0"/>
          <w:marRight w:val="0"/>
          <w:marTop w:val="0"/>
          <w:marBottom w:val="0"/>
          <w:divBdr>
            <w:top w:val="none" w:sz="0" w:space="0" w:color="auto"/>
            <w:left w:val="none" w:sz="0" w:space="0" w:color="auto"/>
            <w:bottom w:val="none" w:sz="0" w:space="0" w:color="auto"/>
            <w:right w:val="none" w:sz="0" w:space="0" w:color="auto"/>
          </w:divBdr>
        </w:div>
        <w:div w:id="455875086">
          <w:marLeft w:val="0"/>
          <w:marRight w:val="0"/>
          <w:marTop w:val="0"/>
          <w:marBottom w:val="0"/>
          <w:divBdr>
            <w:top w:val="none" w:sz="0" w:space="0" w:color="auto"/>
            <w:left w:val="none" w:sz="0" w:space="0" w:color="auto"/>
            <w:bottom w:val="none" w:sz="0" w:space="0" w:color="auto"/>
            <w:right w:val="none" w:sz="0" w:space="0" w:color="auto"/>
          </w:divBdr>
        </w:div>
        <w:div w:id="746999658">
          <w:marLeft w:val="0"/>
          <w:marRight w:val="0"/>
          <w:marTop w:val="0"/>
          <w:marBottom w:val="0"/>
          <w:divBdr>
            <w:top w:val="none" w:sz="0" w:space="0" w:color="auto"/>
            <w:left w:val="none" w:sz="0" w:space="0" w:color="auto"/>
            <w:bottom w:val="none" w:sz="0" w:space="0" w:color="auto"/>
            <w:right w:val="none" w:sz="0" w:space="0" w:color="auto"/>
          </w:divBdr>
        </w:div>
        <w:div w:id="1059213197">
          <w:marLeft w:val="0"/>
          <w:marRight w:val="0"/>
          <w:marTop w:val="0"/>
          <w:marBottom w:val="0"/>
          <w:divBdr>
            <w:top w:val="none" w:sz="0" w:space="0" w:color="auto"/>
            <w:left w:val="none" w:sz="0" w:space="0" w:color="auto"/>
            <w:bottom w:val="none" w:sz="0" w:space="0" w:color="auto"/>
            <w:right w:val="none" w:sz="0" w:space="0" w:color="auto"/>
          </w:divBdr>
        </w:div>
        <w:div w:id="27073266">
          <w:marLeft w:val="0"/>
          <w:marRight w:val="0"/>
          <w:marTop w:val="0"/>
          <w:marBottom w:val="0"/>
          <w:divBdr>
            <w:top w:val="none" w:sz="0" w:space="0" w:color="auto"/>
            <w:left w:val="none" w:sz="0" w:space="0" w:color="auto"/>
            <w:bottom w:val="none" w:sz="0" w:space="0" w:color="auto"/>
            <w:right w:val="none" w:sz="0" w:space="0" w:color="auto"/>
          </w:divBdr>
        </w:div>
        <w:div w:id="1156535263">
          <w:marLeft w:val="0"/>
          <w:marRight w:val="0"/>
          <w:marTop w:val="0"/>
          <w:marBottom w:val="0"/>
          <w:divBdr>
            <w:top w:val="none" w:sz="0" w:space="0" w:color="auto"/>
            <w:left w:val="none" w:sz="0" w:space="0" w:color="auto"/>
            <w:bottom w:val="none" w:sz="0" w:space="0" w:color="auto"/>
            <w:right w:val="none" w:sz="0" w:space="0" w:color="auto"/>
          </w:divBdr>
        </w:div>
        <w:div w:id="761802176">
          <w:marLeft w:val="0"/>
          <w:marRight w:val="0"/>
          <w:marTop w:val="0"/>
          <w:marBottom w:val="0"/>
          <w:divBdr>
            <w:top w:val="none" w:sz="0" w:space="0" w:color="auto"/>
            <w:left w:val="none" w:sz="0" w:space="0" w:color="auto"/>
            <w:bottom w:val="none" w:sz="0" w:space="0" w:color="auto"/>
            <w:right w:val="none" w:sz="0" w:space="0" w:color="auto"/>
          </w:divBdr>
        </w:div>
        <w:div w:id="959609065">
          <w:marLeft w:val="0"/>
          <w:marRight w:val="0"/>
          <w:marTop w:val="0"/>
          <w:marBottom w:val="0"/>
          <w:divBdr>
            <w:top w:val="none" w:sz="0" w:space="0" w:color="auto"/>
            <w:left w:val="none" w:sz="0" w:space="0" w:color="auto"/>
            <w:bottom w:val="none" w:sz="0" w:space="0" w:color="auto"/>
            <w:right w:val="none" w:sz="0" w:space="0" w:color="auto"/>
          </w:divBdr>
        </w:div>
        <w:div w:id="1042749159">
          <w:marLeft w:val="0"/>
          <w:marRight w:val="0"/>
          <w:marTop w:val="0"/>
          <w:marBottom w:val="0"/>
          <w:divBdr>
            <w:top w:val="none" w:sz="0" w:space="0" w:color="auto"/>
            <w:left w:val="none" w:sz="0" w:space="0" w:color="auto"/>
            <w:bottom w:val="none" w:sz="0" w:space="0" w:color="auto"/>
            <w:right w:val="none" w:sz="0" w:space="0" w:color="auto"/>
          </w:divBdr>
        </w:div>
        <w:div w:id="508638001">
          <w:marLeft w:val="0"/>
          <w:marRight w:val="0"/>
          <w:marTop w:val="0"/>
          <w:marBottom w:val="0"/>
          <w:divBdr>
            <w:top w:val="none" w:sz="0" w:space="0" w:color="auto"/>
            <w:left w:val="none" w:sz="0" w:space="0" w:color="auto"/>
            <w:bottom w:val="none" w:sz="0" w:space="0" w:color="auto"/>
            <w:right w:val="none" w:sz="0" w:space="0" w:color="auto"/>
          </w:divBdr>
        </w:div>
        <w:div w:id="1936357248">
          <w:marLeft w:val="0"/>
          <w:marRight w:val="0"/>
          <w:marTop w:val="0"/>
          <w:marBottom w:val="0"/>
          <w:divBdr>
            <w:top w:val="none" w:sz="0" w:space="0" w:color="auto"/>
            <w:left w:val="none" w:sz="0" w:space="0" w:color="auto"/>
            <w:bottom w:val="none" w:sz="0" w:space="0" w:color="auto"/>
            <w:right w:val="none" w:sz="0" w:space="0" w:color="auto"/>
          </w:divBdr>
        </w:div>
        <w:div w:id="485783238">
          <w:marLeft w:val="0"/>
          <w:marRight w:val="0"/>
          <w:marTop w:val="0"/>
          <w:marBottom w:val="0"/>
          <w:divBdr>
            <w:top w:val="none" w:sz="0" w:space="0" w:color="auto"/>
            <w:left w:val="none" w:sz="0" w:space="0" w:color="auto"/>
            <w:bottom w:val="none" w:sz="0" w:space="0" w:color="auto"/>
            <w:right w:val="none" w:sz="0" w:space="0" w:color="auto"/>
          </w:divBdr>
        </w:div>
        <w:div w:id="891966217">
          <w:marLeft w:val="0"/>
          <w:marRight w:val="0"/>
          <w:marTop w:val="0"/>
          <w:marBottom w:val="0"/>
          <w:divBdr>
            <w:top w:val="none" w:sz="0" w:space="0" w:color="auto"/>
            <w:left w:val="none" w:sz="0" w:space="0" w:color="auto"/>
            <w:bottom w:val="none" w:sz="0" w:space="0" w:color="auto"/>
            <w:right w:val="none" w:sz="0" w:space="0" w:color="auto"/>
          </w:divBdr>
        </w:div>
        <w:div w:id="762453215">
          <w:marLeft w:val="0"/>
          <w:marRight w:val="0"/>
          <w:marTop w:val="0"/>
          <w:marBottom w:val="0"/>
          <w:divBdr>
            <w:top w:val="none" w:sz="0" w:space="0" w:color="auto"/>
            <w:left w:val="none" w:sz="0" w:space="0" w:color="auto"/>
            <w:bottom w:val="none" w:sz="0" w:space="0" w:color="auto"/>
            <w:right w:val="none" w:sz="0" w:space="0" w:color="auto"/>
          </w:divBdr>
        </w:div>
        <w:div w:id="355037439">
          <w:marLeft w:val="0"/>
          <w:marRight w:val="0"/>
          <w:marTop w:val="0"/>
          <w:marBottom w:val="0"/>
          <w:divBdr>
            <w:top w:val="none" w:sz="0" w:space="0" w:color="auto"/>
            <w:left w:val="none" w:sz="0" w:space="0" w:color="auto"/>
            <w:bottom w:val="none" w:sz="0" w:space="0" w:color="auto"/>
            <w:right w:val="none" w:sz="0" w:space="0" w:color="auto"/>
          </w:divBdr>
        </w:div>
        <w:div w:id="288977257">
          <w:marLeft w:val="0"/>
          <w:marRight w:val="0"/>
          <w:marTop w:val="0"/>
          <w:marBottom w:val="0"/>
          <w:divBdr>
            <w:top w:val="none" w:sz="0" w:space="0" w:color="auto"/>
            <w:left w:val="none" w:sz="0" w:space="0" w:color="auto"/>
            <w:bottom w:val="none" w:sz="0" w:space="0" w:color="auto"/>
            <w:right w:val="none" w:sz="0" w:space="0" w:color="auto"/>
          </w:divBdr>
        </w:div>
        <w:div w:id="2051607782">
          <w:marLeft w:val="0"/>
          <w:marRight w:val="0"/>
          <w:marTop w:val="0"/>
          <w:marBottom w:val="0"/>
          <w:divBdr>
            <w:top w:val="none" w:sz="0" w:space="0" w:color="auto"/>
            <w:left w:val="none" w:sz="0" w:space="0" w:color="auto"/>
            <w:bottom w:val="none" w:sz="0" w:space="0" w:color="auto"/>
            <w:right w:val="none" w:sz="0" w:space="0" w:color="auto"/>
          </w:divBdr>
        </w:div>
        <w:div w:id="1280065772">
          <w:marLeft w:val="0"/>
          <w:marRight w:val="0"/>
          <w:marTop w:val="0"/>
          <w:marBottom w:val="0"/>
          <w:divBdr>
            <w:top w:val="none" w:sz="0" w:space="0" w:color="auto"/>
            <w:left w:val="none" w:sz="0" w:space="0" w:color="auto"/>
            <w:bottom w:val="none" w:sz="0" w:space="0" w:color="auto"/>
            <w:right w:val="none" w:sz="0" w:space="0" w:color="auto"/>
          </w:divBdr>
        </w:div>
        <w:div w:id="829294656">
          <w:marLeft w:val="0"/>
          <w:marRight w:val="0"/>
          <w:marTop w:val="0"/>
          <w:marBottom w:val="0"/>
          <w:divBdr>
            <w:top w:val="none" w:sz="0" w:space="0" w:color="auto"/>
            <w:left w:val="none" w:sz="0" w:space="0" w:color="auto"/>
            <w:bottom w:val="none" w:sz="0" w:space="0" w:color="auto"/>
            <w:right w:val="none" w:sz="0" w:space="0" w:color="auto"/>
          </w:divBdr>
        </w:div>
        <w:div w:id="2126387738">
          <w:marLeft w:val="0"/>
          <w:marRight w:val="0"/>
          <w:marTop w:val="0"/>
          <w:marBottom w:val="0"/>
          <w:divBdr>
            <w:top w:val="none" w:sz="0" w:space="0" w:color="auto"/>
            <w:left w:val="none" w:sz="0" w:space="0" w:color="auto"/>
            <w:bottom w:val="none" w:sz="0" w:space="0" w:color="auto"/>
            <w:right w:val="none" w:sz="0" w:space="0" w:color="auto"/>
          </w:divBdr>
        </w:div>
        <w:div w:id="1682272230">
          <w:marLeft w:val="0"/>
          <w:marRight w:val="0"/>
          <w:marTop w:val="0"/>
          <w:marBottom w:val="0"/>
          <w:divBdr>
            <w:top w:val="none" w:sz="0" w:space="0" w:color="auto"/>
            <w:left w:val="none" w:sz="0" w:space="0" w:color="auto"/>
            <w:bottom w:val="none" w:sz="0" w:space="0" w:color="auto"/>
            <w:right w:val="none" w:sz="0" w:space="0" w:color="auto"/>
          </w:divBdr>
        </w:div>
        <w:div w:id="1902859716">
          <w:marLeft w:val="0"/>
          <w:marRight w:val="0"/>
          <w:marTop w:val="0"/>
          <w:marBottom w:val="0"/>
          <w:divBdr>
            <w:top w:val="none" w:sz="0" w:space="0" w:color="auto"/>
            <w:left w:val="none" w:sz="0" w:space="0" w:color="auto"/>
            <w:bottom w:val="none" w:sz="0" w:space="0" w:color="auto"/>
            <w:right w:val="none" w:sz="0" w:space="0" w:color="auto"/>
          </w:divBdr>
        </w:div>
        <w:div w:id="1399476180">
          <w:marLeft w:val="0"/>
          <w:marRight w:val="0"/>
          <w:marTop w:val="0"/>
          <w:marBottom w:val="0"/>
          <w:divBdr>
            <w:top w:val="none" w:sz="0" w:space="0" w:color="auto"/>
            <w:left w:val="none" w:sz="0" w:space="0" w:color="auto"/>
            <w:bottom w:val="none" w:sz="0" w:space="0" w:color="auto"/>
            <w:right w:val="none" w:sz="0" w:space="0" w:color="auto"/>
          </w:divBdr>
        </w:div>
        <w:div w:id="312608030">
          <w:marLeft w:val="0"/>
          <w:marRight w:val="0"/>
          <w:marTop w:val="0"/>
          <w:marBottom w:val="0"/>
          <w:divBdr>
            <w:top w:val="none" w:sz="0" w:space="0" w:color="auto"/>
            <w:left w:val="none" w:sz="0" w:space="0" w:color="auto"/>
            <w:bottom w:val="none" w:sz="0" w:space="0" w:color="auto"/>
            <w:right w:val="none" w:sz="0" w:space="0" w:color="auto"/>
          </w:divBdr>
        </w:div>
        <w:div w:id="1191846216">
          <w:marLeft w:val="0"/>
          <w:marRight w:val="0"/>
          <w:marTop w:val="0"/>
          <w:marBottom w:val="0"/>
          <w:divBdr>
            <w:top w:val="none" w:sz="0" w:space="0" w:color="auto"/>
            <w:left w:val="none" w:sz="0" w:space="0" w:color="auto"/>
            <w:bottom w:val="none" w:sz="0" w:space="0" w:color="auto"/>
            <w:right w:val="none" w:sz="0" w:space="0" w:color="auto"/>
          </w:divBdr>
        </w:div>
        <w:div w:id="1490899909">
          <w:marLeft w:val="0"/>
          <w:marRight w:val="0"/>
          <w:marTop w:val="0"/>
          <w:marBottom w:val="0"/>
          <w:divBdr>
            <w:top w:val="none" w:sz="0" w:space="0" w:color="auto"/>
            <w:left w:val="none" w:sz="0" w:space="0" w:color="auto"/>
            <w:bottom w:val="none" w:sz="0" w:space="0" w:color="auto"/>
            <w:right w:val="none" w:sz="0" w:space="0" w:color="auto"/>
          </w:divBdr>
        </w:div>
        <w:div w:id="1294480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rates.com"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www.bnm.md"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128DC-FECF-409A-BCC1-D3A24C66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12526</Words>
  <Characters>71400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83759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tivanicichina</dc:creator>
  <cp:keywords/>
  <dc:description/>
  <cp:lastModifiedBy>tivanicichina</cp:lastModifiedBy>
  <cp:revision>3</cp:revision>
  <cp:lastPrinted>2014-01-18T11:56:00Z</cp:lastPrinted>
  <dcterms:created xsi:type="dcterms:W3CDTF">2014-01-18T11:50:00Z</dcterms:created>
  <dcterms:modified xsi:type="dcterms:W3CDTF">2014-01-18T12:20:00Z</dcterms:modified>
</cp:coreProperties>
</file>