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E9B" w:rsidRPr="006F0713" w:rsidRDefault="00E45746" w:rsidP="00796801">
      <w:pPr>
        <w:pStyle w:val="30"/>
        <w:shd w:val="clear" w:color="auto" w:fill="auto"/>
        <w:spacing w:before="0" w:after="0" w:line="276" w:lineRule="auto"/>
        <w:ind w:left="768" w:right="828"/>
        <w:rPr>
          <w:b/>
          <w:sz w:val="28"/>
          <w:szCs w:val="28"/>
          <w:lang w:val="ro-RO"/>
        </w:rPr>
      </w:pPr>
      <w:r w:rsidRPr="003D0351">
        <w:rPr>
          <w:b/>
          <w:sz w:val="28"/>
          <w:szCs w:val="28"/>
          <w:shd w:val="clear" w:color="auto" w:fill="FFFFFF"/>
          <w:lang w:val="ro-RO"/>
        </w:rPr>
        <w:t xml:space="preserve">Sinteza obiecțiilor și propunerilor (recomandărilor)  </w:t>
      </w:r>
      <w:r w:rsidR="00930824" w:rsidRPr="003D0351">
        <w:rPr>
          <w:b/>
          <w:sz w:val="28"/>
          <w:szCs w:val="28"/>
          <w:lang w:val="ro-RO"/>
        </w:rPr>
        <w:t>la pro</w:t>
      </w:r>
      <w:r w:rsidR="00802335" w:rsidRPr="003D0351">
        <w:rPr>
          <w:b/>
          <w:sz w:val="28"/>
          <w:szCs w:val="28"/>
          <w:lang w:val="ro-RO"/>
        </w:rPr>
        <w:t>i</w:t>
      </w:r>
      <w:r w:rsidR="00930824" w:rsidRPr="003D0351">
        <w:rPr>
          <w:b/>
          <w:sz w:val="28"/>
          <w:szCs w:val="28"/>
          <w:lang w:val="ro-RO"/>
        </w:rPr>
        <w:t xml:space="preserve">ectul hotărârii </w:t>
      </w:r>
      <w:r w:rsidR="00B47E9B" w:rsidRPr="003D0351">
        <w:rPr>
          <w:b/>
          <w:sz w:val="28"/>
          <w:szCs w:val="28"/>
          <w:lang w:val="ro-RO"/>
        </w:rPr>
        <w:t xml:space="preserve"> Guvernului cu privire la modificarea Hotărârii Guvernului nr. </w:t>
      </w:r>
      <w:r w:rsidR="006F0713">
        <w:rPr>
          <w:b/>
          <w:sz w:val="28"/>
          <w:szCs w:val="28"/>
          <w:lang w:val="ro-RO"/>
        </w:rPr>
        <w:t>661</w:t>
      </w:r>
      <w:r w:rsidR="00B47E9B" w:rsidRPr="003D0351">
        <w:rPr>
          <w:b/>
          <w:sz w:val="28"/>
          <w:szCs w:val="28"/>
          <w:lang w:val="ro-RO"/>
        </w:rPr>
        <w:t>/200</w:t>
      </w:r>
      <w:r w:rsidR="006F0713">
        <w:rPr>
          <w:b/>
          <w:sz w:val="28"/>
          <w:szCs w:val="28"/>
          <w:lang w:val="ro-RO"/>
        </w:rPr>
        <w:t>7</w:t>
      </w:r>
      <w:r w:rsidR="00B47E9B" w:rsidRPr="003D0351">
        <w:rPr>
          <w:b/>
          <w:sz w:val="28"/>
          <w:szCs w:val="28"/>
          <w:lang w:val="ro-RO"/>
        </w:rPr>
        <w:t xml:space="preserve"> </w:t>
      </w:r>
      <w:r w:rsidR="006F0713" w:rsidRPr="0094018E">
        <w:rPr>
          <w:b/>
          <w:sz w:val="28"/>
          <w:szCs w:val="28"/>
        </w:rPr>
        <w:t>cu privi</w:t>
      </w:r>
      <w:r w:rsidR="0094018E" w:rsidRPr="0094018E">
        <w:rPr>
          <w:b/>
          <w:sz w:val="28"/>
          <w:szCs w:val="28"/>
        </w:rPr>
        <w:t>r</w:t>
      </w:r>
      <w:r w:rsidR="006F0713" w:rsidRPr="0094018E">
        <w:rPr>
          <w:b/>
          <w:sz w:val="28"/>
          <w:szCs w:val="28"/>
        </w:rPr>
        <w:t>e la</w:t>
      </w:r>
      <w:r w:rsidR="006F0713" w:rsidRPr="006F0713">
        <w:rPr>
          <w:b/>
          <w:sz w:val="28"/>
          <w:szCs w:val="28"/>
        </w:rPr>
        <w:t xml:space="preserve"> aprobarea Reglementării Tehnice „Miere naturală”</w:t>
      </w:r>
    </w:p>
    <w:p w:rsidR="00626639" w:rsidRPr="00490C2E" w:rsidRDefault="00626639" w:rsidP="00B47E9B">
      <w:pPr>
        <w:pStyle w:val="30"/>
        <w:shd w:val="clear" w:color="auto" w:fill="auto"/>
        <w:spacing w:before="0" w:after="0" w:line="276" w:lineRule="auto"/>
        <w:ind w:left="768" w:right="828"/>
        <w:rPr>
          <w:sz w:val="24"/>
          <w:szCs w:val="24"/>
          <w:lang w:val="ro-RO"/>
        </w:rPr>
      </w:pPr>
    </w:p>
    <w:tbl>
      <w:tblPr>
        <w:tblStyle w:val="Tabelgril"/>
        <w:tblW w:w="13674" w:type="dxa"/>
        <w:tblInd w:w="-147" w:type="dxa"/>
        <w:tblLayout w:type="fixed"/>
        <w:tblLook w:val="04A0" w:firstRow="1" w:lastRow="0" w:firstColumn="1" w:lastColumn="0" w:noHBand="0" w:noVBand="1"/>
      </w:tblPr>
      <w:tblGrid>
        <w:gridCol w:w="709"/>
        <w:gridCol w:w="2551"/>
        <w:gridCol w:w="7436"/>
        <w:gridCol w:w="2978"/>
      </w:tblGrid>
      <w:tr w:rsidR="00626639" w:rsidRPr="00A178EC" w:rsidTr="008728E0">
        <w:tc>
          <w:tcPr>
            <w:tcW w:w="709" w:type="dxa"/>
          </w:tcPr>
          <w:p w:rsidR="00626639" w:rsidRPr="00A178EC" w:rsidRDefault="00626639" w:rsidP="00C9350E">
            <w:pPr>
              <w:pStyle w:val="30"/>
              <w:shd w:val="clear" w:color="auto" w:fill="auto"/>
              <w:spacing w:before="0" w:after="0" w:line="240" w:lineRule="auto"/>
              <w:ind w:right="34"/>
              <w:rPr>
                <w:b/>
                <w:sz w:val="24"/>
                <w:szCs w:val="24"/>
                <w:lang w:val="ro-RO"/>
              </w:rPr>
            </w:pPr>
            <w:r w:rsidRPr="00A178EC">
              <w:rPr>
                <w:b/>
                <w:sz w:val="24"/>
                <w:szCs w:val="24"/>
              </w:rPr>
              <w:t>Nr. d/o</w:t>
            </w:r>
          </w:p>
        </w:tc>
        <w:tc>
          <w:tcPr>
            <w:tcW w:w="2551" w:type="dxa"/>
          </w:tcPr>
          <w:p w:rsidR="00626639" w:rsidRPr="00A178EC" w:rsidRDefault="00A04809" w:rsidP="00A04809">
            <w:pPr>
              <w:rPr>
                <w:rFonts w:ascii="Times New Roman" w:hAnsi="Times New Roman" w:cs="Times New Roman"/>
                <w:b/>
                <w:sz w:val="24"/>
                <w:szCs w:val="24"/>
                <w:lang w:val="fr-FR"/>
              </w:rPr>
            </w:pPr>
            <w:r w:rsidRPr="00A178EC">
              <w:rPr>
                <w:rFonts w:ascii="Times New Roman" w:hAnsi="Times New Roman" w:cs="Times New Roman"/>
                <w:b/>
                <w:bCs/>
                <w:sz w:val="24"/>
                <w:szCs w:val="24"/>
              </w:rPr>
              <w:t>Participantul la avizare, consultare publică, expertizare</w:t>
            </w:r>
          </w:p>
        </w:tc>
        <w:tc>
          <w:tcPr>
            <w:tcW w:w="7436" w:type="dxa"/>
          </w:tcPr>
          <w:p w:rsidR="00626639" w:rsidRPr="00A178EC" w:rsidRDefault="00A04809" w:rsidP="00A04809">
            <w:pPr>
              <w:rPr>
                <w:rFonts w:ascii="Times New Roman" w:hAnsi="Times New Roman" w:cs="Times New Roman"/>
                <w:b/>
                <w:sz w:val="24"/>
                <w:szCs w:val="24"/>
              </w:rPr>
            </w:pPr>
            <w:r w:rsidRPr="00A178EC">
              <w:rPr>
                <w:rFonts w:ascii="Times New Roman" w:hAnsi="Times New Roman" w:cs="Times New Roman"/>
                <w:b/>
                <w:bCs/>
                <w:sz w:val="24"/>
                <w:szCs w:val="24"/>
              </w:rPr>
              <w:t>Conţinutul obiecţiei, propunerii, recomandării, concluziei</w:t>
            </w:r>
          </w:p>
        </w:tc>
        <w:tc>
          <w:tcPr>
            <w:tcW w:w="2978" w:type="dxa"/>
          </w:tcPr>
          <w:p w:rsidR="00626639" w:rsidRPr="00A178EC" w:rsidRDefault="00626639" w:rsidP="00C9350E">
            <w:pPr>
              <w:pStyle w:val="30"/>
              <w:shd w:val="clear" w:color="auto" w:fill="auto"/>
              <w:spacing w:before="0" w:after="0" w:line="240" w:lineRule="auto"/>
              <w:ind w:right="59"/>
              <w:rPr>
                <w:b/>
                <w:sz w:val="24"/>
                <w:szCs w:val="24"/>
                <w:lang w:val="ro-RO"/>
              </w:rPr>
            </w:pPr>
            <w:r w:rsidRPr="00A178EC">
              <w:rPr>
                <w:b/>
                <w:bCs/>
                <w:sz w:val="24"/>
                <w:szCs w:val="24"/>
              </w:rPr>
              <w:t xml:space="preserve">Argumentarea </w:t>
            </w:r>
            <w:r w:rsidRPr="00A178EC">
              <w:rPr>
                <w:b/>
                <w:bCs/>
                <w:sz w:val="24"/>
                <w:szCs w:val="24"/>
              </w:rPr>
              <w:br/>
              <w:t>autorului proiectului</w:t>
            </w:r>
          </w:p>
        </w:tc>
      </w:tr>
      <w:tr w:rsidR="00A04809" w:rsidRPr="00A178EC" w:rsidTr="005913AD">
        <w:tc>
          <w:tcPr>
            <w:tcW w:w="13674" w:type="dxa"/>
            <w:gridSpan w:val="4"/>
          </w:tcPr>
          <w:p w:rsidR="00A04809" w:rsidRPr="00A178EC" w:rsidRDefault="00A04809" w:rsidP="00C9350E">
            <w:pPr>
              <w:pStyle w:val="30"/>
              <w:shd w:val="clear" w:color="auto" w:fill="auto"/>
              <w:spacing w:before="0" w:after="0" w:line="240" w:lineRule="auto"/>
              <w:ind w:right="59"/>
              <w:rPr>
                <w:b/>
                <w:bCs/>
                <w:sz w:val="24"/>
                <w:szCs w:val="24"/>
              </w:rPr>
            </w:pPr>
            <w:r w:rsidRPr="00A178EC">
              <w:rPr>
                <w:b/>
                <w:bCs/>
                <w:sz w:val="24"/>
                <w:szCs w:val="24"/>
              </w:rPr>
              <w:t>Avizare şi consultare publică</w:t>
            </w:r>
          </w:p>
        </w:tc>
      </w:tr>
      <w:tr w:rsidR="005913AD" w:rsidRPr="00A178EC" w:rsidTr="008728E0">
        <w:tc>
          <w:tcPr>
            <w:tcW w:w="709" w:type="dxa"/>
          </w:tcPr>
          <w:p w:rsidR="005913AD" w:rsidRPr="00A178EC" w:rsidRDefault="005913AD" w:rsidP="00C9350E">
            <w:pPr>
              <w:pStyle w:val="30"/>
              <w:shd w:val="clear" w:color="auto" w:fill="auto"/>
              <w:spacing w:before="0" w:after="0" w:line="240" w:lineRule="auto"/>
              <w:ind w:right="828"/>
              <w:rPr>
                <w:b/>
                <w:sz w:val="24"/>
                <w:szCs w:val="24"/>
                <w:lang w:val="ro-RO"/>
              </w:rPr>
            </w:pPr>
            <w:r w:rsidRPr="00A178EC">
              <w:rPr>
                <w:b/>
                <w:sz w:val="24"/>
                <w:szCs w:val="24"/>
                <w:lang w:val="ro-RO"/>
              </w:rPr>
              <w:t>1</w:t>
            </w:r>
          </w:p>
        </w:tc>
        <w:tc>
          <w:tcPr>
            <w:tcW w:w="2551" w:type="dxa"/>
          </w:tcPr>
          <w:p w:rsidR="005913AD" w:rsidRPr="00A178EC" w:rsidRDefault="005913AD" w:rsidP="005913AD">
            <w:pPr>
              <w:pStyle w:val="30"/>
              <w:shd w:val="clear" w:color="auto" w:fill="auto"/>
              <w:spacing w:before="0" w:after="0" w:line="240" w:lineRule="auto"/>
              <w:rPr>
                <w:sz w:val="24"/>
                <w:szCs w:val="24"/>
              </w:rPr>
            </w:pPr>
            <w:r w:rsidRPr="0094018E">
              <w:rPr>
                <w:sz w:val="24"/>
                <w:szCs w:val="24"/>
              </w:rPr>
              <w:t xml:space="preserve">Platforma </w:t>
            </w:r>
            <w:r w:rsidR="0094018E" w:rsidRPr="0094018E">
              <w:rPr>
                <w:sz w:val="24"/>
                <w:szCs w:val="24"/>
              </w:rPr>
              <w:t>C</w:t>
            </w:r>
            <w:r w:rsidRPr="0094018E">
              <w:rPr>
                <w:sz w:val="24"/>
                <w:szCs w:val="24"/>
              </w:rPr>
              <w:t>onsultativ</w:t>
            </w:r>
            <w:r w:rsidR="0094018E" w:rsidRPr="0094018E">
              <w:rPr>
                <w:sz w:val="24"/>
                <w:szCs w:val="24"/>
              </w:rPr>
              <w:t>ă</w:t>
            </w:r>
            <w:r w:rsidRPr="0094018E">
              <w:rPr>
                <w:sz w:val="24"/>
                <w:szCs w:val="24"/>
              </w:rPr>
              <w:t xml:space="preserve"> </w:t>
            </w:r>
            <w:r w:rsidR="0094018E" w:rsidRPr="0094018E">
              <w:rPr>
                <w:sz w:val="24"/>
                <w:szCs w:val="24"/>
              </w:rPr>
              <w:t>P</w:t>
            </w:r>
            <w:r w:rsidRPr="0094018E">
              <w:rPr>
                <w:sz w:val="24"/>
                <w:szCs w:val="24"/>
              </w:rPr>
              <w:t>ermanent</w:t>
            </w:r>
            <w:r w:rsidR="0094018E" w:rsidRPr="0094018E">
              <w:rPr>
                <w:sz w:val="24"/>
                <w:szCs w:val="24"/>
              </w:rPr>
              <w:t>ă</w:t>
            </w:r>
            <w:r w:rsidRPr="0094018E">
              <w:rPr>
                <w:sz w:val="24"/>
                <w:szCs w:val="24"/>
              </w:rPr>
              <w:t xml:space="preserve"> a Ministerului Agriculturii şi Industriei Alimentare pe domeniul</w:t>
            </w:r>
            <w:r w:rsidRPr="00A178EC">
              <w:rPr>
                <w:sz w:val="24"/>
                <w:szCs w:val="24"/>
              </w:rPr>
              <w:t xml:space="preserve"> zootehniei</w:t>
            </w:r>
          </w:p>
          <w:p w:rsidR="005913AD" w:rsidRPr="00A178EC" w:rsidRDefault="005913AD" w:rsidP="005913AD">
            <w:pPr>
              <w:pStyle w:val="30"/>
              <w:shd w:val="clear" w:color="auto" w:fill="auto"/>
              <w:spacing w:before="0" w:after="0" w:line="240" w:lineRule="auto"/>
              <w:rPr>
                <w:sz w:val="24"/>
                <w:szCs w:val="24"/>
              </w:rPr>
            </w:pPr>
            <w:r w:rsidRPr="00A178EC">
              <w:rPr>
                <w:sz w:val="24"/>
                <w:szCs w:val="24"/>
              </w:rPr>
              <w:t>Procesul verbal din 05.12.2024</w:t>
            </w:r>
          </w:p>
        </w:tc>
        <w:tc>
          <w:tcPr>
            <w:tcW w:w="7436" w:type="dxa"/>
          </w:tcPr>
          <w:p w:rsidR="005913AD" w:rsidRPr="00A178EC" w:rsidRDefault="005913AD" w:rsidP="00A04809">
            <w:pPr>
              <w:pStyle w:val="Bodytext20"/>
              <w:shd w:val="clear" w:color="auto" w:fill="auto"/>
              <w:tabs>
                <w:tab w:val="left" w:pos="867"/>
              </w:tabs>
              <w:spacing w:line="240" w:lineRule="auto"/>
              <w:rPr>
                <w:sz w:val="24"/>
                <w:szCs w:val="24"/>
              </w:rPr>
            </w:pPr>
            <w:r w:rsidRPr="0094018E">
              <w:rPr>
                <w:sz w:val="24"/>
                <w:szCs w:val="24"/>
              </w:rPr>
              <w:t>Susținerea proiectului hotărâr</w:t>
            </w:r>
            <w:r w:rsidR="0094018E" w:rsidRPr="0094018E">
              <w:rPr>
                <w:sz w:val="24"/>
                <w:szCs w:val="24"/>
              </w:rPr>
              <w:t xml:space="preserve">ii </w:t>
            </w:r>
            <w:r w:rsidRPr="0094018E">
              <w:rPr>
                <w:sz w:val="24"/>
                <w:szCs w:val="24"/>
              </w:rPr>
              <w:t>Guvernului privind modificarea Hotărârii Guvernului nr.661/2007 cu privi</w:t>
            </w:r>
            <w:r w:rsidR="0094018E" w:rsidRPr="0094018E">
              <w:rPr>
                <w:sz w:val="24"/>
                <w:szCs w:val="24"/>
              </w:rPr>
              <w:t>r</w:t>
            </w:r>
            <w:r w:rsidRPr="0094018E">
              <w:rPr>
                <w:sz w:val="24"/>
                <w:szCs w:val="24"/>
              </w:rPr>
              <w:t>e la aprobarea Reglementării Tehnice „Miere natural</w:t>
            </w:r>
            <w:r w:rsidR="006558AC" w:rsidRPr="0094018E">
              <w:rPr>
                <w:sz w:val="24"/>
                <w:szCs w:val="24"/>
              </w:rPr>
              <w:t>ă</w:t>
            </w:r>
            <w:r w:rsidRPr="0094018E">
              <w:rPr>
                <w:sz w:val="24"/>
                <w:szCs w:val="24"/>
              </w:rPr>
              <w:t>”</w:t>
            </w:r>
          </w:p>
        </w:tc>
        <w:tc>
          <w:tcPr>
            <w:tcW w:w="2978" w:type="dxa"/>
          </w:tcPr>
          <w:p w:rsidR="005913AD" w:rsidRPr="00A178EC" w:rsidRDefault="005913AD" w:rsidP="00C9350E">
            <w:pPr>
              <w:pStyle w:val="30"/>
              <w:shd w:val="clear" w:color="auto" w:fill="auto"/>
              <w:spacing w:before="0" w:after="0" w:line="240" w:lineRule="auto"/>
              <w:ind w:right="828"/>
              <w:rPr>
                <w:b/>
                <w:sz w:val="24"/>
                <w:szCs w:val="24"/>
                <w:lang w:val="ro-RO"/>
              </w:rPr>
            </w:pPr>
          </w:p>
        </w:tc>
      </w:tr>
      <w:tr w:rsidR="004E3307" w:rsidRPr="00A178EC" w:rsidTr="008728E0">
        <w:tc>
          <w:tcPr>
            <w:tcW w:w="709" w:type="dxa"/>
            <w:vMerge w:val="restart"/>
          </w:tcPr>
          <w:p w:rsidR="004E3307" w:rsidRPr="00A178EC" w:rsidRDefault="005913AD" w:rsidP="00C9350E">
            <w:pPr>
              <w:pStyle w:val="30"/>
              <w:shd w:val="clear" w:color="auto" w:fill="auto"/>
              <w:spacing w:before="0" w:after="0" w:line="240" w:lineRule="auto"/>
              <w:ind w:right="828"/>
              <w:rPr>
                <w:b/>
                <w:sz w:val="24"/>
                <w:szCs w:val="24"/>
                <w:lang w:val="ro-RO"/>
              </w:rPr>
            </w:pPr>
            <w:r w:rsidRPr="00A178EC">
              <w:rPr>
                <w:b/>
                <w:sz w:val="24"/>
                <w:szCs w:val="24"/>
                <w:lang w:val="ro-RO"/>
              </w:rPr>
              <w:t>2</w:t>
            </w:r>
          </w:p>
        </w:tc>
        <w:tc>
          <w:tcPr>
            <w:tcW w:w="2551" w:type="dxa"/>
            <w:vMerge w:val="restart"/>
          </w:tcPr>
          <w:p w:rsidR="004E3307" w:rsidRPr="0094018E" w:rsidRDefault="004E3307" w:rsidP="00C9350E">
            <w:pPr>
              <w:pStyle w:val="30"/>
              <w:shd w:val="clear" w:color="auto" w:fill="auto"/>
              <w:spacing w:before="0" w:after="0" w:line="240" w:lineRule="auto"/>
              <w:rPr>
                <w:sz w:val="24"/>
                <w:szCs w:val="24"/>
              </w:rPr>
            </w:pPr>
            <w:r w:rsidRPr="0094018E">
              <w:rPr>
                <w:sz w:val="24"/>
                <w:szCs w:val="24"/>
              </w:rPr>
              <w:t xml:space="preserve">Grupul de lucru al Comisiei de </w:t>
            </w:r>
            <w:r w:rsidR="00E32C79">
              <w:rPr>
                <w:sz w:val="24"/>
                <w:szCs w:val="24"/>
              </w:rPr>
              <w:t>s</w:t>
            </w:r>
            <w:r w:rsidRPr="0094018E">
              <w:rPr>
                <w:sz w:val="24"/>
                <w:szCs w:val="24"/>
              </w:rPr>
              <w:t xml:space="preserve">tat pentru </w:t>
            </w:r>
            <w:r w:rsidR="00E32C79">
              <w:rPr>
                <w:sz w:val="24"/>
                <w:szCs w:val="24"/>
              </w:rPr>
              <w:t>r</w:t>
            </w:r>
            <w:r w:rsidRPr="0094018E">
              <w:rPr>
                <w:sz w:val="24"/>
                <w:szCs w:val="24"/>
              </w:rPr>
              <w:t xml:space="preserve">eglementarea </w:t>
            </w:r>
            <w:r w:rsidR="00E32C79">
              <w:rPr>
                <w:sz w:val="24"/>
                <w:szCs w:val="24"/>
              </w:rPr>
              <w:t>a</w:t>
            </w:r>
            <w:r w:rsidRPr="0094018E">
              <w:rPr>
                <w:sz w:val="24"/>
                <w:szCs w:val="24"/>
              </w:rPr>
              <w:t xml:space="preserve">ctivității de </w:t>
            </w:r>
            <w:r w:rsidR="00E32C79">
              <w:rPr>
                <w:sz w:val="24"/>
                <w:szCs w:val="24"/>
              </w:rPr>
              <w:t>î</w:t>
            </w:r>
            <w:r w:rsidRPr="0094018E">
              <w:rPr>
                <w:sz w:val="24"/>
                <w:szCs w:val="24"/>
              </w:rPr>
              <w:t>ntreprinzător</w:t>
            </w:r>
          </w:p>
          <w:p w:rsidR="004E3307" w:rsidRPr="00C14EE0" w:rsidRDefault="004E3307" w:rsidP="00C9350E">
            <w:pPr>
              <w:pStyle w:val="30"/>
              <w:shd w:val="clear" w:color="auto" w:fill="auto"/>
              <w:spacing w:before="0" w:after="0" w:line="240" w:lineRule="auto"/>
              <w:rPr>
                <w:b/>
                <w:sz w:val="24"/>
                <w:szCs w:val="24"/>
                <w:highlight w:val="yellow"/>
                <w:lang w:val="ro-RO"/>
              </w:rPr>
            </w:pPr>
            <w:r w:rsidRPr="0094018E">
              <w:rPr>
                <w:b/>
                <w:sz w:val="24"/>
                <w:szCs w:val="24"/>
                <w:lang w:val="ro-RO"/>
              </w:rPr>
              <w:t>(nr.38-78-20 din 02.01.2025)</w:t>
            </w:r>
          </w:p>
        </w:tc>
        <w:tc>
          <w:tcPr>
            <w:tcW w:w="7436" w:type="dxa"/>
          </w:tcPr>
          <w:p w:rsidR="004E3307" w:rsidRPr="00A178EC" w:rsidRDefault="004E3307" w:rsidP="00A04809">
            <w:pPr>
              <w:pStyle w:val="Bodytext20"/>
              <w:shd w:val="clear" w:color="auto" w:fill="auto"/>
              <w:tabs>
                <w:tab w:val="left" w:pos="867"/>
              </w:tabs>
              <w:spacing w:line="240" w:lineRule="auto"/>
              <w:rPr>
                <w:i/>
                <w:sz w:val="24"/>
                <w:szCs w:val="24"/>
              </w:rPr>
            </w:pPr>
            <w:r w:rsidRPr="00A178EC">
              <w:rPr>
                <w:sz w:val="24"/>
                <w:szCs w:val="24"/>
              </w:rPr>
              <w:t>Concluzia: Proiectul și nota de fundamentare se susține, fiind luate în considerare recomandările expuse</w:t>
            </w:r>
          </w:p>
          <w:p w:rsidR="004E3307" w:rsidRPr="00A178EC" w:rsidRDefault="004E3307" w:rsidP="00A04809">
            <w:pPr>
              <w:pStyle w:val="Bodytext20"/>
              <w:shd w:val="clear" w:color="auto" w:fill="auto"/>
              <w:tabs>
                <w:tab w:val="left" w:pos="867"/>
              </w:tabs>
              <w:spacing w:line="240" w:lineRule="auto"/>
              <w:rPr>
                <w:b/>
                <w:sz w:val="24"/>
                <w:szCs w:val="24"/>
                <w:lang w:val="ro-RO"/>
              </w:rPr>
            </w:pPr>
            <w:r w:rsidRPr="00A178EC">
              <w:rPr>
                <w:i/>
                <w:sz w:val="24"/>
                <w:szCs w:val="24"/>
              </w:rPr>
              <w:t>Comentarii, recomandări:</w:t>
            </w:r>
            <w:r w:rsidRPr="00A178EC">
              <w:rPr>
                <w:sz w:val="24"/>
                <w:szCs w:val="24"/>
              </w:rPr>
              <w:t xml:space="preserve"> La p. 1.2 este prevăzut, că notă din preambulul hotărârii, se exclude. Se recomandă modificări redacționale, fiind substituit cuvântul „hotărârii” cu cuvântul „anexei”. Recomandare valabilă și pentru p. 1.3. Modificări redacționale sunt necesare și la pp. 2.11, 2.13.1. Conform p. 2.3.1 din proiect, la punctul 3 din Cerințe noțiunea „ miere filtrată” se exclude. Totodată, proiectul prevede excluderea </w:t>
            </w:r>
            <w:proofErr w:type="gramStart"/>
            <w:r w:rsidRPr="00A178EC">
              <w:rPr>
                <w:sz w:val="24"/>
                <w:szCs w:val="24"/>
              </w:rPr>
              <w:t>cuvintelor ”miere</w:t>
            </w:r>
            <w:proofErr w:type="gramEnd"/>
            <w:r w:rsidRPr="00A178EC">
              <w:rPr>
                <w:sz w:val="24"/>
                <w:szCs w:val="24"/>
              </w:rPr>
              <w:t xml:space="preserve"> filtrată” din mai multe prevederi ale Cerințelor. Și Nota de fundamentare prevede că vor fi excluse prevederile, care se referă la mierea filtrată. Pe de altă parte, conform p.2.5 din proiect este prevăzută completarea Cerințelor cu p. 211 cu următorul cuprins: fără </w:t>
            </w:r>
            <w:proofErr w:type="gramStart"/>
            <w:r w:rsidRPr="00A178EC">
              <w:rPr>
                <w:sz w:val="24"/>
                <w:szCs w:val="24"/>
              </w:rPr>
              <w:t>a</w:t>
            </w:r>
            <w:proofErr w:type="gramEnd"/>
            <w:r w:rsidRPr="00A178EC">
              <w:rPr>
                <w:sz w:val="24"/>
                <w:szCs w:val="24"/>
              </w:rPr>
              <w:t xml:space="preserve"> aduce atingerii mierii filtrate, nici polenul și nici orice alt constituent specific mierii nu poate fi îndepărtat, cu excepția cazului în care acest lucru este inevitabil în îndepărtarea materiei anorganice sau organice străine. Deoarece în propunerea de completare cu p. 211 se menționează noțiunea de miere filtrată și pentru </w:t>
            </w:r>
            <w:proofErr w:type="gramStart"/>
            <w:r w:rsidRPr="00A178EC">
              <w:rPr>
                <w:sz w:val="24"/>
                <w:szCs w:val="24"/>
              </w:rPr>
              <w:t>a</w:t>
            </w:r>
            <w:proofErr w:type="gramEnd"/>
            <w:r w:rsidRPr="00A178EC">
              <w:rPr>
                <w:sz w:val="24"/>
                <w:szCs w:val="24"/>
              </w:rPr>
              <w:t xml:space="preserve"> asigura certitudine, se recomandă de a examina oportunitatea menținerii acestei noțiuni la p. 3. Conform p. 2.8 din proiect, la punctul 32 din Cerințe, textul „în baza </w:t>
            </w:r>
            <w:r w:rsidRPr="00A178EC">
              <w:rPr>
                <w:sz w:val="24"/>
                <w:szCs w:val="24"/>
              </w:rPr>
              <w:lastRenderedPageBreak/>
              <w:t>cerințelor stabilite de organul central de specialitate al administrației publice în domeniul ocrotirii sănătății”, se substituie cu textul „în conformitate cu art. 13 din Legea nr. 306/2018 privind siguranța alimentelor”. Deoarece art. 13 din Legea nr. 306/2018 se referă nu doar la termenul de valabilitate, se recomandă de a concretiza prevederile în cauză, fiind prevăzute alineate concrete ale articolului respectiv. Conform p. 2.9 din proiect, la punctul 34 din Cerințe, cuvintele: „în conformitate cu cerințele stabilite de organul central de specialitate al administrației publice în domeniul ocrotirii sănătății”, se substituie cu cuvintele: „conform legislației din domeniul alimentar. Propunerile de modificare respective nu aduc clarificări, deoarece prevederile incerte se substituie cu alte prevederi incerte. Se recomandă de a concretiza prevederile în cauză, fiind stabilite trimiteri la norme concrete din o lege sau hotărâre de Guvern.</w:t>
            </w:r>
          </w:p>
        </w:tc>
        <w:tc>
          <w:tcPr>
            <w:tcW w:w="2978" w:type="dxa"/>
          </w:tcPr>
          <w:p w:rsidR="004E3307" w:rsidRPr="00A178EC" w:rsidRDefault="008728E0" w:rsidP="00C9350E">
            <w:pPr>
              <w:pStyle w:val="30"/>
              <w:shd w:val="clear" w:color="auto" w:fill="auto"/>
              <w:spacing w:before="0" w:after="0" w:line="240" w:lineRule="auto"/>
              <w:ind w:right="828"/>
              <w:rPr>
                <w:b/>
                <w:sz w:val="24"/>
                <w:szCs w:val="24"/>
                <w:lang w:val="ro-RO"/>
              </w:rPr>
            </w:pPr>
            <w:r w:rsidRPr="00A178EC">
              <w:rPr>
                <w:b/>
                <w:sz w:val="24"/>
                <w:szCs w:val="24"/>
                <w:lang w:val="ro-RO"/>
              </w:rPr>
              <w:lastRenderedPageBreak/>
              <w:t>Se acceptă</w:t>
            </w:r>
          </w:p>
        </w:tc>
      </w:tr>
      <w:tr w:rsidR="004E3307" w:rsidRPr="00A178EC" w:rsidTr="008728E0">
        <w:tc>
          <w:tcPr>
            <w:tcW w:w="709" w:type="dxa"/>
            <w:vMerge/>
          </w:tcPr>
          <w:p w:rsidR="004E3307" w:rsidRPr="00A178EC" w:rsidRDefault="004E3307" w:rsidP="00C9350E">
            <w:pPr>
              <w:pStyle w:val="30"/>
              <w:shd w:val="clear" w:color="auto" w:fill="auto"/>
              <w:spacing w:before="0" w:after="0" w:line="240" w:lineRule="auto"/>
              <w:ind w:right="828"/>
              <w:rPr>
                <w:b/>
                <w:sz w:val="24"/>
                <w:szCs w:val="24"/>
                <w:lang w:val="ro-RO"/>
              </w:rPr>
            </w:pPr>
          </w:p>
        </w:tc>
        <w:tc>
          <w:tcPr>
            <w:tcW w:w="2551" w:type="dxa"/>
            <w:vMerge/>
          </w:tcPr>
          <w:p w:rsidR="004E3307" w:rsidRPr="00A178EC" w:rsidRDefault="004E3307" w:rsidP="00C9350E">
            <w:pPr>
              <w:pStyle w:val="30"/>
              <w:shd w:val="clear" w:color="auto" w:fill="auto"/>
              <w:spacing w:before="0" w:after="0" w:line="240" w:lineRule="auto"/>
              <w:rPr>
                <w:b/>
                <w:sz w:val="24"/>
                <w:szCs w:val="24"/>
                <w:lang w:val="ro-RO"/>
              </w:rPr>
            </w:pPr>
          </w:p>
        </w:tc>
        <w:tc>
          <w:tcPr>
            <w:tcW w:w="7436" w:type="dxa"/>
          </w:tcPr>
          <w:p w:rsidR="004E3307" w:rsidRPr="00A178EC" w:rsidRDefault="004E3307" w:rsidP="00A04809">
            <w:pPr>
              <w:pStyle w:val="Bodytext20"/>
              <w:shd w:val="clear" w:color="auto" w:fill="auto"/>
              <w:tabs>
                <w:tab w:val="left" w:pos="867"/>
              </w:tabs>
              <w:spacing w:line="240" w:lineRule="auto"/>
              <w:rPr>
                <w:i/>
                <w:sz w:val="24"/>
                <w:szCs w:val="24"/>
              </w:rPr>
            </w:pPr>
            <w:r w:rsidRPr="00A178EC">
              <w:rPr>
                <w:i/>
                <w:sz w:val="24"/>
                <w:szCs w:val="24"/>
              </w:rPr>
              <w:t>Evaluarea notei de fundamentare (analizei impactului de reglementare)</w:t>
            </w:r>
          </w:p>
          <w:p w:rsidR="004E3307" w:rsidRPr="00A178EC" w:rsidRDefault="004E3307" w:rsidP="00A04809">
            <w:pPr>
              <w:pStyle w:val="Bodytext20"/>
              <w:shd w:val="clear" w:color="auto" w:fill="auto"/>
              <w:tabs>
                <w:tab w:val="left" w:pos="867"/>
              </w:tabs>
              <w:spacing w:line="240" w:lineRule="auto"/>
              <w:rPr>
                <w:sz w:val="24"/>
                <w:szCs w:val="24"/>
              </w:rPr>
            </w:pPr>
            <w:r w:rsidRPr="00A178EC">
              <w:rPr>
                <w:sz w:val="24"/>
                <w:szCs w:val="24"/>
              </w:rPr>
              <w:t>Concluzia: Nota de fundamentare nu conține suficiente informații pentru a stabili oportunitatea tuturor soluțiilor propuse în proiect, la fel nu conține toată informația și analiza necesară, astfel corespunde parțial cu cerințele metodologice prevăzute de Legea nr.100/2017 cu privire la actele normative.</w:t>
            </w:r>
          </w:p>
          <w:p w:rsidR="004E3307" w:rsidRPr="00A178EC" w:rsidRDefault="004E3307" w:rsidP="00A04809">
            <w:pPr>
              <w:pStyle w:val="Bodytext20"/>
              <w:shd w:val="clear" w:color="auto" w:fill="auto"/>
              <w:tabs>
                <w:tab w:val="left" w:pos="867"/>
              </w:tabs>
              <w:spacing w:line="240" w:lineRule="auto"/>
              <w:rPr>
                <w:sz w:val="24"/>
                <w:szCs w:val="24"/>
              </w:rPr>
            </w:pPr>
          </w:p>
          <w:p w:rsidR="008728E0" w:rsidRPr="00A178EC" w:rsidRDefault="004E3307" w:rsidP="00A04809">
            <w:pPr>
              <w:pStyle w:val="Bodytext20"/>
              <w:shd w:val="clear" w:color="auto" w:fill="auto"/>
              <w:tabs>
                <w:tab w:val="left" w:pos="867"/>
              </w:tabs>
              <w:spacing w:line="240" w:lineRule="auto"/>
              <w:rPr>
                <w:sz w:val="24"/>
                <w:szCs w:val="24"/>
              </w:rPr>
            </w:pPr>
            <w:r w:rsidRPr="00A178EC">
              <w:rPr>
                <w:sz w:val="24"/>
                <w:szCs w:val="24"/>
              </w:rPr>
              <w:t xml:space="preserve">• Condițiile ce au impus elaborarea proiectului actului normativ La sub punctul 2.2 informația prezentată necesită a fi completată - este necesară prezentarea situației curente în domeniu şi a problemelor care se propun a fi soluționate prin intermediul proiectului actului normativ, raționamentul intervenției. De asemenea se vor descrie pârțile interesate care sunt afectate de problemă. Deoarece este prezentat un proiect de act normativ cu relevanță UE se va face referință la problemele reflectate în analiza de impact elaborată de instituțiile UE şi/sau la problema enunțată în preambulul actului UE, adaptate specificului național. </w:t>
            </w:r>
          </w:p>
          <w:p w:rsidR="008728E0" w:rsidRPr="00A178EC" w:rsidRDefault="008728E0" w:rsidP="00A04809">
            <w:pPr>
              <w:pStyle w:val="Bodytext20"/>
              <w:shd w:val="clear" w:color="auto" w:fill="auto"/>
              <w:tabs>
                <w:tab w:val="left" w:pos="867"/>
              </w:tabs>
              <w:spacing w:line="240" w:lineRule="auto"/>
              <w:rPr>
                <w:sz w:val="24"/>
                <w:szCs w:val="24"/>
              </w:rPr>
            </w:pPr>
            <w:r w:rsidRPr="00A178EC">
              <w:rPr>
                <w:sz w:val="24"/>
                <w:szCs w:val="24"/>
              </w:rPr>
              <w:t xml:space="preserve">   </w:t>
            </w:r>
            <w:r w:rsidR="004E3307" w:rsidRPr="00A178EC">
              <w:rPr>
                <w:sz w:val="24"/>
                <w:szCs w:val="24"/>
              </w:rPr>
              <w:t xml:space="preserve">• Obiectivele urmărite şi soluțiile propuse La acest compartiment este necesar de descris doar obiectivele urmărite prin adoptarea actului normativ, care sunt legate de situația şi problemele abordate. Altă informație prezentată - referitor la prețul de comercializare, puterea de cumpărare a consumatorului, etc – este irelevantă și necesită a fi exclusă. Totodată, obiectivele şi rezultatele scontate trebuie expuse în mod măsurabil, realist, cuantificat şi fixat în timp. Referitor la principalele prevederi ale proiectului, </w:t>
            </w:r>
            <w:r w:rsidR="004E3307" w:rsidRPr="00A178EC">
              <w:rPr>
                <w:sz w:val="24"/>
                <w:szCs w:val="24"/>
              </w:rPr>
              <w:lastRenderedPageBreak/>
              <w:t xml:space="preserve">este necesar de explicat prevederile proiectului şi elementele noi, fiind menționat cum acestea țintesc cauzele problemei. Deoarece este prezentat un proiect de act normativ cu relevanță UE se va examina, în calitate de opțiuni alternative, diferite perioade de intrare în vigoare sau soluții de implementare oferite de actele respective. </w:t>
            </w:r>
          </w:p>
          <w:p w:rsidR="004E3307" w:rsidRPr="00A178EC" w:rsidRDefault="004E3307" w:rsidP="00A04809">
            <w:pPr>
              <w:pStyle w:val="Bodytext20"/>
              <w:shd w:val="clear" w:color="auto" w:fill="auto"/>
              <w:tabs>
                <w:tab w:val="left" w:pos="867"/>
              </w:tabs>
              <w:spacing w:line="240" w:lineRule="auto"/>
              <w:rPr>
                <w:i/>
                <w:sz w:val="24"/>
                <w:szCs w:val="24"/>
              </w:rPr>
            </w:pPr>
            <w:r w:rsidRPr="00A178EC">
              <w:rPr>
                <w:sz w:val="24"/>
                <w:szCs w:val="24"/>
              </w:rPr>
              <w:t xml:space="preserve">• Analiza impactului de reglementare La acest compartiment este prevăzut, că vor fi eliminate prevederile învechite privind cerințele de obținere a Certificatului de conformitate pentru miere și obligativitatea efectuării analizelor de laborator pentru acest certificat. Se recomandă de a prezenta informații referitor la economiile pentru mediul de afaceri urmare excluderii unor astfel de obligații. Totodată, se recomandă de a prezenta informații referitor la existența instrumentelor de protecție </w:t>
            </w:r>
            <w:proofErr w:type="gramStart"/>
            <w:r w:rsidRPr="00A178EC">
              <w:rPr>
                <w:sz w:val="24"/>
                <w:szCs w:val="24"/>
              </w:rPr>
              <w:t>a</w:t>
            </w:r>
            <w:proofErr w:type="gramEnd"/>
            <w:r w:rsidRPr="00A178EC">
              <w:rPr>
                <w:sz w:val="24"/>
                <w:szCs w:val="24"/>
              </w:rPr>
              <w:t xml:space="preserve"> intereselor consumatorilor și care vor fi costurile pentru mediul de afaceri. La acest compartiment se va prezenta informație referitor la impacturile asupra IMM-urilor, prin care se determină pe cât de disproporționat ar putea fi afectate diferite tipuri de IMM-uri, inclusiv în comparație cu întreprinderile mari</w:t>
            </w:r>
          </w:p>
        </w:tc>
        <w:tc>
          <w:tcPr>
            <w:tcW w:w="2978" w:type="dxa"/>
          </w:tcPr>
          <w:p w:rsidR="004E3307" w:rsidRPr="00A178EC" w:rsidRDefault="008728E0" w:rsidP="00C9350E">
            <w:pPr>
              <w:pStyle w:val="30"/>
              <w:shd w:val="clear" w:color="auto" w:fill="auto"/>
              <w:spacing w:before="0" w:after="0" w:line="240" w:lineRule="auto"/>
              <w:ind w:right="828"/>
              <w:rPr>
                <w:b/>
                <w:sz w:val="24"/>
                <w:szCs w:val="24"/>
                <w:lang w:val="ro-RO"/>
              </w:rPr>
            </w:pPr>
            <w:r w:rsidRPr="00A178EC">
              <w:rPr>
                <w:b/>
                <w:sz w:val="24"/>
                <w:szCs w:val="24"/>
                <w:lang w:val="ro-RO"/>
              </w:rPr>
              <w:lastRenderedPageBreak/>
              <w:t>Se acceptă</w:t>
            </w:r>
          </w:p>
        </w:tc>
      </w:tr>
      <w:tr w:rsidR="008728E0" w:rsidRPr="00A178EC" w:rsidTr="008728E0">
        <w:tc>
          <w:tcPr>
            <w:tcW w:w="709" w:type="dxa"/>
          </w:tcPr>
          <w:p w:rsidR="008728E0" w:rsidRPr="00A178EC" w:rsidRDefault="008728E0" w:rsidP="00C9350E">
            <w:pPr>
              <w:pStyle w:val="30"/>
              <w:shd w:val="clear" w:color="auto" w:fill="auto"/>
              <w:spacing w:before="0" w:after="0" w:line="240" w:lineRule="auto"/>
              <w:ind w:right="828"/>
              <w:rPr>
                <w:b/>
                <w:sz w:val="24"/>
                <w:szCs w:val="24"/>
                <w:lang w:val="ro-RO"/>
              </w:rPr>
            </w:pPr>
            <w:r w:rsidRPr="00A178EC">
              <w:rPr>
                <w:b/>
                <w:sz w:val="24"/>
                <w:szCs w:val="24"/>
                <w:lang w:val="ro-RO"/>
              </w:rPr>
              <w:t>3</w:t>
            </w:r>
          </w:p>
        </w:tc>
        <w:tc>
          <w:tcPr>
            <w:tcW w:w="2551" w:type="dxa"/>
          </w:tcPr>
          <w:p w:rsidR="008728E0" w:rsidRPr="00A178EC" w:rsidRDefault="008728E0" w:rsidP="00C9350E">
            <w:pPr>
              <w:pStyle w:val="30"/>
              <w:shd w:val="clear" w:color="auto" w:fill="auto"/>
              <w:spacing w:before="0" w:after="0" w:line="240" w:lineRule="auto"/>
              <w:rPr>
                <w:b/>
                <w:sz w:val="24"/>
                <w:szCs w:val="24"/>
                <w:lang w:val="ro-RO"/>
              </w:rPr>
            </w:pPr>
            <w:r w:rsidRPr="00A178EC">
              <w:rPr>
                <w:b/>
                <w:sz w:val="24"/>
                <w:szCs w:val="24"/>
                <w:lang w:val="ro-RO"/>
              </w:rPr>
              <w:t xml:space="preserve">Agenția Națională </w:t>
            </w:r>
            <w:r w:rsidRPr="00535CBE">
              <w:rPr>
                <w:b/>
                <w:sz w:val="24"/>
                <w:szCs w:val="24"/>
                <w:lang w:val="ro-RO"/>
              </w:rPr>
              <w:t>pentru Sigur</w:t>
            </w:r>
            <w:r w:rsidR="00535CBE">
              <w:rPr>
                <w:b/>
                <w:sz w:val="24"/>
                <w:szCs w:val="24"/>
                <w:lang w:val="ro-RO"/>
              </w:rPr>
              <w:t>a</w:t>
            </w:r>
            <w:r w:rsidRPr="00535CBE">
              <w:rPr>
                <w:b/>
                <w:sz w:val="24"/>
                <w:szCs w:val="24"/>
                <w:lang w:val="ro-RO"/>
              </w:rPr>
              <w:t>nța Alimentelor</w:t>
            </w:r>
          </w:p>
          <w:p w:rsidR="008728E0" w:rsidRPr="00A178EC" w:rsidRDefault="008728E0" w:rsidP="00C9350E">
            <w:pPr>
              <w:pStyle w:val="30"/>
              <w:shd w:val="clear" w:color="auto" w:fill="auto"/>
              <w:spacing w:before="0" w:after="0" w:line="240" w:lineRule="auto"/>
              <w:rPr>
                <w:b/>
                <w:sz w:val="24"/>
                <w:szCs w:val="24"/>
                <w:lang w:val="ro-RO"/>
              </w:rPr>
            </w:pPr>
            <w:r w:rsidRPr="00A178EC">
              <w:rPr>
                <w:b/>
                <w:sz w:val="24"/>
                <w:szCs w:val="24"/>
                <w:lang w:val="ro-RO"/>
              </w:rPr>
              <w:t>(</w:t>
            </w:r>
            <w:r w:rsidRPr="00A178EC">
              <w:rPr>
                <w:sz w:val="24"/>
                <w:szCs w:val="24"/>
              </w:rPr>
              <w:t>09-6856 din  30.12 2024</w:t>
            </w:r>
            <w:r w:rsidRPr="00A178EC">
              <w:rPr>
                <w:b/>
                <w:sz w:val="24"/>
                <w:szCs w:val="24"/>
                <w:lang w:val="ro-RO"/>
              </w:rPr>
              <w:t>)</w:t>
            </w:r>
          </w:p>
        </w:tc>
        <w:tc>
          <w:tcPr>
            <w:tcW w:w="7436" w:type="dxa"/>
          </w:tcPr>
          <w:p w:rsidR="008728E0" w:rsidRPr="00A178EC" w:rsidRDefault="008728E0" w:rsidP="000220BD">
            <w:pPr>
              <w:pStyle w:val="Bodytext20"/>
              <w:shd w:val="clear" w:color="auto" w:fill="auto"/>
              <w:tabs>
                <w:tab w:val="left" w:pos="867"/>
              </w:tabs>
              <w:spacing w:line="240" w:lineRule="auto"/>
              <w:rPr>
                <w:i/>
                <w:sz w:val="24"/>
                <w:szCs w:val="24"/>
              </w:rPr>
            </w:pPr>
            <w:r w:rsidRPr="00A178EC">
              <w:rPr>
                <w:sz w:val="24"/>
                <w:szCs w:val="24"/>
              </w:rPr>
              <w:t>La pct. „2.8 La pct. 32 din Cerințe, textul „în baza cerințelor stabilite de organul central de specialitate al administrației publice în domeniul ocrotirii sănătății</w:t>
            </w:r>
            <w:proofErr w:type="gramStart"/>
            <w:r w:rsidRPr="00A178EC">
              <w:rPr>
                <w:sz w:val="24"/>
                <w:szCs w:val="24"/>
              </w:rPr>
              <w:t>”,se</w:t>
            </w:r>
            <w:proofErr w:type="gramEnd"/>
            <w:r w:rsidRPr="00A178EC">
              <w:rPr>
                <w:sz w:val="24"/>
                <w:szCs w:val="24"/>
              </w:rPr>
              <w:t xml:space="preserve"> substituie cu textul „în conformitate cu art. 13 din Legea nr. 306/2018 privind siguranța alimentelor”, se propune excluderea textului din pct. 32 „însă nu poate depăși 2 ani de la data îmbutelierii mierii”. </w:t>
            </w:r>
          </w:p>
        </w:tc>
        <w:tc>
          <w:tcPr>
            <w:tcW w:w="2978" w:type="dxa"/>
          </w:tcPr>
          <w:p w:rsidR="008728E0" w:rsidRPr="00A178EC" w:rsidRDefault="000220BD" w:rsidP="00C9350E">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4E3307" w:rsidRPr="00A178EC" w:rsidTr="008728E0">
        <w:tc>
          <w:tcPr>
            <w:tcW w:w="709" w:type="dxa"/>
          </w:tcPr>
          <w:p w:rsidR="004E3307" w:rsidRPr="00A178EC" w:rsidRDefault="005913AD" w:rsidP="00C9350E">
            <w:pPr>
              <w:pStyle w:val="30"/>
              <w:shd w:val="clear" w:color="auto" w:fill="auto"/>
              <w:spacing w:before="0" w:after="0" w:line="240" w:lineRule="auto"/>
              <w:ind w:right="828"/>
              <w:rPr>
                <w:b/>
                <w:sz w:val="24"/>
                <w:szCs w:val="24"/>
                <w:lang w:val="ro-RO"/>
              </w:rPr>
            </w:pPr>
            <w:r w:rsidRPr="00A178EC">
              <w:rPr>
                <w:b/>
                <w:sz w:val="24"/>
                <w:szCs w:val="24"/>
                <w:lang w:val="ro-RO"/>
              </w:rPr>
              <w:t>4</w:t>
            </w:r>
          </w:p>
        </w:tc>
        <w:tc>
          <w:tcPr>
            <w:tcW w:w="2551" w:type="dxa"/>
          </w:tcPr>
          <w:p w:rsidR="004E3307" w:rsidRPr="00A178EC" w:rsidRDefault="004E3307" w:rsidP="00C9350E">
            <w:pPr>
              <w:pStyle w:val="30"/>
              <w:shd w:val="clear" w:color="auto" w:fill="auto"/>
              <w:spacing w:before="0" w:after="0" w:line="240" w:lineRule="auto"/>
              <w:rPr>
                <w:b/>
                <w:sz w:val="24"/>
                <w:szCs w:val="24"/>
                <w:lang w:val="ro-RO"/>
              </w:rPr>
            </w:pPr>
            <w:r w:rsidRPr="00A178EC">
              <w:rPr>
                <w:b/>
                <w:sz w:val="24"/>
                <w:szCs w:val="24"/>
                <w:lang w:val="ro-RO"/>
              </w:rPr>
              <w:t>Ministerul</w:t>
            </w:r>
            <w:r w:rsidR="00C14EE0">
              <w:rPr>
                <w:b/>
                <w:sz w:val="24"/>
                <w:szCs w:val="24"/>
                <w:lang w:val="ro-RO"/>
              </w:rPr>
              <w:t xml:space="preserve"> </w:t>
            </w:r>
            <w:r w:rsidRPr="00535CBE">
              <w:rPr>
                <w:b/>
                <w:sz w:val="24"/>
                <w:szCs w:val="24"/>
                <w:lang w:val="ro-RO"/>
              </w:rPr>
              <w:t>Af</w:t>
            </w:r>
            <w:r w:rsidR="00C14EE0" w:rsidRPr="00535CBE">
              <w:rPr>
                <w:b/>
                <w:sz w:val="24"/>
                <w:szCs w:val="24"/>
                <w:lang w:val="ro-RO"/>
              </w:rPr>
              <w:t>a</w:t>
            </w:r>
            <w:r w:rsidRPr="00535CBE">
              <w:rPr>
                <w:b/>
                <w:sz w:val="24"/>
                <w:szCs w:val="24"/>
                <w:lang w:val="ro-RO"/>
              </w:rPr>
              <w:t>c</w:t>
            </w:r>
            <w:r w:rsidR="00C14EE0" w:rsidRPr="00535CBE">
              <w:rPr>
                <w:b/>
                <w:sz w:val="24"/>
                <w:szCs w:val="24"/>
                <w:lang w:val="ro-RO"/>
              </w:rPr>
              <w:t xml:space="preserve">erilor </w:t>
            </w:r>
            <w:r w:rsidRPr="00535CBE">
              <w:rPr>
                <w:b/>
                <w:sz w:val="24"/>
                <w:szCs w:val="24"/>
                <w:lang w:val="ro-RO"/>
              </w:rPr>
              <w:t xml:space="preserve"> Externe a Republicii</w:t>
            </w:r>
            <w:r w:rsidRPr="00A178EC">
              <w:rPr>
                <w:b/>
                <w:sz w:val="24"/>
                <w:szCs w:val="24"/>
                <w:lang w:val="ro-RO"/>
              </w:rPr>
              <w:t xml:space="preserve"> Moldova (</w:t>
            </w:r>
            <w:r w:rsidRPr="00A178EC">
              <w:rPr>
                <w:sz w:val="24"/>
                <w:szCs w:val="24"/>
              </w:rPr>
              <w:t>Nr. DI/3/041.1-13651 din 30.12. 2024</w:t>
            </w:r>
            <w:r w:rsidRPr="00A178EC">
              <w:rPr>
                <w:b/>
                <w:sz w:val="24"/>
                <w:szCs w:val="24"/>
                <w:lang w:val="ro-RO"/>
              </w:rPr>
              <w:t>)</w:t>
            </w:r>
          </w:p>
        </w:tc>
        <w:tc>
          <w:tcPr>
            <w:tcW w:w="7436" w:type="dxa"/>
          </w:tcPr>
          <w:p w:rsidR="004E3307" w:rsidRPr="00A178EC" w:rsidRDefault="004E3307" w:rsidP="004E3307">
            <w:pPr>
              <w:pStyle w:val="Bodytext20"/>
              <w:shd w:val="clear" w:color="auto" w:fill="auto"/>
              <w:tabs>
                <w:tab w:val="left" w:pos="867"/>
              </w:tabs>
              <w:spacing w:line="240" w:lineRule="auto"/>
              <w:ind w:left="360"/>
              <w:rPr>
                <w:sz w:val="24"/>
                <w:szCs w:val="24"/>
              </w:rPr>
            </w:pPr>
            <w:r w:rsidRPr="00A178EC">
              <w:rPr>
                <w:sz w:val="24"/>
                <w:szCs w:val="24"/>
              </w:rPr>
              <w:t>Comunică lipsa de obiecții și propuneri</w:t>
            </w:r>
          </w:p>
        </w:tc>
        <w:tc>
          <w:tcPr>
            <w:tcW w:w="2978" w:type="dxa"/>
          </w:tcPr>
          <w:p w:rsidR="004E3307" w:rsidRPr="00A178EC" w:rsidRDefault="004E3307" w:rsidP="00C9350E">
            <w:pPr>
              <w:pStyle w:val="30"/>
              <w:shd w:val="clear" w:color="auto" w:fill="auto"/>
              <w:spacing w:before="0" w:after="0" w:line="240" w:lineRule="auto"/>
              <w:ind w:right="828"/>
              <w:rPr>
                <w:b/>
                <w:sz w:val="24"/>
                <w:szCs w:val="24"/>
                <w:lang w:val="ro-RO"/>
              </w:rPr>
            </w:pPr>
          </w:p>
        </w:tc>
      </w:tr>
      <w:tr w:rsidR="004E3307" w:rsidRPr="00A178EC" w:rsidTr="008728E0">
        <w:tc>
          <w:tcPr>
            <w:tcW w:w="709" w:type="dxa"/>
          </w:tcPr>
          <w:p w:rsidR="004E3307" w:rsidRPr="00A178EC" w:rsidRDefault="005913AD" w:rsidP="004E3307">
            <w:pPr>
              <w:pStyle w:val="30"/>
              <w:shd w:val="clear" w:color="auto" w:fill="auto"/>
              <w:spacing w:before="0" w:after="0" w:line="240" w:lineRule="auto"/>
              <w:ind w:right="828"/>
              <w:rPr>
                <w:b/>
                <w:sz w:val="24"/>
                <w:szCs w:val="24"/>
                <w:lang w:val="ro-RO"/>
              </w:rPr>
            </w:pPr>
            <w:r w:rsidRPr="00A178EC">
              <w:rPr>
                <w:b/>
                <w:sz w:val="24"/>
                <w:szCs w:val="24"/>
                <w:lang w:val="ro-RO"/>
              </w:rPr>
              <w:t>5</w:t>
            </w:r>
          </w:p>
        </w:tc>
        <w:tc>
          <w:tcPr>
            <w:tcW w:w="2551" w:type="dxa"/>
          </w:tcPr>
          <w:p w:rsidR="004E3307" w:rsidRPr="00A178EC" w:rsidRDefault="004E3307" w:rsidP="004E3307">
            <w:pPr>
              <w:pStyle w:val="30"/>
              <w:shd w:val="clear" w:color="auto" w:fill="auto"/>
              <w:spacing w:before="0" w:after="0" w:line="240" w:lineRule="auto"/>
              <w:rPr>
                <w:b/>
                <w:sz w:val="24"/>
                <w:szCs w:val="24"/>
                <w:lang w:val="ro-RO"/>
              </w:rPr>
            </w:pPr>
            <w:r w:rsidRPr="00A178EC">
              <w:rPr>
                <w:b/>
                <w:sz w:val="24"/>
                <w:szCs w:val="24"/>
                <w:lang w:val="ro-RO"/>
              </w:rPr>
              <w:t>Ministerul Dezvoltării Economice și Digitalizării (</w:t>
            </w:r>
            <w:r w:rsidRPr="00A178EC">
              <w:rPr>
                <w:sz w:val="24"/>
                <w:szCs w:val="24"/>
              </w:rPr>
              <w:t>Nr. 16/1- 21 din 03.01.2025</w:t>
            </w:r>
            <w:r w:rsidRPr="00A178EC">
              <w:rPr>
                <w:b/>
                <w:sz w:val="24"/>
                <w:szCs w:val="24"/>
                <w:lang w:val="ro-RO"/>
              </w:rPr>
              <w:t>)</w:t>
            </w:r>
          </w:p>
        </w:tc>
        <w:tc>
          <w:tcPr>
            <w:tcW w:w="7436" w:type="dxa"/>
          </w:tcPr>
          <w:p w:rsidR="004E3307" w:rsidRPr="00A178EC" w:rsidRDefault="004E3307" w:rsidP="004E3307">
            <w:pPr>
              <w:pStyle w:val="Bodytext20"/>
              <w:shd w:val="clear" w:color="auto" w:fill="auto"/>
              <w:tabs>
                <w:tab w:val="left" w:pos="867"/>
              </w:tabs>
              <w:spacing w:line="240" w:lineRule="auto"/>
              <w:ind w:left="360"/>
              <w:rPr>
                <w:sz w:val="24"/>
                <w:szCs w:val="24"/>
              </w:rPr>
            </w:pPr>
            <w:r w:rsidRPr="00A178EC">
              <w:rPr>
                <w:sz w:val="24"/>
                <w:szCs w:val="24"/>
              </w:rPr>
              <w:t>Comunică lipsa de obiecții și propuneri</w:t>
            </w:r>
          </w:p>
        </w:tc>
        <w:tc>
          <w:tcPr>
            <w:tcW w:w="2978" w:type="dxa"/>
          </w:tcPr>
          <w:p w:rsidR="004E3307" w:rsidRPr="00A178EC" w:rsidRDefault="004E3307" w:rsidP="004E3307">
            <w:pPr>
              <w:pStyle w:val="30"/>
              <w:shd w:val="clear" w:color="auto" w:fill="auto"/>
              <w:spacing w:before="0" w:after="0" w:line="240" w:lineRule="auto"/>
              <w:ind w:right="828"/>
              <w:rPr>
                <w:b/>
                <w:sz w:val="24"/>
                <w:szCs w:val="24"/>
                <w:lang w:val="ro-RO"/>
              </w:rPr>
            </w:pPr>
          </w:p>
        </w:tc>
      </w:tr>
      <w:tr w:rsidR="009450C4" w:rsidRPr="00A178EC" w:rsidTr="008728E0">
        <w:tc>
          <w:tcPr>
            <w:tcW w:w="709" w:type="dxa"/>
            <w:vMerge w:val="restart"/>
          </w:tcPr>
          <w:p w:rsidR="009450C4" w:rsidRPr="00A178EC" w:rsidRDefault="005913AD" w:rsidP="004E3307">
            <w:pPr>
              <w:pStyle w:val="30"/>
              <w:shd w:val="clear" w:color="auto" w:fill="auto"/>
              <w:spacing w:before="0" w:after="0" w:line="240" w:lineRule="auto"/>
              <w:ind w:right="828"/>
              <w:rPr>
                <w:b/>
                <w:sz w:val="24"/>
                <w:szCs w:val="24"/>
                <w:lang w:val="ro-RO"/>
              </w:rPr>
            </w:pPr>
            <w:r w:rsidRPr="00A178EC">
              <w:rPr>
                <w:b/>
                <w:sz w:val="24"/>
                <w:szCs w:val="24"/>
                <w:lang w:val="ro-RO"/>
              </w:rPr>
              <w:t>6</w:t>
            </w:r>
          </w:p>
        </w:tc>
        <w:tc>
          <w:tcPr>
            <w:tcW w:w="2551" w:type="dxa"/>
            <w:vMerge w:val="restart"/>
          </w:tcPr>
          <w:p w:rsidR="009450C4" w:rsidRPr="00A178EC" w:rsidRDefault="009450C4" w:rsidP="004E3307">
            <w:pPr>
              <w:pStyle w:val="30"/>
              <w:shd w:val="clear" w:color="auto" w:fill="auto"/>
              <w:spacing w:before="0" w:after="0" w:line="240" w:lineRule="auto"/>
              <w:rPr>
                <w:b/>
                <w:sz w:val="24"/>
                <w:szCs w:val="24"/>
                <w:lang w:val="ro-RO"/>
              </w:rPr>
            </w:pPr>
            <w:r w:rsidRPr="00A178EC">
              <w:rPr>
                <w:b/>
                <w:sz w:val="24"/>
                <w:szCs w:val="24"/>
                <w:lang w:val="ro-RO"/>
              </w:rPr>
              <w:t>Ministerul Sănătății (</w:t>
            </w:r>
            <w:r w:rsidRPr="00A178EC">
              <w:rPr>
                <w:sz w:val="24"/>
                <w:szCs w:val="24"/>
              </w:rPr>
              <w:t>Nr. 09/ 38 din 09.01.2025</w:t>
            </w:r>
            <w:r w:rsidRPr="00A178EC">
              <w:rPr>
                <w:b/>
                <w:sz w:val="24"/>
                <w:szCs w:val="24"/>
                <w:lang w:val="ro-RO"/>
              </w:rPr>
              <w:t>)</w:t>
            </w:r>
          </w:p>
        </w:tc>
        <w:tc>
          <w:tcPr>
            <w:tcW w:w="7436" w:type="dxa"/>
          </w:tcPr>
          <w:p w:rsidR="009450C4" w:rsidRPr="00A178EC" w:rsidRDefault="009450C4" w:rsidP="004E3307">
            <w:pPr>
              <w:pStyle w:val="Bodytext20"/>
              <w:shd w:val="clear" w:color="auto" w:fill="auto"/>
              <w:tabs>
                <w:tab w:val="left" w:pos="867"/>
              </w:tabs>
              <w:spacing w:line="240" w:lineRule="auto"/>
              <w:ind w:left="360"/>
              <w:rPr>
                <w:sz w:val="24"/>
                <w:szCs w:val="24"/>
              </w:rPr>
            </w:pPr>
            <w:r w:rsidRPr="00A178EC">
              <w:rPr>
                <w:sz w:val="24"/>
                <w:szCs w:val="24"/>
              </w:rPr>
              <w:t xml:space="preserve">Punctul 2. În </w:t>
            </w:r>
            <w:proofErr w:type="gramStart"/>
            <w:r w:rsidRPr="00A178EC">
              <w:rPr>
                <w:sz w:val="24"/>
                <w:szCs w:val="24"/>
              </w:rPr>
              <w:t>cerințe :</w:t>
            </w:r>
            <w:proofErr w:type="gramEnd"/>
            <w:r w:rsidRPr="00A178EC">
              <w:rPr>
                <w:sz w:val="24"/>
                <w:szCs w:val="24"/>
              </w:rPr>
              <w:t xml:space="preserve"> </w:t>
            </w:r>
          </w:p>
          <w:p w:rsidR="009450C4" w:rsidRPr="00A178EC" w:rsidRDefault="009450C4" w:rsidP="004E3307">
            <w:pPr>
              <w:pStyle w:val="Bodytext20"/>
              <w:shd w:val="clear" w:color="auto" w:fill="auto"/>
              <w:tabs>
                <w:tab w:val="left" w:pos="867"/>
              </w:tabs>
              <w:spacing w:line="240" w:lineRule="auto"/>
              <w:ind w:left="360"/>
              <w:rPr>
                <w:sz w:val="24"/>
                <w:szCs w:val="24"/>
              </w:rPr>
            </w:pPr>
            <w:r w:rsidRPr="00A178EC">
              <w:rPr>
                <w:sz w:val="24"/>
                <w:szCs w:val="24"/>
              </w:rPr>
              <w:t xml:space="preserve">1) la subpunctul 2.9, textul: „conform legislației din domeniul alimentar.”, se substituie cu textul „art. 20 alin. (3) din Legea nr. 306/2018 privind siguranța alimentelor”. </w:t>
            </w:r>
          </w:p>
          <w:p w:rsidR="009450C4" w:rsidRPr="00A178EC" w:rsidRDefault="009450C4" w:rsidP="004E3307">
            <w:pPr>
              <w:pStyle w:val="Bodytext20"/>
              <w:shd w:val="clear" w:color="auto" w:fill="auto"/>
              <w:tabs>
                <w:tab w:val="left" w:pos="867"/>
              </w:tabs>
              <w:spacing w:line="240" w:lineRule="auto"/>
              <w:ind w:left="360"/>
              <w:rPr>
                <w:sz w:val="24"/>
                <w:szCs w:val="24"/>
              </w:rPr>
            </w:pPr>
          </w:p>
        </w:tc>
        <w:tc>
          <w:tcPr>
            <w:tcW w:w="2978" w:type="dxa"/>
          </w:tcPr>
          <w:p w:rsidR="009450C4" w:rsidRPr="00A178EC" w:rsidRDefault="00542919"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9450C4" w:rsidRPr="00A178EC" w:rsidTr="008728E0">
        <w:tc>
          <w:tcPr>
            <w:tcW w:w="709" w:type="dxa"/>
            <w:vMerge/>
          </w:tcPr>
          <w:p w:rsidR="009450C4" w:rsidRPr="00A178EC" w:rsidRDefault="009450C4" w:rsidP="004E3307">
            <w:pPr>
              <w:pStyle w:val="30"/>
              <w:shd w:val="clear" w:color="auto" w:fill="auto"/>
              <w:spacing w:before="0" w:after="0" w:line="240" w:lineRule="auto"/>
              <w:ind w:right="828"/>
              <w:rPr>
                <w:b/>
                <w:sz w:val="24"/>
                <w:szCs w:val="24"/>
                <w:lang w:val="ro-RO"/>
              </w:rPr>
            </w:pPr>
          </w:p>
        </w:tc>
        <w:tc>
          <w:tcPr>
            <w:tcW w:w="2551" w:type="dxa"/>
            <w:vMerge/>
          </w:tcPr>
          <w:p w:rsidR="009450C4" w:rsidRPr="00A178EC" w:rsidRDefault="009450C4" w:rsidP="004E3307">
            <w:pPr>
              <w:pStyle w:val="30"/>
              <w:shd w:val="clear" w:color="auto" w:fill="auto"/>
              <w:spacing w:before="0" w:after="0" w:line="240" w:lineRule="auto"/>
              <w:rPr>
                <w:b/>
                <w:sz w:val="24"/>
                <w:szCs w:val="24"/>
                <w:lang w:val="ro-RO"/>
              </w:rPr>
            </w:pPr>
          </w:p>
        </w:tc>
        <w:tc>
          <w:tcPr>
            <w:tcW w:w="7436" w:type="dxa"/>
          </w:tcPr>
          <w:p w:rsidR="009450C4" w:rsidRPr="00A178EC" w:rsidRDefault="009450C4" w:rsidP="004E3307">
            <w:pPr>
              <w:pStyle w:val="Bodytext20"/>
              <w:shd w:val="clear" w:color="auto" w:fill="auto"/>
              <w:tabs>
                <w:tab w:val="left" w:pos="867"/>
              </w:tabs>
              <w:spacing w:line="240" w:lineRule="auto"/>
              <w:ind w:left="360"/>
              <w:rPr>
                <w:sz w:val="24"/>
                <w:szCs w:val="24"/>
              </w:rPr>
            </w:pPr>
            <w:r w:rsidRPr="00A178EC">
              <w:rPr>
                <w:sz w:val="24"/>
                <w:szCs w:val="24"/>
              </w:rPr>
              <w:t>2) se completează cu un nou subpunct cu următorul cuprins: „</w:t>
            </w:r>
            <w:bookmarkStart w:id="0" w:name="_Hlk188364076"/>
            <w:r w:rsidRPr="00A178EC">
              <w:rPr>
                <w:sz w:val="24"/>
                <w:szCs w:val="24"/>
              </w:rPr>
              <w:t xml:space="preserve">La </w:t>
            </w:r>
            <w:r w:rsidRPr="00A178EC">
              <w:rPr>
                <w:sz w:val="24"/>
                <w:szCs w:val="24"/>
              </w:rPr>
              <w:lastRenderedPageBreak/>
              <w:t xml:space="preserve">punctele 31 – 33 din Cerințe, textul: „actelor normative, stabilite de organul central de specialitate al administrației publice în domeniul ocrotirii sănătății”, se substituie cu textul „art. 13, </w:t>
            </w:r>
            <w:proofErr w:type="gramStart"/>
            <w:r w:rsidRPr="00A178EC">
              <w:rPr>
                <w:sz w:val="24"/>
                <w:szCs w:val="24"/>
              </w:rPr>
              <w:t>alin.(</w:t>
            </w:r>
            <w:proofErr w:type="gramEnd"/>
            <w:r w:rsidRPr="00A178EC">
              <w:rPr>
                <w:sz w:val="24"/>
                <w:szCs w:val="24"/>
              </w:rPr>
              <w:t>1) și (2) din Legea nr. 306/2018 privind siguranța alimentelor</w:t>
            </w:r>
            <w:bookmarkEnd w:id="0"/>
            <w:r w:rsidRPr="00A178EC">
              <w:rPr>
                <w:sz w:val="24"/>
                <w:szCs w:val="24"/>
              </w:rPr>
              <w:t>”.</w:t>
            </w:r>
          </w:p>
        </w:tc>
        <w:tc>
          <w:tcPr>
            <w:tcW w:w="2978" w:type="dxa"/>
          </w:tcPr>
          <w:p w:rsidR="009450C4" w:rsidRPr="00A178EC" w:rsidRDefault="00542919" w:rsidP="004E3307">
            <w:pPr>
              <w:pStyle w:val="30"/>
              <w:shd w:val="clear" w:color="auto" w:fill="auto"/>
              <w:spacing w:before="0" w:after="0" w:line="240" w:lineRule="auto"/>
              <w:ind w:right="828"/>
              <w:rPr>
                <w:b/>
                <w:sz w:val="24"/>
                <w:szCs w:val="24"/>
                <w:lang w:val="ro-RO"/>
              </w:rPr>
            </w:pPr>
            <w:r w:rsidRPr="00A178EC">
              <w:rPr>
                <w:b/>
                <w:sz w:val="24"/>
                <w:szCs w:val="24"/>
                <w:lang w:val="ro-RO"/>
              </w:rPr>
              <w:lastRenderedPageBreak/>
              <w:t>Se acceptă</w:t>
            </w:r>
          </w:p>
        </w:tc>
      </w:tr>
      <w:tr w:rsidR="00C8582B" w:rsidRPr="00A178EC" w:rsidTr="00FF2C0B">
        <w:trPr>
          <w:trHeight w:val="3542"/>
        </w:trPr>
        <w:tc>
          <w:tcPr>
            <w:tcW w:w="709" w:type="dxa"/>
            <w:vMerge w:val="restart"/>
          </w:tcPr>
          <w:p w:rsidR="00C8582B" w:rsidRPr="00A178EC" w:rsidRDefault="00C8582B" w:rsidP="004E3307">
            <w:pPr>
              <w:pStyle w:val="30"/>
              <w:shd w:val="clear" w:color="auto" w:fill="auto"/>
              <w:spacing w:before="0" w:after="0" w:line="240" w:lineRule="auto"/>
              <w:ind w:right="828"/>
              <w:rPr>
                <w:b/>
                <w:sz w:val="24"/>
                <w:szCs w:val="24"/>
                <w:lang w:val="ro-RO"/>
              </w:rPr>
            </w:pPr>
            <w:r w:rsidRPr="00A178EC">
              <w:rPr>
                <w:b/>
                <w:sz w:val="24"/>
                <w:szCs w:val="24"/>
                <w:lang w:val="ro-RO"/>
              </w:rPr>
              <w:t>7</w:t>
            </w:r>
          </w:p>
        </w:tc>
        <w:tc>
          <w:tcPr>
            <w:tcW w:w="2551" w:type="dxa"/>
            <w:vMerge w:val="restart"/>
          </w:tcPr>
          <w:p w:rsidR="00C8582B" w:rsidRPr="00A178EC" w:rsidRDefault="00C8582B" w:rsidP="004E3307">
            <w:pPr>
              <w:pStyle w:val="30"/>
              <w:shd w:val="clear" w:color="auto" w:fill="auto"/>
              <w:spacing w:before="0" w:after="0" w:line="240" w:lineRule="auto"/>
              <w:rPr>
                <w:b/>
                <w:sz w:val="24"/>
                <w:szCs w:val="24"/>
                <w:lang w:val="ro-RO"/>
              </w:rPr>
            </w:pPr>
            <w:r w:rsidRPr="00A178EC">
              <w:rPr>
                <w:b/>
                <w:sz w:val="24"/>
                <w:szCs w:val="24"/>
                <w:lang w:val="ro-RO"/>
              </w:rPr>
              <w:t xml:space="preserve">Centrul </w:t>
            </w:r>
            <w:r w:rsidR="00C14EE0" w:rsidRPr="00535CBE">
              <w:rPr>
                <w:b/>
                <w:sz w:val="24"/>
                <w:szCs w:val="24"/>
                <w:lang w:val="ro-RO"/>
              </w:rPr>
              <w:t>d</w:t>
            </w:r>
            <w:r w:rsidRPr="00535CBE">
              <w:rPr>
                <w:b/>
                <w:sz w:val="24"/>
                <w:szCs w:val="24"/>
                <w:lang w:val="ro-RO"/>
              </w:rPr>
              <w:t>e Armonizare a Legislației</w:t>
            </w:r>
            <w:r w:rsidRPr="00A178EC">
              <w:rPr>
                <w:b/>
                <w:sz w:val="24"/>
                <w:szCs w:val="24"/>
                <w:lang w:val="ro-RO"/>
              </w:rPr>
              <w:t xml:space="preserve"> (</w:t>
            </w:r>
            <w:r w:rsidRPr="00A178EC">
              <w:rPr>
                <w:sz w:val="24"/>
                <w:szCs w:val="24"/>
              </w:rPr>
              <w:t>Nr. 31/02-126-110 din 09.01.2025</w:t>
            </w:r>
            <w:r w:rsidRPr="00A178EC">
              <w:rPr>
                <w:b/>
                <w:sz w:val="24"/>
                <w:szCs w:val="24"/>
                <w:lang w:val="ro-RO"/>
              </w:rPr>
              <w:t>)</w:t>
            </w:r>
          </w:p>
        </w:tc>
        <w:tc>
          <w:tcPr>
            <w:tcW w:w="7436" w:type="dxa"/>
          </w:tcPr>
          <w:p w:rsidR="00C8582B" w:rsidRPr="00A178EC" w:rsidRDefault="00C8582B" w:rsidP="00C8582B">
            <w:pPr>
              <w:pStyle w:val="Bodytext20"/>
              <w:shd w:val="clear" w:color="auto" w:fill="auto"/>
              <w:tabs>
                <w:tab w:val="left" w:pos="867"/>
              </w:tabs>
              <w:spacing w:line="240" w:lineRule="auto"/>
              <w:ind w:left="360"/>
              <w:rPr>
                <w:sz w:val="24"/>
                <w:szCs w:val="24"/>
                <w:lang w:val="ro-RO"/>
              </w:rPr>
            </w:pPr>
            <w:r w:rsidRPr="00A178EC">
              <w:rPr>
                <w:sz w:val="24"/>
                <w:szCs w:val="24"/>
              </w:rPr>
              <w:t xml:space="preserve">II. Evaluarea din perspectiva compatibilității cu Dreptul UE </w:t>
            </w:r>
          </w:p>
          <w:p w:rsidR="00C8582B" w:rsidRPr="00A178EC" w:rsidRDefault="00C8582B" w:rsidP="00C8582B">
            <w:pPr>
              <w:pStyle w:val="Bodytext20"/>
              <w:numPr>
                <w:ilvl w:val="0"/>
                <w:numId w:val="16"/>
              </w:numPr>
              <w:shd w:val="clear" w:color="auto" w:fill="auto"/>
              <w:tabs>
                <w:tab w:val="left" w:pos="867"/>
              </w:tabs>
              <w:spacing w:line="240" w:lineRule="auto"/>
              <w:rPr>
                <w:i/>
                <w:sz w:val="24"/>
                <w:szCs w:val="24"/>
              </w:rPr>
            </w:pPr>
            <w:r w:rsidRPr="00A178EC">
              <w:rPr>
                <w:i/>
                <w:sz w:val="24"/>
                <w:szCs w:val="24"/>
              </w:rPr>
              <w:t xml:space="preserve">Obiecții privind compatibilitatea proiectului național cu Directiva 2001/110/CE </w:t>
            </w:r>
          </w:p>
          <w:p w:rsidR="00C8582B" w:rsidRPr="00A178EC" w:rsidRDefault="00C8582B" w:rsidP="00C8582B">
            <w:pPr>
              <w:pStyle w:val="Bodytext20"/>
              <w:tabs>
                <w:tab w:val="left" w:pos="867"/>
              </w:tabs>
              <w:spacing w:line="240" w:lineRule="auto"/>
              <w:rPr>
                <w:sz w:val="24"/>
                <w:szCs w:val="24"/>
                <w:lang w:val="ro-RO"/>
              </w:rPr>
            </w:pPr>
            <w:r w:rsidRPr="00A178EC">
              <w:rPr>
                <w:sz w:val="24"/>
                <w:szCs w:val="24"/>
              </w:rPr>
              <w:t>Examinând proiectul național prin prisma ultimelor modificări operate prin Directiva (UE) 2024/1438, se constată că nu este transpus art. 1, pct. 1, lit. c referitor la modificarea art. 2, pct. 4 lit. b) din Directiva 2001/110/CE în ceea ce privește mențiunile care trebuie să fie precizate în temeiul literei (a) și care sunt considerate mențiuni obligatorii în conformitate cu articolul 9 din Regulamentul (UE) nr. 1169/2011. Astfel, se va completa proiectul național cu prevederile UE omise.</w:t>
            </w:r>
          </w:p>
        </w:tc>
        <w:tc>
          <w:tcPr>
            <w:tcW w:w="2978" w:type="dxa"/>
          </w:tcPr>
          <w:p w:rsidR="00C8582B" w:rsidRPr="00A178EC" w:rsidRDefault="007E05D9" w:rsidP="004E3307">
            <w:pPr>
              <w:pStyle w:val="30"/>
              <w:shd w:val="clear" w:color="auto" w:fill="auto"/>
              <w:spacing w:before="0" w:after="0" w:line="240" w:lineRule="auto"/>
              <w:ind w:right="828"/>
              <w:rPr>
                <w:b/>
                <w:sz w:val="24"/>
                <w:szCs w:val="24"/>
                <w:lang w:val="ro-RO"/>
              </w:rPr>
            </w:pPr>
            <w:r w:rsidRPr="00A178EC">
              <w:rPr>
                <w:b/>
                <w:sz w:val="24"/>
                <w:szCs w:val="24"/>
                <w:lang w:val="ro-RO"/>
              </w:rPr>
              <w:t xml:space="preserve"> Se acceptă</w:t>
            </w:r>
          </w:p>
          <w:p w:rsidR="007E05D9" w:rsidRPr="00A178EC" w:rsidRDefault="007E05D9" w:rsidP="007E05D9">
            <w:pPr>
              <w:pStyle w:val="30"/>
              <w:shd w:val="clear" w:color="auto" w:fill="auto"/>
              <w:tabs>
                <w:tab w:val="left" w:pos="1527"/>
              </w:tabs>
              <w:spacing w:before="0" w:after="0" w:line="240" w:lineRule="auto"/>
              <w:ind w:right="-41"/>
              <w:jc w:val="both"/>
              <w:rPr>
                <w:sz w:val="24"/>
                <w:szCs w:val="24"/>
                <w:lang w:val="ro-RO"/>
              </w:rPr>
            </w:pPr>
          </w:p>
        </w:tc>
      </w:tr>
      <w:tr w:rsidR="00C8582B" w:rsidRPr="00A178EC" w:rsidTr="008728E0">
        <w:tc>
          <w:tcPr>
            <w:tcW w:w="709" w:type="dxa"/>
            <w:vMerge/>
          </w:tcPr>
          <w:p w:rsidR="00C8582B" w:rsidRPr="00A178EC" w:rsidRDefault="00C8582B" w:rsidP="004E3307">
            <w:pPr>
              <w:pStyle w:val="30"/>
              <w:shd w:val="clear" w:color="auto" w:fill="auto"/>
              <w:spacing w:before="0" w:after="0" w:line="240" w:lineRule="auto"/>
              <w:ind w:right="828"/>
              <w:rPr>
                <w:b/>
                <w:sz w:val="24"/>
                <w:szCs w:val="24"/>
                <w:lang w:val="ro-RO"/>
              </w:rPr>
            </w:pPr>
          </w:p>
        </w:tc>
        <w:tc>
          <w:tcPr>
            <w:tcW w:w="2551" w:type="dxa"/>
            <w:vMerge/>
          </w:tcPr>
          <w:p w:rsidR="00C8582B" w:rsidRPr="00A178EC" w:rsidRDefault="00C8582B" w:rsidP="004E3307">
            <w:pPr>
              <w:pStyle w:val="30"/>
              <w:shd w:val="clear" w:color="auto" w:fill="auto"/>
              <w:spacing w:before="0" w:after="0" w:line="240" w:lineRule="auto"/>
              <w:rPr>
                <w:b/>
                <w:sz w:val="24"/>
                <w:szCs w:val="24"/>
                <w:lang w:val="ro-RO"/>
              </w:rPr>
            </w:pPr>
          </w:p>
        </w:tc>
        <w:tc>
          <w:tcPr>
            <w:tcW w:w="7436" w:type="dxa"/>
          </w:tcPr>
          <w:p w:rsidR="00C8582B" w:rsidRPr="00A178EC" w:rsidRDefault="00C8582B" w:rsidP="004E3307">
            <w:pPr>
              <w:pStyle w:val="Bodytext20"/>
              <w:shd w:val="clear" w:color="auto" w:fill="auto"/>
              <w:tabs>
                <w:tab w:val="left" w:pos="867"/>
              </w:tabs>
              <w:spacing w:line="240" w:lineRule="auto"/>
              <w:ind w:left="360"/>
              <w:rPr>
                <w:sz w:val="24"/>
                <w:szCs w:val="24"/>
              </w:rPr>
            </w:pPr>
            <w:r w:rsidRPr="00A178EC">
              <w:rPr>
                <w:sz w:val="24"/>
                <w:szCs w:val="24"/>
              </w:rPr>
              <w:t xml:space="preserve">III. Respectarea mecanismului de armonizare </w:t>
            </w:r>
          </w:p>
          <w:p w:rsidR="00C8582B" w:rsidRPr="00A178EC" w:rsidRDefault="00C8582B" w:rsidP="00C8582B">
            <w:pPr>
              <w:pStyle w:val="Bodytext20"/>
              <w:numPr>
                <w:ilvl w:val="0"/>
                <w:numId w:val="17"/>
              </w:numPr>
              <w:shd w:val="clear" w:color="auto" w:fill="auto"/>
              <w:tabs>
                <w:tab w:val="left" w:pos="867"/>
              </w:tabs>
              <w:spacing w:line="240" w:lineRule="auto"/>
              <w:rPr>
                <w:i/>
                <w:sz w:val="24"/>
                <w:szCs w:val="24"/>
              </w:rPr>
            </w:pPr>
            <w:r w:rsidRPr="00A178EC">
              <w:rPr>
                <w:i/>
                <w:sz w:val="24"/>
                <w:szCs w:val="24"/>
              </w:rPr>
              <w:t xml:space="preserve">Obiecții privind clauza de armonizare </w:t>
            </w:r>
          </w:p>
          <w:p w:rsidR="00D85CB7" w:rsidRPr="00A178EC" w:rsidRDefault="00C8582B" w:rsidP="00C8582B">
            <w:pPr>
              <w:pStyle w:val="Bodytext20"/>
              <w:shd w:val="clear" w:color="auto" w:fill="auto"/>
              <w:tabs>
                <w:tab w:val="left" w:pos="867"/>
              </w:tabs>
              <w:spacing w:line="240" w:lineRule="auto"/>
              <w:rPr>
                <w:sz w:val="24"/>
                <w:szCs w:val="24"/>
              </w:rPr>
            </w:pPr>
            <w:r w:rsidRPr="00A178EC">
              <w:rPr>
                <w:sz w:val="24"/>
                <w:szCs w:val="24"/>
              </w:rPr>
              <w:t xml:space="preserve">Referitor la clauza de armonizare existentă în HG nr. 661/2007, aceasta nu corespunde prevederilor art. 31 și 44 din Legea nr. 100/2017 cu privire la actele normative, precum și celor din pct. 34 și 36 din Regulamentul privind armonizarea legislației RM cu legislația UE, aprobat 4 prin HG nr. 1171/2018. </w:t>
            </w:r>
          </w:p>
          <w:p w:rsidR="00D85CB7" w:rsidRPr="00A178EC" w:rsidRDefault="00D85CB7" w:rsidP="00C8582B">
            <w:pPr>
              <w:pStyle w:val="Bodytext20"/>
              <w:shd w:val="clear" w:color="auto" w:fill="auto"/>
              <w:tabs>
                <w:tab w:val="left" w:pos="867"/>
              </w:tabs>
              <w:spacing w:line="240" w:lineRule="auto"/>
              <w:rPr>
                <w:sz w:val="24"/>
                <w:szCs w:val="24"/>
              </w:rPr>
            </w:pPr>
            <w:r w:rsidRPr="00A178EC">
              <w:rPr>
                <w:sz w:val="24"/>
                <w:szCs w:val="24"/>
              </w:rPr>
              <w:t xml:space="preserve">       </w:t>
            </w:r>
            <w:r w:rsidR="00C8582B" w:rsidRPr="00A178EC">
              <w:rPr>
                <w:sz w:val="24"/>
                <w:szCs w:val="24"/>
              </w:rPr>
              <w:t xml:space="preserve">Astfel, se propune excluderea pct. 2, subpct. 2.2 din proiect și păstrarea clauzei de armonizare existente după preambul și clauza de adoptare a HG, în următoarea redacție: </w:t>
            </w:r>
          </w:p>
          <w:p w:rsidR="00D85CB7" w:rsidRPr="00A178EC" w:rsidRDefault="00C8582B" w:rsidP="00C8582B">
            <w:pPr>
              <w:pStyle w:val="Bodytext20"/>
              <w:shd w:val="clear" w:color="auto" w:fill="auto"/>
              <w:tabs>
                <w:tab w:val="left" w:pos="867"/>
              </w:tabs>
              <w:spacing w:line="240" w:lineRule="auto"/>
              <w:rPr>
                <w:sz w:val="24"/>
                <w:szCs w:val="24"/>
              </w:rPr>
            </w:pPr>
            <w:r w:rsidRPr="00A178EC">
              <w:rPr>
                <w:sz w:val="24"/>
                <w:szCs w:val="24"/>
              </w:rPr>
              <w:t xml:space="preserve">„Prezenta Hotărâre transpune Directiva 2001/110/CE a Consiliului din 20 decembrie 2001 privind mierea, CELEX: 32001L0110, publicată în Jurnalul Oficial al Uniunii Europene L 10 din 12 ianuarie 2002, așa cum a fost modificată ultima oară prin Directiva (UE) 2024/1438 a Parlamentului European și a Consiliului din 14 mai 2024”. </w:t>
            </w:r>
          </w:p>
          <w:p w:rsidR="00C8582B" w:rsidRPr="00A178EC" w:rsidRDefault="00D85CB7" w:rsidP="00C8582B">
            <w:pPr>
              <w:pStyle w:val="Bodytext20"/>
              <w:shd w:val="clear" w:color="auto" w:fill="auto"/>
              <w:tabs>
                <w:tab w:val="left" w:pos="867"/>
              </w:tabs>
              <w:spacing w:line="240" w:lineRule="auto"/>
              <w:rPr>
                <w:sz w:val="24"/>
                <w:szCs w:val="24"/>
              </w:rPr>
            </w:pPr>
            <w:r w:rsidRPr="00A178EC">
              <w:rPr>
                <w:sz w:val="24"/>
                <w:szCs w:val="24"/>
              </w:rPr>
              <w:t xml:space="preserve">       </w:t>
            </w:r>
            <w:r w:rsidR="00C8582B" w:rsidRPr="00A178EC">
              <w:rPr>
                <w:sz w:val="24"/>
                <w:szCs w:val="24"/>
              </w:rPr>
              <w:t>În ceea ce privește clauza de armonizare a proiectului național, aceasta se va expune în următoarea redacție</w:t>
            </w:r>
            <w:proofErr w:type="gramStart"/>
            <w:r w:rsidR="00C8582B" w:rsidRPr="00A178EC">
              <w:rPr>
                <w:sz w:val="24"/>
                <w:szCs w:val="24"/>
              </w:rPr>
              <w:t>: ”Prezenta</w:t>
            </w:r>
            <w:proofErr w:type="gramEnd"/>
            <w:r w:rsidR="00C8582B" w:rsidRPr="00A178EC">
              <w:rPr>
                <w:sz w:val="24"/>
                <w:szCs w:val="24"/>
              </w:rPr>
              <w:t xml:space="preserve"> Hotărâre transpune parțial Directiva 2001/110/CE a Consiliului din 20 decembrie 2001 privind mierea, CELEX: 32001L0110, publicată în Jurnalul Oficial al Uniunii Europene L </w:t>
            </w:r>
            <w:r w:rsidR="00C8582B" w:rsidRPr="00A178EC">
              <w:rPr>
                <w:sz w:val="24"/>
                <w:szCs w:val="24"/>
              </w:rPr>
              <w:lastRenderedPageBreak/>
              <w:t>10 din 12 ianuarie 2002, așa cum a fost modificată ultima oară prin Directiva (UE) 2024/1438 a Parlamentului European și a Consiliului din 14 mai 2024”</w:t>
            </w:r>
          </w:p>
        </w:tc>
        <w:tc>
          <w:tcPr>
            <w:tcW w:w="2978" w:type="dxa"/>
          </w:tcPr>
          <w:p w:rsidR="00C8582B" w:rsidRPr="00A178EC" w:rsidRDefault="00D85CB7" w:rsidP="004E3307">
            <w:pPr>
              <w:pStyle w:val="30"/>
              <w:shd w:val="clear" w:color="auto" w:fill="auto"/>
              <w:spacing w:before="0" w:after="0" w:line="240" w:lineRule="auto"/>
              <w:ind w:right="828"/>
              <w:rPr>
                <w:b/>
                <w:sz w:val="24"/>
                <w:szCs w:val="24"/>
                <w:lang w:val="ro-RO"/>
              </w:rPr>
            </w:pPr>
            <w:r w:rsidRPr="00A178EC">
              <w:rPr>
                <w:b/>
                <w:sz w:val="24"/>
                <w:szCs w:val="24"/>
                <w:lang w:val="ro-RO"/>
              </w:rPr>
              <w:lastRenderedPageBreak/>
              <w:t>Se acceptă</w:t>
            </w:r>
          </w:p>
        </w:tc>
      </w:tr>
      <w:tr w:rsidR="00C8582B" w:rsidRPr="00A178EC" w:rsidTr="008728E0">
        <w:tc>
          <w:tcPr>
            <w:tcW w:w="709" w:type="dxa"/>
            <w:vMerge/>
          </w:tcPr>
          <w:p w:rsidR="00C8582B" w:rsidRPr="00A178EC" w:rsidRDefault="00C8582B" w:rsidP="004E3307">
            <w:pPr>
              <w:pStyle w:val="30"/>
              <w:shd w:val="clear" w:color="auto" w:fill="auto"/>
              <w:spacing w:before="0" w:after="0" w:line="240" w:lineRule="auto"/>
              <w:ind w:right="828"/>
              <w:rPr>
                <w:b/>
                <w:sz w:val="24"/>
                <w:szCs w:val="24"/>
                <w:lang w:val="ro-RO"/>
              </w:rPr>
            </w:pPr>
          </w:p>
        </w:tc>
        <w:tc>
          <w:tcPr>
            <w:tcW w:w="2551" w:type="dxa"/>
            <w:vMerge/>
          </w:tcPr>
          <w:p w:rsidR="00C8582B" w:rsidRPr="00A178EC" w:rsidRDefault="00C8582B" w:rsidP="004E3307">
            <w:pPr>
              <w:pStyle w:val="30"/>
              <w:shd w:val="clear" w:color="auto" w:fill="auto"/>
              <w:spacing w:before="0" w:after="0" w:line="240" w:lineRule="auto"/>
              <w:rPr>
                <w:b/>
                <w:sz w:val="24"/>
                <w:szCs w:val="24"/>
                <w:lang w:val="ro-RO"/>
              </w:rPr>
            </w:pPr>
          </w:p>
        </w:tc>
        <w:tc>
          <w:tcPr>
            <w:tcW w:w="7436" w:type="dxa"/>
          </w:tcPr>
          <w:p w:rsidR="00C8582B" w:rsidRPr="00A178EC" w:rsidRDefault="00C8582B" w:rsidP="004E3307">
            <w:pPr>
              <w:pStyle w:val="Bodytext20"/>
              <w:shd w:val="clear" w:color="auto" w:fill="auto"/>
              <w:tabs>
                <w:tab w:val="left" w:pos="867"/>
              </w:tabs>
              <w:spacing w:line="240" w:lineRule="auto"/>
              <w:ind w:left="360"/>
              <w:rPr>
                <w:i/>
                <w:sz w:val="24"/>
                <w:szCs w:val="24"/>
              </w:rPr>
            </w:pPr>
            <w:r w:rsidRPr="00A178EC">
              <w:rPr>
                <w:i/>
                <w:sz w:val="24"/>
                <w:szCs w:val="24"/>
              </w:rPr>
              <w:t xml:space="preserve">b) Obiecții privind Nota de fundamentare </w:t>
            </w:r>
          </w:p>
          <w:p w:rsidR="00C8582B" w:rsidRPr="00A178EC" w:rsidRDefault="00C8582B" w:rsidP="00C8582B">
            <w:pPr>
              <w:pStyle w:val="Bodytext20"/>
              <w:shd w:val="clear" w:color="auto" w:fill="auto"/>
              <w:tabs>
                <w:tab w:val="left" w:pos="867"/>
              </w:tabs>
              <w:spacing w:line="240" w:lineRule="auto"/>
              <w:ind w:hanging="105"/>
              <w:rPr>
                <w:sz w:val="24"/>
                <w:szCs w:val="24"/>
              </w:rPr>
            </w:pPr>
            <w:r w:rsidRPr="00A178EC">
              <w:rPr>
                <w:sz w:val="24"/>
                <w:szCs w:val="24"/>
              </w:rPr>
              <w:t xml:space="preserve">Nota de fundamentare a proiectului național va fi completată la compartimentul 5 cu informația cu privire la obligația de transpunere a actului UE potrivit Acordului de Asociere RM – UE, în speță, Anexa VII, Capitolul 12 (Agricultura și dezvoltarea rurală) din Titlul IV, segmentul „Standarde de comercializare pentru animale vii și produse de origine </w:t>
            </w:r>
            <w:proofErr w:type="gramStart"/>
            <w:r w:rsidRPr="00A178EC">
              <w:rPr>
                <w:sz w:val="24"/>
                <w:szCs w:val="24"/>
              </w:rPr>
              <w:t>animală ”</w:t>
            </w:r>
            <w:proofErr w:type="gramEnd"/>
            <w:r w:rsidRPr="00A178EC">
              <w:rPr>
                <w:sz w:val="24"/>
                <w:szCs w:val="24"/>
              </w:rPr>
              <w:t>, precum și mențiunea privind elaborarea tabelului de concordanță.</w:t>
            </w:r>
          </w:p>
        </w:tc>
        <w:tc>
          <w:tcPr>
            <w:tcW w:w="2978" w:type="dxa"/>
          </w:tcPr>
          <w:p w:rsidR="00C8582B" w:rsidRPr="00A178EC" w:rsidRDefault="00470ED1"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C8582B" w:rsidRPr="00A178EC" w:rsidTr="008728E0">
        <w:tc>
          <w:tcPr>
            <w:tcW w:w="709" w:type="dxa"/>
            <w:vMerge/>
          </w:tcPr>
          <w:p w:rsidR="00C8582B" w:rsidRPr="00A178EC" w:rsidRDefault="00C8582B" w:rsidP="004E3307">
            <w:pPr>
              <w:pStyle w:val="30"/>
              <w:shd w:val="clear" w:color="auto" w:fill="auto"/>
              <w:spacing w:before="0" w:after="0" w:line="240" w:lineRule="auto"/>
              <w:ind w:right="828"/>
              <w:rPr>
                <w:b/>
                <w:sz w:val="24"/>
                <w:szCs w:val="24"/>
                <w:lang w:val="ro-RO"/>
              </w:rPr>
            </w:pPr>
          </w:p>
        </w:tc>
        <w:tc>
          <w:tcPr>
            <w:tcW w:w="2551" w:type="dxa"/>
            <w:vMerge/>
          </w:tcPr>
          <w:p w:rsidR="00C8582B" w:rsidRPr="00A178EC" w:rsidRDefault="00C8582B" w:rsidP="004E3307">
            <w:pPr>
              <w:pStyle w:val="30"/>
              <w:shd w:val="clear" w:color="auto" w:fill="auto"/>
              <w:spacing w:before="0" w:after="0" w:line="240" w:lineRule="auto"/>
              <w:rPr>
                <w:b/>
                <w:sz w:val="24"/>
                <w:szCs w:val="24"/>
                <w:lang w:val="ro-RO"/>
              </w:rPr>
            </w:pPr>
          </w:p>
        </w:tc>
        <w:tc>
          <w:tcPr>
            <w:tcW w:w="7436" w:type="dxa"/>
          </w:tcPr>
          <w:p w:rsidR="00C8582B" w:rsidRPr="00A178EC" w:rsidRDefault="00C8582B" w:rsidP="00470ED1">
            <w:pPr>
              <w:pStyle w:val="Bodytext20"/>
              <w:numPr>
                <w:ilvl w:val="0"/>
                <w:numId w:val="18"/>
              </w:numPr>
              <w:shd w:val="clear" w:color="auto" w:fill="auto"/>
              <w:tabs>
                <w:tab w:val="left" w:pos="867"/>
              </w:tabs>
              <w:spacing w:line="240" w:lineRule="auto"/>
              <w:rPr>
                <w:i/>
                <w:sz w:val="24"/>
                <w:szCs w:val="24"/>
              </w:rPr>
            </w:pPr>
            <w:r w:rsidRPr="00A178EC">
              <w:rPr>
                <w:i/>
                <w:sz w:val="24"/>
                <w:szCs w:val="24"/>
              </w:rPr>
              <w:t xml:space="preserve">Obiecții privind Tabelul de concordanță </w:t>
            </w:r>
          </w:p>
          <w:p w:rsidR="00C8582B" w:rsidRPr="00A178EC" w:rsidRDefault="00C8582B" w:rsidP="00C8582B">
            <w:pPr>
              <w:pStyle w:val="Bodytext20"/>
              <w:shd w:val="clear" w:color="auto" w:fill="auto"/>
              <w:tabs>
                <w:tab w:val="left" w:pos="867"/>
              </w:tabs>
              <w:spacing w:line="240" w:lineRule="auto"/>
              <w:rPr>
                <w:sz w:val="24"/>
                <w:szCs w:val="24"/>
              </w:rPr>
            </w:pPr>
            <w:r w:rsidRPr="00A178EC">
              <w:rPr>
                <w:sz w:val="24"/>
                <w:szCs w:val="24"/>
              </w:rPr>
              <w:t xml:space="preserve">În Compartimentul 3 al Tabelului se va modifica gradul general de compatibilitate din „compatibil” în „parțial compatibil”, în măsura în care proiectul vine doar să avanseze gradul general de compatibilitate al HG nr. 661/2007, care asigură transpunerea completă </w:t>
            </w:r>
            <w:proofErr w:type="gramStart"/>
            <w:r w:rsidRPr="00A178EC">
              <w:rPr>
                <w:sz w:val="24"/>
                <w:szCs w:val="24"/>
              </w:rPr>
              <w:t>a</w:t>
            </w:r>
            <w:proofErr w:type="gramEnd"/>
            <w:r w:rsidRPr="00A178EC">
              <w:rPr>
                <w:sz w:val="24"/>
                <w:szCs w:val="24"/>
              </w:rPr>
              <w:t xml:space="preserve"> actului UE.</w:t>
            </w:r>
          </w:p>
        </w:tc>
        <w:tc>
          <w:tcPr>
            <w:tcW w:w="2978" w:type="dxa"/>
          </w:tcPr>
          <w:p w:rsidR="00C8582B" w:rsidRPr="00A178EC" w:rsidRDefault="00470ED1"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9450C4" w:rsidRPr="00A178EC" w:rsidTr="008728E0">
        <w:tc>
          <w:tcPr>
            <w:tcW w:w="709" w:type="dxa"/>
          </w:tcPr>
          <w:p w:rsidR="009450C4" w:rsidRPr="00A178EC" w:rsidRDefault="005913AD" w:rsidP="004E3307">
            <w:pPr>
              <w:pStyle w:val="30"/>
              <w:shd w:val="clear" w:color="auto" w:fill="auto"/>
              <w:spacing w:before="0" w:after="0" w:line="240" w:lineRule="auto"/>
              <w:ind w:right="828"/>
              <w:rPr>
                <w:b/>
                <w:sz w:val="24"/>
                <w:szCs w:val="24"/>
                <w:lang w:val="ro-RO"/>
              </w:rPr>
            </w:pPr>
            <w:r w:rsidRPr="00A178EC">
              <w:rPr>
                <w:b/>
                <w:sz w:val="24"/>
                <w:szCs w:val="24"/>
                <w:lang w:val="ro-RO"/>
              </w:rPr>
              <w:t>8</w:t>
            </w:r>
          </w:p>
        </w:tc>
        <w:tc>
          <w:tcPr>
            <w:tcW w:w="2551" w:type="dxa"/>
          </w:tcPr>
          <w:p w:rsidR="009450C4" w:rsidRPr="00A178EC" w:rsidRDefault="009450C4" w:rsidP="004E3307">
            <w:pPr>
              <w:pStyle w:val="30"/>
              <w:shd w:val="clear" w:color="auto" w:fill="auto"/>
              <w:spacing w:before="0" w:after="0" w:line="240" w:lineRule="auto"/>
              <w:rPr>
                <w:b/>
                <w:sz w:val="24"/>
                <w:szCs w:val="24"/>
                <w:lang w:val="ro-RO"/>
              </w:rPr>
            </w:pPr>
            <w:r w:rsidRPr="00A178EC">
              <w:rPr>
                <w:b/>
                <w:sz w:val="24"/>
                <w:szCs w:val="24"/>
                <w:lang w:val="ro-RO"/>
              </w:rPr>
              <w:t>Ministerul Finanțelor (</w:t>
            </w:r>
            <w:r w:rsidRPr="00A178EC">
              <w:rPr>
                <w:sz w:val="24"/>
                <w:szCs w:val="24"/>
              </w:rPr>
              <w:t>nr. 07/5-03/09/22 din 14.01.2025</w:t>
            </w:r>
            <w:r w:rsidRPr="00A178EC">
              <w:rPr>
                <w:b/>
                <w:sz w:val="24"/>
                <w:szCs w:val="24"/>
                <w:lang w:val="ro-RO"/>
              </w:rPr>
              <w:t>)</w:t>
            </w:r>
          </w:p>
        </w:tc>
        <w:tc>
          <w:tcPr>
            <w:tcW w:w="7436" w:type="dxa"/>
          </w:tcPr>
          <w:p w:rsidR="009450C4" w:rsidRPr="00A178EC" w:rsidRDefault="009450C4" w:rsidP="004E3307">
            <w:pPr>
              <w:pStyle w:val="Bodytext20"/>
              <w:shd w:val="clear" w:color="auto" w:fill="auto"/>
              <w:tabs>
                <w:tab w:val="left" w:pos="867"/>
              </w:tabs>
              <w:spacing w:line="240" w:lineRule="auto"/>
              <w:ind w:left="360"/>
              <w:rPr>
                <w:sz w:val="24"/>
                <w:szCs w:val="24"/>
              </w:rPr>
            </w:pPr>
            <w:r w:rsidRPr="00A178EC">
              <w:rPr>
                <w:sz w:val="24"/>
                <w:szCs w:val="24"/>
              </w:rPr>
              <w:t>Comunică lipsa de obiecții și propuneri</w:t>
            </w:r>
          </w:p>
        </w:tc>
        <w:tc>
          <w:tcPr>
            <w:tcW w:w="2978" w:type="dxa"/>
          </w:tcPr>
          <w:p w:rsidR="009450C4" w:rsidRPr="00A178EC" w:rsidRDefault="009450C4" w:rsidP="004E3307">
            <w:pPr>
              <w:pStyle w:val="30"/>
              <w:shd w:val="clear" w:color="auto" w:fill="auto"/>
              <w:spacing w:before="0" w:after="0" w:line="240" w:lineRule="auto"/>
              <w:ind w:right="828"/>
              <w:rPr>
                <w:b/>
                <w:sz w:val="24"/>
                <w:szCs w:val="24"/>
                <w:lang w:val="ro-RO"/>
              </w:rPr>
            </w:pPr>
          </w:p>
        </w:tc>
      </w:tr>
      <w:tr w:rsidR="003D0351" w:rsidRPr="00A178EC" w:rsidTr="008728E0">
        <w:tc>
          <w:tcPr>
            <w:tcW w:w="709" w:type="dxa"/>
          </w:tcPr>
          <w:p w:rsidR="003D0351" w:rsidRPr="00A178EC" w:rsidRDefault="003D0351" w:rsidP="004E3307">
            <w:pPr>
              <w:pStyle w:val="30"/>
              <w:shd w:val="clear" w:color="auto" w:fill="auto"/>
              <w:spacing w:before="0" w:after="0" w:line="240" w:lineRule="auto"/>
              <w:ind w:right="828"/>
              <w:rPr>
                <w:b/>
                <w:sz w:val="24"/>
                <w:szCs w:val="24"/>
                <w:lang w:val="ro-RO"/>
              </w:rPr>
            </w:pPr>
          </w:p>
        </w:tc>
        <w:tc>
          <w:tcPr>
            <w:tcW w:w="2551" w:type="dxa"/>
          </w:tcPr>
          <w:p w:rsidR="003D0351" w:rsidRPr="00A178EC" w:rsidRDefault="003D0351" w:rsidP="004E3307">
            <w:pPr>
              <w:pStyle w:val="30"/>
              <w:shd w:val="clear" w:color="auto" w:fill="auto"/>
              <w:spacing w:before="0" w:after="0" w:line="240" w:lineRule="auto"/>
              <w:rPr>
                <w:b/>
                <w:sz w:val="24"/>
                <w:szCs w:val="24"/>
                <w:lang w:val="ro-RO"/>
              </w:rPr>
            </w:pPr>
          </w:p>
        </w:tc>
        <w:tc>
          <w:tcPr>
            <w:tcW w:w="7436" w:type="dxa"/>
          </w:tcPr>
          <w:p w:rsidR="003D0351" w:rsidRPr="00A178EC" w:rsidRDefault="003D0351" w:rsidP="003D0351">
            <w:pPr>
              <w:pStyle w:val="Bodytext20"/>
              <w:shd w:val="clear" w:color="auto" w:fill="auto"/>
              <w:tabs>
                <w:tab w:val="left" w:pos="867"/>
              </w:tabs>
              <w:spacing w:line="240" w:lineRule="auto"/>
              <w:ind w:left="360"/>
              <w:jc w:val="center"/>
              <w:rPr>
                <w:sz w:val="24"/>
                <w:szCs w:val="24"/>
              </w:rPr>
            </w:pPr>
            <w:r w:rsidRPr="00A178EC">
              <w:rPr>
                <w:sz w:val="24"/>
                <w:szCs w:val="24"/>
              </w:rPr>
              <w:t>Avizare și Expertizare</w:t>
            </w:r>
          </w:p>
        </w:tc>
        <w:tc>
          <w:tcPr>
            <w:tcW w:w="2978" w:type="dxa"/>
          </w:tcPr>
          <w:p w:rsidR="003D0351" w:rsidRPr="00A178EC" w:rsidRDefault="003D0351" w:rsidP="004E3307">
            <w:pPr>
              <w:pStyle w:val="30"/>
              <w:shd w:val="clear" w:color="auto" w:fill="auto"/>
              <w:spacing w:before="0" w:after="0" w:line="240" w:lineRule="auto"/>
              <w:ind w:right="828"/>
              <w:rPr>
                <w:b/>
                <w:sz w:val="24"/>
                <w:szCs w:val="24"/>
                <w:lang w:val="ro-RO"/>
              </w:rPr>
            </w:pPr>
          </w:p>
        </w:tc>
      </w:tr>
      <w:tr w:rsidR="003D0351" w:rsidRPr="00A178EC" w:rsidTr="008728E0">
        <w:tc>
          <w:tcPr>
            <w:tcW w:w="709" w:type="dxa"/>
          </w:tcPr>
          <w:p w:rsidR="003D0351" w:rsidRPr="00A178EC" w:rsidRDefault="007D6960" w:rsidP="004E3307">
            <w:pPr>
              <w:pStyle w:val="30"/>
              <w:shd w:val="clear" w:color="auto" w:fill="auto"/>
              <w:spacing w:before="0" w:after="0" w:line="240" w:lineRule="auto"/>
              <w:ind w:right="828"/>
              <w:rPr>
                <w:b/>
                <w:sz w:val="24"/>
                <w:szCs w:val="24"/>
                <w:lang w:val="ro-RO"/>
              </w:rPr>
            </w:pPr>
            <w:r w:rsidRPr="00A178EC">
              <w:rPr>
                <w:b/>
                <w:sz w:val="24"/>
                <w:szCs w:val="24"/>
                <w:lang w:val="ro-RO"/>
              </w:rPr>
              <w:t>1</w:t>
            </w:r>
          </w:p>
        </w:tc>
        <w:tc>
          <w:tcPr>
            <w:tcW w:w="2551" w:type="dxa"/>
          </w:tcPr>
          <w:p w:rsidR="003D0351" w:rsidRPr="00A178EC" w:rsidRDefault="003D0351" w:rsidP="003D0351">
            <w:pPr>
              <w:pStyle w:val="30"/>
              <w:shd w:val="clear" w:color="auto" w:fill="auto"/>
              <w:spacing w:before="0" w:after="0" w:line="240" w:lineRule="auto"/>
              <w:rPr>
                <w:b/>
                <w:sz w:val="24"/>
                <w:szCs w:val="24"/>
                <w:lang w:val="ro-RO"/>
              </w:rPr>
            </w:pPr>
            <w:r w:rsidRPr="00A178EC">
              <w:rPr>
                <w:b/>
                <w:sz w:val="24"/>
                <w:szCs w:val="24"/>
                <w:lang w:val="ro-RO"/>
              </w:rPr>
              <w:t>Agenți</w:t>
            </w:r>
            <w:r w:rsidRPr="00535CBE">
              <w:rPr>
                <w:b/>
                <w:sz w:val="24"/>
                <w:szCs w:val="24"/>
                <w:lang w:val="ro-RO"/>
              </w:rPr>
              <w:t>a Națională pentru Sigur</w:t>
            </w:r>
            <w:r w:rsidR="00535CBE" w:rsidRPr="00535CBE">
              <w:rPr>
                <w:b/>
                <w:sz w:val="24"/>
                <w:szCs w:val="24"/>
                <w:lang w:val="ro-RO"/>
              </w:rPr>
              <w:t>a</w:t>
            </w:r>
            <w:r w:rsidRPr="00535CBE">
              <w:rPr>
                <w:b/>
                <w:sz w:val="24"/>
                <w:szCs w:val="24"/>
                <w:lang w:val="ro-RO"/>
              </w:rPr>
              <w:t>nța Alimentelor</w:t>
            </w:r>
          </w:p>
          <w:p w:rsidR="003D0351" w:rsidRPr="00A178EC" w:rsidRDefault="003D0351" w:rsidP="003D0351">
            <w:pPr>
              <w:pStyle w:val="30"/>
              <w:shd w:val="clear" w:color="auto" w:fill="auto"/>
              <w:spacing w:before="0" w:after="0" w:line="240" w:lineRule="auto"/>
              <w:rPr>
                <w:b/>
                <w:sz w:val="24"/>
                <w:szCs w:val="24"/>
                <w:lang w:val="ro-RO"/>
              </w:rPr>
            </w:pPr>
            <w:r w:rsidRPr="00A178EC">
              <w:rPr>
                <w:b/>
                <w:sz w:val="24"/>
                <w:szCs w:val="24"/>
                <w:lang w:val="ro-RO"/>
              </w:rPr>
              <w:t>(</w:t>
            </w:r>
            <w:r w:rsidRPr="00A178EC">
              <w:rPr>
                <w:sz w:val="24"/>
                <w:szCs w:val="24"/>
              </w:rPr>
              <w:t>09-372 din  27.01. 2025</w:t>
            </w:r>
            <w:r w:rsidRPr="00A178EC">
              <w:rPr>
                <w:b/>
                <w:sz w:val="24"/>
                <w:szCs w:val="24"/>
                <w:lang w:val="ro-RO"/>
              </w:rPr>
              <w:t>)</w:t>
            </w:r>
          </w:p>
        </w:tc>
        <w:tc>
          <w:tcPr>
            <w:tcW w:w="7436" w:type="dxa"/>
          </w:tcPr>
          <w:p w:rsidR="003D0351" w:rsidRPr="00A178EC" w:rsidRDefault="003D0351" w:rsidP="003D0351">
            <w:pPr>
              <w:pStyle w:val="Bodytext20"/>
              <w:shd w:val="clear" w:color="auto" w:fill="auto"/>
              <w:tabs>
                <w:tab w:val="left" w:pos="867"/>
              </w:tabs>
              <w:spacing w:line="240" w:lineRule="auto"/>
              <w:ind w:firstLine="360"/>
              <w:rPr>
                <w:sz w:val="24"/>
                <w:szCs w:val="24"/>
              </w:rPr>
            </w:pPr>
            <w:r w:rsidRPr="00A178EC">
              <w:rPr>
                <w:sz w:val="24"/>
                <w:szCs w:val="24"/>
              </w:rPr>
              <w:t>La pct. 32 din Cerințe, textul „în baza cerințelor stabilite de organul central de specialitate al administrației publice în domeniul ocrotirii sănătății</w:t>
            </w:r>
            <w:proofErr w:type="gramStart"/>
            <w:r w:rsidRPr="00A178EC">
              <w:rPr>
                <w:sz w:val="24"/>
                <w:szCs w:val="24"/>
              </w:rPr>
              <w:t>”,se</w:t>
            </w:r>
            <w:proofErr w:type="gramEnd"/>
            <w:r w:rsidRPr="00A178EC">
              <w:rPr>
                <w:sz w:val="24"/>
                <w:szCs w:val="24"/>
              </w:rPr>
              <w:t xml:space="preserve"> substituie cu textul „în conformitate cu art. 13 din Legea nr. 306/2018 privind siguranța alimentelor”. Textul „însă nu poate depăși 2 ani de la data îmbutelierii mierii”, se exclude.</w:t>
            </w:r>
          </w:p>
        </w:tc>
        <w:tc>
          <w:tcPr>
            <w:tcW w:w="2978" w:type="dxa"/>
          </w:tcPr>
          <w:p w:rsidR="003D0351" w:rsidRPr="00A178EC" w:rsidRDefault="003D0351"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3D0351" w:rsidRPr="00A178EC" w:rsidTr="008728E0">
        <w:tc>
          <w:tcPr>
            <w:tcW w:w="709" w:type="dxa"/>
          </w:tcPr>
          <w:p w:rsidR="003D0351" w:rsidRPr="00A178EC" w:rsidRDefault="007D6960" w:rsidP="004E3307">
            <w:pPr>
              <w:pStyle w:val="30"/>
              <w:shd w:val="clear" w:color="auto" w:fill="auto"/>
              <w:spacing w:before="0" w:after="0" w:line="240" w:lineRule="auto"/>
              <w:ind w:right="828"/>
              <w:rPr>
                <w:b/>
                <w:sz w:val="24"/>
                <w:szCs w:val="24"/>
                <w:lang w:val="ro-RO"/>
              </w:rPr>
            </w:pPr>
            <w:r w:rsidRPr="00A178EC">
              <w:rPr>
                <w:b/>
                <w:sz w:val="24"/>
                <w:szCs w:val="24"/>
                <w:lang w:val="ro-RO"/>
              </w:rPr>
              <w:t>2</w:t>
            </w:r>
          </w:p>
        </w:tc>
        <w:tc>
          <w:tcPr>
            <w:tcW w:w="2551" w:type="dxa"/>
          </w:tcPr>
          <w:p w:rsidR="003D0351" w:rsidRPr="00A178EC" w:rsidRDefault="007D6960" w:rsidP="003D0351">
            <w:pPr>
              <w:pStyle w:val="30"/>
              <w:shd w:val="clear" w:color="auto" w:fill="auto"/>
              <w:spacing w:before="0" w:after="0" w:line="240" w:lineRule="auto"/>
              <w:rPr>
                <w:b/>
                <w:sz w:val="24"/>
                <w:szCs w:val="24"/>
                <w:lang w:val="ro-RO"/>
              </w:rPr>
            </w:pPr>
            <w:r w:rsidRPr="00535CBE">
              <w:rPr>
                <w:b/>
                <w:sz w:val="24"/>
                <w:szCs w:val="24"/>
                <w:lang w:val="ro-RO"/>
              </w:rPr>
              <w:t>Centru</w:t>
            </w:r>
            <w:r w:rsidR="00C14EE0" w:rsidRPr="00535CBE">
              <w:rPr>
                <w:b/>
                <w:sz w:val="24"/>
                <w:szCs w:val="24"/>
                <w:lang w:val="ro-RO"/>
              </w:rPr>
              <w:t>l</w:t>
            </w:r>
            <w:r w:rsidRPr="00535CBE">
              <w:rPr>
                <w:b/>
                <w:sz w:val="24"/>
                <w:szCs w:val="24"/>
                <w:lang w:val="ro-RO"/>
              </w:rPr>
              <w:t xml:space="preserve"> Național Antico</w:t>
            </w:r>
            <w:r w:rsidR="00535CBE" w:rsidRPr="00535CBE">
              <w:rPr>
                <w:b/>
                <w:sz w:val="24"/>
                <w:szCs w:val="24"/>
                <w:lang w:val="ro-RO"/>
              </w:rPr>
              <w:t>r</w:t>
            </w:r>
            <w:r w:rsidRPr="00535CBE">
              <w:rPr>
                <w:b/>
                <w:sz w:val="24"/>
                <w:szCs w:val="24"/>
                <w:lang w:val="ro-RO"/>
              </w:rPr>
              <w:t>upție</w:t>
            </w:r>
          </w:p>
          <w:p w:rsidR="007D6960" w:rsidRPr="00A178EC" w:rsidRDefault="007D6960" w:rsidP="003D0351">
            <w:pPr>
              <w:pStyle w:val="30"/>
              <w:shd w:val="clear" w:color="auto" w:fill="auto"/>
              <w:spacing w:before="0" w:after="0" w:line="240" w:lineRule="auto"/>
              <w:rPr>
                <w:b/>
                <w:sz w:val="24"/>
                <w:szCs w:val="24"/>
                <w:lang w:val="ro-RO"/>
              </w:rPr>
            </w:pPr>
            <w:r w:rsidRPr="00A178EC">
              <w:rPr>
                <w:sz w:val="24"/>
                <w:szCs w:val="24"/>
                <w:lang w:val="ro-RO"/>
              </w:rPr>
              <w:t>Raport</w:t>
            </w:r>
            <w:r w:rsidRPr="00A178EC">
              <w:rPr>
                <w:b/>
                <w:sz w:val="24"/>
                <w:szCs w:val="24"/>
                <w:lang w:val="ro-RO"/>
              </w:rPr>
              <w:t xml:space="preserve"> </w:t>
            </w:r>
            <w:r w:rsidRPr="00A178EC">
              <w:rPr>
                <w:sz w:val="24"/>
                <w:szCs w:val="24"/>
              </w:rPr>
              <w:t>Nr. EHG25/10312 din 31.01.2025</w:t>
            </w:r>
          </w:p>
        </w:tc>
        <w:tc>
          <w:tcPr>
            <w:tcW w:w="7436" w:type="dxa"/>
          </w:tcPr>
          <w:p w:rsidR="007D6960" w:rsidRPr="00A178EC" w:rsidRDefault="007D6960" w:rsidP="003D0351">
            <w:pPr>
              <w:pStyle w:val="Bodytext20"/>
              <w:shd w:val="clear" w:color="auto" w:fill="auto"/>
              <w:tabs>
                <w:tab w:val="left" w:pos="867"/>
              </w:tabs>
              <w:spacing w:line="240" w:lineRule="auto"/>
              <w:ind w:firstLine="360"/>
              <w:rPr>
                <w:b/>
                <w:sz w:val="24"/>
                <w:szCs w:val="24"/>
              </w:rPr>
            </w:pPr>
            <w:r w:rsidRPr="00A178EC">
              <w:rPr>
                <w:b/>
                <w:sz w:val="24"/>
                <w:szCs w:val="24"/>
              </w:rPr>
              <w:t>Concluzia expertizei</w:t>
            </w:r>
          </w:p>
          <w:p w:rsidR="007D6960" w:rsidRPr="00A178EC" w:rsidRDefault="007D6960" w:rsidP="003D0351">
            <w:pPr>
              <w:pStyle w:val="Bodytext20"/>
              <w:shd w:val="clear" w:color="auto" w:fill="auto"/>
              <w:tabs>
                <w:tab w:val="left" w:pos="867"/>
              </w:tabs>
              <w:spacing w:line="240" w:lineRule="auto"/>
              <w:ind w:firstLine="360"/>
              <w:rPr>
                <w:sz w:val="24"/>
                <w:szCs w:val="24"/>
              </w:rPr>
            </w:pPr>
          </w:p>
          <w:p w:rsidR="007D6960" w:rsidRPr="00A178EC" w:rsidRDefault="007D6960" w:rsidP="003D0351">
            <w:pPr>
              <w:pStyle w:val="Bodytext20"/>
              <w:shd w:val="clear" w:color="auto" w:fill="auto"/>
              <w:tabs>
                <w:tab w:val="left" w:pos="867"/>
              </w:tabs>
              <w:spacing w:line="240" w:lineRule="auto"/>
              <w:ind w:firstLine="360"/>
              <w:rPr>
                <w:sz w:val="24"/>
                <w:szCs w:val="24"/>
              </w:rPr>
            </w:pPr>
            <w:r w:rsidRPr="00A178EC">
              <w:rPr>
                <w:sz w:val="24"/>
                <w:szCs w:val="24"/>
              </w:rPr>
              <w:t xml:space="preserve">În procesul de promovare a proiectului, au fost respectate rigorile de asigurare a transparenţei decizionale statuate de prevederile art.8 </w:t>
            </w:r>
            <w:proofErr w:type="gramStart"/>
            <w:r w:rsidRPr="00A178EC">
              <w:rPr>
                <w:sz w:val="24"/>
                <w:szCs w:val="24"/>
              </w:rPr>
              <w:t>lit.a</w:t>
            </w:r>
            <w:proofErr w:type="gramEnd"/>
            <w:r w:rsidRPr="00A178EC">
              <w:rPr>
                <w:sz w:val="24"/>
                <w:szCs w:val="24"/>
              </w:rPr>
              <w:t xml:space="preserve">)-d) al Legii nr. 239-XVI din 13 noiembrie 2008 privind transparenţa în procesul decizional. </w:t>
            </w:r>
          </w:p>
          <w:p w:rsidR="003D0351" w:rsidRPr="00A178EC" w:rsidRDefault="007D6960" w:rsidP="003D0351">
            <w:pPr>
              <w:pStyle w:val="Bodytext20"/>
              <w:shd w:val="clear" w:color="auto" w:fill="auto"/>
              <w:tabs>
                <w:tab w:val="left" w:pos="867"/>
              </w:tabs>
              <w:spacing w:line="240" w:lineRule="auto"/>
              <w:ind w:firstLine="360"/>
              <w:rPr>
                <w:sz w:val="24"/>
                <w:szCs w:val="24"/>
              </w:rPr>
            </w:pPr>
            <w:r w:rsidRPr="00A178EC">
              <w:rPr>
                <w:sz w:val="24"/>
                <w:szCs w:val="24"/>
              </w:rPr>
              <w:t xml:space="preserve">Nota informativă a proiectului a fost întocmită cu respectarea exigențelor de tehnică legislativă statuate de prevederile art.30 </w:t>
            </w:r>
            <w:proofErr w:type="gramStart"/>
            <w:r w:rsidRPr="00A178EC">
              <w:rPr>
                <w:sz w:val="24"/>
                <w:szCs w:val="24"/>
              </w:rPr>
              <w:t>lit.a</w:t>
            </w:r>
            <w:proofErr w:type="gramEnd"/>
            <w:r w:rsidRPr="00A178EC">
              <w:rPr>
                <w:sz w:val="24"/>
                <w:szCs w:val="24"/>
              </w:rPr>
              <w:t>)-f) al Legii cu privire la actele normative nr.100 din 22 decembrie 2017.</w:t>
            </w:r>
          </w:p>
        </w:tc>
        <w:tc>
          <w:tcPr>
            <w:tcW w:w="2978" w:type="dxa"/>
          </w:tcPr>
          <w:p w:rsidR="003D0351" w:rsidRPr="00A178EC" w:rsidRDefault="003D0351" w:rsidP="004E3307">
            <w:pPr>
              <w:pStyle w:val="30"/>
              <w:shd w:val="clear" w:color="auto" w:fill="auto"/>
              <w:spacing w:before="0" w:after="0" w:line="240" w:lineRule="auto"/>
              <w:ind w:right="828"/>
              <w:rPr>
                <w:b/>
                <w:sz w:val="24"/>
                <w:szCs w:val="24"/>
                <w:lang w:val="ro-RO"/>
              </w:rPr>
            </w:pPr>
          </w:p>
        </w:tc>
      </w:tr>
      <w:tr w:rsidR="00A178EC" w:rsidRPr="00A178EC" w:rsidTr="008728E0">
        <w:tc>
          <w:tcPr>
            <w:tcW w:w="709" w:type="dxa"/>
            <w:vMerge w:val="restart"/>
          </w:tcPr>
          <w:p w:rsidR="00A178EC" w:rsidRPr="00A178EC" w:rsidRDefault="00A178EC" w:rsidP="004E3307">
            <w:pPr>
              <w:pStyle w:val="30"/>
              <w:shd w:val="clear" w:color="auto" w:fill="auto"/>
              <w:spacing w:before="0" w:after="0" w:line="240" w:lineRule="auto"/>
              <w:ind w:right="828"/>
              <w:rPr>
                <w:b/>
                <w:sz w:val="24"/>
                <w:szCs w:val="24"/>
                <w:lang w:val="ro-RO"/>
              </w:rPr>
            </w:pPr>
            <w:r w:rsidRPr="00A178EC">
              <w:rPr>
                <w:b/>
                <w:sz w:val="24"/>
                <w:szCs w:val="24"/>
                <w:lang w:val="ro-RO"/>
              </w:rPr>
              <w:t>3</w:t>
            </w:r>
          </w:p>
        </w:tc>
        <w:tc>
          <w:tcPr>
            <w:tcW w:w="2551" w:type="dxa"/>
            <w:vMerge w:val="restart"/>
          </w:tcPr>
          <w:p w:rsidR="00A178EC" w:rsidRPr="00A178EC" w:rsidRDefault="00A178EC" w:rsidP="003D0351">
            <w:pPr>
              <w:pStyle w:val="30"/>
              <w:shd w:val="clear" w:color="auto" w:fill="auto"/>
              <w:spacing w:before="0" w:after="0" w:line="240" w:lineRule="auto"/>
              <w:rPr>
                <w:b/>
                <w:sz w:val="24"/>
                <w:szCs w:val="24"/>
                <w:lang w:val="ro-RO"/>
              </w:rPr>
            </w:pPr>
            <w:r w:rsidRPr="00A178EC">
              <w:rPr>
                <w:b/>
                <w:sz w:val="24"/>
                <w:szCs w:val="24"/>
                <w:lang w:val="ro-RO"/>
              </w:rPr>
              <w:t>Ministerul Justiției</w:t>
            </w:r>
          </w:p>
          <w:p w:rsidR="00A178EC" w:rsidRPr="007C4FBF" w:rsidRDefault="00A178EC" w:rsidP="007C4FBF">
            <w:pPr>
              <w:pStyle w:val="30"/>
              <w:shd w:val="clear" w:color="auto" w:fill="auto"/>
              <w:tabs>
                <w:tab w:val="left" w:pos="0"/>
              </w:tabs>
              <w:spacing w:before="0" w:after="0" w:line="240" w:lineRule="auto"/>
              <w:rPr>
                <w:sz w:val="24"/>
                <w:szCs w:val="24"/>
                <w:lang w:val="ro-RO"/>
              </w:rPr>
            </w:pPr>
            <w:r w:rsidRPr="007C4FBF">
              <w:rPr>
                <w:sz w:val="24"/>
                <w:szCs w:val="24"/>
                <w:lang w:val="ro-RO"/>
              </w:rPr>
              <w:t xml:space="preserve">(nr. </w:t>
            </w:r>
            <w:r w:rsidRPr="007C4FBF">
              <w:rPr>
                <w:sz w:val="24"/>
                <w:szCs w:val="24"/>
              </w:rPr>
              <w:t>04/2-117605.02.2025</w:t>
            </w:r>
            <w:r w:rsidRPr="007C4FBF">
              <w:rPr>
                <w:sz w:val="24"/>
                <w:szCs w:val="24"/>
                <w:lang w:val="ro-RO"/>
              </w:rPr>
              <w:t>)</w:t>
            </w: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105" w:firstLine="465"/>
              <w:rPr>
                <w:b/>
                <w:sz w:val="24"/>
                <w:szCs w:val="24"/>
              </w:rPr>
            </w:pPr>
            <w:r w:rsidRPr="00A178EC">
              <w:rPr>
                <w:sz w:val="24"/>
                <w:szCs w:val="24"/>
              </w:rPr>
              <w:t>În clauza de armonizare din proiect, textul „L 10” se va substitui cu textul „L 010” (obiecție valabilă și la clauza de armonizare din Hotărârea Guvernului nr. 661/2007)</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0" w:firstLine="178"/>
              <w:rPr>
                <w:sz w:val="24"/>
                <w:szCs w:val="24"/>
              </w:rPr>
            </w:pPr>
            <w:r w:rsidRPr="00A178EC">
              <w:rPr>
                <w:sz w:val="24"/>
                <w:szCs w:val="24"/>
              </w:rPr>
              <w:t>Ținând cont că prin proiectul hotărârii se modifică un singur act normativ, acesta nu se va numerota</w:t>
            </w:r>
          </w:p>
        </w:tc>
        <w:tc>
          <w:tcPr>
            <w:tcW w:w="2978" w:type="dxa"/>
          </w:tcPr>
          <w:p w:rsidR="00A178EC" w:rsidRPr="00A178EC" w:rsidRDefault="00A178EC" w:rsidP="004E3307">
            <w:pPr>
              <w:pStyle w:val="30"/>
              <w:shd w:val="clear" w:color="auto" w:fill="auto"/>
              <w:spacing w:before="0" w:after="0" w:line="240" w:lineRule="auto"/>
              <w:ind w:right="828"/>
              <w:rPr>
                <w:b/>
                <w:sz w:val="24"/>
                <w:szCs w:val="24"/>
                <w:lang w:val="ro-RO"/>
              </w:rPr>
            </w:pP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0" w:firstLine="178"/>
              <w:rPr>
                <w:sz w:val="24"/>
                <w:szCs w:val="24"/>
              </w:rPr>
            </w:pPr>
            <w:r w:rsidRPr="00A178EC">
              <w:rPr>
                <w:sz w:val="24"/>
                <w:szCs w:val="24"/>
              </w:rPr>
              <w:t xml:space="preserve">La subpct. 1.1, cuvântul „titlul” se va substitui cu cuvântul „denumire”, astfel cum este indicat la art. 41 alin. (1) lit. a) din Legea nr. 100/2017 cu privire la actele normative, or, aceleași noțiuni se exprimă numai prin aceeași termeni. Tot aici, cuvintele „titlul Reglementării tehnice” se vor substitui de cuvintele „titlul și conținutul Reglementării tehnice”, or, cuvintele „Reglementare tehnică” sunt indicate și în conținutul Reglementării tehnice. Textul „parafele anexelor nr. 1 și nr. 2” se va substitui cu textul „parafele de aprobare </w:t>
            </w:r>
            <w:proofErr w:type="gramStart"/>
            <w:r w:rsidRPr="00A178EC">
              <w:rPr>
                <w:sz w:val="24"/>
                <w:szCs w:val="24"/>
              </w:rPr>
              <w:t>a</w:t>
            </w:r>
            <w:proofErr w:type="gramEnd"/>
            <w:r w:rsidRPr="00A178EC">
              <w:rPr>
                <w:sz w:val="24"/>
                <w:szCs w:val="24"/>
              </w:rPr>
              <w:t xml:space="preserve"> anexelor nr. 1 și nr. 2”.</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0" w:firstLine="360"/>
              <w:rPr>
                <w:sz w:val="24"/>
                <w:szCs w:val="24"/>
              </w:rPr>
            </w:pPr>
            <w:r w:rsidRPr="00A178EC">
              <w:rPr>
                <w:sz w:val="24"/>
                <w:szCs w:val="24"/>
                <w:lang w:val="ro-RO"/>
              </w:rPr>
              <w:t xml:space="preserve">La subpct. 1.2, menționăm că nota nu este parte nici a Hotărârii Guvernului nr. 661/2007 și nici a anexei la Hotărârea Guvernului nr. 661/2007. </w:t>
            </w:r>
            <w:r w:rsidRPr="00A178EC">
              <w:rPr>
                <w:sz w:val="24"/>
                <w:szCs w:val="24"/>
              </w:rPr>
              <w:t>Prin urmare, în cazul în care se intenționează ajustarea denumirii actuale a Ministerului, acest fapt urmează a fi prevăzut expres în proiect, prin operarea modificării în acest sens, fiind indicat că pe tot parcursul textului Reglementării tehnice, sintagma „Ministerul Agriculturii, Dezvoltării Regionale și Mediului”, la 2 orice formă gramaticală, se substituie cu sintagma „Ministerul Agriculturii și Industriei Alimentare”, la forma gramaticală corespunzătoare.</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0" w:firstLine="360"/>
              <w:rPr>
                <w:sz w:val="24"/>
                <w:szCs w:val="24"/>
                <w:lang w:val="ro-RO"/>
              </w:rPr>
            </w:pPr>
            <w:r>
              <w:rPr>
                <w:sz w:val="24"/>
                <w:szCs w:val="24"/>
              </w:rPr>
              <w:t>Î</w:t>
            </w:r>
            <w:r w:rsidRPr="00A178EC">
              <w:rPr>
                <w:sz w:val="24"/>
                <w:szCs w:val="24"/>
              </w:rPr>
              <w:t>n conformitate cu pct. 34 din Regulamentul privind armonizarea legislației Republicii Moldova cu legislația UE, aprobat prin Hotărârea Guvernului nr. 1171/2018, clauza de armonizare se include după preambulul și clauza de adoptare ale proiectului. Prin urmare, în Hotărârea Guvernului nr. 661/2007 se va indica mai întâi clauza de adoptare care va fi succedată de clauza de armonizare</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37" w:firstLine="283"/>
              <w:rPr>
                <w:sz w:val="24"/>
                <w:szCs w:val="24"/>
              </w:rPr>
            </w:pPr>
            <w:r w:rsidRPr="00A178EC">
              <w:rPr>
                <w:sz w:val="24"/>
                <w:szCs w:val="24"/>
              </w:rPr>
              <w:t>Adițional, la subpct. 1.3, cuvintele „din anexă” se vor exclude, or, clauza de armonizare este indicată în Hotărârea Guvernului nr. 661/2007 și nu în anexă.</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0" w:firstLine="462"/>
              <w:rPr>
                <w:sz w:val="24"/>
                <w:szCs w:val="24"/>
              </w:rPr>
            </w:pPr>
            <w:r w:rsidRPr="00A178EC">
              <w:rPr>
                <w:sz w:val="24"/>
                <w:szCs w:val="24"/>
              </w:rPr>
              <w:t xml:space="preserve">La subpct. 1.4, cuvintele „clauza de emitere” se vor substitui cu cuvintele „clauza de adoptare”, astfel cum este indicat la art. 41 alin. (1) lit. c) din Legea nr. 100/2017. Potrivit normelor de tehnică legislativă, în cazul expunerii în redacție nouă a conținutului unui element structural se va utiliza </w:t>
            </w:r>
            <w:proofErr w:type="gramStart"/>
            <w:r w:rsidRPr="00A178EC">
              <w:rPr>
                <w:sz w:val="24"/>
                <w:szCs w:val="24"/>
              </w:rPr>
              <w:t>sintagma ,,va</w:t>
            </w:r>
            <w:proofErr w:type="gramEnd"/>
            <w:r w:rsidRPr="00A178EC">
              <w:rPr>
                <w:sz w:val="24"/>
                <w:szCs w:val="24"/>
              </w:rPr>
              <w:t xml:space="preserve"> avea următorul cuprins:”, urmată de redarea textului nou. Având în vedere prevederea legală enunțată, la subpct. 1.4, textul „se expune în următoarea redacție:” se va substitui cu textul „va avea următorul cuprins:” (obiecție valabilă și la subpct. 2.1 și 2.2.2). Potrivit art. 44 alin. (1) </w:t>
            </w:r>
            <w:r w:rsidRPr="00A178EC">
              <w:rPr>
                <w:sz w:val="24"/>
                <w:szCs w:val="24"/>
              </w:rPr>
              <w:lastRenderedPageBreak/>
              <w:t xml:space="preserve">din Legea nr. 100/2017 cu privire la actele normative, clauza de adoptare </w:t>
            </w:r>
            <w:proofErr w:type="gramStart"/>
            <w:r w:rsidRPr="00A178EC">
              <w:rPr>
                <w:sz w:val="24"/>
                <w:szCs w:val="24"/>
              </w:rPr>
              <w:t>a</w:t>
            </w:r>
            <w:proofErr w:type="gramEnd"/>
            <w:r w:rsidRPr="00A178EC">
              <w:rPr>
                <w:sz w:val="24"/>
                <w:szCs w:val="24"/>
              </w:rPr>
              <w:t xml:space="preserve"> actului normativ poate conţine, după caz, şi temeiul legal de adoptare a actului normativ respectiv. În calitate de temei legal se indică doar prevederile legale ce stabilesc competența autorității să emită actul normativ respectiv, pornind de la limitele de reglementare prevăzute de obiectul juridic al actului normativ. Astfel, subliniem că art. 7 și 12 din Legea nr. 306/2018 privind siguranța alimentelor nu stabilește competența Guvernului de </w:t>
            </w:r>
            <w:proofErr w:type="gramStart"/>
            <w:r w:rsidRPr="00A178EC">
              <w:rPr>
                <w:sz w:val="24"/>
                <w:szCs w:val="24"/>
              </w:rPr>
              <w:t>a</w:t>
            </w:r>
            <w:proofErr w:type="gramEnd"/>
            <w:r w:rsidRPr="00A178EC">
              <w:rPr>
                <w:sz w:val="24"/>
                <w:szCs w:val="24"/>
              </w:rPr>
              <w:t xml:space="preserve"> aproba o astfel de hotărâre. În acest sens, se va examina oportunitatea indicării în calitate de temei legal de adoptare a art. 3 alin. (16) din Legea nr. 296/2017 privind cerințele generale de igienă a produselor alimentare, în conformitate cu care Guvernul, ținând cont de obiectivele prezentei legi și de factorii de risc relevanți, aprobă: cerințe simplificate bazate pe principiile HACCP și pe bunele practici de igienă pentru operatorii din domeniul alimentar menționați la alin. (15). Potrivit art. 3 alin. (15) din legea enunțată, „(15) Se pot aplica proceduri simplificate, bazate pe principiile HACCP sau pe bunele practici de igienă, atunci când acestea sunt suficiente pentru controlul riscurilor, în cazul: a) producătorilor de cantități mici de produse alimentare de origine animală și/sau de origine nonanimală, inclusiv de produse care pot fi considerate artizanale sau tradiționale; b) livrărilor directe, de către producător, ale unor cantități mici de produse primare consumatorilor finali sau unităților de comerț cu amănuntul care le comercializează direct consumatorilor finali;”</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lastRenderedPageBreak/>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37" w:firstLine="283"/>
              <w:rPr>
                <w:sz w:val="24"/>
                <w:szCs w:val="24"/>
              </w:rPr>
            </w:pPr>
            <w:r w:rsidRPr="00535CBE">
              <w:rPr>
                <w:sz w:val="24"/>
                <w:szCs w:val="24"/>
              </w:rPr>
              <w:t xml:space="preserve">Totodată, cu titlu de recomandare, propunem indicarea în calitate de temei legal de adoptare a art. 1 alin. (4) din </w:t>
            </w:r>
            <w:bookmarkStart w:id="1" w:name="_Hlk191374491"/>
            <w:r w:rsidRPr="00535CBE">
              <w:rPr>
                <w:sz w:val="24"/>
                <w:szCs w:val="24"/>
              </w:rPr>
              <w:t>Legea nr. 279/2017 privind informarea consumatorului cu privire la produsele alimentare</w:t>
            </w:r>
            <w:bookmarkEnd w:id="1"/>
            <w:r w:rsidRPr="00535CBE">
              <w:rPr>
                <w:sz w:val="24"/>
                <w:szCs w:val="24"/>
              </w:rPr>
              <w:t>, potrivit căruia „ (4) Normele privind menţiunile nutriţionale şi de sănătate înscrise pe produsele alimentare, normele privind etichetarea suplimentelor alimentare, precum şi normele de 3 etichetare a produselor alimentare cu destinaţie nutriţională specială se aprobă de către Guvern.”</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0" w:firstLine="284"/>
              <w:rPr>
                <w:sz w:val="24"/>
                <w:szCs w:val="24"/>
                <w:lang w:val="ro-RO"/>
              </w:rPr>
            </w:pPr>
            <w:r w:rsidRPr="00A178EC">
              <w:rPr>
                <w:sz w:val="24"/>
                <w:szCs w:val="24"/>
                <w:lang w:val="ro-RO"/>
              </w:rPr>
              <w:t>Prin proiect cuvintele „Reglementare tehnică” se substituie cu cuvintele „Cerințe de calitate pentru”, prin urmare, ținând cont că în redacția în vigoare, este utilizată noțiunea „Reglementare tehnică”, la pct. 2 din proiect fie se va utiliza noțiunea în vigoare, fie se va utiliza noțiunea generică „În anexă”.</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0" w:firstLine="360"/>
              <w:rPr>
                <w:sz w:val="24"/>
                <w:szCs w:val="24"/>
                <w:lang w:val="ro-RO"/>
              </w:rPr>
            </w:pPr>
            <w:r w:rsidRPr="00A178EC">
              <w:rPr>
                <w:sz w:val="24"/>
                <w:szCs w:val="24"/>
              </w:rPr>
              <w:t>La cuprinsul propus la pct. 1 din Cerințe, verbul „stabilește” se va conjuga la persoana a treia plural.</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37" w:firstLine="323"/>
              <w:rPr>
                <w:sz w:val="24"/>
                <w:szCs w:val="24"/>
              </w:rPr>
            </w:pPr>
            <w:r w:rsidRPr="00A178EC">
              <w:rPr>
                <w:sz w:val="24"/>
                <w:szCs w:val="24"/>
              </w:rPr>
              <w:t>La subpct. 2.2 din proiect, se vor exclude cuvintele „din Cerințele de calitate” ca fiind excedente, or, toate modificările care se propun prin subpunctele de la pct. 2 din proiect se referă la punctele din conținutul Cerințelor (obiecție valabilă și la subpct. 2.3, 2.5, 2.6, etc.). De asemenea, reiterăm că, în redacția în vigoare este utilizată noțiunea „Reglementare tehnică” și nu „Cerințe de calitate”.</w:t>
            </w:r>
          </w:p>
        </w:tc>
        <w:tc>
          <w:tcPr>
            <w:tcW w:w="2978" w:type="dxa"/>
          </w:tcPr>
          <w:p w:rsidR="00A178EC" w:rsidRPr="00A178EC" w:rsidRDefault="00A178EC" w:rsidP="004E3307">
            <w:pPr>
              <w:pStyle w:val="30"/>
              <w:shd w:val="clear" w:color="auto" w:fill="auto"/>
              <w:spacing w:before="0" w:after="0" w:line="240" w:lineRule="auto"/>
              <w:ind w:right="828"/>
              <w:rPr>
                <w:b/>
                <w:sz w:val="24"/>
                <w:szCs w:val="24"/>
                <w:lang w:val="ro-RO"/>
              </w:rPr>
            </w:pP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37" w:firstLine="323"/>
              <w:rPr>
                <w:sz w:val="24"/>
                <w:szCs w:val="24"/>
              </w:rPr>
            </w:pPr>
            <w:r w:rsidRPr="00A178EC">
              <w:rPr>
                <w:sz w:val="24"/>
                <w:szCs w:val="24"/>
              </w:rPr>
              <w:t xml:space="preserve">La semnificația noțiunii „polen”, cuvântul „dintre” se va substitui cu cuvântul „pentru”. În conformitate cu art. 55 alin. (4) din Legea nr. 100/2017, </w:t>
            </w:r>
            <w:proofErr w:type="gramStart"/>
            <w:r w:rsidRPr="00A178EC">
              <w:rPr>
                <w:sz w:val="24"/>
                <w:szCs w:val="24"/>
              </w:rPr>
              <w:t>„(</w:t>
            </w:r>
            <w:proofErr w:type="gramEnd"/>
            <w:r w:rsidRPr="00A178EC">
              <w:rPr>
                <w:sz w:val="24"/>
                <w:szCs w:val="24"/>
              </w:rPr>
              <w:t>4) În cazul în care se face trimitere la o normă juridică care este stabilită în același act normativ sau element structural, pentru evitarea reproducerii acesteia, se face trimitere la norma juridică relevantă fără a se preciza că aceasta face parte din același act normativ sau element structural, cu excepția cazurilor în care această precizare este necesară pentru a exclude orice echivoc.”. Ținând cont de regula enunțată, la semnificația noțiunii „polen”, cuvintele „din prezentele cerințe” se vor exclude.</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0" w:firstLine="360"/>
              <w:rPr>
                <w:sz w:val="24"/>
                <w:szCs w:val="24"/>
              </w:rPr>
            </w:pPr>
            <w:r w:rsidRPr="00A178EC">
              <w:rPr>
                <w:sz w:val="24"/>
                <w:szCs w:val="24"/>
              </w:rPr>
              <w:t>La semnificația noțiunii „miere destinată industriei alimentare”, cuvintele „la final” se vor exclude, or, completarea unui text sau alineat, fără a specifica ordinea în care se inserează cuvintele, semnifică, conform regulii generale de tehnică legislativă, completarea textului la sfârșitul acestuia. Potrivit normelor de tehnică legislativă, când modificarea presupune o substituire utilizăm următorii termeni</w:t>
            </w:r>
            <w:proofErr w:type="gramStart"/>
            <w:r w:rsidRPr="00A178EC">
              <w:rPr>
                <w:sz w:val="24"/>
                <w:szCs w:val="24"/>
              </w:rPr>
              <w:t>: ,,cuvânt</w:t>
            </w:r>
            <w:proofErr w:type="gramEnd"/>
            <w:r w:rsidRPr="00A178EC">
              <w:rPr>
                <w:sz w:val="24"/>
                <w:szCs w:val="24"/>
              </w:rPr>
              <w:t>”, respectiv, ,,cuvinte” – dacă din structura vizată nu sunt prezente și alte semne grafice (cifră, virgulă, paranteze, ghilimele, bară oblică); ,,text” - dacă structura e formată dintr-un cuvânt/cuvinte și cel puțin un semn grafic; ,,sintagmă” - dacă structura reprezintă o îmbinare stabilă (denumirea unui minister, a unei agenții, bănci, a unui sistem etc.). Ținând cont de prevederea legală enunțată, la subpct. 2.2.3, termenul „cuvintele” se va substitui cu cuvântul „textul” (obiecție valabilă și la subpct. 2.3, în referința la „prevederile art. 23 din Legea nr. 306/2018 privind siguranța alimentelor”)</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0" w:firstLine="360"/>
              <w:rPr>
                <w:sz w:val="24"/>
                <w:szCs w:val="24"/>
              </w:rPr>
            </w:pPr>
            <w:r w:rsidRPr="00A178EC">
              <w:rPr>
                <w:sz w:val="24"/>
                <w:szCs w:val="24"/>
              </w:rPr>
              <w:t xml:space="preserve">La subpct. 2.5, întru corectitudinea redactării, textul „după pct. 21 din cerințele de calitate” se vor exclude. Atragem atenția că, amplasarea pozițiilor în ordinea succesiunii acestora nu necesită o mențiune expresă în acest sens. În cazul operațiunii de completare cu un element structural nou se va utiliza </w:t>
            </w:r>
            <w:proofErr w:type="gramStart"/>
            <w:r w:rsidRPr="00A178EC">
              <w:rPr>
                <w:sz w:val="24"/>
                <w:szCs w:val="24"/>
              </w:rPr>
              <w:t>sintagma ,,se</w:t>
            </w:r>
            <w:proofErr w:type="gramEnd"/>
            <w:r w:rsidRPr="00A178EC">
              <w:rPr>
                <w:sz w:val="24"/>
                <w:szCs w:val="24"/>
              </w:rPr>
              <w:t xml:space="preserve"> completează cu ,,...” cu următorul cuprins:”. Având în vedere cele expuse, subpct. 2.5 va avea următorul cuprins: „2.5 se completează cu punctul 21</w:t>
            </w:r>
            <w:r w:rsidR="00BB601E">
              <w:rPr>
                <w:sz w:val="24"/>
                <w:szCs w:val="24"/>
                <w:vertAlign w:val="superscript"/>
              </w:rPr>
              <w:t>1</w:t>
            </w:r>
            <w:r w:rsidRPr="00A178EC">
              <w:rPr>
                <w:sz w:val="24"/>
                <w:szCs w:val="24"/>
              </w:rPr>
              <w:t xml:space="preserve"> cu următorul cuprins:”. În Directiva (UE) </w:t>
            </w:r>
            <w:r w:rsidRPr="00A178EC">
              <w:rPr>
                <w:sz w:val="24"/>
                <w:szCs w:val="24"/>
              </w:rPr>
              <w:lastRenderedPageBreak/>
              <w:t xml:space="preserve">2024/1438 a Parlamentului European și a Consiliului din 14 mai 2024, în baza căreia se propune completarea cu pct. </w:t>
            </w:r>
            <w:proofErr w:type="gramStart"/>
            <w:r w:rsidRPr="00A178EC">
              <w:rPr>
                <w:sz w:val="24"/>
                <w:szCs w:val="24"/>
              </w:rPr>
              <w:t>21</w:t>
            </w:r>
            <w:r w:rsidR="00BB601E">
              <w:rPr>
                <w:sz w:val="24"/>
                <w:szCs w:val="24"/>
                <w:vertAlign w:val="superscript"/>
              </w:rPr>
              <w:t>1</w:t>
            </w:r>
            <w:r w:rsidRPr="00A178EC">
              <w:rPr>
                <w:sz w:val="24"/>
                <w:szCs w:val="24"/>
              </w:rPr>
              <w:t xml:space="preserve"> ,</w:t>
            </w:r>
            <w:proofErr w:type="gramEnd"/>
            <w:r w:rsidRPr="00A178EC">
              <w:rPr>
                <w:sz w:val="24"/>
                <w:szCs w:val="24"/>
              </w:rPr>
              <w:t xml:space="preserve"> nu se face referință la „orice alt constituient specific” astfel cum este indicat în proiectul 4 hotărârii. Prin urmare, fie se va exclude mențiunea enunțată, fie se vor indica în sinteză criteriile care au stat la baza indicării prevederii enunțate.</w:t>
            </w:r>
          </w:p>
        </w:tc>
        <w:tc>
          <w:tcPr>
            <w:tcW w:w="2978" w:type="dxa"/>
          </w:tcPr>
          <w:p w:rsidR="00544081" w:rsidRPr="0066602C" w:rsidRDefault="00544081" w:rsidP="00544081">
            <w:pPr>
              <w:shd w:val="clear" w:color="auto" w:fill="FFFFFF"/>
              <w:rPr>
                <w:rFonts w:ascii="Times New Roman" w:hAnsi="Times New Roman" w:cs="Times New Roman"/>
                <w:bCs/>
                <w:sz w:val="24"/>
                <w:szCs w:val="24"/>
                <w:lang w:eastAsia="ro-RO"/>
              </w:rPr>
            </w:pPr>
            <w:r w:rsidRPr="0066602C">
              <w:rPr>
                <w:rFonts w:ascii="Times New Roman" w:hAnsi="Times New Roman" w:cs="Times New Roman"/>
                <w:sz w:val="24"/>
                <w:szCs w:val="24"/>
              </w:rPr>
              <w:lastRenderedPageBreak/>
              <w:t xml:space="preserve">Modificările propuse în pct.2.5, actualmente pct. 2.6 sunt prevăzute în Directiva (CE) de modificare nr.1438/2024  la </w:t>
            </w:r>
            <w:r w:rsidRPr="0066602C">
              <w:rPr>
                <w:rFonts w:ascii="Times New Roman" w:hAnsi="Times New Roman" w:cs="Times New Roman"/>
                <w:bCs/>
                <w:sz w:val="24"/>
                <w:szCs w:val="24"/>
                <w:lang w:eastAsia="ro-RO"/>
              </w:rPr>
              <w:t>Art. 1 pct.4</w:t>
            </w:r>
          </w:p>
          <w:p w:rsidR="0066602C" w:rsidRPr="0066602C" w:rsidRDefault="00544081" w:rsidP="0066602C">
            <w:pPr>
              <w:rPr>
                <w:rFonts w:ascii="Times New Roman" w:hAnsi="Times New Roman" w:cs="Times New Roman"/>
                <w:sz w:val="24"/>
                <w:szCs w:val="24"/>
                <w:lang w:eastAsia="ro-RO"/>
              </w:rPr>
            </w:pPr>
            <w:r w:rsidRPr="0066602C">
              <w:rPr>
                <w:rFonts w:ascii="Times New Roman" w:eastAsia="Arial Unicode MS" w:hAnsi="Times New Roman" w:cs="Times New Roman"/>
                <w:sz w:val="24"/>
                <w:szCs w:val="24"/>
                <w:lang w:eastAsia="ro-RO"/>
              </w:rPr>
              <w:t xml:space="preserve">Anexa I, se propune eliminarea prevederilor de </w:t>
            </w:r>
            <w:r w:rsidRPr="0066602C">
              <w:rPr>
                <w:rFonts w:ascii="Times New Roman" w:eastAsia="Arial Unicode MS" w:hAnsi="Times New Roman" w:cs="Times New Roman"/>
                <w:sz w:val="24"/>
                <w:szCs w:val="24"/>
                <w:lang w:eastAsia="ro-RO"/>
              </w:rPr>
              <w:lastRenderedPageBreak/>
              <w:t xml:space="preserve">la  </w:t>
            </w:r>
            <w:r w:rsidR="0066602C" w:rsidRPr="0066602C">
              <w:rPr>
                <w:rFonts w:ascii="Times New Roman" w:hAnsi="Times New Roman" w:cs="Times New Roman"/>
                <w:sz w:val="24"/>
                <w:szCs w:val="24"/>
                <w:lang w:eastAsia="ro-RO"/>
              </w:rPr>
              <w:t xml:space="preserve"> punctul 2 litera (b), subpunctul (viii) se elimină.</w:t>
            </w:r>
          </w:p>
          <w:p w:rsidR="0066602C" w:rsidRPr="0066602C" w:rsidRDefault="0066602C" w:rsidP="0066602C">
            <w:pPr>
              <w:rPr>
                <w:rFonts w:ascii="Times New Roman" w:eastAsia="Arial Unicode MS" w:hAnsi="Times New Roman" w:cs="Times New Roman"/>
                <w:sz w:val="24"/>
                <w:szCs w:val="24"/>
                <w:lang w:eastAsia="ro-RO"/>
              </w:rPr>
            </w:pPr>
            <w:r w:rsidRPr="0066602C">
              <w:rPr>
                <w:rFonts w:ascii="Times New Roman" w:eastAsia="Arial Unicode MS" w:hAnsi="Times New Roman" w:cs="Times New Roman"/>
                <w:sz w:val="24"/>
                <w:szCs w:val="24"/>
                <w:lang w:eastAsia="ro-RO"/>
              </w:rPr>
              <w:t xml:space="preserve"> Astfel  a fost exclusă noțiunea de </w:t>
            </w:r>
            <w:r w:rsidRPr="0066602C">
              <w:rPr>
                <w:rFonts w:ascii="Times New Roman" w:eastAsia="Arial Unicode MS" w:hAnsi="Times New Roman" w:cs="Times New Roman"/>
                <w:b/>
                <w:sz w:val="24"/>
                <w:szCs w:val="24"/>
                <w:lang w:eastAsia="ro-RO"/>
              </w:rPr>
              <w:t>miere fitrată</w:t>
            </w:r>
            <w:r w:rsidRPr="0066602C">
              <w:rPr>
                <w:rFonts w:ascii="Times New Roman" w:eastAsia="Arial Unicode MS" w:hAnsi="Times New Roman" w:cs="Times New Roman"/>
                <w:sz w:val="24"/>
                <w:szCs w:val="24"/>
                <w:lang w:eastAsia="ro-RO"/>
              </w:rPr>
              <w:t xml:space="preserve"> din textul Directivei și prevederile față de miere fitrată.</w:t>
            </w:r>
          </w:p>
          <w:p w:rsidR="0066602C" w:rsidRPr="0066602C" w:rsidRDefault="0066602C" w:rsidP="0066602C">
            <w:pPr>
              <w:pStyle w:val="norm"/>
              <w:shd w:val="clear" w:color="auto" w:fill="FFFFFF"/>
              <w:spacing w:before="0" w:beforeAutospacing="0" w:after="0" w:afterAutospacing="0"/>
              <w:jc w:val="both"/>
              <w:rPr>
                <w:rFonts w:eastAsia="Arial Unicode MS"/>
              </w:rPr>
            </w:pPr>
            <w:r w:rsidRPr="0066602C">
              <w:rPr>
                <w:rFonts w:eastAsia="Arial Unicode MS"/>
              </w:rPr>
              <w:t xml:space="preserve">Din acest considerent, prevederea din Anexa II alin. 3 din  Directiva nr. 2001/110 </w:t>
            </w:r>
          </w:p>
          <w:p w:rsidR="0066602C" w:rsidRPr="0066602C" w:rsidRDefault="0066602C" w:rsidP="0066602C">
            <w:pPr>
              <w:pStyle w:val="norm"/>
              <w:shd w:val="clear" w:color="auto" w:fill="FFFFFF"/>
              <w:spacing w:before="0" w:beforeAutospacing="0" w:after="0" w:afterAutospacing="0"/>
              <w:jc w:val="both"/>
              <w:rPr>
                <w:rFonts w:eastAsia="Arial Unicode MS"/>
              </w:rPr>
            </w:pPr>
            <w:r w:rsidRPr="0066602C">
              <w:rPr>
                <w:rFonts w:eastAsia="Arial Unicode MS"/>
              </w:rPr>
              <w:t>”Fără a aduce atingere punctului 2 litera (b) punctul viii) din anexa I, nici polenul și nici orice alt constituent specific mierii nu poate fi îndepărtat, cu excepția cazului în care acest lucru este inevitabil în îndepărtarea materiei anorganice sau organice străine.”  A fost propusă spre modificare în felul următor:</w:t>
            </w:r>
          </w:p>
          <w:p w:rsidR="0066602C" w:rsidRPr="0066602C" w:rsidRDefault="0066602C" w:rsidP="0066602C">
            <w:pPr>
              <w:pStyle w:val="norm"/>
              <w:shd w:val="clear" w:color="auto" w:fill="FFFFFF"/>
              <w:spacing w:before="0" w:beforeAutospacing="0" w:after="0" w:afterAutospacing="0"/>
              <w:jc w:val="both"/>
              <w:rPr>
                <w:rFonts w:eastAsia="Arial Unicode MS"/>
              </w:rPr>
            </w:pPr>
            <w:r w:rsidRPr="0066602C">
              <w:t>„ 21.</w:t>
            </w:r>
            <w:r w:rsidRPr="0066602C">
              <w:rPr>
                <w:vertAlign w:val="superscript"/>
              </w:rPr>
              <w:t>1</w:t>
            </w:r>
            <w:r w:rsidRPr="0066602C">
              <w:rPr>
                <w:shd w:val="clear" w:color="auto" w:fill="FFFFFF"/>
              </w:rPr>
              <w:t xml:space="preserve"> Nici polenul și nici orice alt constituent specific mierii nu poate fi îndepărtat, cu excepția cazului în care acest lucru este inevitabil în îndepărtarea materiei anorganice sau organice străine.”</w:t>
            </w:r>
          </w:p>
          <w:p w:rsidR="00544081" w:rsidRPr="0066602C" w:rsidRDefault="00544081" w:rsidP="00544081">
            <w:pPr>
              <w:rPr>
                <w:rFonts w:ascii="Times New Roman" w:eastAsia="Arial Unicode MS" w:hAnsi="Times New Roman" w:cs="Times New Roman"/>
                <w:sz w:val="24"/>
                <w:szCs w:val="24"/>
                <w:lang w:eastAsia="ro-RO"/>
              </w:rPr>
            </w:pPr>
          </w:p>
          <w:p w:rsidR="00A178EC" w:rsidRPr="0066602C" w:rsidRDefault="00A178EC" w:rsidP="004E3307">
            <w:pPr>
              <w:pStyle w:val="30"/>
              <w:shd w:val="clear" w:color="auto" w:fill="auto"/>
              <w:spacing w:before="0" w:after="0" w:line="240" w:lineRule="auto"/>
              <w:ind w:right="828"/>
              <w:rPr>
                <w:sz w:val="24"/>
                <w:szCs w:val="24"/>
                <w:lang w:val="ro-RO"/>
              </w:rPr>
            </w:pP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0" w:firstLine="360"/>
              <w:rPr>
                <w:sz w:val="24"/>
                <w:szCs w:val="24"/>
              </w:rPr>
            </w:pPr>
            <w:r w:rsidRPr="00A178EC">
              <w:rPr>
                <w:sz w:val="24"/>
                <w:szCs w:val="24"/>
              </w:rPr>
              <w:t>La subpct. 2.8, menționăm că conținutul care se propune la pct. 31 și 33 nu se integrează armonios în text, prin urmare, textul „art. 13, alin. (1) și (2) din Legea nr. 306/2018 privind siguranța alimentelor” va fi precedat de cuvintele „în conformitate cu”.</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37" w:firstLine="141"/>
              <w:rPr>
                <w:sz w:val="24"/>
                <w:szCs w:val="24"/>
              </w:rPr>
            </w:pPr>
            <w:r w:rsidRPr="00A178EC">
              <w:rPr>
                <w:sz w:val="24"/>
                <w:szCs w:val="24"/>
              </w:rPr>
              <w:t>Prin subpct. 2.9 din proiect, la pct. 32 din Cerințe, textul „în baza cerințelor stabilite de organul central de specialitate al administrației publice în domeniul ocrotirii sănătății” se substituie cu textul „însă nu poate depăși 2 ani de la data îmbutelierii mierii”. Este de menționat că, textul „însă nu poate depăși 2 ani de la data îmbutelierii mierii” este deja indicat la pct. 32 din Cerințe, prin urmare, se va revizui modificarea care se propune prin proiect.</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37" w:firstLine="283"/>
              <w:rPr>
                <w:sz w:val="24"/>
                <w:szCs w:val="24"/>
              </w:rPr>
            </w:pPr>
            <w:r w:rsidRPr="00A178EC">
              <w:rPr>
                <w:sz w:val="24"/>
                <w:szCs w:val="24"/>
              </w:rPr>
              <w:t>La subpct. 2.10, atenționăm că conținutul propus la pct. 34 din Cerințe nu se integrează armonios în text, prin urmare, textul „art. 20 alin. (3) din Legea nr. 306/2018 privind siguranța alimentelor” va fi precedat de cuvintele „ în conformitate cu”.</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37" w:firstLine="323"/>
              <w:rPr>
                <w:sz w:val="24"/>
                <w:szCs w:val="24"/>
              </w:rPr>
            </w:pPr>
            <w:r w:rsidRPr="00A178EC">
              <w:rPr>
                <w:sz w:val="24"/>
                <w:szCs w:val="24"/>
              </w:rPr>
              <w:t>La subpct. 2.15, textul „După pct. 57</w:t>
            </w:r>
            <w:r w:rsidR="006A2BAB">
              <w:rPr>
                <w:sz w:val="24"/>
                <w:szCs w:val="24"/>
                <w:vertAlign w:val="superscript"/>
              </w:rPr>
              <w:t>8</w:t>
            </w:r>
            <w:r w:rsidRPr="00A178EC">
              <w:rPr>
                <w:sz w:val="24"/>
                <w:szCs w:val="24"/>
              </w:rPr>
              <w:t xml:space="preserve"> din Cerințele de calitate” se va exclude. Reiterăm că, amplasarea pozițiilor în ordinea succesiunii acestora nu necesită o mențiune în acest sens. Potrivit normelor de tehnică legislativă, dacă se face trimitere la mai mult de două elemente structurale consecutive, enumerarea se redă prin cratimă. Prin urmare, la subpct. 2.15, textul „„</w:t>
            </w:r>
            <w:proofErr w:type="gramStart"/>
            <w:r w:rsidRPr="00A178EC">
              <w:rPr>
                <w:sz w:val="24"/>
                <w:szCs w:val="24"/>
              </w:rPr>
              <w:t>57</w:t>
            </w:r>
            <w:r w:rsidR="00535CBE">
              <w:rPr>
                <w:sz w:val="24"/>
                <w:szCs w:val="24"/>
                <w:vertAlign w:val="superscript"/>
              </w:rPr>
              <w:t>9</w:t>
            </w:r>
            <w:r w:rsidRPr="00A178EC">
              <w:rPr>
                <w:sz w:val="24"/>
                <w:szCs w:val="24"/>
              </w:rPr>
              <w:t xml:space="preserve"> ”</w:t>
            </w:r>
            <w:proofErr w:type="gramEnd"/>
            <w:r w:rsidRPr="00A178EC">
              <w:rPr>
                <w:sz w:val="24"/>
                <w:szCs w:val="24"/>
              </w:rPr>
              <w:t>, 57</w:t>
            </w:r>
            <w:r w:rsidR="00535CBE">
              <w:rPr>
                <w:sz w:val="24"/>
                <w:szCs w:val="24"/>
                <w:vertAlign w:val="superscript"/>
              </w:rPr>
              <w:t>10</w:t>
            </w:r>
            <w:r w:rsidRPr="00A178EC">
              <w:rPr>
                <w:sz w:val="24"/>
                <w:szCs w:val="24"/>
              </w:rPr>
              <w:t>”, 57</w:t>
            </w:r>
            <w:r w:rsidR="00535CBE">
              <w:rPr>
                <w:sz w:val="24"/>
                <w:szCs w:val="24"/>
                <w:vertAlign w:val="superscript"/>
              </w:rPr>
              <w:t>11</w:t>
            </w:r>
            <w:r w:rsidRPr="00A178EC">
              <w:rPr>
                <w:sz w:val="24"/>
                <w:szCs w:val="24"/>
              </w:rPr>
              <w:t xml:space="preserve"> ”” se va substitui cu textul „57</w:t>
            </w:r>
            <w:r w:rsidR="00535CBE">
              <w:rPr>
                <w:sz w:val="24"/>
                <w:szCs w:val="24"/>
                <w:vertAlign w:val="superscript"/>
              </w:rPr>
              <w:t>9</w:t>
            </w:r>
            <w:r w:rsidRPr="00A178EC">
              <w:rPr>
                <w:sz w:val="24"/>
                <w:szCs w:val="24"/>
              </w:rPr>
              <w:t xml:space="preserve"> </w:t>
            </w:r>
            <w:r w:rsidR="00535CBE">
              <w:rPr>
                <w:sz w:val="24"/>
                <w:szCs w:val="24"/>
              </w:rPr>
              <w:t>–</w:t>
            </w:r>
            <w:r w:rsidRPr="00A178EC">
              <w:rPr>
                <w:sz w:val="24"/>
                <w:szCs w:val="24"/>
              </w:rPr>
              <w:t xml:space="preserve"> 57</w:t>
            </w:r>
            <w:r w:rsidR="00535CBE">
              <w:rPr>
                <w:sz w:val="24"/>
                <w:szCs w:val="24"/>
                <w:vertAlign w:val="superscript"/>
              </w:rPr>
              <w:t>11</w:t>
            </w:r>
            <w:r w:rsidRPr="00A178EC">
              <w:rPr>
                <w:sz w:val="24"/>
                <w:szCs w:val="24"/>
              </w:rPr>
              <w:t xml:space="preserve"> ” (obiecție valabilă și la pct. 4)</w:t>
            </w:r>
            <w:bookmarkStart w:id="2" w:name="_GoBack"/>
            <w:bookmarkEnd w:id="2"/>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37" w:firstLine="323"/>
              <w:rPr>
                <w:sz w:val="24"/>
                <w:szCs w:val="24"/>
              </w:rPr>
            </w:pPr>
            <w:r w:rsidRPr="00A178EC">
              <w:rPr>
                <w:sz w:val="24"/>
                <w:szCs w:val="24"/>
              </w:rPr>
              <w:t xml:space="preserve">Ținând cont că anexa nr. 3, propusă spre abrogare, este elementul constitutiv al Reglementării tehnice, în proiect elementul structural, cu care este numerotată prevederea prin care se abrogă anexa nr. 3, se va renumerota ca diviziune </w:t>
            </w:r>
            <w:proofErr w:type="gramStart"/>
            <w:r w:rsidRPr="00A178EC">
              <w:rPr>
                <w:sz w:val="24"/>
                <w:szCs w:val="24"/>
              </w:rPr>
              <w:t>a</w:t>
            </w:r>
            <w:proofErr w:type="gramEnd"/>
            <w:r w:rsidRPr="00A178EC">
              <w:rPr>
                <w:sz w:val="24"/>
                <w:szCs w:val="24"/>
              </w:rPr>
              <w:t xml:space="preserve"> elementului structural ce vizează modificările la Reglementarea tehnică. Având în vedere obiecția expusă supra, elementele structurale ce urmează se vor renumerota</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r w:rsidR="00A178EC" w:rsidRPr="00A178EC" w:rsidTr="008728E0">
        <w:tc>
          <w:tcPr>
            <w:tcW w:w="709" w:type="dxa"/>
            <w:vMerge/>
          </w:tcPr>
          <w:p w:rsidR="00A178EC" w:rsidRPr="00A178EC" w:rsidRDefault="00A178EC" w:rsidP="004E3307">
            <w:pPr>
              <w:pStyle w:val="30"/>
              <w:shd w:val="clear" w:color="auto" w:fill="auto"/>
              <w:spacing w:before="0" w:after="0" w:line="240" w:lineRule="auto"/>
              <w:ind w:right="828"/>
              <w:rPr>
                <w:b/>
                <w:sz w:val="24"/>
                <w:szCs w:val="24"/>
                <w:lang w:val="ro-RO"/>
              </w:rPr>
            </w:pPr>
          </w:p>
        </w:tc>
        <w:tc>
          <w:tcPr>
            <w:tcW w:w="2551" w:type="dxa"/>
            <w:vMerge/>
          </w:tcPr>
          <w:p w:rsidR="00A178EC" w:rsidRPr="00A178EC" w:rsidRDefault="00A178EC" w:rsidP="003D0351">
            <w:pPr>
              <w:pStyle w:val="30"/>
              <w:shd w:val="clear" w:color="auto" w:fill="auto"/>
              <w:spacing w:before="0" w:after="0" w:line="240" w:lineRule="auto"/>
              <w:rPr>
                <w:b/>
                <w:sz w:val="24"/>
                <w:szCs w:val="24"/>
                <w:lang w:val="ro-RO"/>
              </w:rPr>
            </w:pPr>
          </w:p>
        </w:tc>
        <w:tc>
          <w:tcPr>
            <w:tcW w:w="7436" w:type="dxa"/>
          </w:tcPr>
          <w:p w:rsidR="00A178EC" w:rsidRPr="00A178EC" w:rsidRDefault="00A178EC" w:rsidP="00A178EC">
            <w:pPr>
              <w:pStyle w:val="Bodytext20"/>
              <w:numPr>
                <w:ilvl w:val="0"/>
                <w:numId w:val="19"/>
              </w:numPr>
              <w:shd w:val="clear" w:color="auto" w:fill="auto"/>
              <w:tabs>
                <w:tab w:val="left" w:pos="867"/>
              </w:tabs>
              <w:spacing w:line="240" w:lineRule="auto"/>
              <w:ind w:left="0" w:firstLine="360"/>
              <w:rPr>
                <w:sz w:val="24"/>
                <w:szCs w:val="24"/>
              </w:rPr>
            </w:pPr>
            <w:r w:rsidRPr="00A178EC">
              <w:rPr>
                <w:sz w:val="24"/>
                <w:szCs w:val="24"/>
              </w:rPr>
              <w:t>La pct. 4 din proiect, cuvintele „data de” se vor substitui cu cuvântul „la”.</w:t>
            </w:r>
          </w:p>
        </w:tc>
        <w:tc>
          <w:tcPr>
            <w:tcW w:w="2978" w:type="dxa"/>
          </w:tcPr>
          <w:p w:rsidR="00A178EC" w:rsidRPr="00A178EC" w:rsidRDefault="007C4FBF" w:rsidP="004E3307">
            <w:pPr>
              <w:pStyle w:val="30"/>
              <w:shd w:val="clear" w:color="auto" w:fill="auto"/>
              <w:spacing w:before="0" w:after="0" w:line="240" w:lineRule="auto"/>
              <w:ind w:right="828"/>
              <w:rPr>
                <w:b/>
                <w:sz w:val="24"/>
                <w:szCs w:val="24"/>
                <w:lang w:val="ro-RO"/>
              </w:rPr>
            </w:pPr>
            <w:r w:rsidRPr="00A178EC">
              <w:rPr>
                <w:b/>
                <w:sz w:val="24"/>
                <w:szCs w:val="24"/>
                <w:lang w:val="ro-RO"/>
              </w:rPr>
              <w:t>Se acceptă</w:t>
            </w:r>
          </w:p>
        </w:tc>
      </w:tr>
    </w:tbl>
    <w:p w:rsidR="001D79CF" w:rsidRPr="00490C2E" w:rsidRDefault="001D79CF">
      <w:pPr>
        <w:rPr>
          <w:sz w:val="24"/>
          <w:szCs w:val="24"/>
        </w:rPr>
      </w:pPr>
    </w:p>
    <w:sectPr w:rsidR="001D79CF" w:rsidRPr="00490C2E" w:rsidSect="00AB6237">
      <w:headerReference w:type="even" r:id="rId8"/>
      <w:headerReference w:type="default" r:id="rId9"/>
      <w:footerReference w:type="even" r:id="rId10"/>
      <w:footerReference w:type="default" r:id="rId11"/>
      <w:headerReference w:type="first" r:id="rId12"/>
      <w:footerReference w:type="first" r:id="rId13"/>
      <w:pgSz w:w="15840" w:h="12240" w:orient="landscape"/>
      <w:pgMar w:top="28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4C0" w:rsidRDefault="008D04C0" w:rsidP="00796801">
      <w:pPr>
        <w:spacing w:after="0" w:line="240" w:lineRule="auto"/>
      </w:pPr>
      <w:r>
        <w:separator/>
      </w:r>
    </w:p>
  </w:endnote>
  <w:endnote w:type="continuationSeparator" w:id="0">
    <w:p w:rsidR="008D04C0" w:rsidRDefault="008D04C0" w:rsidP="0079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801" w:rsidRDefault="0079680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161551"/>
      <w:docPartObj>
        <w:docPartGallery w:val="Page Numbers (Bottom of Page)"/>
        <w:docPartUnique/>
      </w:docPartObj>
    </w:sdtPr>
    <w:sdtEndPr/>
    <w:sdtContent>
      <w:p w:rsidR="00796801" w:rsidRDefault="00796801">
        <w:pPr>
          <w:pStyle w:val="Subsol"/>
          <w:jc w:val="right"/>
        </w:pPr>
        <w:r>
          <w:fldChar w:fldCharType="begin"/>
        </w:r>
        <w:r>
          <w:instrText>PAGE   \* MERGEFORMAT</w:instrText>
        </w:r>
        <w:r>
          <w:fldChar w:fldCharType="separate"/>
        </w:r>
        <w:r w:rsidR="00CF1F0C">
          <w:rPr>
            <w:noProof/>
          </w:rPr>
          <w:t>14</w:t>
        </w:r>
        <w:r>
          <w:fldChar w:fldCharType="end"/>
        </w:r>
      </w:p>
    </w:sdtContent>
  </w:sdt>
  <w:p w:rsidR="00796801" w:rsidRDefault="00796801">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801" w:rsidRDefault="0079680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4C0" w:rsidRDefault="008D04C0" w:rsidP="00796801">
      <w:pPr>
        <w:spacing w:after="0" w:line="240" w:lineRule="auto"/>
      </w:pPr>
      <w:r>
        <w:separator/>
      </w:r>
    </w:p>
  </w:footnote>
  <w:footnote w:type="continuationSeparator" w:id="0">
    <w:p w:rsidR="008D04C0" w:rsidRDefault="008D04C0" w:rsidP="00796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801" w:rsidRDefault="0079680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801" w:rsidRDefault="00796801">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801" w:rsidRDefault="0079680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26A7"/>
    <w:multiLevelType w:val="multilevel"/>
    <w:tmpl w:val="153870A2"/>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C5272"/>
    <w:multiLevelType w:val="multilevel"/>
    <w:tmpl w:val="50727B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A31DA9"/>
    <w:multiLevelType w:val="multilevel"/>
    <w:tmpl w:val="449ED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B12E1A"/>
    <w:multiLevelType w:val="hybridMultilevel"/>
    <w:tmpl w:val="7E2A8F38"/>
    <w:lvl w:ilvl="0" w:tplc="459E31E4">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70006C"/>
    <w:multiLevelType w:val="multilevel"/>
    <w:tmpl w:val="50727B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B30043"/>
    <w:multiLevelType w:val="hybridMultilevel"/>
    <w:tmpl w:val="09B2625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E340AC"/>
    <w:multiLevelType w:val="hybridMultilevel"/>
    <w:tmpl w:val="A45AC1DC"/>
    <w:lvl w:ilvl="0" w:tplc="DBF875E8">
      <w:start w:val="1"/>
      <w:numFmt w:val="lowerLetter"/>
      <w:lvlText w:val="%1)"/>
      <w:lvlJc w:val="left"/>
      <w:pPr>
        <w:ind w:left="1275" w:hanging="360"/>
      </w:pPr>
      <w:rPr>
        <w:rFonts w:hint="default"/>
      </w:rPr>
    </w:lvl>
    <w:lvl w:ilvl="1" w:tplc="04180019" w:tentative="1">
      <w:start w:val="1"/>
      <w:numFmt w:val="lowerLetter"/>
      <w:lvlText w:val="%2."/>
      <w:lvlJc w:val="left"/>
      <w:pPr>
        <w:ind w:left="1995" w:hanging="360"/>
      </w:pPr>
    </w:lvl>
    <w:lvl w:ilvl="2" w:tplc="0418001B" w:tentative="1">
      <w:start w:val="1"/>
      <w:numFmt w:val="lowerRoman"/>
      <w:lvlText w:val="%3."/>
      <w:lvlJc w:val="right"/>
      <w:pPr>
        <w:ind w:left="2715" w:hanging="180"/>
      </w:pPr>
    </w:lvl>
    <w:lvl w:ilvl="3" w:tplc="0418000F" w:tentative="1">
      <w:start w:val="1"/>
      <w:numFmt w:val="decimal"/>
      <w:lvlText w:val="%4."/>
      <w:lvlJc w:val="left"/>
      <w:pPr>
        <w:ind w:left="3435" w:hanging="360"/>
      </w:pPr>
    </w:lvl>
    <w:lvl w:ilvl="4" w:tplc="04180019" w:tentative="1">
      <w:start w:val="1"/>
      <w:numFmt w:val="lowerLetter"/>
      <w:lvlText w:val="%5."/>
      <w:lvlJc w:val="left"/>
      <w:pPr>
        <w:ind w:left="4155" w:hanging="360"/>
      </w:pPr>
    </w:lvl>
    <w:lvl w:ilvl="5" w:tplc="0418001B" w:tentative="1">
      <w:start w:val="1"/>
      <w:numFmt w:val="lowerRoman"/>
      <w:lvlText w:val="%6."/>
      <w:lvlJc w:val="right"/>
      <w:pPr>
        <w:ind w:left="4875" w:hanging="180"/>
      </w:pPr>
    </w:lvl>
    <w:lvl w:ilvl="6" w:tplc="0418000F" w:tentative="1">
      <w:start w:val="1"/>
      <w:numFmt w:val="decimal"/>
      <w:lvlText w:val="%7."/>
      <w:lvlJc w:val="left"/>
      <w:pPr>
        <w:ind w:left="5595" w:hanging="360"/>
      </w:pPr>
    </w:lvl>
    <w:lvl w:ilvl="7" w:tplc="04180019" w:tentative="1">
      <w:start w:val="1"/>
      <w:numFmt w:val="lowerLetter"/>
      <w:lvlText w:val="%8."/>
      <w:lvlJc w:val="left"/>
      <w:pPr>
        <w:ind w:left="6315" w:hanging="360"/>
      </w:pPr>
    </w:lvl>
    <w:lvl w:ilvl="8" w:tplc="0418001B" w:tentative="1">
      <w:start w:val="1"/>
      <w:numFmt w:val="lowerRoman"/>
      <w:lvlText w:val="%9."/>
      <w:lvlJc w:val="right"/>
      <w:pPr>
        <w:ind w:left="7035" w:hanging="180"/>
      </w:pPr>
    </w:lvl>
  </w:abstractNum>
  <w:abstractNum w:abstractNumId="7" w15:restartNumberingAfterBreak="0">
    <w:nsid w:val="3C6C439B"/>
    <w:multiLevelType w:val="hybridMultilevel"/>
    <w:tmpl w:val="9ADC5026"/>
    <w:lvl w:ilvl="0" w:tplc="BBEAAB1A">
      <w:start w:val="3"/>
      <w:numFmt w:val="lowerLetter"/>
      <w:lvlText w:val="%1)"/>
      <w:lvlJc w:val="left"/>
      <w:pPr>
        <w:ind w:left="6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DC61B74"/>
    <w:multiLevelType w:val="multilevel"/>
    <w:tmpl w:val="E364F23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50173A"/>
    <w:multiLevelType w:val="multilevel"/>
    <w:tmpl w:val="7EECCA40"/>
    <w:lvl w:ilvl="0">
      <w:start w:val="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52376204"/>
    <w:multiLevelType w:val="hybridMultilevel"/>
    <w:tmpl w:val="D56E8298"/>
    <w:lvl w:ilvl="0" w:tplc="832CB5FA">
      <w:start w:val="6"/>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2955DD3"/>
    <w:multiLevelType w:val="multilevel"/>
    <w:tmpl w:val="153870A2"/>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024A48"/>
    <w:multiLevelType w:val="multilevel"/>
    <w:tmpl w:val="F3AE0E6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16490B"/>
    <w:multiLevelType w:val="hybridMultilevel"/>
    <w:tmpl w:val="3C588534"/>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19C7C20"/>
    <w:multiLevelType w:val="hybridMultilevel"/>
    <w:tmpl w:val="2316667A"/>
    <w:lvl w:ilvl="0" w:tplc="372AD378">
      <w:start w:val="1"/>
      <w:numFmt w:val="lowerLetter"/>
      <w:lvlText w:val="%1)"/>
      <w:lvlJc w:val="left"/>
      <w:pPr>
        <w:ind w:left="680" w:hanging="360"/>
      </w:pPr>
      <w:rPr>
        <w:rFonts w:hint="default"/>
      </w:rPr>
    </w:lvl>
    <w:lvl w:ilvl="1" w:tplc="04180019" w:tentative="1">
      <w:start w:val="1"/>
      <w:numFmt w:val="lowerLetter"/>
      <w:lvlText w:val="%2."/>
      <w:lvlJc w:val="left"/>
      <w:pPr>
        <w:ind w:left="1400" w:hanging="360"/>
      </w:pPr>
    </w:lvl>
    <w:lvl w:ilvl="2" w:tplc="0418001B" w:tentative="1">
      <w:start w:val="1"/>
      <w:numFmt w:val="lowerRoman"/>
      <w:lvlText w:val="%3."/>
      <w:lvlJc w:val="right"/>
      <w:pPr>
        <w:ind w:left="2120" w:hanging="180"/>
      </w:pPr>
    </w:lvl>
    <w:lvl w:ilvl="3" w:tplc="0418000F" w:tentative="1">
      <w:start w:val="1"/>
      <w:numFmt w:val="decimal"/>
      <w:lvlText w:val="%4."/>
      <w:lvlJc w:val="left"/>
      <w:pPr>
        <w:ind w:left="2840" w:hanging="360"/>
      </w:pPr>
    </w:lvl>
    <w:lvl w:ilvl="4" w:tplc="04180019" w:tentative="1">
      <w:start w:val="1"/>
      <w:numFmt w:val="lowerLetter"/>
      <w:lvlText w:val="%5."/>
      <w:lvlJc w:val="left"/>
      <w:pPr>
        <w:ind w:left="3560" w:hanging="360"/>
      </w:pPr>
    </w:lvl>
    <w:lvl w:ilvl="5" w:tplc="0418001B" w:tentative="1">
      <w:start w:val="1"/>
      <w:numFmt w:val="lowerRoman"/>
      <w:lvlText w:val="%6."/>
      <w:lvlJc w:val="right"/>
      <w:pPr>
        <w:ind w:left="4280" w:hanging="180"/>
      </w:pPr>
    </w:lvl>
    <w:lvl w:ilvl="6" w:tplc="0418000F" w:tentative="1">
      <w:start w:val="1"/>
      <w:numFmt w:val="decimal"/>
      <w:lvlText w:val="%7."/>
      <w:lvlJc w:val="left"/>
      <w:pPr>
        <w:ind w:left="5000" w:hanging="360"/>
      </w:pPr>
    </w:lvl>
    <w:lvl w:ilvl="7" w:tplc="04180019" w:tentative="1">
      <w:start w:val="1"/>
      <w:numFmt w:val="lowerLetter"/>
      <w:lvlText w:val="%8."/>
      <w:lvlJc w:val="left"/>
      <w:pPr>
        <w:ind w:left="5720" w:hanging="360"/>
      </w:pPr>
    </w:lvl>
    <w:lvl w:ilvl="8" w:tplc="0418001B" w:tentative="1">
      <w:start w:val="1"/>
      <w:numFmt w:val="lowerRoman"/>
      <w:lvlText w:val="%9."/>
      <w:lvlJc w:val="right"/>
      <w:pPr>
        <w:ind w:left="6440" w:hanging="180"/>
      </w:pPr>
    </w:lvl>
  </w:abstractNum>
  <w:abstractNum w:abstractNumId="15" w15:restartNumberingAfterBreak="0">
    <w:nsid w:val="64B07651"/>
    <w:multiLevelType w:val="multilevel"/>
    <w:tmpl w:val="96A4B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0A4B24"/>
    <w:multiLevelType w:val="multilevel"/>
    <w:tmpl w:val="E80A4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AF5156"/>
    <w:multiLevelType w:val="multilevel"/>
    <w:tmpl w:val="448CF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E820A5"/>
    <w:multiLevelType w:val="hybridMultilevel"/>
    <w:tmpl w:val="C720CDC2"/>
    <w:lvl w:ilvl="0" w:tplc="0418000F">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15"/>
  </w:num>
  <w:num w:numId="4">
    <w:abstractNumId w:val="10"/>
  </w:num>
  <w:num w:numId="5">
    <w:abstractNumId w:val="9"/>
  </w:num>
  <w:num w:numId="6">
    <w:abstractNumId w:val="8"/>
  </w:num>
  <w:num w:numId="7">
    <w:abstractNumId w:val="12"/>
  </w:num>
  <w:num w:numId="8">
    <w:abstractNumId w:val="0"/>
  </w:num>
  <w:num w:numId="9">
    <w:abstractNumId w:val="11"/>
  </w:num>
  <w:num w:numId="10">
    <w:abstractNumId w:val="1"/>
  </w:num>
  <w:num w:numId="11">
    <w:abstractNumId w:val="4"/>
  </w:num>
  <w:num w:numId="12">
    <w:abstractNumId w:val="16"/>
  </w:num>
  <w:num w:numId="13">
    <w:abstractNumId w:val="17"/>
  </w:num>
  <w:num w:numId="14">
    <w:abstractNumId w:val="18"/>
  </w:num>
  <w:num w:numId="15">
    <w:abstractNumId w:val="6"/>
  </w:num>
  <w:num w:numId="16">
    <w:abstractNumId w:val="13"/>
  </w:num>
  <w:num w:numId="17">
    <w:abstractNumId w:val="14"/>
  </w:num>
  <w:num w:numId="18">
    <w:abstractNumId w:val="7"/>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A8"/>
    <w:rsid w:val="00000808"/>
    <w:rsid w:val="00006312"/>
    <w:rsid w:val="000220BD"/>
    <w:rsid w:val="000402B7"/>
    <w:rsid w:val="00051563"/>
    <w:rsid w:val="00052B7D"/>
    <w:rsid w:val="000603E5"/>
    <w:rsid w:val="00060F2C"/>
    <w:rsid w:val="0006246A"/>
    <w:rsid w:val="00066F61"/>
    <w:rsid w:val="00080A3C"/>
    <w:rsid w:val="00082740"/>
    <w:rsid w:val="00084498"/>
    <w:rsid w:val="00090BA9"/>
    <w:rsid w:val="000A0677"/>
    <w:rsid w:val="000B234D"/>
    <w:rsid w:val="000C7C7C"/>
    <w:rsid w:val="000C7D00"/>
    <w:rsid w:val="000D2023"/>
    <w:rsid w:val="001026A1"/>
    <w:rsid w:val="00106BC7"/>
    <w:rsid w:val="00121FC2"/>
    <w:rsid w:val="00140D6C"/>
    <w:rsid w:val="00144598"/>
    <w:rsid w:val="001460A5"/>
    <w:rsid w:val="00153701"/>
    <w:rsid w:val="00154DB2"/>
    <w:rsid w:val="00162AD2"/>
    <w:rsid w:val="00164ECF"/>
    <w:rsid w:val="001D1A9E"/>
    <w:rsid w:val="001D25C7"/>
    <w:rsid w:val="001D484D"/>
    <w:rsid w:val="001D79CF"/>
    <w:rsid w:val="00203A8B"/>
    <w:rsid w:val="00233D2D"/>
    <w:rsid w:val="00234CAD"/>
    <w:rsid w:val="0024447C"/>
    <w:rsid w:val="0025455D"/>
    <w:rsid w:val="002A2C05"/>
    <w:rsid w:val="002A6018"/>
    <w:rsid w:val="002C465B"/>
    <w:rsid w:val="002C7ED8"/>
    <w:rsid w:val="002D04E6"/>
    <w:rsid w:val="002D4266"/>
    <w:rsid w:val="002E4B8F"/>
    <w:rsid w:val="003051BF"/>
    <w:rsid w:val="00327FD7"/>
    <w:rsid w:val="00343D09"/>
    <w:rsid w:val="00346780"/>
    <w:rsid w:val="003841E2"/>
    <w:rsid w:val="00385665"/>
    <w:rsid w:val="00396AD3"/>
    <w:rsid w:val="003B440D"/>
    <w:rsid w:val="003D0351"/>
    <w:rsid w:val="003D16E2"/>
    <w:rsid w:val="003E0866"/>
    <w:rsid w:val="003E0A9C"/>
    <w:rsid w:val="003E23F3"/>
    <w:rsid w:val="003E30A8"/>
    <w:rsid w:val="003F7064"/>
    <w:rsid w:val="003F717B"/>
    <w:rsid w:val="0040648A"/>
    <w:rsid w:val="00417158"/>
    <w:rsid w:val="00446821"/>
    <w:rsid w:val="00455040"/>
    <w:rsid w:val="00470ED1"/>
    <w:rsid w:val="00475F43"/>
    <w:rsid w:val="004774CD"/>
    <w:rsid w:val="00490C2E"/>
    <w:rsid w:val="004C6AFD"/>
    <w:rsid w:val="004C701E"/>
    <w:rsid w:val="004D3165"/>
    <w:rsid w:val="004E3307"/>
    <w:rsid w:val="004E4E1C"/>
    <w:rsid w:val="004F2F17"/>
    <w:rsid w:val="00504B0D"/>
    <w:rsid w:val="00506A7F"/>
    <w:rsid w:val="005265DD"/>
    <w:rsid w:val="00527863"/>
    <w:rsid w:val="00530A45"/>
    <w:rsid w:val="005323BF"/>
    <w:rsid w:val="00535CBE"/>
    <w:rsid w:val="00542919"/>
    <w:rsid w:val="00544081"/>
    <w:rsid w:val="005653B3"/>
    <w:rsid w:val="00567267"/>
    <w:rsid w:val="00571BE1"/>
    <w:rsid w:val="00583852"/>
    <w:rsid w:val="005913AD"/>
    <w:rsid w:val="005B5408"/>
    <w:rsid w:val="005C0426"/>
    <w:rsid w:val="005C17FF"/>
    <w:rsid w:val="005C56A2"/>
    <w:rsid w:val="005D4DCB"/>
    <w:rsid w:val="005E4E48"/>
    <w:rsid w:val="005E503A"/>
    <w:rsid w:val="005F4626"/>
    <w:rsid w:val="00603EAF"/>
    <w:rsid w:val="00605BFA"/>
    <w:rsid w:val="00616ABB"/>
    <w:rsid w:val="00616B92"/>
    <w:rsid w:val="00621703"/>
    <w:rsid w:val="00626639"/>
    <w:rsid w:val="006359B0"/>
    <w:rsid w:val="006371D4"/>
    <w:rsid w:val="00642F9B"/>
    <w:rsid w:val="00645364"/>
    <w:rsid w:val="00650FFF"/>
    <w:rsid w:val="006558AC"/>
    <w:rsid w:val="00656C13"/>
    <w:rsid w:val="00661DB7"/>
    <w:rsid w:val="00666029"/>
    <w:rsid w:val="0066602C"/>
    <w:rsid w:val="00666A58"/>
    <w:rsid w:val="006752BF"/>
    <w:rsid w:val="00693495"/>
    <w:rsid w:val="006967F4"/>
    <w:rsid w:val="006A2BAB"/>
    <w:rsid w:val="006A38D3"/>
    <w:rsid w:val="006C2BAB"/>
    <w:rsid w:val="006D2591"/>
    <w:rsid w:val="006E0A92"/>
    <w:rsid w:val="006E1D5F"/>
    <w:rsid w:val="006E2C8A"/>
    <w:rsid w:val="006F0713"/>
    <w:rsid w:val="007036E7"/>
    <w:rsid w:val="007058AE"/>
    <w:rsid w:val="00724B95"/>
    <w:rsid w:val="007261C2"/>
    <w:rsid w:val="007262F8"/>
    <w:rsid w:val="007313AA"/>
    <w:rsid w:val="00734436"/>
    <w:rsid w:val="00736C31"/>
    <w:rsid w:val="007469C9"/>
    <w:rsid w:val="00752A97"/>
    <w:rsid w:val="007604FD"/>
    <w:rsid w:val="007608B6"/>
    <w:rsid w:val="00762630"/>
    <w:rsid w:val="00770ABD"/>
    <w:rsid w:val="00796801"/>
    <w:rsid w:val="007B4FB1"/>
    <w:rsid w:val="007C0349"/>
    <w:rsid w:val="007C1E2C"/>
    <w:rsid w:val="007C4FBF"/>
    <w:rsid w:val="007C5D91"/>
    <w:rsid w:val="007C7B70"/>
    <w:rsid w:val="007D0BFC"/>
    <w:rsid w:val="007D58E8"/>
    <w:rsid w:val="007D6960"/>
    <w:rsid w:val="007D74CF"/>
    <w:rsid w:val="007E0027"/>
    <w:rsid w:val="007E05D9"/>
    <w:rsid w:val="007E0D5C"/>
    <w:rsid w:val="007E67CF"/>
    <w:rsid w:val="007F2497"/>
    <w:rsid w:val="00802335"/>
    <w:rsid w:val="008041EB"/>
    <w:rsid w:val="00804E64"/>
    <w:rsid w:val="00832975"/>
    <w:rsid w:val="008428F0"/>
    <w:rsid w:val="00850891"/>
    <w:rsid w:val="00852B7B"/>
    <w:rsid w:val="00861021"/>
    <w:rsid w:val="008728E0"/>
    <w:rsid w:val="00872B8E"/>
    <w:rsid w:val="008903FF"/>
    <w:rsid w:val="00890693"/>
    <w:rsid w:val="008A49EB"/>
    <w:rsid w:val="008B3152"/>
    <w:rsid w:val="008C2CE4"/>
    <w:rsid w:val="008C7399"/>
    <w:rsid w:val="008C7CC9"/>
    <w:rsid w:val="008D04C0"/>
    <w:rsid w:val="008D41A2"/>
    <w:rsid w:val="008E5C6D"/>
    <w:rsid w:val="0090116B"/>
    <w:rsid w:val="00901EAB"/>
    <w:rsid w:val="0090686E"/>
    <w:rsid w:val="00907909"/>
    <w:rsid w:val="00910E3B"/>
    <w:rsid w:val="00913AF7"/>
    <w:rsid w:val="00922C8E"/>
    <w:rsid w:val="00930824"/>
    <w:rsid w:val="00937F04"/>
    <w:rsid w:val="0094018E"/>
    <w:rsid w:val="00944FA5"/>
    <w:rsid w:val="009450C4"/>
    <w:rsid w:val="0095188E"/>
    <w:rsid w:val="00951A33"/>
    <w:rsid w:val="009642E3"/>
    <w:rsid w:val="009674B9"/>
    <w:rsid w:val="00972539"/>
    <w:rsid w:val="00985827"/>
    <w:rsid w:val="0098768D"/>
    <w:rsid w:val="009A2D60"/>
    <w:rsid w:val="009D0B4C"/>
    <w:rsid w:val="009E4D6A"/>
    <w:rsid w:val="009E5696"/>
    <w:rsid w:val="009F7272"/>
    <w:rsid w:val="00A04809"/>
    <w:rsid w:val="00A049A9"/>
    <w:rsid w:val="00A15AE1"/>
    <w:rsid w:val="00A178EC"/>
    <w:rsid w:val="00A207CF"/>
    <w:rsid w:val="00A20908"/>
    <w:rsid w:val="00A244E9"/>
    <w:rsid w:val="00A43A70"/>
    <w:rsid w:val="00A53E94"/>
    <w:rsid w:val="00A57B15"/>
    <w:rsid w:val="00A810EA"/>
    <w:rsid w:val="00A87865"/>
    <w:rsid w:val="00A96FB0"/>
    <w:rsid w:val="00AB1E0C"/>
    <w:rsid w:val="00AB2380"/>
    <w:rsid w:val="00AB272F"/>
    <w:rsid w:val="00AB33D8"/>
    <w:rsid w:val="00AB6237"/>
    <w:rsid w:val="00AC295D"/>
    <w:rsid w:val="00AD0DD2"/>
    <w:rsid w:val="00AD181A"/>
    <w:rsid w:val="00AE4366"/>
    <w:rsid w:val="00AF38C7"/>
    <w:rsid w:val="00AF7906"/>
    <w:rsid w:val="00B00638"/>
    <w:rsid w:val="00B16647"/>
    <w:rsid w:val="00B34988"/>
    <w:rsid w:val="00B4271B"/>
    <w:rsid w:val="00B43A70"/>
    <w:rsid w:val="00B47E9B"/>
    <w:rsid w:val="00B5615F"/>
    <w:rsid w:val="00B77781"/>
    <w:rsid w:val="00BA1CC1"/>
    <w:rsid w:val="00BB601E"/>
    <w:rsid w:val="00BB736A"/>
    <w:rsid w:val="00BC0993"/>
    <w:rsid w:val="00BC4B45"/>
    <w:rsid w:val="00BC4D1E"/>
    <w:rsid w:val="00BC79FE"/>
    <w:rsid w:val="00BD7780"/>
    <w:rsid w:val="00BE05A8"/>
    <w:rsid w:val="00BE4843"/>
    <w:rsid w:val="00C125CC"/>
    <w:rsid w:val="00C14EE0"/>
    <w:rsid w:val="00C17C19"/>
    <w:rsid w:val="00C25457"/>
    <w:rsid w:val="00C434C0"/>
    <w:rsid w:val="00C43CF1"/>
    <w:rsid w:val="00C44FA5"/>
    <w:rsid w:val="00C6397D"/>
    <w:rsid w:val="00C8135B"/>
    <w:rsid w:val="00C84CDB"/>
    <w:rsid w:val="00C8582B"/>
    <w:rsid w:val="00C92E97"/>
    <w:rsid w:val="00C9350E"/>
    <w:rsid w:val="00CA298B"/>
    <w:rsid w:val="00CA2C5F"/>
    <w:rsid w:val="00CB25C0"/>
    <w:rsid w:val="00CB33CF"/>
    <w:rsid w:val="00CE0E61"/>
    <w:rsid w:val="00CF1F0C"/>
    <w:rsid w:val="00D17ECC"/>
    <w:rsid w:val="00D204B4"/>
    <w:rsid w:val="00D20896"/>
    <w:rsid w:val="00D2171D"/>
    <w:rsid w:val="00D31070"/>
    <w:rsid w:val="00D50EC0"/>
    <w:rsid w:val="00D5678C"/>
    <w:rsid w:val="00D637F4"/>
    <w:rsid w:val="00D77157"/>
    <w:rsid w:val="00D801CD"/>
    <w:rsid w:val="00D85CB7"/>
    <w:rsid w:val="00D964FF"/>
    <w:rsid w:val="00DA6301"/>
    <w:rsid w:val="00DD6472"/>
    <w:rsid w:val="00DD6648"/>
    <w:rsid w:val="00DE1032"/>
    <w:rsid w:val="00DE7C20"/>
    <w:rsid w:val="00DE7CB0"/>
    <w:rsid w:val="00E249D5"/>
    <w:rsid w:val="00E32C79"/>
    <w:rsid w:val="00E426ED"/>
    <w:rsid w:val="00E45746"/>
    <w:rsid w:val="00E50B8F"/>
    <w:rsid w:val="00E64933"/>
    <w:rsid w:val="00E6789F"/>
    <w:rsid w:val="00E7096E"/>
    <w:rsid w:val="00E73AA8"/>
    <w:rsid w:val="00E82876"/>
    <w:rsid w:val="00E82F25"/>
    <w:rsid w:val="00E93F74"/>
    <w:rsid w:val="00EA6834"/>
    <w:rsid w:val="00EE737F"/>
    <w:rsid w:val="00EF3E21"/>
    <w:rsid w:val="00EF6A76"/>
    <w:rsid w:val="00EF6C14"/>
    <w:rsid w:val="00F05DF6"/>
    <w:rsid w:val="00F231D9"/>
    <w:rsid w:val="00F36E77"/>
    <w:rsid w:val="00F42958"/>
    <w:rsid w:val="00F522D8"/>
    <w:rsid w:val="00F64128"/>
    <w:rsid w:val="00F668C4"/>
    <w:rsid w:val="00F73EDC"/>
    <w:rsid w:val="00FA671A"/>
    <w:rsid w:val="00FB2E63"/>
    <w:rsid w:val="00FD0CC8"/>
    <w:rsid w:val="00FD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8204"/>
  <w15:chartTrackingRefBased/>
  <w15:docId w15:val="{88052087-9EFB-4C56-931F-60A96092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0A8"/>
    <w:rPr>
      <w:lang w:val="ro-RO"/>
    </w:rPr>
  </w:style>
  <w:style w:type="paragraph" w:styleId="Titlu4">
    <w:name w:val="heading 4"/>
    <w:basedOn w:val="Normal"/>
    <w:link w:val="Titlu4Caracter"/>
    <w:uiPriority w:val="9"/>
    <w:qFormat/>
    <w:rsid w:val="00D964FF"/>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3E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12)_"/>
    <w:basedOn w:val="Fontdeparagrafimplicit"/>
    <w:link w:val="120"/>
    <w:rsid w:val="003E30A8"/>
    <w:rPr>
      <w:rFonts w:ascii="Calibri" w:eastAsia="Calibri" w:hAnsi="Calibri" w:cs="Calibri"/>
      <w:sz w:val="20"/>
      <w:szCs w:val="20"/>
      <w:shd w:val="clear" w:color="auto" w:fill="FFFFFF"/>
    </w:rPr>
  </w:style>
  <w:style w:type="character" w:customStyle="1" w:styleId="1211pt">
    <w:name w:val="Основной текст (12) + 11 pt;Курсив"/>
    <w:basedOn w:val="12"/>
    <w:rsid w:val="003E30A8"/>
    <w:rPr>
      <w:rFonts w:ascii="Calibri" w:eastAsia="Calibri" w:hAnsi="Calibri" w:cs="Calibri"/>
      <w:i/>
      <w:iCs/>
      <w:spacing w:val="2"/>
      <w:sz w:val="21"/>
      <w:szCs w:val="21"/>
      <w:shd w:val="clear" w:color="auto" w:fill="FFFFFF"/>
    </w:rPr>
  </w:style>
  <w:style w:type="paragraph" w:customStyle="1" w:styleId="120">
    <w:name w:val="Основной текст (12)"/>
    <w:basedOn w:val="Normal"/>
    <w:link w:val="12"/>
    <w:rsid w:val="003E30A8"/>
    <w:pPr>
      <w:shd w:val="clear" w:color="auto" w:fill="FFFFFF"/>
      <w:spacing w:before="120" w:after="240" w:line="270" w:lineRule="exact"/>
      <w:jc w:val="both"/>
    </w:pPr>
    <w:rPr>
      <w:rFonts w:ascii="Calibri" w:eastAsia="Calibri" w:hAnsi="Calibri" w:cs="Calibri"/>
      <w:sz w:val="20"/>
      <w:szCs w:val="20"/>
      <w:lang w:val="en-US"/>
    </w:rPr>
  </w:style>
  <w:style w:type="character" w:customStyle="1" w:styleId="11">
    <w:name w:val="Основной текст (11)_"/>
    <w:basedOn w:val="Fontdeparagrafimplicit"/>
    <w:link w:val="110"/>
    <w:rsid w:val="003E30A8"/>
    <w:rPr>
      <w:rFonts w:ascii="Calibri" w:eastAsia="Calibri" w:hAnsi="Calibri" w:cs="Calibri"/>
      <w:shd w:val="clear" w:color="auto" w:fill="FFFFFF"/>
    </w:rPr>
  </w:style>
  <w:style w:type="paragraph" w:customStyle="1" w:styleId="110">
    <w:name w:val="Основной текст (11)"/>
    <w:basedOn w:val="Normal"/>
    <w:link w:val="11"/>
    <w:rsid w:val="003E30A8"/>
    <w:pPr>
      <w:shd w:val="clear" w:color="auto" w:fill="FFFFFF"/>
      <w:spacing w:before="240" w:after="540" w:line="0" w:lineRule="atLeast"/>
      <w:jc w:val="both"/>
    </w:pPr>
    <w:rPr>
      <w:rFonts w:ascii="Calibri" w:eastAsia="Calibri" w:hAnsi="Calibri" w:cs="Calibri"/>
      <w:lang w:val="en-US"/>
    </w:rPr>
  </w:style>
  <w:style w:type="character" w:customStyle="1" w:styleId="9">
    <w:name w:val="Основной текст (9)"/>
    <w:basedOn w:val="Fontdeparagrafimplicit"/>
    <w:rsid w:val="003E30A8"/>
    <w:rPr>
      <w:rFonts w:ascii="Calibri" w:eastAsia="Calibri" w:hAnsi="Calibri" w:cs="Calibri"/>
      <w:b w:val="0"/>
      <w:bCs w:val="0"/>
      <w:i w:val="0"/>
      <w:iCs w:val="0"/>
      <w:smallCaps w:val="0"/>
      <w:strike w:val="0"/>
      <w:spacing w:val="-2"/>
      <w:sz w:val="22"/>
      <w:szCs w:val="22"/>
      <w:u w:val="single"/>
    </w:rPr>
  </w:style>
  <w:style w:type="character" w:customStyle="1" w:styleId="4">
    <w:name w:val="Заголовок №4_"/>
    <w:basedOn w:val="Fontdeparagrafimplicit"/>
    <w:link w:val="40"/>
    <w:rsid w:val="003E30A8"/>
    <w:rPr>
      <w:rFonts w:ascii="Calibri" w:eastAsia="Calibri" w:hAnsi="Calibri" w:cs="Calibri"/>
      <w:shd w:val="clear" w:color="auto" w:fill="FFFFFF"/>
    </w:rPr>
  </w:style>
  <w:style w:type="character" w:customStyle="1" w:styleId="a">
    <w:name w:val="Основной текст_"/>
    <w:basedOn w:val="Fontdeparagrafimplicit"/>
    <w:link w:val="1"/>
    <w:rsid w:val="003E30A8"/>
    <w:rPr>
      <w:rFonts w:ascii="Calibri" w:eastAsia="Calibri" w:hAnsi="Calibri" w:cs="Calibri"/>
      <w:spacing w:val="1"/>
      <w:sz w:val="21"/>
      <w:szCs w:val="21"/>
      <w:shd w:val="clear" w:color="auto" w:fill="FFFFFF"/>
    </w:rPr>
  </w:style>
  <w:style w:type="character" w:customStyle="1" w:styleId="a0">
    <w:name w:val="Основной текст + Курсив"/>
    <w:basedOn w:val="a"/>
    <w:rsid w:val="003E30A8"/>
    <w:rPr>
      <w:rFonts w:ascii="Calibri" w:eastAsia="Calibri" w:hAnsi="Calibri" w:cs="Calibri"/>
      <w:i/>
      <w:iCs/>
      <w:spacing w:val="2"/>
      <w:sz w:val="21"/>
      <w:szCs w:val="21"/>
      <w:shd w:val="clear" w:color="auto" w:fill="FFFFFF"/>
    </w:rPr>
  </w:style>
  <w:style w:type="paragraph" w:customStyle="1" w:styleId="40">
    <w:name w:val="Заголовок №4"/>
    <w:basedOn w:val="Normal"/>
    <w:link w:val="4"/>
    <w:rsid w:val="003E30A8"/>
    <w:pPr>
      <w:shd w:val="clear" w:color="auto" w:fill="FFFFFF"/>
      <w:spacing w:before="600" w:after="780" w:line="0" w:lineRule="atLeast"/>
      <w:outlineLvl w:val="3"/>
    </w:pPr>
    <w:rPr>
      <w:rFonts w:ascii="Calibri" w:eastAsia="Calibri" w:hAnsi="Calibri" w:cs="Calibri"/>
      <w:lang w:val="en-US"/>
    </w:rPr>
  </w:style>
  <w:style w:type="paragraph" w:customStyle="1" w:styleId="1">
    <w:name w:val="Основной текст1"/>
    <w:basedOn w:val="Normal"/>
    <w:link w:val="a"/>
    <w:rsid w:val="003E30A8"/>
    <w:pPr>
      <w:shd w:val="clear" w:color="auto" w:fill="FFFFFF"/>
      <w:spacing w:before="480" w:after="480" w:line="292" w:lineRule="exact"/>
      <w:jc w:val="both"/>
    </w:pPr>
    <w:rPr>
      <w:rFonts w:ascii="Calibri" w:eastAsia="Calibri" w:hAnsi="Calibri" w:cs="Calibri"/>
      <w:spacing w:val="1"/>
      <w:sz w:val="21"/>
      <w:szCs w:val="21"/>
      <w:lang w:val="en-US"/>
    </w:rPr>
  </w:style>
  <w:style w:type="character" w:customStyle="1" w:styleId="13">
    <w:name w:val="Основной текст (13)_"/>
    <w:basedOn w:val="Fontdeparagrafimplicit"/>
    <w:link w:val="130"/>
    <w:rsid w:val="003E30A8"/>
    <w:rPr>
      <w:rFonts w:ascii="Calibri" w:eastAsia="Calibri" w:hAnsi="Calibri" w:cs="Calibri"/>
      <w:spacing w:val="3"/>
      <w:sz w:val="29"/>
      <w:szCs w:val="29"/>
      <w:shd w:val="clear" w:color="auto" w:fill="FFFFFF"/>
    </w:rPr>
  </w:style>
  <w:style w:type="paragraph" w:customStyle="1" w:styleId="130">
    <w:name w:val="Основной текст (13)"/>
    <w:basedOn w:val="Normal"/>
    <w:link w:val="13"/>
    <w:rsid w:val="003E30A8"/>
    <w:pPr>
      <w:shd w:val="clear" w:color="auto" w:fill="FFFFFF"/>
      <w:spacing w:before="960" w:after="360" w:line="0" w:lineRule="atLeast"/>
    </w:pPr>
    <w:rPr>
      <w:rFonts w:ascii="Calibri" w:eastAsia="Calibri" w:hAnsi="Calibri" w:cs="Calibri"/>
      <w:spacing w:val="3"/>
      <w:sz w:val="29"/>
      <w:szCs w:val="29"/>
      <w:lang w:val="en-US"/>
    </w:rPr>
  </w:style>
  <w:style w:type="character" w:customStyle="1" w:styleId="115pt0pt">
    <w:name w:val="Основной текст + 11;5 pt;Курсив;Интервал 0 pt"/>
    <w:basedOn w:val="a"/>
    <w:rsid w:val="006A38D3"/>
    <w:rPr>
      <w:rFonts w:ascii="Times New Roman" w:eastAsia="Times New Roman" w:hAnsi="Times New Roman" w:cs="Times New Roman"/>
      <w:b w:val="0"/>
      <w:bCs w:val="0"/>
      <w:i/>
      <w:iCs/>
      <w:smallCaps w:val="0"/>
      <w:strike w:val="0"/>
      <w:spacing w:val="5"/>
      <w:sz w:val="22"/>
      <w:szCs w:val="22"/>
      <w:shd w:val="clear" w:color="auto" w:fill="FFFFFF"/>
    </w:rPr>
  </w:style>
  <w:style w:type="paragraph" w:customStyle="1" w:styleId="2">
    <w:name w:val="Основной текст2"/>
    <w:basedOn w:val="Normal"/>
    <w:rsid w:val="006A38D3"/>
    <w:pPr>
      <w:shd w:val="clear" w:color="auto" w:fill="FFFFFF"/>
      <w:spacing w:after="0" w:line="0" w:lineRule="atLeast"/>
    </w:pPr>
    <w:rPr>
      <w:rFonts w:ascii="Times New Roman" w:eastAsia="Times New Roman" w:hAnsi="Times New Roman" w:cs="Times New Roman"/>
      <w:color w:val="000000"/>
      <w:spacing w:val="13"/>
      <w:sz w:val="21"/>
      <w:szCs w:val="21"/>
      <w:lang w:val="ro" w:eastAsia="ro-RO"/>
    </w:rPr>
  </w:style>
  <w:style w:type="character" w:customStyle="1" w:styleId="5">
    <w:name w:val="Основной текст (5)_"/>
    <w:basedOn w:val="Fontdeparagrafimplicit"/>
    <w:link w:val="50"/>
    <w:rsid w:val="006A38D3"/>
    <w:rPr>
      <w:rFonts w:ascii="Arial" w:eastAsia="Arial" w:hAnsi="Arial" w:cs="Arial"/>
      <w:sz w:val="8"/>
      <w:szCs w:val="8"/>
      <w:shd w:val="clear" w:color="auto" w:fill="FFFFFF"/>
    </w:rPr>
  </w:style>
  <w:style w:type="paragraph" w:customStyle="1" w:styleId="50">
    <w:name w:val="Основной текст (5)"/>
    <w:basedOn w:val="Normal"/>
    <w:link w:val="5"/>
    <w:rsid w:val="006A38D3"/>
    <w:pPr>
      <w:shd w:val="clear" w:color="auto" w:fill="FFFFFF"/>
      <w:spacing w:after="0" w:line="0" w:lineRule="atLeast"/>
    </w:pPr>
    <w:rPr>
      <w:rFonts w:ascii="Arial" w:eastAsia="Arial" w:hAnsi="Arial" w:cs="Arial"/>
      <w:sz w:val="8"/>
      <w:szCs w:val="8"/>
      <w:lang w:val="en-US"/>
    </w:rPr>
  </w:style>
  <w:style w:type="paragraph" w:customStyle="1" w:styleId="cb">
    <w:name w:val="cb"/>
    <w:basedOn w:val="Normal"/>
    <w:rsid w:val="008C7399"/>
    <w:pPr>
      <w:spacing w:after="0" w:line="240" w:lineRule="auto"/>
      <w:jc w:val="center"/>
    </w:pPr>
    <w:rPr>
      <w:rFonts w:ascii="Times New Roman" w:eastAsia="Times New Roman" w:hAnsi="Times New Roman" w:cs="Times New Roman"/>
      <w:b/>
      <w:bCs/>
      <w:sz w:val="24"/>
      <w:szCs w:val="24"/>
      <w:lang w:val="ru-RU" w:eastAsia="ru-RU"/>
    </w:rPr>
  </w:style>
  <w:style w:type="character" w:styleId="Robust">
    <w:name w:val="Strong"/>
    <w:basedOn w:val="Fontdeparagrafimplicit"/>
    <w:uiPriority w:val="22"/>
    <w:qFormat/>
    <w:rsid w:val="004774CD"/>
    <w:rPr>
      <w:b/>
      <w:bCs/>
    </w:rPr>
  </w:style>
  <w:style w:type="paragraph" w:styleId="Listparagraf">
    <w:name w:val="List Paragraph"/>
    <w:aliases w:val="HotarirePunct1"/>
    <w:basedOn w:val="Normal"/>
    <w:uiPriority w:val="34"/>
    <w:qFormat/>
    <w:rsid w:val="00583852"/>
    <w:pPr>
      <w:ind w:left="720"/>
      <w:contextualSpacing/>
    </w:pPr>
  </w:style>
  <w:style w:type="character" w:customStyle="1" w:styleId="3">
    <w:name w:val="Заголовок №3_"/>
    <w:basedOn w:val="Fontdeparagrafimplicit"/>
    <w:link w:val="30"/>
    <w:rsid w:val="001D484D"/>
    <w:rPr>
      <w:rFonts w:ascii="Times New Roman" w:eastAsia="Times New Roman" w:hAnsi="Times New Roman" w:cs="Times New Roman"/>
      <w:sz w:val="25"/>
      <w:szCs w:val="25"/>
      <w:shd w:val="clear" w:color="auto" w:fill="FFFFFF"/>
    </w:rPr>
  </w:style>
  <w:style w:type="paragraph" w:customStyle="1" w:styleId="30">
    <w:name w:val="Заголовок №3"/>
    <w:basedOn w:val="Normal"/>
    <w:link w:val="3"/>
    <w:rsid w:val="001D484D"/>
    <w:pPr>
      <w:shd w:val="clear" w:color="auto" w:fill="FFFFFF"/>
      <w:spacing w:before="420" w:after="420" w:line="327" w:lineRule="exact"/>
      <w:jc w:val="center"/>
      <w:outlineLvl w:val="2"/>
    </w:pPr>
    <w:rPr>
      <w:rFonts w:ascii="Times New Roman" w:eastAsia="Times New Roman" w:hAnsi="Times New Roman" w:cs="Times New Roman"/>
      <w:sz w:val="25"/>
      <w:szCs w:val="25"/>
      <w:lang w:val="en-US"/>
    </w:rPr>
  </w:style>
  <w:style w:type="character" w:customStyle="1" w:styleId="10">
    <w:name w:val="Заголовок №1"/>
    <w:basedOn w:val="Fontdeparagrafimplicit"/>
    <w:rsid w:val="00930824"/>
    <w:rPr>
      <w:rFonts w:ascii="Book Antiqua" w:eastAsia="Book Antiqua" w:hAnsi="Book Antiqua" w:cs="Book Antiqua"/>
      <w:b w:val="0"/>
      <w:bCs w:val="0"/>
      <w:i w:val="0"/>
      <w:iCs w:val="0"/>
      <w:smallCaps w:val="0"/>
      <w:strike w:val="0"/>
      <w:spacing w:val="-3"/>
      <w:sz w:val="17"/>
      <w:szCs w:val="17"/>
    </w:rPr>
  </w:style>
  <w:style w:type="character" w:styleId="Hyperlink">
    <w:name w:val="Hyperlink"/>
    <w:basedOn w:val="Fontdeparagrafimplicit"/>
    <w:uiPriority w:val="99"/>
    <w:unhideWhenUsed/>
    <w:rsid w:val="00BC0993"/>
    <w:rPr>
      <w:color w:val="0563C1" w:themeColor="hyperlink"/>
      <w:u w:val="single"/>
    </w:rPr>
  </w:style>
  <w:style w:type="character" w:customStyle="1" w:styleId="Bodytext2">
    <w:name w:val="Body text (2)_"/>
    <w:basedOn w:val="Fontdeparagrafimplicit"/>
    <w:link w:val="Bodytext20"/>
    <w:rsid w:val="0090116B"/>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90116B"/>
    <w:pPr>
      <w:widowControl w:val="0"/>
      <w:shd w:val="clear" w:color="auto" w:fill="FFFFFF"/>
      <w:spacing w:after="0" w:line="322" w:lineRule="exact"/>
      <w:jc w:val="both"/>
    </w:pPr>
    <w:rPr>
      <w:rFonts w:ascii="Times New Roman" w:eastAsia="Times New Roman" w:hAnsi="Times New Roman" w:cs="Times New Roman"/>
      <w:sz w:val="28"/>
      <w:szCs w:val="28"/>
      <w:lang w:val="en-US"/>
    </w:rPr>
  </w:style>
  <w:style w:type="character" w:customStyle="1" w:styleId="Bodytext5">
    <w:name w:val="Body text (5)_"/>
    <w:basedOn w:val="Fontdeparagrafimplicit"/>
    <w:link w:val="Bodytext50"/>
    <w:rsid w:val="0090116B"/>
    <w:rPr>
      <w:rFonts w:ascii="Times New Roman" w:eastAsia="Times New Roman" w:hAnsi="Times New Roman" w:cs="Times New Roman"/>
      <w:i/>
      <w:iCs/>
      <w:sz w:val="28"/>
      <w:szCs w:val="28"/>
      <w:shd w:val="clear" w:color="auto" w:fill="FFFFFF"/>
    </w:rPr>
  </w:style>
  <w:style w:type="paragraph" w:customStyle="1" w:styleId="Bodytext50">
    <w:name w:val="Body text (5)"/>
    <w:basedOn w:val="Normal"/>
    <w:link w:val="Bodytext5"/>
    <w:rsid w:val="0090116B"/>
    <w:pPr>
      <w:widowControl w:val="0"/>
      <w:shd w:val="clear" w:color="auto" w:fill="FFFFFF"/>
      <w:spacing w:before="480" w:after="0" w:line="322" w:lineRule="exact"/>
      <w:ind w:firstLine="400"/>
      <w:jc w:val="both"/>
    </w:pPr>
    <w:rPr>
      <w:rFonts w:ascii="Times New Roman" w:eastAsia="Times New Roman" w:hAnsi="Times New Roman" w:cs="Times New Roman"/>
      <w:i/>
      <w:iCs/>
      <w:sz w:val="28"/>
      <w:szCs w:val="28"/>
      <w:lang w:val="en-US"/>
    </w:rPr>
  </w:style>
  <w:style w:type="character" w:customStyle="1" w:styleId="Bodytext2Italic">
    <w:name w:val="Body text (2) + Italic"/>
    <w:basedOn w:val="Bodytext2"/>
    <w:rsid w:val="0090116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o-RO" w:eastAsia="ro-RO" w:bidi="ro-RO"/>
    </w:rPr>
  </w:style>
  <w:style w:type="character" w:customStyle="1" w:styleId="Bodytext2Bold">
    <w:name w:val="Body text (2) + Bold"/>
    <w:basedOn w:val="Bodytext2"/>
    <w:rsid w:val="0090116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o-RO" w:eastAsia="ro-RO" w:bidi="ro-RO"/>
    </w:rPr>
  </w:style>
  <w:style w:type="paragraph" w:styleId="NormalWeb">
    <w:name w:val="Normal (Web)"/>
    <w:basedOn w:val="Normal"/>
    <w:uiPriority w:val="99"/>
    <w:unhideWhenUsed/>
    <w:rsid w:val="005653B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4Caracter">
    <w:name w:val="Titlu 4 Caracter"/>
    <w:basedOn w:val="Fontdeparagrafimplicit"/>
    <w:link w:val="Titlu4"/>
    <w:uiPriority w:val="9"/>
    <w:rsid w:val="00D964FF"/>
    <w:rPr>
      <w:rFonts w:ascii="Times New Roman" w:eastAsia="Times New Roman" w:hAnsi="Times New Roman" w:cs="Times New Roman"/>
      <w:b/>
      <w:bCs/>
      <w:sz w:val="24"/>
      <w:szCs w:val="24"/>
      <w:lang w:val="ro-RO" w:eastAsia="ro-RO"/>
    </w:rPr>
  </w:style>
  <w:style w:type="paragraph" w:styleId="TextnBalon">
    <w:name w:val="Balloon Text"/>
    <w:basedOn w:val="Normal"/>
    <w:link w:val="TextnBalonCaracter"/>
    <w:uiPriority w:val="99"/>
    <w:semiHidden/>
    <w:unhideWhenUsed/>
    <w:rsid w:val="0038566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85665"/>
    <w:rPr>
      <w:rFonts w:ascii="Segoe UI" w:hAnsi="Segoe UI" w:cs="Segoe UI"/>
      <w:sz w:val="18"/>
      <w:szCs w:val="18"/>
      <w:lang w:val="ro-RO"/>
    </w:rPr>
  </w:style>
  <w:style w:type="character" w:customStyle="1" w:styleId="Bodytext9">
    <w:name w:val="Body text (9)_"/>
    <w:basedOn w:val="Fontdeparagrafimplicit"/>
    <w:link w:val="Bodytext90"/>
    <w:rsid w:val="0024447C"/>
    <w:rPr>
      <w:rFonts w:ascii="Times New Roman" w:eastAsia="Times New Roman" w:hAnsi="Times New Roman" w:cs="Times New Roman"/>
      <w:sz w:val="26"/>
      <w:szCs w:val="26"/>
      <w:shd w:val="clear" w:color="auto" w:fill="FFFFFF"/>
    </w:rPr>
  </w:style>
  <w:style w:type="character" w:customStyle="1" w:styleId="Bodytext10">
    <w:name w:val="Body text (10)_"/>
    <w:basedOn w:val="Fontdeparagrafimplicit"/>
    <w:rsid w:val="0024447C"/>
    <w:rPr>
      <w:rFonts w:ascii="Times New Roman" w:eastAsia="Times New Roman" w:hAnsi="Times New Roman" w:cs="Times New Roman"/>
      <w:b w:val="0"/>
      <w:bCs w:val="0"/>
      <w:i/>
      <w:iCs/>
      <w:smallCaps w:val="0"/>
      <w:strike w:val="0"/>
      <w:sz w:val="26"/>
      <w:szCs w:val="26"/>
      <w:u w:val="none"/>
    </w:rPr>
  </w:style>
  <w:style w:type="character" w:customStyle="1" w:styleId="Bodytext10NotItalic">
    <w:name w:val="Body text (10) + Not Italic"/>
    <w:basedOn w:val="Bodytext10"/>
    <w:rsid w:val="0024447C"/>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100">
    <w:name w:val="Body text (10)"/>
    <w:basedOn w:val="Bodytext10"/>
    <w:rsid w:val="0024447C"/>
    <w:rPr>
      <w:rFonts w:ascii="Times New Roman" w:eastAsia="Times New Roman" w:hAnsi="Times New Roman" w:cs="Times New Roman"/>
      <w:b w:val="0"/>
      <w:bCs w:val="0"/>
      <w:i/>
      <w:iCs/>
      <w:smallCaps w:val="0"/>
      <w:strike w:val="0"/>
      <w:color w:val="000000"/>
      <w:spacing w:val="0"/>
      <w:w w:val="100"/>
      <w:position w:val="0"/>
      <w:sz w:val="26"/>
      <w:szCs w:val="26"/>
      <w:u w:val="single"/>
      <w:lang w:val="ro-RO" w:eastAsia="ro-RO" w:bidi="ro-RO"/>
    </w:rPr>
  </w:style>
  <w:style w:type="paragraph" w:customStyle="1" w:styleId="Bodytext90">
    <w:name w:val="Body text (9)"/>
    <w:basedOn w:val="Normal"/>
    <w:link w:val="Bodytext9"/>
    <w:rsid w:val="0024447C"/>
    <w:pPr>
      <w:widowControl w:val="0"/>
      <w:shd w:val="clear" w:color="auto" w:fill="FFFFFF"/>
      <w:spacing w:before="480" w:after="0" w:line="298" w:lineRule="exact"/>
    </w:pPr>
    <w:rPr>
      <w:rFonts w:ascii="Times New Roman" w:eastAsia="Times New Roman" w:hAnsi="Times New Roman" w:cs="Times New Roman"/>
      <w:sz w:val="26"/>
      <w:szCs w:val="26"/>
      <w:lang w:val="en-US"/>
    </w:rPr>
  </w:style>
  <w:style w:type="character" w:customStyle="1" w:styleId="Bodytext9Italic">
    <w:name w:val="Body text (9) + Italic"/>
    <w:basedOn w:val="Bodytext9"/>
    <w:rsid w:val="0024447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Bodytext9Tahoma85ptItalic">
    <w:name w:val="Body text (9) + Tahoma;8;5 pt;Italic"/>
    <w:basedOn w:val="Bodytext9"/>
    <w:rsid w:val="0024447C"/>
    <w:rPr>
      <w:rFonts w:ascii="Tahoma" w:eastAsia="Tahoma" w:hAnsi="Tahoma" w:cs="Tahoma"/>
      <w:b/>
      <w:bCs/>
      <w:i/>
      <w:iCs/>
      <w:smallCaps w:val="0"/>
      <w:strike w:val="0"/>
      <w:color w:val="000000"/>
      <w:spacing w:val="0"/>
      <w:w w:val="100"/>
      <w:position w:val="0"/>
      <w:sz w:val="17"/>
      <w:szCs w:val="17"/>
      <w:u w:val="none"/>
      <w:shd w:val="clear" w:color="auto" w:fill="FFFFFF"/>
      <w:lang w:val="ro-RO" w:eastAsia="ro-RO" w:bidi="ro-RO"/>
    </w:rPr>
  </w:style>
  <w:style w:type="character" w:customStyle="1" w:styleId="Bodytext2115ptBoldItalic">
    <w:name w:val="Body text (2) + 11;5 pt;Bold;Italic"/>
    <w:basedOn w:val="Bodytext2"/>
    <w:rsid w:val="00A96FB0"/>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o-RO" w:eastAsia="ro-RO" w:bidi="ro-RO"/>
    </w:rPr>
  </w:style>
  <w:style w:type="character" w:customStyle="1" w:styleId="Bodytext213ptBold">
    <w:name w:val="Body text (2) + 13 pt;Bold"/>
    <w:basedOn w:val="Bodytext2"/>
    <w:rsid w:val="00A96FB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Bodytext12">
    <w:name w:val="Body text (12)_"/>
    <w:basedOn w:val="Fontdeparagrafimplicit"/>
    <w:link w:val="Bodytext120"/>
    <w:rsid w:val="00A96FB0"/>
    <w:rPr>
      <w:rFonts w:ascii="Times New Roman" w:eastAsia="Times New Roman" w:hAnsi="Times New Roman" w:cs="Times New Roman"/>
      <w:b/>
      <w:bCs/>
      <w:i/>
      <w:iCs/>
      <w:sz w:val="23"/>
      <w:szCs w:val="23"/>
      <w:shd w:val="clear" w:color="auto" w:fill="FFFFFF"/>
    </w:rPr>
  </w:style>
  <w:style w:type="paragraph" w:customStyle="1" w:styleId="Bodytext120">
    <w:name w:val="Body text (12)"/>
    <w:basedOn w:val="Normal"/>
    <w:link w:val="Bodytext12"/>
    <w:rsid w:val="00A96FB0"/>
    <w:pPr>
      <w:widowControl w:val="0"/>
      <w:shd w:val="clear" w:color="auto" w:fill="FFFFFF"/>
      <w:spacing w:before="780" w:after="420" w:line="0" w:lineRule="atLeast"/>
    </w:pPr>
    <w:rPr>
      <w:rFonts w:ascii="Times New Roman" w:eastAsia="Times New Roman" w:hAnsi="Times New Roman" w:cs="Times New Roman"/>
      <w:b/>
      <w:bCs/>
      <w:i/>
      <w:iCs/>
      <w:sz w:val="23"/>
      <w:szCs w:val="23"/>
      <w:lang w:val="en-US"/>
    </w:rPr>
  </w:style>
  <w:style w:type="character" w:customStyle="1" w:styleId="Heading33">
    <w:name w:val="Heading #3 (3)_"/>
    <w:basedOn w:val="Fontdeparagrafimplicit"/>
    <w:link w:val="Heading330"/>
    <w:rsid w:val="00621703"/>
    <w:rPr>
      <w:rFonts w:ascii="Times New Roman" w:eastAsia="Times New Roman" w:hAnsi="Times New Roman" w:cs="Times New Roman"/>
      <w:b/>
      <w:bCs/>
      <w:sz w:val="26"/>
      <w:szCs w:val="26"/>
      <w:shd w:val="clear" w:color="auto" w:fill="FFFFFF"/>
    </w:rPr>
  </w:style>
  <w:style w:type="paragraph" w:customStyle="1" w:styleId="Heading330">
    <w:name w:val="Heading #3 (3)"/>
    <w:basedOn w:val="Normal"/>
    <w:link w:val="Heading33"/>
    <w:rsid w:val="00621703"/>
    <w:pPr>
      <w:widowControl w:val="0"/>
      <w:shd w:val="clear" w:color="auto" w:fill="FFFFFF"/>
      <w:spacing w:before="360" w:after="300" w:line="0" w:lineRule="atLeast"/>
      <w:outlineLvl w:val="2"/>
    </w:pPr>
    <w:rPr>
      <w:rFonts w:ascii="Times New Roman" w:eastAsia="Times New Roman" w:hAnsi="Times New Roman" w:cs="Times New Roman"/>
      <w:b/>
      <w:bCs/>
      <w:sz w:val="26"/>
      <w:szCs w:val="26"/>
      <w:lang w:val="en-US"/>
    </w:rPr>
  </w:style>
  <w:style w:type="character" w:customStyle="1" w:styleId="Bodytext213ptItalic">
    <w:name w:val="Body text (2) + 13 pt;Italic"/>
    <w:basedOn w:val="Bodytext2"/>
    <w:rsid w:val="00616B9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Bodytext18">
    <w:name w:val="Body text (18)_"/>
    <w:basedOn w:val="Fontdeparagrafimplicit"/>
    <w:link w:val="Bodytext180"/>
    <w:rsid w:val="00616B92"/>
    <w:rPr>
      <w:rFonts w:ascii="Times New Roman" w:eastAsia="Times New Roman" w:hAnsi="Times New Roman" w:cs="Times New Roman"/>
      <w:b/>
      <w:bCs/>
      <w:sz w:val="26"/>
      <w:szCs w:val="26"/>
      <w:shd w:val="clear" w:color="auto" w:fill="FFFFFF"/>
    </w:rPr>
  </w:style>
  <w:style w:type="paragraph" w:customStyle="1" w:styleId="Bodytext180">
    <w:name w:val="Body text (18)"/>
    <w:basedOn w:val="Normal"/>
    <w:link w:val="Bodytext18"/>
    <w:rsid w:val="00616B92"/>
    <w:pPr>
      <w:widowControl w:val="0"/>
      <w:shd w:val="clear" w:color="auto" w:fill="FFFFFF"/>
      <w:spacing w:before="480" w:after="0" w:line="264" w:lineRule="exact"/>
      <w:jc w:val="both"/>
    </w:pPr>
    <w:rPr>
      <w:rFonts w:ascii="Times New Roman" w:eastAsia="Times New Roman" w:hAnsi="Times New Roman" w:cs="Times New Roman"/>
      <w:b/>
      <w:bCs/>
      <w:sz w:val="26"/>
      <w:szCs w:val="26"/>
      <w:lang w:val="en-US"/>
    </w:rPr>
  </w:style>
  <w:style w:type="character" w:customStyle="1" w:styleId="Bodytext1812ptNotBold">
    <w:name w:val="Body text (18) + 12 pt;Not Bold"/>
    <w:basedOn w:val="Bodytext18"/>
    <w:rsid w:val="00616B9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Bodytext10BoldNotItalic">
    <w:name w:val="Body text (10) + Bold;Not Italic"/>
    <w:basedOn w:val="Bodytext10"/>
    <w:rsid w:val="00F231D9"/>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Bodytext1012ptNotItalic">
    <w:name w:val="Body text (10) + 12 pt;Not Italic"/>
    <w:basedOn w:val="Bodytext10"/>
    <w:rsid w:val="00F231D9"/>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4">
    <w:name w:val="Body text (4)_"/>
    <w:basedOn w:val="Fontdeparagrafimplicit"/>
    <w:link w:val="Bodytext40"/>
    <w:rsid w:val="00913AF7"/>
    <w:rPr>
      <w:rFonts w:ascii="Times New Roman" w:eastAsia="Times New Roman" w:hAnsi="Times New Roman" w:cs="Times New Roman"/>
      <w:b/>
      <w:bCs/>
      <w:shd w:val="clear" w:color="auto" w:fill="FFFFFF"/>
    </w:rPr>
  </w:style>
  <w:style w:type="character" w:customStyle="1" w:styleId="Bodytext4NotBold">
    <w:name w:val="Body text (4) + Not Bold"/>
    <w:basedOn w:val="Bodytext4"/>
    <w:rsid w:val="00913AF7"/>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paragraph" w:customStyle="1" w:styleId="Bodytext40">
    <w:name w:val="Body text (4)"/>
    <w:basedOn w:val="Normal"/>
    <w:link w:val="Bodytext4"/>
    <w:rsid w:val="00913AF7"/>
    <w:pPr>
      <w:widowControl w:val="0"/>
      <w:shd w:val="clear" w:color="auto" w:fill="FFFFFF"/>
      <w:spacing w:before="240" w:after="240" w:line="0" w:lineRule="atLeast"/>
      <w:jc w:val="right"/>
    </w:pPr>
    <w:rPr>
      <w:rFonts w:ascii="Times New Roman" w:eastAsia="Times New Roman" w:hAnsi="Times New Roman" w:cs="Times New Roman"/>
      <w:b/>
      <w:bCs/>
      <w:lang w:val="en-US"/>
    </w:rPr>
  </w:style>
  <w:style w:type="character" w:customStyle="1" w:styleId="Heading4">
    <w:name w:val="Heading #4_"/>
    <w:basedOn w:val="Fontdeparagrafimplicit"/>
    <w:link w:val="Heading40"/>
    <w:rsid w:val="00C84CDB"/>
    <w:rPr>
      <w:rFonts w:ascii="Times New Roman" w:eastAsia="Times New Roman" w:hAnsi="Times New Roman" w:cs="Times New Roman"/>
      <w:b/>
      <w:bCs/>
      <w:shd w:val="clear" w:color="auto" w:fill="FFFFFF"/>
    </w:rPr>
  </w:style>
  <w:style w:type="paragraph" w:customStyle="1" w:styleId="Heading40">
    <w:name w:val="Heading #4"/>
    <w:basedOn w:val="Normal"/>
    <w:link w:val="Heading4"/>
    <w:rsid w:val="00C84CDB"/>
    <w:pPr>
      <w:widowControl w:val="0"/>
      <w:shd w:val="clear" w:color="auto" w:fill="FFFFFF"/>
      <w:spacing w:before="780" w:after="120" w:line="0" w:lineRule="atLeast"/>
      <w:ind w:hanging="360"/>
      <w:jc w:val="right"/>
      <w:outlineLvl w:val="3"/>
    </w:pPr>
    <w:rPr>
      <w:rFonts w:ascii="Times New Roman" w:eastAsia="Times New Roman" w:hAnsi="Times New Roman" w:cs="Times New Roman"/>
      <w:b/>
      <w:bCs/>
      <w:lang w:val="en-US"/>
    </w:rPr>
  </w:style>
  <w:style w:type="character" w:customStyle="1" w:styleId="Bodytext200">
    <w:name w:val="Body text (20)_"/>
    <w:basedOn w:val="Fontdeparagrafimplicit"/>
    <w:link w:val="Bodytext201"/>
    <w:rsid w:val="00E249D5"/>
    <w:rPr>
      <w:rFonts w:ascii="Times New Roman" w:eastAsia="Times New Roman" w:hAnsi="Times New Roman" w:cs="Times New Roman"/>
      <w:sz w:val="26"/>
      <w:szCs w:val="26"/>
      <w:shd w:val="clear" w:color="auto" w:fill="FFFFFF"/>
    </w:rPr>
  </w:style>
  <w:style w:type="character" w:customStyle="1" w:styleId="Bodytext21">
    <w:name w:val="Body text (21)_"/>
    <w:basedOn w:val="Fontdeparagrafimplicit"/>
    <w:rsid w:val="00E249D5"/>
    <w:rPr>
      <w:rFonts w:ascii="Times New Roman" w:eastAsia="Times New Roman" w:hAnsi="Times New Roman" w:cs="Times New Roman"/>
      <w:b w:val="0"/>
      <w:bCs w:val="0"/>
      <w:i/>
      <w:iCs/>
      <w:smallCaps w:val="0"/>
      <w:strike w:val="0"/>
      <w:sz w:val="26"/>
      <w:szCs w:val="26"/>
      <w:u w:val="none"/>
    </w:rPr>
  </w:style>
  <w:style w:type="character" w:customStyle="1" w:styleId="Bodytext21NotItalic">
    <w:name w:val="Body text (21) + Not Italic"/>
    <w:basedOn w:val="Bodytext21"/>
    <w:rsid w:val="00E249D5"/>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10">
    <w:name w:val="Body text (21)"/>
    <w:basedOn w:val="Bodytext21"/>
    <w:rsid w:val="00E249D5"/>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paragraph" w:customStyle="1" w:styleId="Bodytext201">
    <w:name w:val="Body text (20)"/>
    <w:basedOn w:val="Normal"/>
    <w:link w:val="Bodytext200"/>
    <w:rsid w:val="00E249D5"/>
    <w:pPr>
      <w:widowControl w:val="0"/>
      <w:shd w:val="clear" w:color="auto" w:fill="FFFFFF"/>
      <w:spacing w:before="120" w:after="420" w:line="0" w:lineRule="atLeast"/>
      <w:jc w:val="right"/>
    </w:pPr>
    <w:rPr>
      <w:rFonts w:ascii="Times New Roman" w:eastAsia="Times New Roman" w:hAnsi="Times New Roman" w:cs="Times New Roman"/>
      <w:sz w:val="26"/>
      <w:szCs w:val="26"/>
      <w:lang w:val="en-US"/>
    </w:rPr>
  </w:style>
  <w:style w:type="character" w:customStyle="1" w:styleId="Bodytext20Italic">
    <w:name w:val="Body text (20) + Italic"/>
    <w:basedOn w:val="Bodytext200"/>
    <w:rsid w:val="00E249D5"/>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Bodytext3">
    <w:name w:val="Body text (3)_"/>
    <w:basedOn w:val="Fontdeparagrafimplicit"/>
    <w:link w:val="Bodytext30"/>
    <w:rsid w:val="00972539"/>
    <w:rPr>
      <w:rFonts w:ascii="Times New Roman" w:eastAsia="Times New Roman" w:hAnsi="Times New Roman" w:cs="Times New Roman"/>
      <w:sz w:val="28"/>
      <w:szCs w:val="28"/>
      <w:shd w:val="clear" w:color="auto" w:fill="FFFFFF"/>
    </w:rPr>
  </w:style>
  <w:style w:type="character" w:customStyle="1" w:styleId="Bodytext2NotItalic">
    <w:name w:val="Body text (2) + Not Italic"/>
    <w:basedOn w:val="Bodytext2"/>
    <w:rsid w:val="0097253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o-RO" w:eastAsia="ro-RO" w:bidi="ro-RO"/>
    </w:rPr>
  </w:style>
  <w:style w:type="character" w:customStyle="1" w:styleId="Bodytext2BoldNotItalic">
    <w:name w:val="Body text (2) + Bold;Not Italic"/>
    <w:basedOn w:val="Bodytext2"/>
    <w:rsid w:val="00972539"/>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o-RO" w:eastAsia="ro-RO" w:bidi="ro-RO"/>
    </w:rPr>
  </w:style>
  <w:style w:type="character" w:customStyle="1" w:styleId="Bodytext226ptBold">
    <w:name w:val="Body text (2) + 26 pt;Bold"/>
    <w:basedOn w:val="Bodytext2"/>
    <w:rsid w:val="00972539"/>
    <w:rPr>
      <w:rFonts w:ascii="Times New Roman" w:eastAsia="Times New Roman" w:hAnsi="Times New Roman" w:cs="Times New Roman"/>
      <w:b/>
      <w:bCs/>
      <w:i/>
      <w:iCs/>
      <w:smallCaps w:val="0"/>
      <w:strike w:val="0"/>
      <w:color w:val="000000"/>
      <w:spacing w:val="0"/>
      <w:w w:val="100"/>
      <w:position w:val="0"/>
      <w:sz w:val="52"/>
      <w:szCs w:val="52"/>
      <w:u w:val="none"/>
      <w:shd w:val="clear" w:color="auto" w:fill="FFFFFF"/>
      <w:lang w:val="ro-RO" w:eastAsia="ro-RO" w:bidi="ro-RO"/>
    </w:rPr>
  </w:style>
  <w:style w:type="paragraph" w:customStyle="1" w:styleId="Bodytext30">
    <w:name w:val="Body text (3)"/>
    <w:basedOn w:val="Normal"/>
    <w:link w:val="Bodytext3"/>
    <w:rsid w:val="00972539"/>
    <w:pPr>
      <w:widowControl w:val="0"/>
      <w:shd w:val="clear" w:color="auto" w:fill="FFFFFF"/>
      <w:spacing w:after="420" w:line="331" w:lineRule="exact"/>
    </w:pPr>
    <w:rPr>
      <w:rFonts w:ascii="Times New Roman" w:eastAsia="Times New Roman" w:hAnsi="Times New Roman" w:cs="Times New Roman"/>
      <w:sz w:val="28"/>
      <w:szCs w:val="28"/>
      <w:lang w:val="en-US"/>
    </w:rPr>
  </w:style>
  <w:style w:type="character" w:customStyle="1" w:styleId="Bodytext214pt">
    <w:name w:val="Body text (2) + 14 pt"/>
    <w:basedOn w:val="Bodytext2"/>
    <w:rsid w:val="002D426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2Arial105ptItalic">
    <w:name w:val="Body text (2) + Arial;10;5 pt;Italic"/>
    <w:basedOn w:val="Bodytext2"/>
    <w:rsid w:val="00475F43"/>
    <w:rPr>
      <w:rFonts w:ascii="Arial" w:eastAsia="Arial" w:hAnsi="Arial" w:cs="Arial"/>
      <w:b/>
      <w:bCs/>
      <w:i/>
      <w:iCs/>
      <w:smallCaps w:val="0"/>
      <w:strike w:val="0"/>
      <w:color w:val="000000"/>
      <w:spacing w:val="0"/>
      <w:w w:val="100"/>
      <w:position w:val="0"/>
      <w:sz w:val="21"/>
      <w:szCs w:val="21"/>
      <w:u w:val="none"/>
      <w:shd w:val="clear" w:color="auto" w:fill="FFFFFF"/>
      <w:lang w:val="ro-RO" w:eastAsia="ro-RO" w:bidi="ro-RO"/>
    </w:rPr>
  </w:style>
  <w:style w:type="character" w:customStyle="1" w:styleId="Bodytext6">
    <w:name w:val="Body text (6)_"/>
    <w:basedOn w:val="Fontdeparagrafimplicit"/>
    <w:rsid w:val="00F668C4"/>
    <w:rPr>
      <w:rFonts w:ascii="Times New Roman" w:eastAsia="Times New Roman" w:hAnsi="Times New Roman" w:cs="Times New Roman"/>
      <w:b w:val="0"/>
      <w:bCs w:val="0"/>
      <w:i/>
      <w:iCs/>
      <w:smallCaps w:val="0"/>
      <w:strike w:val="0"/>
      <w:sz w:val="28"/>
      <w:szCs w:val="28"/>
      <w:u w:val="none"/>
    </w:rPr>
  </w:style>
  <w:style w:type="character" w:customStyle="1" w:styleId="Bodytext6NotItalic">
    <w:name w:val="Body text (6) + Not Italic"/>
    <w:basedOn w:val="Bodytext6"/>
    <w:rsid w:val="00F668C4"/>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60">
    <w:name w:val="Body text (6)"/>
    <w:basedOn w:val="Bodytext6"/>
    <w:rsid w:val="00F668C4"/>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8">
    <w:name w:val="Body text (8)_"/>
    <w:basedOn w:val="Fontdeparagrafimplicit"/>
    <w:link w:val="Bodytext80"/>
    <w:rsid w:val="00910E3B"/>
    <w:rPr>
      <w:rFonts w:ascii="Times New Roman" w:eastAsia="Times New Roman" w:hAnsi="Times New Roman" w:cs="Times New Roman"/>
      <w:b/>
      <w:bCs/>
      <w:i/>
      <w:iCs/>
      <w:shd w:val="clear" w:color="auto" w:fill="FFFFFF"/>
    </w:rPr>
  </w:style>
  <w:style w:type="paragraph" w:customStyle="1" w:styleId="Bodytext80">
    <w:name w:val="Body text (8)"/>
    <w:basedOn w:val="Normal"/>
    <w:link w:val="Bodytext8"/>
    <w:rsid w:val="00910E3B"/>
    <w:pPr>
      <w:widowControl w:val="0"/>
      <w:shd w:val="clear" w:color="auto" w:fill="FFFFFF"/>
      <w:spacing w:before="300" w:after="420" w:line="0" w:lineRule="atLeast"/>
      <w:jc w:val="both"/>
    </w:pPr>
    <w:rPr>
      <w:rFonts w:ascii="Times New Roman" w:eastAsia="Times New Roman" w:hAnsi="Times New Roman" w:cs="Times New Roman"/>
      <w:b/>
      <w:bCs/>
      <w:i/>
      <w:iCs/>
      <w:lang w:val="en-US"/>
    </w:rPr>
  </w:style>
  <w:style w:type="character" w:customStyle="1" w:styleId="Heading3">
    <w:name w:val="Heading #3_"/>
    <w:basedOn w:val="Fontdeparagrafimplicit"/>
    <w:link w:val="Heading30"/>
    <w:rsid w:val="00910E3B"/>
    <w:rPr>
      <w:rFonts w:ascii="Times New Roman" w:eastAsia="Times New Roman" w:hAnsi="Times New Roman" w:cs="Times New Roman"/>
      <w:b/>
      <w:bCs/>
      <w:shd w:val="clear" w:color="auto" w:fill="FFFFFF"/>
    </w:rPr>
  </w:style>
  <w:style w:type="paragraph" w:customStyle="1" w:styleId="Heading30">
    <w:name w:val="Heading #3"/>
    <w:basedOn w:val="Normal"/>
    <w:link w:val="Heading3"/>
    <w:rsid w:val="00910E3B"/>
    <w:pPr>
      <w:widowControl w:val="0"/>
      <w:shd w:val="clear" w:color="auto" w:fill="FFFFFF"/>
      <w:spacing w:before="780" w:after="120" w:line="0" w:lineRule="atLeast"/>
      <w:outlineLvl w:val="2"/>
    </w:pPr>
    <w:rPr>
      <w:rFonts w:ascii="Times New Roman" w:eastAsia="Times New Roman" w:hAnsi="Times New Roman" w:cs="Times New Roman"/>
      <w:b/>
      <w:bCs/>
      <w:lang w:val="en-US"/>
    </w:rPr>
  </w:style>
  <w:style w:type="paragraph" w:styleId="Antet">
    <w:name w:val="header"/>
    <w:basedOn w:val="Normal"/>
    <w:link w:val="AntetCaracter"/>
    <w:uiPriority w:val="99"/>
    <w:unhideWhenUsed/>
    <w:rsid w:val="0079680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96801"/>
    <w:rPr>
      <w:lang w:val="ro-RO"/>
    </w:rPr>
  </w:style>
  <w:style w:type="paragraph" w:styleId="Subsol">
    <w:name w:val="footer"/>
    <w:basedOn w:val="Normal"/>
    <w:link w:val="SubsolCaracter"/>
    <w:uiPriority w:val="99"/>
    <w:unhideWhenUsed/>
    <w:rsid w:val="0079680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96801"/>
    <w:rPr>
      <w:lang w:val="ro-RO"/>
    </w:rPr>
  </w:style>
  <w:style w:type="character" w:customStyle="1" w:styleId="Bodytext5NotItalic">
    <w:name w:val="Body text (5) + Not Italic"/>
    <w:basedOn w:val="Bodytext5"/>
    <w:rsid w:val="0056726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paragraph" w:customStyle="1" w:styleId="norm">
    <w:name w:val="norm"/>
    <w:basedOn w:val="Normal"/>
    <w:rsid w:val="0066602C"/>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87051">
      <w:bodyDiv w:val="1"/>
      <w:marLeft w:val="0"/>
      <w:marRight w:val="0"/>
      <w:marTop w:val="0"/>
      <w:marBottom w:val="0"/>
      <w:divBdr>
        <w:top w:val="none" w:sz="0" w:space="0" w:color="auto"/>
        <w:left w:val="none" w:sz="0" w:space="0" w:color="auto"/>
        <w:bottom w:val="none" w:sz="0" w:space="0" w:color="auto"/>
        <w:right w:val="none" w:sz="0" w:space="0" w:color="auto"/>
      </w:divBdr>
      <w:divsChild>
        <w:div w:id="950013003">
          <w:marLeft w:val="0"/>
          <w:marRight w:val="0"/>
          <w:marTop w:val="0"/>
          <w:marBottom w:val="0"/>
          <w:divBdr>
            <w:top w:val="none" w:sz="0" w:space="0" w:color="auto"/>
            <w:left w:val="none" w:sz="0" w:space="0" w:color="auto"/>
            <w:bottom w:val="none" w:sz="0" w:space="0" w:color="auto"/>
            <w:right w:val="none" w:sz="0" w:space="0" w:color="auto"/>
          </w:divBdr>
        </w:div>
      </w:divsChild>
    </w:div>
    <w:div w:id="508762437">
      <w:bodyDiv w:val="1"/>
      <w:marLeft w:val="0"/>
      <w:marRight w:val="0"/>
      <w:marTop w:val="0"/>
      <w:marBottom w:val="0"/>
      <w:divBdr>
        <w:top w:val="none" w:sz="0" w:space="0" w:color="auto"/>
        <w:left w:val="none" w:sz="0" w:space="0" w:color="auto"/>
        <w:bottom w:val="none" w:sz="0" w:space="0" w:color="auto"/>
        <w:right w:val="none" w:sz="0" w:space="0" w:color="auto"/>
      </w:divBdr>
    </w:div>
    <w:div w:id="589235143">
      <w:bodyDiv w:val="1"/>
      <w:marLeft w:val="0"/>
      <w:marRight w:val="0"/>
      <w:marTop w:val="0"/>
      <w:marBottom w:val="0"/>
      <w:divBdr>
        <w:top w:val="none" w:sz="0" w:space="0" w:color="auto"/>
        <w:left w:val="none" w:sz="0" w:space="0" w:color="auto"/>
        <w:bottom w:val="none" w:sz="0" w:space="0" w:color="auto"/>
        <w:right w:val="none" w:sz="0" w:space="0" w:color="auto"/>
      </w:divBdr>
    </w:div>
    <w:div w:id="953559990">
      <w:bodyDiv w:val="1"/>
      <w:marLeft w:val="0"/>
      <w:marRight w:val="0"/>
      <w:marTop w:val="0"/>
      <w:marBottom w:val="0"/>
      <w:divBdr>
        <w:top w:val="none" w:sz="0" w:space="0" w:color="auto"/>
        <w:left w:val="none" w:sz="0" w:space="0" w:color="auto"/>
        <w:bottom w:val="none" w:sz="0" w:space="0" w:color="auto"/>
        <w:right w:val="none" w:sz="0" w:space="0" w:color="auto"/>
      </w:divBdr>
    </w:div>
    <w:div w:id="960501480">
      <w:bodyDiv w:val="1"/>
      <w:marLeft w:val="0"/>
      <w:marRight w:val="0"/>
      <w:marTop w:val="0"/>
      <w:marBottom w:val="0"/>
      <w:divBdr>
        <w:top w:val="none" w:sz="0" w:space="0" w:color="auto"/>
        <w:left w:val="none" w:sz="0" w:space="0" w:color="auto"/>
        <w:bottom w:val="none" w:sz="0" w:space="0" w:color="auto"/>
        <w:right w:val="none" w:sz="0" w:space="0" w:color="auto"/>
      </w:divBdr>
    </w:div>
    <w:div w:id="999621093">
      <w:bodyDiv w:val="1"/>
      <w:marLeft w:val="0"/>
      <w:marRight w:val="0"/>
      <w:marTop w:val="0"/>
      <w:marBottom w:val="0"/>
      <w:divBdr>
        <w:top w:val="none" w:sz="0" w:space="0" w:color="auto"/>
        <w:left w:val="none" w:sz="0" w:space="0" w:color="auto"/>
        <w:bottom w:val="none" w:sz="0" w:space="0" w:color="auto"/>
        <w:right w:val="none" w:sz="0" w:space="0" w:color="auto"/>
      </w:divBdr>
    </w:div>
    <w:div w:id="1385523482">
      <w:bodyDiv w:val="1"/>
      <w:marLeft w:val="0"/>
      <w:marRight w:val="0"/>
      <w:marTop w:val="0"/>
      <w:marBottom w:val="0"/>
      <w:divBdr>
        <w:top w:val="none" w:sz="0" w:space="0" w:color="auto"/>
        <w:left w:val="none" w:sz="0" w:space="0" w:color="auto"/>
        <w:bottom w:val="none" w:sz="0" w:space="0" w:color="auto"/>
        <w:right w:val="none" w:sz="0" w:space="0" w:color="auto"/>
      </w:divBdr>
    </w:div>
    <w:div w:id="1765149755">
      <w:bodyDiv w:val="1"/>
      <w:marLeft w:val="0"/>
      <w:marRight w:val="0"/>
      <w:marTop w:val="0"/>
      <w:marBottom w:val="0"/>
      <w:divBdr>
        <w:top w:val="none" w:sz="0" w:space="0" w:color="auto"/>
        <w:left w:val="none" w:sz="0" w:space="0" w:color="auto"/>
        <w:bottom w:val="none" w:sz="0" w:space="0" w:color="auto"/>
        <w:right w:val="none" w:sz="0" w:space="0" w:color="auto"/>
      </w:divBdr>
      <w:divsChild>
        <w:div w:id="917056781">
          <w:marLeft w:val="0"/>
          <w:marRight w:val="0"/>
          <w:marTop w:val="0"/>
          <w:marBottom w:val="0"/>
          <w:divBdr>
            <w:top w:val="none" w:sz="0" w:space="0" w:color="auto"/>
            <w:left w:val="none" w:sz="0" w:space="0" w:color="auto"/>
            <w:bottom w:val="none" w:sz="0" w:space="0" w:color="auto"/>
            <w:right w:val="none" w:sz="0" w:space="0" w:color="auto"/>
          </w:divBdr>
        </w:div>
      </w:divsChild>
    </w:div>
    <w:div w:id="1908955295">
      <w:bodyDiv w:val="1"/>
      <w:marLeft w:val="0"/>
      <w:marRight w:val="0"/>
      <w:marTop w:val="0"/>
      <w:marBottom w:val="0"/>
      <w:divBdr>
        <w:top w:val="none" w:sz="0" w:space="0" w:color="auto"/>
        <w:left w:val="none" w:sz="0" w:space="0" w:color="auto"/>
        <w:bottom w:val="none" w:sz="0" w:space="0" w:color="auto"/>
        <w:right w:val="none" w:sz="0" w:space="0" w:color="auto"/>
      </w:divBdr>
      <w:divsChild>
        <w:div w:id="2070685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FE9B3-5DDA-46A8-9E10-A1439213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3309</Words>
  <Characters>19197</Characters>
  <Application>Microsoft Office Word</Application>
  <DocSecurity>0</DocSecurity>
  <Lines>159</Lines>
  <Paragraphs>44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Maria CRAVCESCO</cp:lastModifiedBy>
  <cp:revision>6</cp:revision>
  <cp:lastPrinted>2023-04-06T13:43:00Z</cp:lastPrinted>
  <dcterms:created xsi:type="dcterms:W3CDTF">2025-02-24T09:38:00Z</dcterms:created>
  <dcterms:modified xsi:type="dcterms:W3CDTF">2025-02-25T09:55:00Z</dcterms:modified>
</cp:coreProperties>
</file>