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B5F" w:rsidRDefault="009B4B5F" w:rsidP="005A63A3">
      <w:pPr>
        <w:spacing w:after="0" w:line="240" w:lineRule="auto"/>
        <w:jc w:val="center"/>
        <w:rPr>
          <w:rFonts w:ascii="Times New Roman" w:hAnsi="Times New Roman"/>
          <w:b/>
          <w:sz w:val="28"/>
          <w:szCs w:val="28"/>
          <w:lang w:val="ro-RO"/>
        </w:rPr>
      </w:pPr>
      <w:r w:rsidRPr="009B4B5F">
        <w:rPr>
          <w:rFonts w:ascii="Times New Roman" w:hAnsi="Times New Roman"/>
          <w:b/>
          <w:sz w:val="28"/>
          <w:szCs w:val="28"/>
          <w:lang w:val="ro-RO"/>
        </w:rPr>
        <w:t>NOTA DE FUNDAME</w:t>
      </w:r>
      <w:bookmarkStart w:id="0" w:name="_GoBack"/>
      <w:bookmarkEnd w:id="0"/>
      <w:r w:rsidRPr="009B4B5F">
        <w:rPr>
          <w:rFonts w:ascii="Times New Roman" w:hAnsi="Times New Roman"/>
          <w:b/>
          <w:sz w:val="28"/>
          <w:szCs w:val="28"/>
          <w:lang w:val="ro-RO"/>
        </w:rPr>
        <w:t>NTARE</w:t>
      </w:r>
    </w:p>
    <w:p w:rsidR="005A63A3" w:rsidRDefault="00EA642F" w:rsidP="005A63A3">
      <w:pPr>
        <w:spacing w:after="0" w:line="240" w:lineRule="auto"/>
        <w:jc w:val="center"/>
        <w:rPr>
          <w:rFonts w:ascii="Times New Roman" w:hAnsi="Times New Roman"/>
          <w:b/>
          <w:sz w:val="28"/>
          <w:szCs w:val="28"/>
          <w:lang w:val="ro-RO"/>
        </w:rPr>
      </w:pPr>
      <w:r>
        <w:rPr>
          <w:rFonts w:ascii="Times New Roman" w:hAnsi="Times New Roman"/>
          <w:b/>
          <w:sz w:val="28"/>
          <w:szCs w:val="28"/>
          <w:lang w:val="ro-RO"/>
        </w:rPr>
        <w:t>l</w:t>
      </w:r>
      <w:r w:rsidR="00D52681">
        <w:rPr>
          <w:rFonts w:ascii="Times New Roman" w:hAnsi="Times New Roman"/>
          <w:b/>
          <w:sz w:val="28"/>
          <w:szCs w:val="28"/>
          <w:lang w:val="ro-RO"/>
        </w:rPr>
        <w:t>a</w:t>
      </w:r>
      <w:r w:rsidR="004E1F8A">
        <w:rPr>
          <w:rFonts w:ascii="Times New Roman" w:hAnsi="Times New Roman"/>
          <w:b/>
          <w:sz w:val="28"/>
          <w:szCs w:val="28"/>
          <w:lang w:val="ro-RO"/>
        </w:rPr>
        <w:t xml:space="preserve"> </w:t>
      </w:r>
      <w:r w:rsidR="00D52681">
        <w:rPr>
          <w:rFonts w:ascii="Times New Roman" w:hAnsi="Times New Roman"/>
          <w:b/>
          <w:sz w:val="28"/>
          <w:szCs w:val="28"/>
          <w:lang w:val="ro-RO"/>
        </w:rPr>
        <w:t xml:space="preserve">proiectul </w:t>
      </w:r>
      <w:r w:rsidR="004E1F8A">
        <w:rPr>
          <w:rFonts w:ascii="Times New Roman" w:hAnsi="Times New Roman"/>
          <w:b/>
          <w:sz w:val="28"/>
          <w:szCs w:val="28"/>
          <w:lang w:val="ro-RO"/>
        </w:rPr>
        <w:t xml:space="preserve">hotărârii </w:t>
      </w:r>
      <w:r>
        <w:rPr>
          <w:rFonts w:ascii="Times New Roman" w:hAnsi="Times New Roman"/>
          <w:b/>
          <w:sz w:val="28"/>
          <w:szCs w:val="28"/>
          <w:lang w:val="ro-RO"/>
        </w:rPr>
        <w:t xml:space="preserve">Guvernului </w:t>
      </w:r>
      <w:r w:rsidR="00FC76BA" w:rsidRPr="00FC76BA">
        <w:rPr>
          <w:rFonts w:ascii="Times New Roman" w:hAnsi="Times New Roman"/>
          <w:b/>
          <w:sz w:val="28"/>
          <w:szCs w:val="28"/>
          <w:lang w:val="ro-RO"/>
        </w:rPr>
        <w:t xml:space="preserve">pentru aprobarea Regulamentului </w:t>
      </w:r>
      <w:r w:rsidR="00922B4A" w:rsidRPr="00922B4A">
        <w:rPr>
          <w:rFonts w:ascii="Times New Roman" w:hAnsi="Times New Roman"/>
          <w:b/>
          <w:sz w:val="28"/>
          <w:szCs w:val="28"/>
          <w:lang w:val="ro-RO"/>
        </w:rPr>
        <w:t>privind procedura de recunoaștere a organizațiilor de producători /</w:t>
      </w:r>
      <w:r>
        <w:rPr>
          <w:rFonts w:ascii="Times New Roman" w:hAnsi="Times New Roman"/>
          <w:b/>
          <w:sz w:val="28"/>
          <w:szCs w:val="28"/>
          <w:lang w:val="ro-RO"/>
        </w:rPr>
        <w:t xml:space="preserve"> </w:t>
      </w:r>
      <w:r w:rsidR="00922B4A" w:rsidRPr="00922B4A">
        <w:rPr>
          <w:rFonts w:ascii="Times New Roman" w:hAnsi="Times New Roman"/>
          <w:b/>
          <w:sz w:val="28"/>
          <w:szCs w:val="28"/>
          <w:lang w:val="ro-RO"/>
        </w:rPr>
        <w:t>organizațiilor interprofesionale din sectorul acvaculturii și organizarea pieței</w:t>
      </w:r>
    </w:p>
    <w:p w:rsidR="00FC76BA" w:rsidRDefault="00922B4A" w:rsidP="005A63A3">
      <w:pPr>
        <w:spacing w:after="0" w:line="240" w:lineRule="auto"/>
        <w:jc w:val="center"/>
        <w:rPr>
          <w:rFonts w:ascii="Times New Roman" w:hAnsi="Times New Roman"/>
          <w:b/>
          <w:sz w:val="28"/>
          <w:szCs w:val="28"/>
          <w:lang w:val="ro-RO"/>
        </w:rPr>
      </w:pPr>
      <w:r w:rsidRPr="00922B4A">
        <w:rPr>
          <w:rFonts w:ascii="Times New Roman" w:hAnsi="Times New Roman"/>
          <w:b/>
          <w:sz w:val="28"/>
          <w:szCs w:val="28"/>
          <w:lang w:val="ro-RO"/>
        </w:rPr>
        <w:t xml:space="preserve"> produselor pescărești și de acvacultură</w:t>
      </w:r>
    </w:p>
    <w:p w:rsidR="00922B4A" w:rsidRDefault="00922B4A" w:rsidP="00922B4A">
      <w:pPr>
        <w:spacing w:after="0" w:line="240" w:lineRule="auto"/>
        <w:jc w:val="center"/>
        <w:rPr>
          <w:rFonts w:ascii="Times New Roman" w:hAnsi="Times New Roman"/>
          <w:b/>
          <w:sz w:val="28"/>
          <w:szCs w:val="28"/>
          <w:vertAlign w:val="superscript"/>
          <w:lang w:val="ro-RO"/>
        </w:rPr>
      </w:pPr>
    </w:p>
    <w:tbl>
      <w:tblPr>
        <w:tblStyle w:val="Tabelgril"/>
        <w:tblW w:w="0" w:type="auto"/>
        <w:tblLook w:val="04A0" w:firstRow="1" w:lastRow="0" w:firstColumn="1" w:lastColumn="0" w:noHBand="0" w:noVBand="1"/>
      </w:tblPr>
      <w:tblGrid>
        <w:gridCol w:w="10196"/>
      </w:tblGrid>
      <w:tr w:rsidR="0028550B" w:rsidRPr="009B4B5F">
        <w:tc>
          <w:tcPr>
            <w:tcW w:w="10294" w:type="dxa"/>
          </w:tcPr>
          <w:p w:rsidR="0028550B" w:rsidRDefault="00D52681" w:rsidP="0074057C">
            <w:pPr>
              <w:spacing w:after="0"/>
              <w:jc w:val="both"/>
              <w:rPr>
                <w:rFonts w:ascii="Times New Roman" w:hAnsi="Times New Roman"/>
                <w:b/>
                <w:sz w:val="28"/>
                <w:szCs w:val="28"/>
                <w:vertAlign w:val="superscript"/>
                <w:lang w:val="en-US"/>
              </w:rPr>
            </w:pPr>
            <w:r>
              <w:rPr>
                <w:rFonts w:ascii="Times New Roman" w:hAnsi="Times New Roman"/>
                <w:b/>
                <w:sz w:val="28"/>
                <w:szCs w:val="28"/>
                <w:lang w:val="ro-RO"/>
              </w:rPr>
              <w:t>1. Denumirea sau numele autorului și după caz, a/al participanților la elaborarea proiectului actului normativ</w:t>
            </w:r>
          </w:p>
        </w:tc>
      </w:tr>
      <w:tr w:rsidR="0028550B" w:rsidRPr="00922B4A">
        <w:tc>
          <w:tcPr>
            <w:tcW w:w="10294" w:type="dxa"/>
          </w:tcPr>
          <w:p w:rsidR="0028550B" w:rsidRDefault="00D52681" w:rsidP="005A63A3">
            <w:pPr>
              <w:spacing w:after="0" w:line="240" w:lineRule="auto"/>
              <w:ind w:firstLineChars="162" w:firstLine="454"/>
              <w:jc w:val="both"/>
              <w:rPr>
                <w:rFonts w:ascii="Times New Roman" w:hAnsi="Times New Roman"/>
                <w:sz w:val="28"/>
                <w:szCs w:val="28"/>
                <w:lang w:val="ro-RO"/>
              </w:rPr>
            </w:pPr>
            <w:r>
              <w:rPr>
                <w:rFonts w:ascii="Times New Roman" w:hAnsi="Times New Roman"/>
                <w:sz w:val="28"/>
                <w:szCs w:val="28"/>
                <w:lang w:val="ro-RO"/>
              </w:rPr>
              <w:t xml:space="preserve">Proiectul </w:t>
            </w:r>
            <w:r w:rsidR="00301FF0" w:rsidRPr="00301FF0">
              <w:rPr>
                <w:rFonts w:ascii="Times New Roman" w:hAnsi="Times New Roman"/>
                <w:sz w:val="28"/>
                <w:szCs w:val="28"/>
                <w:lang w:val="ro-RO"/>
              </w:rPr>
              <w:t xml:space="preserve">hotărârii </w:t>
            </w:r>
            <w:r w:rsidR="004E1F8A">
              <w:rPr>
                <w:rFonts w:ascii="Times New Roman" w:hAnsi="Times New Roman"/>
                <w:sz w:val="28"/>
                <w:szCs w:val="28"/>
                <w:lang w:val="ro-RO"/>
              </w:rPr>
              <w:t xml:space="preserve">de Guvern </w:t>
            </w:r>
            <w:r w:rsidR="00FC76BA" w:rsidRPr="00FC76BA">
              <w:rPr>
                <w:rFonts w:ascii="Times New Roman" w:hAnsi="Times New Roman"/>
                <w:sz w:val="28"/>
                <w:szCs w:val="28"/>
                <w:lang w:val="ro-RO"/>
              </w:rPr>
              <w:t xml:space="preserve">pentru aprobarea Regulamentului privind </w:t>
            </w:r>
            <w:r w:rsidR="00922B4A" w:rsidRPr="00922B4A">
              <w:rPr>
                <w:rFonts w:ascii="Times New Roman" w:hAnsi="Times New Roman"/>
                <w:sz w:val="28"/>
                <w:szCs w:val="28"/>
                <w:lang w:val="ro-RO"/>
              </w:rPr>
              <w:t>procedura de recunoaștere a organizațiilor de producători / organizațiilor interprofesionale din sectorul acvaculturii și organizarea pieței produselor pescărești și de acvacultură</w:t>
            </w:r>
            <w:r w:rsidR="00FC76BA" w:rsidRPr="00FC76BA">
              <w:rPr>
                <w:rFonts w:ascii="Times New Roman" w:hAnsi="Times New Roman"/>
                <w:sz w:val="28"/>
                <w:szCs w:val="28"/>
                <w:lang w:val="ro-RO"/>
              </w:rPr>
              <w:t xml:space="preserve"> </w:t>
            </w:r>
            <w:r>
              <w:rPr>
                <w:rFonts w:ascii="Times New Roman" w:hAnsi="Times New Roman"/>
                <w:sz w:val="28"/>
                <w:szCs w:val="28"/>
                <w:lang w:val="ro-RO"/>
              </w:rPr>
              <w:t>a fost elaborat de către Ministerul Agriculturii și Industriei Alimentare, în conformitate cu art. 31 alin. (1), (2) și (3) din Legea nr. 100/2017 cu privire la actele normative.</w:t>
            </w:r>
          </w:p>
          <w:p w:rsidR="00922B4A" w:rsidRPr="004E1F8A" w:rsidRDefault="00922B4A" w:rsidP="00FC76BA">
            <w:pPr>
              <w:spacing w:after="0" w:line="240" w:lineRule="auto"/>
              <w:ind w:firstLineChars="78" w:firstLine="218"/>
              <w:jc w:val="both"/>
              <w:rPr>
                <w:rFonts w:ascii="Times New Roman" w:hAnsi="Times New Roman"/>
                <w:sz w:val="28"/>
                <w:szCs w:val="28"/>
                <w:lang w:val="ro-RO"/>
              </w:rPr>
            </w:pPr>
          </w:p>
        </w:tc>
      </w:tr>
      <w:tr w:rsidR="0028550B" w:rsidRPr="009B4B5F">
        <w:tc>
          <w:tcPr>
            <w:tcW w:w="10294" w:type="dxa"/>
          </w:tcPr>
          <w:p w:rsidR="0074057C" w:rsidRDefault="00D52681">
            <w:pPr>
              <w:spacing w:after="0" w:line="240" w:lineRule="auto"/>
              <w:jc w:val="both"/>
              <w:rPr>
                <w:rFonts w:ascii="Times New Roman" w:hAnsi="Times New Roman"/>
                <w:b/>
                <w:sz w:val="28"/>
                <w:szCs w:val="28"/>
                <w:lang w:val="ro-RO"/>
              </w:rPr>
            </w:pPr>
            <w:r>
              <w:rPr>
                <w:rFonts w:ascii="Times New Roman" w:hAnsi="Times New Roman"/>
                <w:b/>
                <w:sz w:val="28"/>
                <w:szCs w:val="28"/>
                <w:lang w:val="ro-RO"/>
              </w:rPr>
              <w:t>2. Condițiile ce au impus elaborarea proiectului de act normativ</w:t>
            </w:r>
          </w:p>
          <w:p w:rsidR="0028550B" w:rsidRDefault="00D52681">
            <w:pPr>
              <w:spacing w:after="0" w:line="240" w:lineRule="auto"/>
              <w:jc w:val="both"/>
              <w:rPr>
                <w:rFonts w:ascii="Times New Roman" w:hAnsi="Times New Roman"/>
                <w:b/>
                <w:sz w:val="28"/>
                <w:szCs w:val="28"/>
                <w:vertAlign w:val="superscript"/>
                <w:lang w:val="en-US"/>
              </w:rPr>
            </w:pPr>
            <w:r>
              <w:rPr>
                <w:rFonts w:ascii="Times New Roman" w:hAnsi="Times New Roman"/>
                <w:b/>
                <w:sz w:val="28"/>
                <w:szCs w:val="28"/>
                <w:lang w:val="ro-RO"/>
              </w:rPr>
              <w:t xml:space="preserve"> </w:t>
            </w:r>
          </w:p>
        </w:tc>
      </w:tr>
      <w:tr w:rsidR="0028550B" w:rsidRPr="009B4B5F">
        <w:tc>
          <w:tcPr>
            <w:tcW w:w="10294" w:type="dxa"/>
          </w:tcPr>
          <w:p w:rsidR="006B1151" w:rsidRPr="00DD6FBD" w:rsidRDefault="00D52681" w:rsidP="005A63A3">
            <w:pPr>
              <w:tabs>
                <w:tab w:val="left" w:pos="884"/>
                <w:tab w:val="left" w:pos="1196"/>
              </w:tabs>
              <w:spacing w:after="0" w:line="240" w:lineRule="auto"/>
              <w:ind w:firstLine="456"/>
              <w:jc w:val="both"/>
              <w:rPr>
                <w:rFonts w:ascii="Times New Roman" w:hAnsi="Times New Roman"/>
                <w:i/>
                <w:iCs/>
                <w:sz w:val="28"/>
                <w:szCs w:val="28"/>
                <w:lang w:val="ro-RO"/>
              </w:rPr>
            </w:pPr>
            <w:r w:rsidRPr="006A5C2D">
              <w:rPr>
                <w:rFonts w:ascii="Times New Roman" w:hAnsi="Times New Roman"/>
                <w:sz w:val="28"/>
                <w:szCs w:val="28"/>
                <w:lang w:val="ro-RO"/>
              </w:rPr>
              <w:t xml:space="preserve">2.1. </w:t>
            </w:r>
            <w:r w:rsidRPr="006A5C2D">
              <w:rPr>
                <w:rFonts w:ascii="Times New Roman" w:hAnsi="Times New Roman"/>
                <w:i/>
                <w:iCs/>
                <w:sz w:val="28"/>
                <w:szCs w:val="28"/>
                <w:lang w:val="ro-RO"/>
              </w:rPr>
              <w:t>Temeiul legal sau, după caz, sursa proiectului actului normativ</w:t>
            </w:r>
          </w:p>
          <w:p w:rsidR="00B075A8" w:rsidRPr="006A5C2D" w:rsidRDefault="00016BF8" w:rsidP="005A63A3">
            <w:pPr>
              <w:tabs>
                <w:tab w:val="left" w:pos="884"/>
                <w:tab w:val="left" w:pos="1196"/>
              </w:tabs>
              <w:spacing w:after="0" w:line="240" w:lineRule="auto"/>
              <w:ind w:firstLine="456"/>
              <w:jc w:val="both"/>
              <w:rPr>
                <w:rFonts w:ascii="Times New Roman" w:hAnsi="Times New Roman"/>
                <w:sz w:val="28"/>
                <w:szCs w:val="28"/>
                <w:lang w:val="ro-RO"/>
              </w:rPr>
            </w:pPr>
            <w:r w:rsidRPr="00016BF8">
              <w:rPr>
                <w:rFonts w:ascii="Times New Roman" w:hAnsi="Times New Roman"/>
                <w:sz w:val="28"/>
                <w:szCs w:val="28"/>
                <w:lang w:val="ro-RO"/>
              </w:rPr>
              <w:t xml:space="preserve">Necesitatea elaborării proiectului vine în contextul executării prevederilor </w:t>
            </w:r>
            <w:r w:rsidR="00FC76BA">
              <w:rPr>
                <w:rFonts w:ascii="Times New Roman" w:hAnsi="Times New Roman"/>
                <w:sz w:val="28"/>
                <w:szCs w:val="28"/>
                <w:lang w:val="ro-RO"/>
              </w:rPr>
              <w:t xml:space="preserve">art. </w:t>
            </w:r>
            <w:r w:rsidR="005F74AB">
              <w:rPr>
                <w:rFonts w:ascii="Times New Roman" w:hAnsi="Times New Roman"/>
                <w:sz w:val="28"/>
                <w:szCs w:val="28"/>
                <w:lang w:val="ro-RO"/>
              </w:rPr>
              <w:t xml:space="preserve">23, </w:t>
            </w:r>
            <w:r w:rsidR="00D3185A">
              <w:rPr>
                <w:rFonts w:ascii="Times New Roman" w:hAnsi="Times New Roman"/>
                <w:sz w:val="28"/>
                <w:szCs w:val="28"/>
                <w:lang w:val="ro-RO"/>
              </w:rPr>
              <w:t>24,</w:t>
            </w:r>
            <w:r w:rsidR="00BB6BAF">
              <w:rPr>
                <w:rFonts w:ascii="Times New Roman" w:hAnsi="Times New Roman"/>
                <w:sz w:val="28"/>
                <w:szCs w:val="28"/>
                <w:lang w:val="ro-RO"/>
              </w:rPr>
              <w:t xml:space="preserve"> 27, </w:t>
            </w:r>
            <w:r w:rsidR="00922B4A">
              <w:rPr>
                <w:rFonts w:ascii="Times New Roman" w:hAnsi="Times New Roman"/>
                <w:sz w:val="28"/>
                <w:szCs w:val="28"/>
                <w:lang w:val="ro-RO"/>
              </w:rPr>
              <w:t>2</w:t>
            </w:r>
            <w:r w:rsidR="008026D5">
              <w:rPr>
                <w:rFonts w:ascii="Times New Roman" w:hAnsi="Times New Roman"/>
                <w:sz w:val="28"/>
                <w:szCs w:val="28"/>
                <w:lang w:val="ro-RO"/>
              </w:rPr>
              <w:t>8</w:t>
            </w:r>
            <w:r w:rsidR="00FC76BA">
              <w:rPr>
                <w:rFonts w:ascii="Times New Roman" w:hAnsi="Times New Roman"/>
                <w:sz w:val="28"/>
                <w:szCs w:val="28"/>
                <w:lang w:val="ro-RO"/>
              </w:rPr>
              <w:t xml:space="preserve"> </w:t>
            </w:r>
            <w:r w:rsidR="00922B4A">
              <w:rPr>
                <w:rFonts w:ascii="Times New Roman" w:hAnsi="Times New Roman"/>
                <w:sz w:val="28"/>
                <w:szCs w:val="28"/>
                <w:lang w:val="ro-RO"/>
              </w:rPr>
              <w:t>și 34</w:t>
            </w:r>
            <w:r w:rsidR="00FC76BA" w:rsidRPr="00FC76BA">
              <w:rPr>
                <w:rFonts w:ascii="Times New Roman" w:hAnsi="Times New Roman"/>
                <w:sz w:val="28"/>
                <w:szCs w:val="28"/>
                <w:lang w:val="ro-RO"/>
              </w:rPr>
              <w:t xml:space="preserve"> </w:t>
            </w:r>
            <w:r w:rsidR="00203B90">
              <w:rPr>
                <w:rFonts w:ascii="Times New Roman" w:hAnsi="Times New Roman"/>
                <w:sz w:val="28"/>
                <w:szCs w:val="28"/>
                <w:lang w:val="ro-RO"/>
              </w:rPr>
              <w:t>din Legea</w:t>
            </w:r>
            <w:r w:rsidRPr="00016BF8">
              <w:rPr>
                <w:rFonts w:ascii="Times New Roman" w:hAnsi="Times New Roman"/>
                <w:sz w:val="28"/>
                <w:szCs w:val="28"/>
                <w:lang w:val="ro-RO"/>
              </w:rPr>
              <w:t xml:space="preserve"> </w:t>
            </w:r>
            <w:r w:rsidR="00922B4A">
              <w:rPr>
                <w:rFonts w:ascii="Times New Roman" w:hAnsi="Times New Roman"/>
                <w:sz w:val="28"/>
                <w:szCs w:val="28"/>
                <w:lang w:val="ro-RO"/>
              </w:rPr>
              <w:t>nr.288/2024 privind p</w:t>
            </w:r>
            <w:r w:rsidRPr="00016BF8">
              <w:rPr>
                <w:rFonts w:ascii="Times New Roman" w:hAnsi="Times New Roman"/>
                <w:sz w:val="28"/>
                <w:szCs w:val="28"/>
                <w:lang w:val="ro-RO"/>
              </w:rPr>
              <w:t>olitica</w:t>
            </w:r>
            <w:r w:rsidR="00922B4A">
              <w:rPr>
                <w:rFonts w:ascii="Times New Roman" w:hAnsi="Times New Roman"/>
                <w:sz w:val="28"/>
                <w:szCs w:val="28"/>
                <w:lang w:val="ro-RO"/>
              </w:rPr>
              <w:t xml:space="preserve"> în </w:t>
            </w:r>
            <w:r w:rsidRPr="00016BF8">
              <w:rPr>
                <w:rFonts w:ascii="Times New Roman" w:hAnsi="Times New Roman"/>
                <w:sz w:val="28"/>
                <w:szCs w:val="28"/>
                <w:lang w:val="ro-RO"/>
              </w:rPr>
              <w:t>sectorul acvaculturii și organizarea pieței produselor pescărești și de acvacultură</w:t>
            </w:r>
            <w:r w:rsidR="00922B4A">
              <w:rPr>
                <w:rFonts w:ascii="Times New Roman" w:hAnsi="Times New Roman"/>
                <w:sz w:val="28"/>
                <w:szCs w:val="28"/>
                <w:lang w:val="ro-RO"/>
              </w:rPr>
              <w:t xml:space="preserve">, </w:t>
            </w:r>
            <w:r w:rsidR="00DD6FBD" w:rsidRPr="00DD6FBD">
              <w:rPr>
                <w:rFonts w:ascii="Times New Roman" w:hAnsi="Times New Roman"/>
                <w:sz w:val="28"/>
                <w:szCs w:val="28"/>
                <w:lang w:val="ro-RO"/>
              </w:rPr>
              <w:t xml:space="preserve">care are ca scop </w:t>
            </w:r>
            <w:r w:rsidR="00DD6FBD">
              <w:rPr>
                <w:rFonts w:ascii="Times New Roman" w:hAnsi="Times New Roman"/>
                <w:sz w:val="28"/>
                <w:szCs w:val="28"/>
                <w:lang w:val="ro-RO"/>
              </w:rPr>
              <w:t xml:space="preserve">organizarea </w:t>
            </w:r>
            <w:r w:rsidR="00873B04">
              <w:rPr>
                <w:rFonts w:ascii="Times New Roman" w:hAnsi="Times New Roman"/>
                <w:sz w:val="28"/>
                <w:szCs w:val="28"/>
                <w:lang w:val="ro-RO"/>
              </w:rPr>
              <w:t>sectorului acvacultur</w:t>
            </w:r>
            <w:r w:rsidR="005F74AB">
              <w:rPr>
                <w:rFonts w:ascii="Times New Roman" w:hAnsi="Times New Roman"/>
                <w:sz w:val="28"/>
                <w:szCs w:val="28"/>
                <w:lang w:val="ro-RO"/>
              </w:rPr>
              <w:t>ii</w:t>
            </w:r>
            <w:r w:rsidR="00873B04">
              <w:rPr>
                <w:rFonts w:ascii="Times New Roman" w:hAnsi="Times New Roman"/>
                <w:sz w:val="28"/>
                <w:szCs w:val="28"/>
                <w:lang w:val="ro-RO"/>
              </w:rPr>
              <w:t xml:space="preserve"> și a </w:t>
            </w:r>
            <w:r w:rsidR="00DD6FBD">
              <w:rPr>
                <w:rFonts w:ascii="Times New Roman" w:hAnsi="Times New Roman"/>
                <w:sz w:val="28"/>
                <w:szCs w:val="28"/>
                <w:lang w:val="ro-RO"/>
              </w:rPr>
              <w:t xml:space="preserve">pieței produselor pescărești și de acvacultură, </w:t>
            </w:r>
            <w:r w:rsidR="00D3185A">
              <w:rPr>
                <w:rFonts w:ascii="Times New Roman" w:hAnsi="Times New Roman"/>
                <w:sz w:val="28"/>
                <w:szCs w:val="28"/>
                <w:lang w:val="ro-RO"/>
              </w:rPr>
              <w:t>pentru reglementarea funcțion</w:t>
            </w:r>
            <w:r w:rsidR="005F74AB">
              <w:rPr>
                <w:rFonts w:ascii="Times New Roman" w:hAnsi="Times New Roman"/>
                <w:sz w:val="28"/>
                <w:szCs w:val="28"/>
                <w:lang w:val="ro-RO"/>
              </w:rPr>
              <w:t>ă</w:t>
            </w:r>
            <w:r w:rsidR="00D3185A">
              <w:rPr>
                <w:rFonts w:ascii="Times New Roman" w:hAnsi="Times New Roman"/>
                <w:sz w:val="28"/>
                <w:szCs w:val="28"/>
                <w:lang w:val="ro-RO"/>
              </w:rPr>
              <w:t>r</w:t>
            </w:r>
            <w:r w:rsidR="005F74AB">
              <w:rPr>
                <w:rFonts w:ascii="Times New Roman" w:hAnsi="Times New Roman"/>
                <w:sz w:val="28"/>
                <w:szCs w:val="28"/>
                <w:lang w:val="ro-RO"/>
              </w:rPr>
              <w:t>ii</w:t>
            </w:r>
            <w:r w:rsidR="00D3185A">
              <w:rPr>
                <w:rFonts w:ascii="Times New Roman" w:hAnsi="Times New Roman"/>
                <w:sz w:val="28"/>
                <w:szCs w:val="28"/>
                <w:lang w:val="ro-RO"/>
              </w:rPr>
              <w:t xml:space="preserve"> </w:t>
            </w:r>
            <w:r w:rsidR="00D3185A" w:rsidRPr="00D3185A">
              <w:rPr>
                <w:rFonts w:ascii="Times New Roman" w:hAnsi="Times New Roman"/>
                <w:sz w:val="28"/>
                <w:szCs w:val="28"/>
                <w:lang w:val="ro-RO"/>
              </w:rPr>
              <w:t>organizațiilor de producători</w:t>
            </w:r>
            <w:r w:rsidR="00FD36AC">
              <w:rPr>
                <w:rFonts w:ascii="Times New Roman" w:hAnsi="Times New Roman"/>
                <w:sz w:val="28"/>
                <w:szCs w:val="28"/>
                <w:lang w:val="ro-RO"/>
              </w:rPr>
              <w:t xml:space="preserve"> / </w:t>
            </w:r>
            <w:r w:rsidR="00D3185A" w:rsidRPr="00D3185A">
              <w:rPr>
                <w:rFonts w:ascii="Times New Roman" w:hAnsi="Times New Roman"/>
                <w:sz w:val="28"/>
                <w:szCs w:val="28"/>
                <w:lang w:val="ro-RO"/>
              </w:rPr>
              <w:t>organizațiilor interprofesionale</w:t>
            </w:r>
            <w:r w:rsidR="00D3185A">
              <w:rPr>
                <w:rFonts w:ascii="Times New Roman" w:hAnsi="Times New Roman"/>
                <w:sz w:val="28"/>
                <w:szCs w:val="28"/>
                <w:lang w:val="ro-RO"/>
              </w:rPr>
              <w:t xml:space="preserve"> </w:t>
            </w:r>
            <w:r w:rsidR="00DD6FBD">
              <w:rPr>
                <w:rFonts w:ascii="Times New Roman" w:hAnsi="Times New Roman"/>
                <w:sz w:val="28"/>
                <w:szCs w:val="28"/>
                <w:lang w:val="ro-RO"/>
              </w:rPr>
              <w:t>în domeniul producerii, prelucrării și comercializării produselor pescărești și de acvacultură</w:t>
            </w:r>
            <w:r w:rsidR="00D3185A">
              <w:rPr>
                <w:rFonts w:ascii="Times New Roman" w:hAnsi="Times New Roman"/>
                <w:sz w:val="28"/>
                <w:szCs w:val="28"/>
                <w:lang w:val="ro-RO"/>
              </w:rPr>
              <w:t>, întru organizarea sectorului acvaculturii și a pieței produselor pescărești și de acvacultură</w:t>
            </w:r>
            <w:r w:rsidR="00DD6FBD">
              <w:rPr>
                <w:rFonts w:ascii="Times New Roman" w:hAnsi="Times New Roman"/>
                <w:sz w:val="28"/>
                <w:szCs w:val="28"/>
                <w:lang w:val="ro-RO"/>
              </w:rPr>
              <w:t xml:space="preserve">. </w:t>
            </w:r>
          </w:p>
          <w:p w:rsidR="00DD6FBD" w:rsidRDefault="00DD6FBD">
            <w:pPr>
              <w:tabs>
                <w:tab w:val="left" w:pos="884"/>
                <w:tab w:val="left" w:pos="1196"/>
              </w:tabs>
              <w:spacing w:after="0" w:line="240" w:lineRule="auto"/>
              <w:ind w:firstLine="270"/>
              <w:jc w:val="both"/>
              <w:rPr>
                <w:rFonts w:ascii="Times New Roman" w:hAnsi="Times New Roman"/>
                <w:sz w:val="28"/>
                <w:szCs w:val="28"/>
                <w:lang w:val="ro-RO"/>
              </w:rPr>
            </w:pPr>
          </w:p>
          <w:p w:rsidR="0028550B" w:rsidRDefault="00D52681" w:rsidP="005A63A3">
            <w:pPr>
              <w:tabs>
                <w:tab w:val="left" w:pos="884"/>
                <w:tab w:val="left" w:pos="1196"/>
              </w:tabs>
              <w:spacing w:after="0" w:line="240" w:lineRule="auto"/>
              <w:ind w:firstLine="456"/>
              <w:jc w:val="both"/>
              <w:rPr>
                <w:rFonts w:ascii="Times New Roman" w:hAnsi="Times New Roman"/>
                <w:i/>
                <w:iCs/>
                <w:sz w:val="28"/>
                <w:szCs w:val="28"/>
                <w:lang w:val="ro-RO"/>
              </w:rPr>
            </w:pPr>
            <w:r w:rsidRPr="006B1151">
              <w:rPr>
                <w:rFonts w:ascii="Times New Roman" w:hAnsi="Times New Roman"/>
                <w:sz w:val="28"/>
                <w:szCs w:val="28"/>
                <w:lang w:val="ro-RO"/>
              </w:rPr>
              <w:t xml:space="preserve">2.2. </w:t>
            </w:r>
            <w:r w:rsidRPr="006B1151">
              <w:rPr>
                <w:rFonts w:ascii="Times New Roman" w:hAnsi="Times New Roman"/>
                <w:i/>
                <w:iCs/>
                <w:sz w:val="28"/>
                <w:szCs w:val="28"/>
                <w:lang w:val="ro-RO"/>
              </w:rPr>
              <w:t>Descrierea situației actuale și a problemelor care impun intervenția, inclusiv a cadrului normativ aplicabil și a deficiențelor/lacunelor normative</w:t>
            </w:r>
            <w:r w:rsidR="0096612F">
              <w:rPr>
                <w:rFonts w:ascii="Times New Roman" w:hAnsi="Times New Roman"/>
                <w:i/>
                <w:iCs/>
                <w:sz w:val="28"/>
                <w:szCs w:val="28"/>
                <w:lang w:val="ro-RO"/>
              </w:rPr>
              <w:t>.</w:t>
            </w:r>
          </w:p>
          <w:p w:rsidR="0036004A" w:rsidRPr="0036004A" w:rsidRDefault="003D7327" w:rsidP="005A63A3">
            <w:pPr>
              <w:tabs>
                <w:tab w:val="left" w:pos="884"/>
                <w:tab w:val="left" w:pos="1196"/>
              </w:tabs>
              <w:spacing w:after="0" w:line="240" w:lineRule="auto"/>
              <w:ind w:firstLine="456"/>
              <w:jc w:val="both"/>
              <w:rPr>
                <w:rFonts w:ascii="Times New Roman" w:hAnsi="Times New Roman"/>
                <w:color w:val="000000" w:themeColor="text1"/>
                <w:sz w:val="28"/>
                <w:szCs w:val="28"/>
                <w:lang w:val="ro-RO"/>
              </w:rPr>
            </w:pPr>
            <w:r w:rsidRPr="0036004A">
              <w:rPr>
                <w:rFonts w:ascii="Times New Roman" w:hAnsi="Times New Roman"/>
                <w:color w:val="000000" w:themeColor="text1"/>
                <w:sz w:val="28"/>
                <w:szCs w:val="28"/>
                <w:lang w:val="ro-RO"/>
              </w:rPr>
              <w:t>Actualmente</w:t>
            </w:r>
            <w:r w:rsidR="003F0988" w:rsidRPr="0036004A">
              <w:rPr>
                <w:rFonts w:ascii="Times New Roman" w:hAnsi="Times New Roman"/>
                <w:color w:val="000000" w:themeColor="text1"/>
                <w:sz w:val="28"/>
                <w:szCs w:val="28"/>
                <w:lang w:val="ro-RO"/>
              </w:rPr>
              <w:t xml:space="preserve">, sectorul </w:t>
            </w:r>
            <w:r w:rsidR="00682572">
              <w:rPr>
                <w:rFonts w:ascii="Times New Roman" w:hAnsi="Times New Roman"/>
                <w:color w:val="000000" w:themeColor="text1"/>
                <w:sz w:val="28"/>
                <w:szCs w:val="28"/>
                <w:lang w:val="ro-RO"/>
              </w:rPr>
              <w:t xml:space="preserve">acvaculturii </w:t>
            </w:r>
            <w:r w:rsidR="003F0988" w:rsidRPr="0036004A">
              <w:rPr>
                <w:rFonts w:ascii="Times New Roman" w:hAnsi="Times New Roman"/>
                <w:color w:val="000000" w:themeColor="text1"/>
                <w:sz w:val="28"/>
                <w:szCs w:val="28"/>
                <w:lang w:val="ro-RO"/>
              </w:rPr>
              <w:t xml:space="preserve">este </w:t>
            </w:r>
            <w:r w:rsidR="00EB40A4" w:rsidRPr="0036004A">
              <w:rPr>
                <w:rFonts w:ascii="Times New Roman" w:hAnsi="Times New Roman"/>
                <w:color w:val="000000" w:themeColor="text1"/>
                <w:sz w:val="28"/>
                <w:szCs w:val="28"/>
                <w:lang w:val="ro-RO"/>
              </w:rPr>
              <w:t xml:space="preserve">unul divizat, o parte fiind </w:t>
            </w:r>
            <w:r w:rsidR="003F0988" w:rsidRPr="0036004A">
              <w:rPr>
                <w:rFonts w:ascii="Times New Roman" w:hAnsi="Times New Roman"/>
                <w:color w:val="000000" w:themeColor="text1"/>
                <w:sz w:val="28"/>
                <w:szCs w:val="28"/>
                <w:lang w:val="ro-RO"/>
              </w:rPr>
              <w:t>reprezentat de Uniunea de persoane juridice Asociația Națională a Piscicultorilor din Republica Moldova, care are o formă de asociere benevolă</w:t>
            </w:r>
            <w:r w:rsidR="00756A28" w:rsidRPr="0036004A">
              <w:rPr>
                <w:rFonts w:ascii="Times New Roman" w:hAnsi="Times New Roman"/>
                <w:color w:val="000000" w:themeColor="text1"/>
                <w:sz w:val="28"/>
                <w:szCs w:val="28"/>
                <w:lang w:val="ro-RO"/>
              </w:rPr>
              <w:t>, asociind 46 de membri</w:t>
            </w:r>
            <w:r w:rsidR="00EB40A4" w:rsidRPr="0036004A">
              <w:rPr>
                <w:rFonts w:ascii="Times New Roman" w:hAnsi="Times New Roman"/>
                <w:color w:val="000000" w:themeColor="text1"/>
                <w:sz w:val="28"/>
                <w:szCs w:val="28"/>
                <w:lang w:val="ro-RO"/>
              </w:rPr>
              <w:t>, iar o altă parte din producătorii de pește, profitând de lipsa reglementărilor în domeniu, aleg să</w:t>
            </w:r>
            <w:r w:rsidR="00682572">
              <w:rPr>
                <w:rFonts w:ascii="Times New Roman" w:hAnsi="Times New Roman"/>
                <w:color w:val="000000" w:themeColor="text1"/>
                <w:sz w:val="28"/>
                <w:szCs w:val="28"/>
                <w:lang w:val="ro-RO"/>
              </w:rPr>
              <w:t>-și</w:t>
            </w:r>
            <w:r w:rsidR="00EB40A4" w:rsidRPr="0036004A">
              <w:rPr>
                <w:rFonts w:ascii="Times New Roman" w:hAnsi="Times New Roman"/>
                <w:color w:val="000000" w:themeColor="text1"/>
                <w:sz w:val="28"/>
                <w:szCs w:val="28"/>
                <w:lang w:val="ro-RO"/>
              </w:rPr>
              <w:t xml:space="preserve"> desfășoare activitatea într-un mod </w:t>
            </w:r>
            <w:r w:rsidR="0036004A" w:rsidRPr="0036004A">
              <w:rPr>
                <w:rFonts w:ascii="Times New Roman" w:hAnsi="Times New Roman"/>
                <w:color w:val="000000" w:themeColor="text1"/>
                <w:sz w:val="28"/>
                <w:szCs w:val="28"/>
                <w:lang w:val="ro-RO"/>
              </w:rPr>
              <w:t>ne</w:t>
            </w:r>
            <w:r w:rsidR="00EB40A4" w:rsidRPr="0036004A">
              <w:rPr>
                <w:rFonts w:ascii="Times New Roman" w:hAnsi="Times New Roman"/>
                <w:color w:val="000000" w:themeColor="text1"/>
                <w:sz w:val="28"/>
                <w:szCs w:val="28"/>
                <w:lang w:val="ro-RO"/>
              </w:rPr>
              <w:t>transparent, generând profituri pentru un cerc restrâns de persoane.</w:t>
            </w:r>
          </w:p>
          <w:p w:rsidR="00AC0EC1" w:rsidRDefault="00682572" w:rsidP="005A63A3">
            <w:pPr>
              <w:tabs>
                <w:tab w:val="left" w:pos="884"/>
                <w:tab w:val="left" w:pos="1196"/>
              </w:tabs>
              <w:spacing w:after="0" w:line="240" w:lineRule="auto"/>
              <w:ind w:firstLine="456"/>
              <w:jc w:val="both"/>
              <w:rPr>
                <w:rFonts w:ascii="Times New Roman" w:hAnsi="Times New Roman"/>
                <w:sz w:val="28"/>
                <w:szCs w:val="28"/>
                <w:lang w:val="ro-RO"/>
              </w:rPr>
            </w:pPr>
            <w:r>
              <w:rPr>
                <w:rFonts w:ascii="Times New Roman" w:hAnsi="Times New Roman"/>
                <w:sz w:val="28"/>
                <w:szCs w:val="28"/>
                <w:lang w:val="ro-RO"/>
              </w:rPr>
              <w:t>În prezent</w:t>
            </w:r>
            <w:r w:rsidR="00750F84">
              <w:rPr>
                <w:rFonts w:ascii="Times New Roman" w:hAnsi="Times New Roman"/>
                <w:sz w:val="28"/>
                <w:szCs w:val="28"/>
                <w:lang w:val="ro-RO"/>
              </w:rPr>
              <w:t>,</w:t>
            </w:r>
            <w:r>
              <w:rPr>
                <w:rFonts w:ascii="Times New Roman" w:hAnsi="Times New Roman"/>
                <w:sz w:val="28"/>
                <w:szCs w:val="28"/>
                <w:lang w:val="ro-RO"/>
              </w:rPr>
              <w:t xml:space="preserve"> c</w:t>
            </w:r>
            <w:r w:rsidR="00A300BE" w:rsidRPr="00612363">
              <w:rPr>
                <w:rFonts w:ascii="Times New Roman" w:hAnsi="Times New Roman"/>
                <w:sz w:val="28"/>
                <w:szCs w:val="28"/>
                <w:lang w:val="ro-RO"/>
              </w:rPr>
              <w:t>adrul normativ aplicabil sectorului este format din reglementări generale privind siguranța alimentară, protecția mediului și cerințele de calitate. Aceste</w:t>
            </w:r>
            <w:r w:rsidR="005E51BA">
              <w:rPr>
                <w:rFonts w:ascii="Times New Roman" w:hAnsi="Times New Roman"/>
                <w:sz w:val="28"/>
                <w:szCs w:val="28"/>
                <w:lang w:val="ro-RO"/>
              </w:rPr>
              <w:t>a</w:t>
            </w:r>
            <w:r w:rsidR="00A300BE" w:rsidRPr="00612363">
              <w:rPr>
                <w:rFonts w:ascii="Times New Roman" w:hAnsi="Times New Roman"/>
                <w:sz w:val="28"/>
                <w:szCs w:val="28"/>
                <w:lang w:val="ro-RO"/>
              </w:rPr>
              <w:t xml:space="preserve"> </w:t>
            </w:r>
            <w:r w:rsidR="00612363" w:rsidRPr="00612363">
              <w:rPr>
                <w:rFonts w:ascii="Times New Roman" w:hAnsi="Times New Roman"/>
                <w:sz w:val="28"/>
                <w:szCs w:val="28"/>
                <w:lang w:val="ro-RO"/>
              </w:rPr>
              <w:t xml:space="preserve">nu reglementează organizarea </w:t>
            </w:r>
            <w:r w:rsidR="0036004A">
              <w:rPr>
                <w:rFonts w:ascii="Times New Roman" w:hAnsi="Times New Roman"/>
                <w:sz w:val="28"/>
                <w:szCs w:val="28"/>
                <w:lang w:val="ro-RO"/>
              </w:rPr>
              <w:t xml:space="preserve">sectorului </w:t>
            </w:r>
            <w:r w:rsidR="00612363" w:rsidRPr="00612363">
              <w:rPr>
                <w:rFonts w:ascii="Times New Roman" w:hAnsi="Times New Roman"/>
                <w:sz w:val="28"/>
                <w:szCs w:val="28"/>
                <w:lang w:val="ro-RO"/>
              </w:rPr>
              <w:t>acvacultur</w:t>
            </w:r>
            <w:r w:rsidR="0036004A">
              <w:rPr>
                <w:rFonts w:ascii="Times New Roman" w:hAnsi="Times New Roman"/>
                <w:sz w:val="28"/>
                <w:szCs w:val="28"/>
                <w:lang w:val="ro-RO"/>
              </w:rPr>
              <w:t>ii și a pieței produselor pescărești și de acvacultură</w:t>
            </w:r>
            <w:r w:rsidR="001E3C61">
              <w:rPr>
                <w:rFonts w:ascii="Times New Roman" w:hAnsi="Times New Roman"/>
                <w:sz w:val="28"/>
                <w:szCs w:val="28"/>
                <w:lang w:val="ro-RO"/>
              </w:rPr>
              <w:t>,  măsur</w:t>
            </w:r>
            <w:r w:rsidR="00575733">
              <w:rPr>
                <w:rFonts w:ascii="Times New Roman" w:hAnsi="Times New Roman"/>
                <w:sz w:val="28"/>
                <w:szCs w:val="28"/>
                <w:lang w:val="ro-RO"/>
              </w:rPr>
              <w:t>ă</w:t>
            </w:r>
            <w:r w:rsidR="001E3C61">
              <w:rPr>
                <w:rFonts w:ascii="Times New Roman" w:hAnsi="Times New Roman"/>
                <w:sz w:val="28"/>
                <w:szCs w:val="28"/>
                <w:lang w:val="ro-RO"/>
              </w:rPr>
              <w:t xml:space="preserve"> </w:t>
            </w:r>
            <w:r w:rsidR="005E51BA">
              <w:rPr>
                <w:rFonts w:ascii="Times New Roman" w:hAnsi="Times New Roman"/>
                <w:sz w:val="28"/>
                <w:szCs w:val="28"/>
                <w:lang w:val="ro-RO"/>
              </w:rPr>
              <w:t>prevăzut</w:t>
            </w:r>
            <w:r w:rsidR="00575733">
              <w:rPr>
                <w:rFonts w:ascii="Times New Roman" w:hAnsi="Times New Roman"/>
                <w:sz w:val="28"/>
                <w:szCs w:val="28"/>
                <w:lang w:val="ro-RO"/>
              </w:rPr>
              <w:t>ă</w:t>
            </w:r>
            <w:r w:rsidR="005E51BA">
              <w:rPr>
                <w:rFonts w:ascii="Times New Roman" w:hAnsi="Times New Roman"/>
                <w:sz w:val="28"/>
                <w:szCs w:val="28"/>
                <w:lang w:val="ro-RO"/>
              </w:rPr>
              <w:t xml:space="preserve"> de </w:t>
            </w:r>
            <w:r w:rsidR="001E3C61">
              <w:rPr>
                <w:rFonts w:ascii="Times New Roman" w:hAnsi="Times New Roman"/>
                <w:sz w:val="28"/>
                <w:szCs w:val="28"/>
                <w:lang w:val="ro-RO"/>
              </w:rPr>
              <w:t>Acordul de Asociere</w:t>
            </w:r>
            <w:r w:rsidR="00195B2B">
              <w:rPr>
                <w:rFonts w:ascii="Times New Roman" w:hAnsi="Times New Roman"/>
                <w:sz w:val="28"/>
                <w:szCs w:val="28"/>
                <w:lang w:val="ro-RO"/>
              </w:rPr>
              <w:t xml:space="preserve"> </w:t>
            </w:r>
            <w:r w:rsidR="00566DD3">
              <w:rPr>
                <w:rFonts w:ascii="Times New Roman" w:hAnsi="Times New Roman"/>
                <w:sz w:val="28"/>
                <w:szCs w:val="28"/>
                <w:lang w:val="ro-RO"/>
              </w:rPr>
              <w:t>și</w:t>
            </w:r>
            <w:r w:rsidR="005E51BA">
              <w:rPr>
                <w:rFonts w:ascii="Times New Roman" w:hAnsi="Times New Roman"/>
                <w:sz w:val="28"/>
                <w:szCs w:val="28"/>
                <w:lang w:val="ro-RO"/>
              </w:rPr>
              <w:t xml:space="preserve"> recomandat</w:t>
            </w:r>
            <w:r w:rsidR="00D727E8">
              <w:rPr>
                <w:rFonts w:ascii="Times New Roman" w:hAnsi="Times New Roman"/>
                <w:sz w:val="28"/>
                <w:szCs w:val="28"/>
                <w:lang w:val="ro-RO"/>
              </w:rPr>
              <w:t>ă</w:t>
            </w:r>
            <w:r w:rsidR="005E51BA">
              <w:rPr>
                <w:rFonts w:ascii="Times New Roman" w:hAnsi="Times New Roman"/>
                <w:sz w:val="28"/>
                <w:szCs w:val="28"/>
                <w:lang w:val="ro-RO"/>
              </w:rPr>
              <w:t xml:space="preserve"> </w:t>
            </w:r>
            <w:r w:rsidR="0027294D">
              <w:rPr>
                <w:rFonts w:ascii="Times New Roman" w:hAnsi="Times New Roman"/>
                <w:sz w:val="28"/>
                <w:szCs w:val="28"/>
                <w:lang w:val="ro-RO"/>
              </w:rPr>
              <w:t>în</w:t>
            </w:r>
            <w:r w:rsidR="005E51BA">
              <w:rPr>
                <w:rFonts w:ascii="Times New Roman" w:hAnsi="Times New Roman"/>
                <w:sz w:val="28"/>
                <w:szCs w:val="28"/>
                <w:lang w:val="ro-RO"/>
              </w:rPr>
              <w:t xml:space="preserve"> raportul Comisiei Uniunii Europene</w:t>
            </w:r>
            <w:r w:rsidR="0027294D">
              <w:rPr>
                <w:rFonts w:ascii="Times New Roman" w:hAnsi="Times New Roman"/>
                <w:sz w:val="28"/>
                <w:szCs w:val="28"/>
                <w:lang w:val="ro-RO"/>
              </w:rPr>
              <w:t xml:space="preserve"> pentru anul 2024</w:t>
            </w:r>
            <w:r w:rsidR="00A153A9" w:rsidRPr="00612363">
              <w:rPr>
                <w:rFonts w:ascii="Times New Roman" w:hAnsi="Times New Roman"/>
                <w:sz w:val="28"/>
                <w:szCs w:val="28"/>
                <w:lang w:val="ro-RO"/>
              </w:rPr>
              <w:t xml:space="preserve">. </w:t>
            </w:r>
          </w:p>
          <w:p w:rsidR="00195B2B" w:rsidRDefault="00195B2B" w:rsidP="005A63A3">
            <w:pPr>
              <w:tabs>
                <w:tab w:val="left" w:pos="884"/>
                <w:tab w:val="left" w:pos="1196"/>
              </w:tabs>
              <w:spacing w:after="0" w:line="240" w:lineRule="auto"/>
              <w:ind w:firstLine="456"/>
              <w:jc w:val="both"/>
              <w:rPr>
                <w:rFonts w:ascii="Times New Roman" w:hAnsi="Times New Roman"/>
                <w:sz w:val="28"/>
                <w:szCs w:val="28"/>
                <w:lang w:val="ro-RO"/>
              </w:rPr>
            </w:pPr>
            <w:r w:rsidRPr="00195B2B">
              <w:rPr>
                <w:rFonts w:ascii="Times New Roman" w:hAnsi="Times New Roman"/>
                <w:sz w:val="28"/>
                <w:szCs w:val="28"/>
                <w:lang w:val="ro-RO"/>
              </w:rPr>
              <w:t>Pentru a remedia aceste probleme</w:t>
            </w:r>
            <w:r>
              <w:rPr>
                <w:rFonts w:ascii="Times New Roman" w:hAnsi="Times New Roman"/>
                <w:sz w:val="28"/>
                <w:szCs w:val="28"/>
                <w:lang w:val="ro-RO"/>
              </w:rPr>
              <w:t>, dar și pentru</w:t>
            </w:r>
            <w:r w:rsidRPr="00195B2B">
              <w:rPr>
                <w:rFonts w:ascii="Times New Roman" w:hAnsi="Times New Roman"/>
                <w:sz w:val="28"/>
                <w:szCs w:val="28"/>
                <w:lang w:val="ro-RO"/>
              </w:rPr>
              <w:t xml:space="preserve"> alinie</w:t>
            </w:r>
            <w:r>
              <w:rPr>
                <w:rFonts w:ascii="Times New Roman" w:hAnsi="Times New Roman"/>
                <w:sz w:val="28"/>
                <w:szCs w:val="28"/>
                <w:lang w:val="ro-RO"/>
              </w:rPr>
              <w:t>rea</w:t>
            </w:r>
            <w:r w:rsidRPr="00195B2B">
              <w:rPr>
                <w:rFonts w:ascii="Times New Roman" w:hAnsi="Times New Roman"/>
                <w:sz w:val="28"/>
                <w:szCs w:val="28"/>
                <w:lang w:val="ro-RO"/>
              </w:rPr>
              <w:t xml:space="preserve"> sectorului cerințelor europene, este necesară recunoașterea oficială a organizațiilor de producători și </w:t>
            </w:r>
            <w:r>
              <w:rPr>
                <w:rFonts w:ascii="Times New Roman" w:hAnsi="Times New Roman"/>
                <w:sz w:val="28"/>
                <w:szCs w:val="28"/>
                <w:lang w:val="ro-RO"/>
              </w:rPr>
              <w:t xml:space="preserve">organizațiilor </w:t>
            </w:r>
            <w:r w:rsidRPr="00195B2B">
              <w:rPr>
                <w:rFonts w:ascii="Times New Roman" w:hAnsi="Times New Roman"/>
                <w:sz w:val="28"/>
                <w:szCs w:val="28"/>
                <w:lang w:val="ro-RO"/>
              </w:rPr>
              <w:t>interprofesionale, ceea ce va permite:</w:t>
            </w:r>
          </w:p>
          <w:p w:rsidR="00195B2B" w:rsidRPr="00195B2B" w:rsidRDefault="00195B2B" w:rsidP="005A63A3">
            <w:pPr>
              <w:pStyle w:val="Listparagraf"/>
              <w:numPr>
                <w:ilvl w:val="0"/>
                <w:numId w:val="9"/>
              </w:numPr>
              <w:tabs>
                <w:tab w:val="left" w:pos="884"/>
                <w:tab w:val="left" w:pos="1196"/>
              </w:tabs>
              <w:spacing w:after="0" w:line="240" w:lineRule="auto"/>
              <w:ind w:hanging="174"/>
              <w:jc w:val="both"/>
              <w:rPr>
                <w:rFonts w:ascii="Times New Roman" w:hAnsi="Times New Roman"/>
                <w:sz w:val="28"/>
                <w:szCs w:val="28"/>
                <w:lang w:val="en-US"/>
              </w:rPr>
            </w:pPr>
            <w:r w:rsidRPr="00195B2B">
              <w:rPr>
                <w:rFonts w:ascii="Times New Roman" w:hAnsi="Times New Roman"/>
                <w:sz w:val="28"/>
                <w:szCs w:val="28"/>
                <w:lang w:val="ro-RO"/>
              </w:rPr>
              <w:t>Crearea unei piețe reglementate și competitive</w:t>
            </w:r>
            <w:r w:rsidRPr="00195B2B">
              <w:rPr>
                <w:rFonts w:ascii="Times New Roman" w:hAnsi="Times New Roman"/>
                <w:sz w:val="28"/>
                <w:szCs w:val="28"/>
                <w:lang w:val="en-US"/>
              </w:rPr>
              <w:t>;</w:t>
            </w:r>
          </w:p>
          <w:p w:rsidR="00195B2B" w:rsidRDefault="00195B2B" w:rsidP="005A63A3">
            <w:pPr>
              <w:pStyle w:val="Listparagraf"/>
              <w:numPr>
                <w:ilvl w:val="0"/>
                <w:numId w:val="9"/>
              </w:numPr>
              <w:tabs>
                <w:tab w:val="left" w:pos="884"/>
                <w:tab w:val="left" w:pos="1196"/>
              </w:tabs>
              <w:spacing w:after="0" w:line="240" w:lineRule="auto"/>
              <w:ind w:hanging="174"/>
              <w:jc w:val="both"/>
              <w:rPr>
                <w:rFonts w:ascii="Times New Roman" w:hAnsi="Times New Roman"/>
                <w:sz w:val="28"/>
                <w:szCs w:val="28"/>
                <w:lang w:val="ro-RO"/>
              </w:rPr>
            </w:pPr>
            <w:r w:rsidRPr="00195B2B">
              <w:rPr>
                <w:rFonts w:ascii="Times New Roman" w:hAnsi="Times New Roman"/>
                <w:sz w:val="28"/>
                <w:szCs w:val="28"/>
                <w:lang w:val="ro-RO"/>
              </w:rPr>
              <w:t>Acces la finanțare</w:t>
            </w:r>
            <w:r>
              <w:rPr>
                <w:rFonts w:ascii="Times New Roman" w:hAnsi="Times New Roman"/>
                <w:sz w:val="28"/>
                <w:szCs w:val="28"/>
                <w:lang w:val="ro-RO"/>
              </w:rPr>
              <w:t>;</w:t>
            </w:r>
          </w:p>
          <w:p w:rsidR="00195B2B" w:rsidRPr="00195B2B" w:rsidRDefault="00195B2B" w:rsidP="005A63A3">
            <w:pPr>
              <w:pStyle w:val="Listparagraf"/>
              <w:numPr>
                <w:ilvl w:val="0"/>
                <w:numId w:val="9"/>
              </w:numPr>
              <w:tabs>
                <w:tab w:val="left" w:pos="884"/>
                <w:tab w:val="left" w:pos="1196"/>
              </w:tabs>
              <w:spacing w:after="0" w:line="240" w:lineRule="auto"/>
              <w:ind w:hanging="174"/>
              <w:jc w:val="both"/>
              <w:rPr>
                <w:rFonts w:ascii="Times New Roman" w:hAnsi="Times New Roman"/>
                <w:sz w:val="28"/>
                <w:szCs w:val="28"/>
                <w:lang w:val="ro-RO"/>
              </w:rPr>
            </w:pPr>
            <w:r w:rsidRPr="00195B2B">
              <w:rPr>
                <w:rFonts w:ascii="Times New Roman" w:hAnsi="Times New Roman"/>
                <w:sz w:val="28"/>
                <w:szCs w:val="28"/>
                <w:lang w:val="ro-RO"/>
              </w:rPr>
              <w:t>Promovarea asoci</w:t>
            </w:r>
            <w:r>
              <w:rPr>
                <w:rFonts w:ascii="Times New Roman" w:hAnsi="Times New Roman"/>
                <w:sz w:val="28"/>
                <w:szCs w:val="28"/>
                <w:lang w:val="ro-RO"/>
              </w:rPr>
              <w:t>erii</w:t>
            </w:r>
            <w:r w:rsidRPr="00195B2B">
              <w:rPr>
                <w:rFonts w:ascii="Times New Roman" w:hAnsi="Times New Roman"/>
                <w:sz w:val="28"/>
                <w:szCs w:val="28"/>
                <w:lang w:val="ro-RO"/>
              </w:rPr>
              <w:t xml:space="preserve"> între producători</w:t>
            </w:r>
            <w:r>
              <w:rPr>
                <w:rFonts w:ascii="Times New Roman" w:hAnsi="Times New Roman"/>
                <w:sz w:val="28"/>
                <w:szCs w:val="28"/>
                <w:lang w:val="ro-RO"/>
              </w:rPr>
              <w:t>;</w:t>
            </w:r>
          </w:p>
          <w:p w:rsidR="00195B2B" w:rsidRPr="00195B2B" w:rsidRDefault="00195B2B" w:rsidP="005A63A3">
            <w:pPr>
              <w:pStyle w:val="Listparagraf"/>
              <w:numPr>
                <w:ilvl w:val="0"/>
                <w:numId w:val="9"/>
              </w:numPr>
              <w:tabs>
                <w:tab w:val="left" w:pos="884"/>
                <w:tab w:val="left" w:pos="1196"/>
              </w:tabs>
              <w:spacing w:after="0" w:line="240" w:lineRule="auto"/>
              <w:ind w:hanging="174"/>
              <w:jc w:val="both"/>
              <w:rPr>
                <w:rFonts w:ascii="Times New Roman" w:hAnsi="Times New Roman"/>
                <w:sz w:val="28"/>
                <w:szCs w:val="28"/>
                <w:lang w:val="ro-RO"/>
              </w:rPr>
            </w:pPr>
            <w:r w:rsidRPr="00195B2B">
              <w:rPr>
                <w:rFonts w:ascii="Times New Roman" w:hAnsi="Times New Roman"/>
                <w:sz w:val="28"/>
                <w:szCs w:val="28"/>
                <w:lang w:val="ro-RO"/>
              </w:rPr>
              <w:t>Asigurarea trasabilității și siguranței produselor p</w:t>
            </w:r>
            <w:r>
              <w:rPr>
                <w:rFonts w:ascii="Times New Roman" w:hAnsi="Times New Roman"/>
                <w:sz w:val="28"/>
                <w:szCs w:val="28"/>
                <w:lang w:val="ro-RO"/>
              </w:rPr>
              <w:t>escărești și de acvacultură;</w:t>
            </w:r>
          </w:p>
          <w:p w:rsidR="00195B2B" w:rsidRPr="00195B2B" w:rsidRDefault="00195B2B" w:rsidP="005A63A3">
            <w:pPr>
              <w:pStyle w:val="Listparagraf"/>
              <w:numPr>
                <w:ilvl w:val="0"/>
                <w:numId w:val="9"/>
              </w:numPr>
              <w:tabs>
                <w:tab w:val="left" w:pos="884"/>
                <w:tab w:val="left" w:pos="1196"/>
              </w:tabs>
              <w:spacing w:after="0" w:line="240" w:lineRule="auto"/>
              <w:ind w:hanging="174"/>
              <w:jc w:val="both"/>
              <w:rPr>
                <w:rFonts w:ascii="Times New Roman" w:hAnsi="Times New Roman"/>
                <w:sz w:val="28"/>
                <w:szCs w:val="28"/>
                <w:lang w:val="ro-RO"/>
              </w:rPr>
            </w:pPr>
            <w:r w:rsidRPr="00195B2B">
              <w:rPr>
                <w:rFonts w:ascii="Times New Roman" w:hAnsi="Times New Roman"/>
                <w:sz w:val="28"/>
                <w:szCs w:val="28"/>
                <w:lang w:val="ro-RO"/>
              </w:rPr>
              <w:t xml:space="preserve">Integrarea </w:t>
            </w:r>
            <w:r>
              <w:rPr>
                <w:rFonts w:ascii="Times New Roman" w:hAnsi="Times New Roman"/>
                <w:sz w:val="28"/>
                <w:szCs w:val="28"/>
                <w:lang w:val="ro-RO"/>
              </w:rPr>
              <w:t xml:space="preserve">sectorului </w:t>
            </w:r>
            <w:r w:rsidR="005F74AB">
              <w:rPr>
                <w:rFonts w:ascii="Times New Roman" w:hAnsi="Times New Roman"/>
                <w:sz w:val="28"/>
                <w:szCs w:val="28"/>
                <w:lang w:val="ro-RO"/>
              </w:rPr>
              <w:t>pe</w:t>
            </w:r>
            <w:r w:rsidRPr="00195B2B">
              <w:rPr>
                <w:rFonts w:ascii="Times New Roman" w:hAnsi="Times New Roman"/>
                <w:sz w:val="28"/>
                <w:szCs w:val="28"/>
                <w:lang w:val="ro-RO"/>
              </w:rPr>
              <w:t xml:space="preserve"> piața europeană</w:t>
            </w:r>
            <w:r>
              <w:rPr>
                <w:rFonts w:ascii="Times New Roman" w:hAnsi="Times New Roman"/>
                <w:sz w:val="28"/>
                <w:szCs w:val="28"/>
                <w:lang w:val="ro-RO"/>
              </w:rPr>
              <w:t>.</w:t>
            </w:r>
          </w:p>
          <w:p w:rsidR="00083631" w:rsidRDefault="00195B2B" w:rsidP="005A63A3">
            <w:pPr>
              <w:tabs>
                <w:tab w:val="left" w:pos="884"/>
                <w:tab w:val="left" w:pos="1196"/>
              </w:tabs>
              <w:spacing w:after="0" w:line="240" w:lineRule="auto"/>
              <w:ind w:firstLine="456"/>
              <w:jc w:val="both"/>
              <w:rPr>
                <w:rFonts w:ascii="Times New Roman" w:hAnsi="Times New Roman"/>
                <w:sz w:val="28"/>
                <w:szCs w:val="28"/>
                <w:lang w:val="ro-RO"/>
              </w:rPr>
            </w:pPr>
            <w:r>
              <w:rPr>
                <w:rFonts w:ascii="Times New Roman" w:hAnsi="Times New Roman"/>
                <w:sz w:val="28"/>
                <w:szCs w:val="28"/>
                <w:lang w:val="ro-RO"/>
              </w:rPr>
              <w:t xml:space="preserve">Astfel, </w:t>
            </w:r>
            <w:r w:rsidR="00083631">
              <w:rPr>
                <w:rFonts w:ascii="Times New Roman" w:hAnsi="Times New Roman"/>
                <w:sz w:val="28"/>
                <w:szCs w:val="28"/>
                <w:lang w:val="ro-RO"/>
              </w:rPr>
              <w:t xml:space="preserve">urmare celor relatate, dar și </w:t>
            </w:r>
            <w:r>
              <w:rPr>
                <w:rFonts w:ascii="Times New Roman" w:hAnsi="Times New Roman"/>
                <w:sz w:val="28"/>
                <w:szCs w:val="28"/>
                <w:lang w:val="ro-RO"/>
              </w:rPr>
              <w:t>d</w:t>
            </w:r>
            <w:r w:rsidR="00D929C3">
              <w:rPr>
                <w:rFonts w:ascii="Times New Roman" w:hAnsi="Times New Roman"/>
                <w:sz w:val="28"/>
                <w:szCs w:val="28"/>
                <w:lang w:val="ro-RO"/>
              </w:rPr>
              <w:t>in considerentul că s</w:t>
            </w:r>
            <w:r w:rsidR="003F0988" w:rsidRPr="003F0988">
              <w:rPr>
                <w:rFonts w:ascii="Times New Roman" w:hAnsi="Times New Roman"/>
                <w:sz w:val="28"/>
                <w:szCs w:val="28"/>
                <w:lang w:val="ro-RO"/>
              </w:rPr>
              <w:t xml:space="preserve">ectorul acvaculturii este important nu doar pentru aprovizionarea cu produse de importanță socială, </w:t>
            </w:r>
            <w:r w:rsidR="00083631">
              <w:rPr>
                <w:rFonts w:ascii="Times New Roman" w:hAnsi="Times New Roman"/>
                <w:sz w:val="28"/>
                <w:szCs w:val="28"/>
                <w:lang w:val="ro-RO"/>
              </w:rPr>
              <w:t>dar</w:t>
            </w:r>
            <w:r w:rsidR="003F0988" w:rsidRPr="003F0988">
              <w:rPr>
                <w:rFonts w:ascii="Times New Roman" w:hAnsi="Times New Roman"/>
                <w:sz w:val="28"/>
                <w:szCs w:val="28"/>
                <w:lang w:val="ro-RO"/>
              </w:rPr>
              <w:t xml:space="preserve"> și pentru sustenabilitatea economică a comunităților locale</w:t>
            </w:r>
            <w:r w:rsidR="00D929C3">
              <w:rPr>
                <w:rFonts w:ascii="Times New Roman" w:hAnsi="Times New Roman"/>
                <w:sz w:val="28"/>
                <w:szCs w:val="28"/>
                <w:lang w:val="ro-RO"/>
              </w:rPr>
              <w:t xml:space="preserve">, </w:t>
            </w:r>
            <w:r w:rsidR="0027294D" w:rsidRPr="0027294D">
              <w:rPr>
                <w:rFonts w:ascii="Times New Roman" w:hAnsi="Times New Roman"/>
                <w:sz w:val="28"/>
                <w:szCs w:val="28"/>
                <w:lang w:val="ro-RO"/>
              </w:rPr>
              <w:t xml:space="preserve">Ministerul Agriculturii și Industriei </w:t>
            </w:r>
            <w:r w:rsidR="0027294D" w:rsidRPr="0027294D">
              <w:rPr>
                <w:rFonts w:ascii="Times New Roman" w:hAnsi="Times New Roman"/>
                <w:sz w:val="28"/>
                <w:szCs w:val="28"/>
                <w:lang w:val="ro-RO"/>
              </w:rPr>
              <w:lastRenderedPageBreak/>
              <w:t xml:space="preserve">Alimentare a inițiat procedura de transpunere a cadrului normativ prevăzut </w:t>
            </w:r>
            <w:r w:rsidR="00D727E8">
              <w:rPr>
                <w:rFonts w:ascii="Times New Roman" w:hAnsi="Times New Roman"/>
                <w:sz w:val="28"/>
                <w:szCs w:val="28"/>
                <w:lang w:val="ro-RO"/>
              </w:rPr>
              <w:t>de</w:t>
            </w:r>
            <w:r w:rsidR="0027294D" w:rsidRPr="0027294D">
              <w:rPr>
                <w:rFonts w:ascii="Times New Roman" w:hAnsi="Times New Roman"/>
                <w:sz w:val="28"/>
                <w:szCs w:val="28"/>
                <w:lang w:val="ro-RO"/>
              </w:rPr>
              <w:t xml:space="preserve"> Capitolul 13 - </w:t>
            </w:r>
            <w:r w:rsidR="00566DD3" w:rsidRPr="00566DD3">
              <w:rPr>
                <w:rFonts w:ascii="Times New Roman" w:hAnsi="Times New Roman"/>
                <w:sz w:val="28"/>
                <w:szCs w:val="28"/>
                <w:lang w:val="ro-RO"/>
              </w:rPr>
              <w:t>Pescuit și acvacultură</w:t>
            </w:r>
            <w:r w:rsidR="00566DD3">
              <w:rPr>
                <w:rFonts w:ascii="Times New Roman" w:hAnsi="Times New Roman"/>
                <w:sz w:val="28"/>
                <w:szCs w:val="28"/>
                <w:lang w:val="ro-RO"/>
              </w:rPr>
              <w:t>,</w:t>
            </w:r>
            <w:r w:rsidR="00D727E8">
              <w:rPr>
                <w:rFonts w:ascii="Times New Roman" w:hAnsi="Times New Roman"/>
                <w:sz w:val="28"/>
                <w:szCs w:val="28"/>
                <w:lang w:val="ro-RO"/>
              </w:rPr>
              <w:t xml:space="preserve"> </w:t>
            </w:r>
            <w:r w:rsidR="0027294D" w:rsidRPr="0027294D">
              <w:rPr>
                <w:rFonts w:ascii="Times New Roman" w:hAnsi="Times New Roman"/>
                <w:sz w:val="28"/>
                <w:szCs w:val="28"/>
                <w:lang w:val="ro-RO"/>
              </w:rPr>
              <w:t xml:space="preserve">din Acordul de Asociere. Aceste acțiuni se materializează prin </w:t>
            </w:r>
            <w:r w:rsidR="0027294D">
              <w:rPr>
                <w:rFonts w:ascii="Times New Roman" w:hAnsi="Times New Roman"/>
                <w:sz w:val="28"/>
                <w:szCs w:val="28"/>
                <w:lang w:val="ro-RO"/>
              </w:rPr>
              <w:t xml:space="preserve">promovarea </w:t>
            </w:r>
            <w:r w:rsidR="0027294D" w:rsidRPr="0027294D">
              <w:rPr>
                <w:rFonts w:ascii="Times New Roman" w:hAnsi="Times New Roman"/>
                <w:sz w:val="28"/>
                <w:szCs w:val="28"/>
                <w:lang w:val="ro-RO"/>
              </w:rPr>
              <w:t xml:space="preserve">proiectului de lege privind politica </w:t>
            </w:r>
            <w:r w:rsidR="00AC0EC1">
              <w:rPr>
                <w:rFonts w:ascii="Times New Roman" w:hAnsi="Times New Roman"/>
                <w:sz w:val="28"/>
                <w:szCs w:val="28"/>
                <w:lang w:val="ro-RO"/>
              </w:rPr>
              <w:t xml:space="preserve">în </w:t>
            </w:r>
            <w:r w:rsidR="0027294D" w:rsidRPr="0027294D">
              <w:rPr>
                <w:rFonts w:ascii="Times New Roman" w:hAnsi="Times New Roman"/>
                <w:sz w:val="28"/>
                <w:szCs w:val="28"/>
                <w:lang w:val="ro-RO"/>
              </w:rPr>
              <w:t>sectorul acvaculturii și organizarea pieței produselor pescărești</w:t>
            </w:r>
            <w:r w:rsidR="0027294D">
              <w:rPr>
                <w:rFonts w:ascii="Times New Roman" w:hAnsi="Times New Roman"/>
                <w:sz w:val="28"/>
                <w:szCs w:val="28"/>
                <w:lang w:val="ro-RO"/>
              </w:rPr>
              <w:t xml:space="preserve">, </w:t>
            </w:r>
            <w:r w:rsidR="001E3C61">
              <w:rPr>
                <w:rFonts w:ascii="Times New Roman" w:hAnsi="Times New Roman"/>
                <w:sz w:val="28"/>
                <w:szCs w:val="28"/>
                <w:lang w:val="ro-RO"/>
              </w:rPr>
              <w:t>adoptat</w:t>
            </w:r>
            <w:r w:rsidR="00746702">
              <w:rPr>
                <w:rFonts w:ascii="Times New Roman" w:hAnsi="Times New Roman"/>
                <w:sz w:val="28"/>
                <w:szCs w:val="28"/>
                <w:lang w:val="ro-RO"/>
              </w:rPr>
              <w:t xml:space="preserve"> prin</w:t>
            </w:r>
            <w:r w:rsidR="001E3C61">
              <w:rPr>
                <w:rFonts w:ascii="Times New Roman" w:hAnsi="Times New Roman"/>
                <w:sz w:val="28"/>
                <w:szCs w:val="28"/>
                <w:lang w:val="ro-RO"/>
              </w:rPr>
              <w:t xml:space="preserve"> Legea </w:t>
            </w:r>
            <w:r w:rsidR="00A67FAD">
              <w:rPr>
                <w:rFonts w:ascii="Times New Roman" w:hAnsi="Times New Roman"/>
                <w:sz w:val="28"/>
                <w:szCs w:val="28"/>
                <w:lang w:val="ro-RO"/>
              </w:rPr>
              <w:t>nr. 288/2024, care reglementează instituirea  organizațiilor de producători</w:t>
            </w:r>
            <w:r w:rsidR="001E3C61">
              <w:rPr>
                <w:rFonts w:ascii="Times New Roman" w:hAnsi="Times New Roman"/>
                <w:sz w:val="28"/>
                <w:szCs w:val="28"/>
                <w:lang w:val="ro-RO"/>
              </w:rPr>
              <w:t xml:space="preserve"> </w:t>
            </w:r>
            <w:r w:rsidR="00A67FAD">
              <w:rPr>
                <w:rFonts w:ascii="Times New Roman" w:hAnsi="Times New Roman"/>
                <w:sz w:val="28"/>
                <w:szCs w:val="28"/>
                <w:lang w:val="ro-RO"/>
              </w:rPr>
              <w:t>și organizațiilor interprofesionale</w:t>
            </w:r>
            <w:r w:rsidR="00083631">
              <w:rPr>
                <w:rFonts w:ascii="Times New Roman" w:hAnsi="Times New Roman"/>
                <w:sz w:val="28"/>
                <w:szCs w:val="28"/>
                <w:lang w:val="ro-RO"/>
              </w:rPr>
              <w:t xml:space="preserve">, iar </w:t>
            </w:r>
            <w:r w:rsidR="00A67FAD">
              <w:rPr>
                <w:rFonts w:ascii="Times New Roman" w:hAnsi="Times New Roman"/>
                <w:sz w:val="28"/>
                <w:szCs w:val="28"/>
                <w:lang w:val="ro-RO"/>
              </w:rPr>
              <w:t>art</w:t>
            </w:r>
            <w:r w:rsidR="00083631">
              <w:rPr>
                <w:rFonts w:ascii="Times New Roman" w:hAnsi="Times New Roman"/>
                <w:sz w:val="28"/>
                <w:szCs w:val="28"/>
                <w:lang w:val="ro-RO"/>
              </w:rPr>
              <w:t>icolele</w:t>
            </w:r>
            <w:r w:rsidR="00A67FAD">
              <w:rPr>
                <w:rFonts w:ascii="Times New Roman" w:hAnsi="Times New Roman"/>
                <w:sz w:val="28"/>
                <w:szCs w:val="28"/>
                <w:lang w:val="ro-RO"/>
              </w:rPr>
              <w:t xml:space="preserve"> 2</w:t>
            </w:r>
            <w:r w:rsidR="00D727E8">
              <w:rPr>
                <w:rFonts w:ascii="Times New Roman" w:hAnsi="Times New Roman"/>
                <w:sz w:val="28"/>
                <w:szCs w:val="28"/>
                <w:lang w:val="ro-RO"/>
              </w:rPr>
              <w:t>3 și 24</w:t>
            </w:r>
            <w:r w:rsidR="00A67FAD">
              <w:rPr>
                <w:rFonts w:ascii="Times New Roman" w:hAnsi="Times New Roman"/>
                <w:sz w:val="28"/>
                <w:szCs w:val="28"/>
                <w:lang w:val="ro-RO"/>
              </w:rPr>
              <w:t xml:space="preserve"> </w:t>
            </w:r>
            <w:r w:rsidR="00083631">
              <w:rPr>
                <w:rFonts w:ascii="Times New Roman" w:hAnsi="Times New Roman"/>
                <w:sz w:val="28"/>
                <w:szCs w:val="28"/>
                <w:lang w:val="ro-RO"/>
              </w:rPr>
              <w:t xml:space="preserve">prevăd </w:t>
            </w:r>
            <w:r w:rsidR="00A67FAD">
              <w:rPr>
                <w:rFonts w:ascii="Times New Roman" w:hAnsi="Times New Roman"/>
                <w:sz w:val="28"/>
                <w:szCs w:val="28"/>
                <w:lang w:val="ro-RO"/>
              </w:rPr>
              <w:t xml:space="preserve">reglementarea condițiilor de recunoaștere  </w:t>
            </w:r>
            <w:r w:rsidR="00A67FAD" w:rsidRPr="00A67FAD">
              <w:rPr>
                <w:rFonts w:ascii="Times New Roman" w:hAnsi="Times New Roman"/>
                <w:sz w:val="28"/>
                <w:szCs w:val="28"/>
                <w:lang w:val="ro-RO"/>
              </w:rPr>
              <w:t>a organizațiilor de producători și a organizațiilor interprofesionale</w:t>
            </w:r>
            <w:r w:rsidR="00083631">
              <w:rPr>
                <w:rFonts w:ascii="Times New Roman" w:hAnsi="Times New Roman"/>
                <w:sz w:val="28"/>
                <w:szCs w:val="28"/>
                <w:lang w:val="ro-RO"/>
              </w:rPr>
              <w:t>.</w:t>
            </w:r>
            <w:r w:rsidR="00566DD3">
              <w:rPr>
                <w:rFonts w:ascii="Times New Roman" w:hAnsi="Times New Roman"/>
                <w:sz w:val="28"/>
                <w:szCs w:val="28"/>
                <w:lang w:val="ro-RO"/>
              </w:rPr>
              <w:t xml:space="preserve"> </w:t>
            </w:r>
          </w:p>
          <w:p w:rsidR="00CE7277" w:rsidRDefault="00083631" w:rsidP="005A63A3">
            <w:pPr>
              <w:tabs>
                <w:tab w:val="left" w:pos="884"/>
                <w:tab w:val="left" w:pos="1196"/>
              </w:tabs>
              <w:spacing w:after="0" w:line="240" w:lineRule="auto"/>
              <w:ind w:firstLine="456"/>
              <w:jc w:val="both"/>
              <w:rPr>
                <w:rFonts w:ascii="Times New Roman" w:hAnsi="Times New Roman"/>
                <w:sz w:val="28"/>
                <w:szCs w:val="28"/>
                <w:lang w:val="ro-RO"/>
              </w:rPr>
            </w:pPr>
            <w:r>
              <w:rPr>
                <w:rFonts w:ascii="Times New Roman" w:hAnsi="Times New Roman"/>
                <w:sz w:val="28"/>
                <w:szCs w:val="28"/>
                <w:lang w:val="ro-RO"/>
              </w:rPr>
              <w:t xml:space="preserve">Urmare celor relatate, dar și pentru </w:t>
            </w:r>
            <w:r w:rsidR="00CE409D">
              <w:rPr>
                <w:rFonts w:ascii="Times New Roman" w:hAnsi="Times New Roman"/>
                <w:sz w:val="28"/>
                <w:szCs w:val="28"/>
                <w:lang w:val="ro-RO"/>
              </w:rPr>
              <w:t>reglementarea activități</w:t>
            </w:r>
            <w:r w:rsidR="00AC0EC1">
              <w:rPr>
                <w:rFonts w:ascii="Times New Roman" w:hAnsi="Times New Roman"/>
                <w:sz w:val="28"/>
                <w:szCs w:val="28"/>
                <w:lang w:val="ro-RO"/>
              </w:rPr>
              <w:t>lor</w:t>
            </w:r>
            <w:r w:rsidR="00CE409D">
              <w:rPr>
                <w:rFonts w:ascii="Times New Roman" w:hAnsi="Times New Roman"/>
                <w:sz w:val="28"/>
                <w:szCs w:val="28"/>
                <w:lang w:val="ro-RO"/>
              </w:rPr>
              <w:t xml:space="preserve"> producătorilor din domeniul producerii, procesării și comercializării produselor pescărești și de acvacultură,</w:t>
            </w:r>
            <w:r w:rsidR="00682572">
              <w:rPr>
                <w:rFonts w:ascii="Times New Roman" w:hAnsi="Times New Roman"/>
                <w:sz w:val="28"/>
                <w:szCs w:val="28"/>
                <w:lang w:val="ro-RO"/>
              </w:rPr>
              <w:t xml:space="preserve"> </w:t>
            </w:r>
            <w:r w:rsidR="00642908">
              <w:rPr>
                <w:rFonts w:ascii="Times New Roman" w:hAnsi="Times New Roman"/>
                <w:sz w:val="28"/>
                <w:szCs w:val="28"/>
                <w:lang w:val="ro-RO"/>
              </w:rPr>
              <w:t>prin proiectul propus spre examinare</w:t>
            </w:r>
            <w:r w:rsidR="005F74AB">
              <w:rPr>
                <w:rFonts w:ascii="Times New Roman" w:hAnsi="Times New Roman"/>
                <w:sz w:val="28"/>
                <w:szCs w:val="28"/>
                <w:lang w:val="ro-RO"/>
              </w:rPr>
              <w:t xml:space="preserve">, </w:t>
            </w:r>
            <w:r w:rsidR="00682572">
              <w:rPr>
                <w:rFonts w:ascii="Times New Roman" w:hAnsi="Times New Roman"/>
                <w:sz w:val="28"/>
                <w:szCs w:val="28"/>
                <w:lang w:val="ro-RO"/>
              </w:rPr>
              <w:t>ne propunem</w:t>
            </w:r>
            <w:r w:rsidR="00CE409D">
              <w:rPr>
                <w:rFonts w:ascii="Times New Roman" w:hAnsi="Times New Roman"/>
                <w:sz w:val="28"/>
                <w:szCs w:val="28"/>
                <w:lang w:val="ro-RO"/>
              </w:rPr>
              <w:t xml:space="preserve"> </w:t>
            </w:r>
            <w:r w:rsidR="00642908" w:rsidRPr="00642908">
              <w:rPr>
                <w:rFonts w:ascii="Times New Roman" w:hAnsi="Times New Roman"/>
                <w:sz w:val="28"/>
                <w:szCs w:val="28"/>
                <w:lang w:val="ro-RO"/>
              </w:rPr>
              <w:t>reglement</w:t>
            </w:r>
            <w:r w:rsidR="00642908">
              <w:rPr>
                <w:rFonts w:ascii="Times New Roman" w:hAnsi="Times New Roman"/>
                <w:sz w:val="28"/>
                <w:szCs w:val="28"/>
                <w:lang w:val="ro-RO"/>
              </w:rPr>
              <w:t>area</w:t>
            </w:r>
            <w:r w:rsidR="00642908" w:rsidRPr="00642908">
              <w:rPr>
                <w:rFonts w:ascii="Times New Roman" w:hAnsi="Times New Roman"/>
                <w:sz w:val="28"/>
                <w:szCs w:val="28"/>
                <w:lang w:val="ro-RO"/>
              </w:rPr>
              <w:t xml:space="preserve"> funcțion</w:t>
            </w:r>
            <w:r w:rsidR="00642908">
              <w:rPr>
                <w:rFonts w:ascii="Times New Roman" w:hAnsi="Times New Roman"/>
                <w:sz w:val="28"/>
                <w:szCs w:val="28"/>
                <w:lang w:val="ro-RO"/>
              </w:rPr>
              <w:t>ării</w:t>
            </w:r>
            <w:r w:rsidR="00642908" w:rsidRPr="00642908">
              <w:rPr>
                <w:rFonts w:ascii="Times New Roman" w:hAnsi="Times New Roman"/>
                <w:sz w:val="28"/>
                <w:szCs w:val="28"/>
                <w:lang w:val="ro-RO"/>
              </w:rPr>
              <w:t xml:space="preserve"> </w:t>
            </w:r>
            <w:r w:rsidR="00750F84" w:rsidRPr="00750F84">
              <w:rPr>
                <w:rFonts w:ascii="Times New Roman" w:hAnsi="Times New Roman"/>
                <w:sz w:val="28"/>
                <w:szCs w:val="28"/>
                <w:lang w:val="ro-RO"/>
              </w:rPr>
              <w:t>organizații</w:t>
            </w:r>
            <w:r w:rsidR="00750F84">
              <w:rPr>
                <w:rFonts w:ascii="Times New Roman" w:hAnsi="Times New Roman"/>
                <w:sz w:val="28"/>
                <w:szCs w:val="28"/>
                <w:lang w:val="ro-RO"/>
              </w:rPr>
              <w:t>lor</w:t>
            </w:r>
            <w:r w:rsidR="00750F84" w:rsidRPr="00750F84">
              <w:rPr>
                <w:rFonts w:ascii="Times New Roman" w:hAnsi="Times New Roman"/>
                <w:sz w:val="28"/>
                <w:szCs w:val="28"/>
                <w:lang w:val="ro-RO"/>
              </w:rPr>
              <w:t xml:space="preserve"> de producători/organizații interprofesionale</w:t>
            </w:r>
            <w:r w:rsidR="00642908" w:rsidRPr="00642908">
              <w:rPr>
                <w:rFonts w:ascii="Times New Roman" w:hAnsi="Times New Roman"/>
                <w:sz w:val="28"/>
                <w:szCs w:val="28"/>
                <w:lang w:val="ro-RO"/>
              </w:rPr>
              <w:t xml:space="preserve"> prin stabilitatea unor criterii clare și transparente de recunoaștere, contribuind astfel la buna funcționare a sectorului și a pieței produselor pescărești și de acvacultură</w:t>
            </w:r>
            <w:r w:rsidR="00AC0EC1">
              <w:rPr>
                <w:rFonts w:ascii="Times New Roman" w:hAnsi="Times New Roman"/>
                <w:sz w:val="28"/>
                <w:szCs w:val="28"/>
                <w:lang w:val="ro-RO"/>
              </w:rPr>
              <w:t>.</w:t>
            </w:r>
            <w:r w:rsidR="00A153A9" w:rsidRPr="00612363">
              <w:rPr>
                <w:rFonts w:ascii="Times New Roman" w:hAnsi="Times New Roman"/>
                <w:sz w:val="28"/>
                <w:szCs w:val="28"/>
                <w:lang w:val="ro-RO"/>
              </w:rPr>
              <w:t xml:space="preserve"> </w:t>
            </w:r>
          </w:p>
          <w:p w:rsidR="00682572" w:rsidRPr="00682572" w:rsidRDefault="00682572" w:rsidP="00682572">
            <w:pPr>
              <w:tabs>
                <w:tab w:val="left" w:pos="884"/>
                <w:tab w:val="left" w:pos="1196"/>
              </w:tabs>
              <w:spacing w:after="0" w:line="240" w:lineRule="auto"/>
              <w:ind w:firstLine="270"/>
              <w:jc w:val="both"/>
              <w:rPr>
                <w:rFonts w:ascii="Times New Roman" w:hAnsi="Times New Roman"/>
                <w:sz w:val="28"/>
                <w:szCs w:val="28"/>
                <w:lang w:val="ro-RO"/>
              </w:rPr>
            </w:pPr>
          </w:p>
        </w:tc>
      </w:tr>
      <w:tr w:rsidR="0028550B" w:rsidRPr="009B4B5F">
        <w:tc>
          <w:tcPr>
            <w:tcW w:w="10294" w:type="dxa"/>
          </w:tcPr>
          <w:p w:rsidR="0028550B" w:rsidRDefault="00D52681">
            <w:pPr>
              <w:spacing w:after="0" w:line="240" w:lineRule="auto"/>
              <w:jc w:val="both"/>
              <w:rPr>
                <w:rFonts w:ascii="Times New Roman" w:hAnsi="Times New Roman"/>
                <w:b/>
                <w:sz w:val="28"/>
                <w:szCs w:val="28"/>
                <w:vertAlign w:val="superscript"/>
                <w:lang w:val="en-US"/>
              </w:rPr>
            </w:pPr>
            <w:r>
              <w:rPr>
                <w:rFonts w:ascii="Times New Roman" w:hAnsi="Times New Roman"/>
                <w:b/>
                <w:sz w:val="44"/>
                <w:szCs w:val="44"/>
                <w:vertAlign w:val="superscript"/>
                <w:lang w:val="en-US"/>
              </w:rPr>
              <w:lastRenderedPageBreak/>
              <w:t xml:space="preserve">3. </w:t>
            </w:r>
            <w:r w:rsidRPr="00944418">
              <w:rPr>
                <w:rFonts w:ascii="Times New Roman" w:hAnsi="Times New Roman"/>
                <w:b/>
                <w:sz w:val="44"/>
                <w:szCs w:val="44"/>
                <w:vertAlign w:val="superscript"/>
                <w:lang w:val="ro-MD"/>
              </w:rPr>
              <w:t>Obiectivele urmărite și soluțiile propuse</w:t>
            </w:r>
          </w:p>
        </w:tc>
      </w:tr>
      <w:tr w:rsidR="0028550B" w:rsidRPr="009B4B5F" w:rsidTr="005A63A3">
        <w:trPr>
          <w:trHeight w:val="1976"/>
        </w:trPr>
        <w:tc>
          <w:tcPr>
            <w:tcW w:w="10294" w:type="dxa"/>
          </w:tcPr>
          <w:p w:rsidR="0028550B" w:rsidRPr="00EA642F" w:rsidRDefault="00D52681">
            <w:pPr>
              <w:tabs>
                <w:tab w:val="left" w:pos="884"/>
                <w:tab w:val="left" w:pos="1196"/>
              </w:tabs>
              <w:spacing w:after="0" w:line="240" w:lineRule="auto"/>
              <w:ind w:firstLine="360"/>
              <w:jc w:val="both"/>
              <w:rPr>
                <w:rFonts w:ascii="Times New Roman" w:hAnsi="Times New Roman"/>
                <w:sz w:val="28"/>
                <w:szCs w:val="28"/>
                <w:lang w:val="ro-MD"/>
              </w:rPr>
            </w:pPr>
            <w:r w:rsidRPr="00EA642F">
              <w:rPr>
                <w:rFonts w:ascii="Times New Roman" w:hAnsi="Times New Roman"/>
                <w:sz w:val="28"/>
                <w:szCs w:val="28"/>
                <w:lang w:val="ro-MD"/>
              </w:rPr>
              <w:t xml:space="preserve">3.1. </w:t>
            </w:r>
            <w:r w:rsidRPr="00EA642F">
              <w:rPr>
                <w:rFonts w:ascii="Times New Roman" w:hAnsi="Times New Roman"/>
                <w:i/>
                <w:iCs/>
                <w:sz w:val="28"/>
                <w:szCs w:val="28"/>
                <w:lang w:val="ro-MD"/>
              </w:rPr>
              <w:t>Principalele prevederi ale proiectului și evidențierea elementelor noi</w:t>
            </w:r>
          </w:p>
          <w:p w:rsidR="00712F87" w:rsidRPr="00EA642F" w:rsidRDefault="00712F87" w:rsidP="00712F87">
            <w:pPr>
              <w:tabs>
                <w:tab w:val="left" w:pos="884"/>
                <w:tab w:val="left" w:pos="1196"/>
              </w:tabs>
              <w:spacing w:after="0" w:line="240" w:lineRule="auto"/>
              <w:ind w:firstLine="360"/>
              <w:jc w:val="both"/>
              <w:rPr>
                <w:rFonts w:ascii="Times New Roman" w:eastAsiaTheme="minorEastAsia" w:hAnsi="Times New Roman"/>
                <w:sz w:val="28"/>
                <w:szCs w:val="28"/>
                <w:lang w:val="ro-MD" w:eastAsia="zh-CN"/>
              </w:rPr>
            </w:pPr>
            <w:r w:rsidRPr="00EA642F">
              <w:rPr>
                <w:rFonts w:ascii="Times New Roman" w:hAnsi="Times New Roman"/>
                <w:sz w:val="28"/>
                <w:szCs w:val="28"/>
                <w:lang w:val="ro-MD"/>
              </w:rPr>
              <w:t xml:space="preserve">Regulamentul propus spre aprobare stabilește </w:t>
            </w:r>
            <w:r w:rsidR="00A548BB" w:rsidRPr="00EA642F">
              <w:rPr>
                <w:rFonts w:ascii="Times New Roman" w:hAnsi="Times New Roman"/>
                <w:sz w:val="28"/>
                <w:szCs w:val="28"/>
                <w:lang w:val="ro-MD"/>
              </w:rPr>
              <w:t>procedura</w:t>
            </w:r>
            <w:r w:rsidRPr="00EA642F">
              <w:rPr>
                <w:rFonts w:ascii="Times New Roman" w:hAnsi="Times New Roman"/>
                <w:sz w:val="28"/>
                <w:szCs w:val="28"/>
                <w:lang w:val="ro-MD"/>
              </w:rPr>
              <w:t xml:space="preserve"> de recunoaștere</w:t>
            </w:r>
            <w:r w:rsidR="00A548BB" w:rsidRPr="00EA642F">
              <w:rPr>
                <w:rFonts w:ascii="Times New Roman" w:hAnsi="Times New Roman"/>
                <w:sz w:val="28"/>
                <w:szCs w:val="28"/>
                <w:lang w:val="ro-MD"/>
              </w:rPr>
              <w:t xml:space="preserve"> a organizațiilor de producători</w:t>
            </w:r>
            <w:r w:rsidRPr="00EA642F">
              <w:rPr>
                <w:rFonts w:ascii="Times New Roman" w:hAnsi="Times New Roman"/>
                <w:sz w:val="28"/>
                <w:szCs w:val="28"/>
                <w:lang w:val="ro-MD"/>
              </w:rPr>
              <w:t>, urmată de eliberarea avizului de recunoaștere, prin care se asigură îndeplinirea premiselor nece</w:t>
            </w:r>
            <w:r w:rsidR="00BA0C53" w:rsidRPr="00EA642F">
              <w:rPr>
                <w:rFonts w:ascii="Times New Roman" w:hAnsi="Times New Roman"/>
                <w:sz w:val="28"/>
                <w:szCs w:val="28"/>
                <w:lang w:val="ro-MD"/>
              </w:rPr>
              <w:t xml:space="preserve">sare pentru activitatea organizațiilor </w:t>
            </w:r>
            <w:r w:rsidRPr="00EA642F">
              <w:rPr>
                <w:rFonts w:ascii="Times New Roman" w:hAnsi="Times New Roman"/>
                <w:sz w:val="28"/>
                <w:szCs w:val="28"/>
                <w:lang w:val="ro-MD"/>
              </w:rPr>
              <w:t xml:space="preserve"> în calitate de organizații de producători</w:t>
            </w:r>
            <w:r w:rsidR="005F74AB">
              <w:rPr>
                <w:rFonts w:ascii="Times New Roman" w:hAnsi="Times New Roman"/>
                <w:sz w:val="28"/>
                <w:szCs w:val="28"/>
                <w:lang w:val="ro-MD"/>
              </w:rPr>
              <w:t>/organizații interprofesionale</w:t>
            </w:r>
            <w:r w:rsidRPr="00EA642F">
              <w:rPr>
                <w:rFonts w:ascii="Times New Roman" w:hAnsi="Times New Roman"/>
                <w:sz w:val="28"/>
                <w:szCs w:val="28"/>
                <w:lang w:val="ro-MD"/>
              </w:rPr>
              <w:t xml:space="preserve">. </w:t>
            </w:r>
          </w:p>
          <w:p w:rsidR="00712F87" w:rsidRPr="00EA642F" w:rsidRDefault="00712F87" w:rsidP="00712F87">
            <w:pPr>
              <w:tabs>
                <w:tab w:val="left" w:pos="884"/>
                <w:tab w:val="left" w:pos="1196"/>
              </w:tabs>
              <w:spacing w:after="0" w:line="240" w:lineRule="auto"/>
              <w:ind w:firstLine="360"/>
              <w:jc w:val="both"/>
              <w:rPr>
                <w:rFonts w:ascii="Times New Roman" w:hAnsi="Times New Roman"/>
                <w:sz w:val="28"/>
                <w:szCs w:val="28"/>
                <w:lang w:val="ro-MD"/>
              </w:rPr>
            </w:pPr>
            <w:r w:rsidRPr="00EA642F">
              <w:rPr>
                <w:rFonts w:ascii="Times New Roman" w:hAnsi="Times New Roman"/>
                <w:sz w:val="28"/>
                <w:szCs w:val="28"/>
                <w:lang w:val="ro-MD"/>
              </w:rPr>
              <w:t>Principalele prevederi ale Regulamentului sunt:</w:t>
            </w:r>
          </w:p>
          <w:p w:rsidR="00712F87" w:rsidRPr="00EA642F" w:rsidRDefault="00A548BB" w:rsidP="00CE7277">
            <w:pPr>
              <w:pStyle w:val="Listparagraf"/>
              <w:numPr>
                <w:ilvl w:val="0"/>
                <w:numId w:val="8"/>
              </w:numPr>
              <w:tabs>
                <w:tab w:val="left" w:pos="589"/>
                <w:tab w:val="left" w:pos="884"/>
                <w:tab w:val="left" w:pos="1196"/>
              </w:tabs>
              <w:spacing w:after="0" w:line="240" w:lineRule="auto"/>
              <w:ind w:left="22" w:firstLine="284"/>
              <w:jc w:val="both"/>
              <w:rPr>
                <w:rFonts w:ascii="Times New Roman" w:hAnsi="Times New Roman"/>
                <w:sz w:val="28"/>
                <w:szCs w:val="28"/>
                <w:lang w:val="ro-MD"/>
              </w:rPr>
            </w:pPr>
            <w:r w:rsidRPr="00EA642F">
              <w:rPr>
                <w:rFonts w:ascii="Times New Roman" w:hAnsi="Times New Roman"/>
                <w:sz w:val="28"/>
                <w:szCs w:val="28"/>
                <w:lang w:val="ro-MD"/>
              </w:rPr>
              <w:t>Dispozițiile generale</w:t>
            </w:r>
            <w:r w:rsidR="005F74AB">
              <w:rPr>
                <w:rFonts w:ascii="Times New Roman" w:hAnsi="Times New Roman"/>
                <w:sz w:val="28"/>
                <w:szCs w:val="28"/>
                <w:lang w:val="ro-MD"/>
              </w:rPr>
              <w:t xml:space="preserve"> - </w:t>
            </w:r>
            <w:r w:rsidR="00CE7277" w:rsidRPr="00EA642F">
              <w:rPr>
                <w:rFonts w:ascii="Times New Roman" w:hAnsi="Times New Roman"/>
                <w:sz w:val="28"/>
                <w:szCs w:val="28"/>
                <w:lang w:val="ro-MD"/>
              </w:rPr>
              <w:t>reflectă c</w:t>
            </w:r>
            <w:r w:rsidR="00712F87" w:rsidRPr="00EA642F">
              <w:rPr>
                <w:rFonts w:ascii="Times New Roman" w:hAnsi="Times New Roman"/>
                <w:sz w:val="28"/>
                <w:szCs w:val="28"/>
                <w:lang w:val="ro-MD"/>
              </w:rPr>
              <w:t xml:space="preserve">ondițiile și procedura de recunoaștere a </w:t>
            </w:r>
            <w:r w:rsidR="002509A1" w:rsidRPr="00EA642F">
              <w:rPr>
                <w:rFonts w:ascii="Times New Roman" w:hAnsi="Times New Roman"/>
                <w:sz w:val="28"/>
                <w:szCs w:val="28"/>
                <w:lang w:val="ro-MD"/>
              </w:rPr>
              <w:t>organizațiilor de producători</w:t>
            </w:r>
            <w:r w:rsidR="00712F87" w:rsidRPr="00EA642F">
              <w:rPr>
                <w:rFonts w:ascii="Times New Roman" w:hAnsi="Times New Roman"/>
                <w:sz w:val="28"/>
                <w:szCs w:val="28"/>
                <w:lang w:val="ro-MD"/>
              </w:rPr>
              <w:t>, constituite conform legislației în vigoare;</w:t>
            </w:r>
          </w:p>
          <w:p w:rsidR="00712F87" w:rsidRPr="00EA642F" w:rsidRDefault="00CE7277" w:rsidP="00E15A47">
            <w:pPr>
              <w:pStyle w:val="Listparagraf"/>
              <w:numPr>
                <w:ilvl w:val="0"/>
                <w:numId w:val="8"/>
              </w:numPr>
              <w:tabs>
                <w:tab w:val="left" w:pos="589"/>
                <w:tab w:val="left" w:pos="884"/>
                <w:tab w:val="left" w:pos="1196"/>
              </w:tabs>
              <w:spacing w:after="0" w:line="240" w:lineRule="auto"/>
              <w:ind w:left="0" w:firstLine="360"/>
              <w:jc w:val="both"/>
              <w:rPr>
                <w:rFonts w:ascii="Times New Roman" w:hAnsi="Times New Roman"/>
                <w:sz w:val="28"/>
                <w:szCs w:val="28"/>
                <w:lang w:val="ro-MD"/>
              </w:rPr>
            </w:pPr>
            <w:r w:rsidRPr="00EA642F">
              <w:rPr>
                <w:rFonts w:ascii="Times New Roman" w:hAnsi="Times New Roman"/>
                <w:sz w:val="28"/>
                <w:szCs w:val="28"/>
                <w:lang w:val="ro-MD"/>
              </w:rPr>
              <w:t xml:space="preserve">Condițiile de organizare </w:t>
            </w:r>
            <w:r w:rsidR="00712F87" w:rsidRPr="00EA642F">
              <w:rPr>
                <w:rFonts w:ascii="Times New Roman" w:hAnsi="Times New Roman"/>
                <w:sz w:val="28"/>
                <w:szCs w:val="28"/>
                <w:lang w:val="ro-MD"/>
              </w:rPr>
              <w:t xml:space="preserve">și funcționare a </w:t>
            </w:r>
            <w:r w:rsidRPr="00EA642F">
              <w:rPr>
                <w:rFonts w:ascii="Times New Roman" w:hAnsi="Times New Roman"/>
                <w:sz w:val="28"/>
                <w:szCs w:val="28"/>
                <w:lang w:val="ro-MD"/>
              </w:rPr>
              <w:t>C</w:t>
            </w:r>
            <w:r w:rsidR="00712F87" w:rsidRPr="00EA642F">
              <w:rPr>
                <w:rFonts w:ascii="Times New Roman" w:hAnsi="Times New Roman"/>
                <w:sz w:val="28"/>
                <w:szCs w:val="28"/>
                <w:lang w:val="ro-MD"/>
              </w:rPr>
              <w:t xml:space="preserve">omisiei de recunoaștere a </w:t>
            </w:r>
            <w:r w:rsidR="002509A1" w:rsidRPr="00EA642F">
              <w:rPr>
                <w:rFonts w:ascii="Times New Roman" w:hAnsi="Times New Roman"/>
                <w:sz w:val="28"/>
                <w:szCs w:val="28"/>
                <w:lang w:val="ro-MD"/>
              </w:rPr>
              <w:t>organizațiilor de producători</w:t>
            </w:r>
            <w:r w:rsidR="00E15A47" w:rsidRPr="00EA642F">
              <w:rPr>
                <w:rFonts w:ascii="Times New Roman" w:hAnsi="Times New Roman"/>
                <w:sz w:val="28"/>
                <w:szCs w:val="28"/>
                <w:lang w:val="ro-MD"/>
              </w:rPr>
              <w:t xml:space="preserve"> / organizațiilor interprofesionale</w:t>
            </w:r>
            <w:r w:rsidR="005F74AB">
              <w:rPr>
                <w:rFonts w:ascii="Times New Roman" w:hAnsi="Times New Roman"/>
                <w:sz w:val="28"/>
                <w:szCs w:val="28"/>
                <w:lang w:val="ro-MD"/>
              </w:rPr>
              <w:t xml:space="preserve"> -</w:t>
            </w:r>
            <w:r w:rsidR="00E15A47" w:rsidRPr="00EA642F">
              <w:rPr>
                <w:rFonts w:ascii="Times New Roman" w:hAnsi="Times New Roman"/>
                <w:sz w:val="28"/>
                <w:szCs w:val="28"/>
                <w:lang w:val="ro-MD"/>
              </w:rPr>
              <w:t xml:space="preserve"> reflectă componența și atribuțiile membrilor Comisiei de recunoaștere</w:t>
            </w:r>
            <w:r w:rsidR="00712F87" w:rsidRPr="00EA642F">
              <w:rPr>
                <w:rFonts w:ascii="Times New Roman" w:hAnsi="Times New Roman"/>
                <w:sz w:val="28"/>
                <w:szCs w:val="28"/>
                <w:lang w:val="ro-MD"/>
              </w:rPr>
              <w:t>;</w:t>
            </w:r>
          </w:p>
          <w:p w:rsidR="00712F87" w:rsidRPr="00EA642F" w:rsidRDefault="00E15A47" w:rsidP="00E15A47">
            <w:pPr>
              <w:pStyle w:val="Listparagraf"/>
              <w:numPr>
                <w:ilvl w:val="0"/>
                <w:numId w:val="8"/>
              </w:numPr>
              <w:tabs>
                <w:tab w:val="left" w:pos="589"/>
                <w:tab w:val="left" w:pos="884"/>
                <w:tab w:val="left" w:pos="1196"/>
              </w:tabs>
              <w:spacing w:after="0" w:line="240" w:lineRule="auto"/>
              <w:ind w:left="22" w:firstLine="338"/>
              <w:jc w:val="both"/>
              <w:rPr>
                <w:rFonts w:ascii="Times New Roman" w:hAnsi="Times New Roman"/>
                <w:sz w:val="28"/>
                <w:szCs w:val="28"/>
                <w:lang w:val="ro-MD"/>
              </w:rPr>
            </w:pPr>
            <w:r w:rsidRPr="00EA642F">
              <w:rPr>
                <w:rFonts w:ascii="Times New Roman" w:hAnsi="Times New Roman"/>
                <w:sz w:val="28"/>
                <w:szCs w:val="28"/>
                <w:lang w:val="ro-MD"/>
              </w:rPr>
              <w:t xml:space="preserve">Procedura </w:t>
            </w:r>
            <w:r w:rsidR="00712F87" w:rsidRPr="00EA642F">
              <w:rPr>
                <w:rFonts w:ascii="Times New Roman" w:hAnsi="Times New Roman"/>
                <w:sz w:val="28"/>
                <w:szCs w:val="28"/>
                <w:lang w:val="ro-MD"/>
              </w:rPr>
              <w:t xml:space="preserve">de </w:t>
            </w:r>
            <w:r w:rsidR="00D5576E" w:rsidRPr="00EA642F">
              <w:rPr>
                <w:rFonts w:ascii="Times New Roman" w:hAnsi="Times New Roman"/>
                <w:sz w:val="28"/>
                <w:szCs w:val="28"/>
                <w:lang w:val="ro-MD"/>
              </w:rPr>
              <w:t xml:space="preserve">recunoaștere a organizațiilor de producători </w:t>
            </w:r>
            <w:r w:rsidRPr="00EA642F">
              <w:rPr>
                <w:rFonts w:ascii="Times New Roman" w:hAnsi="Times New Roman"/>
                <w:sz w:val="28"/>
                <w:szCs w:val="28"/>
                <w:lang w:val="ro-MD"/>
              </w:rPr>
              <w:t xml:space="preserve">/ organizațiilor interprofesional </w:t>
            </w:r>
            <w:r w:rsidR="00712F87" w:rsidRPr="00EA642F">
              <w:rPr>
                <w:rFonts w:ascii="Times New Roman" w:hAnsi="Times New Roman"/>
                <w:sz w:val="28"/>
                <w:szCs w:val="28"/>
                <w:lang w:val="ro-MD"/>
              </w:rPr>
              <w:t xml:space="preserve">și etapele de examinare a </w:t>
            </w:r>
            <w:r w:rsidRPr="00EA642F">
              <w:rPr>
                <w:rFonts w:ascii="Times New Roman" w:hAnsi="Times New Roman"/>
                <w:sz w:val="28"/>
                <w:szCs w:val="28"/>
                <w:lang w:val="ro-MD"/>
              </w:rPr>
              <w:t>dosarului privind recunoașterea</w:t>
            </w:r>
            <w:r w:rsidR="00712F87" w:rsidRPr="00EA642F">
              <w:rPr>
                <w:rFonts w:ascii="Times New Roman" w:hAnsi="Times New Roman"/>
                <w:sz w:val="28"/>
                <w:szCs w:val="28"/>
                <w:lang w:val="ro-MD"/>
              </w:rPr>
              <w:t>;</w:t>
            </w:r>
          </w:p>
          <w:p w:rsidR="00E15A47" w:rsidRPr="00EA642F" w:rsidRDefault="00E15A47" w:rsidP="00E15A47">
            <w:pPr>
              <w:pStyle w:val="Listparagraf"/>
              <w:numPr>
                <w:ilvl w:val="0"/>
                <w:numId w:val="8"/>
              </w:numPr>
              <w:tabs>
                <w:tab w:val="left" w:pos="589"/>
              </w:tabs>
              <w:ind w:left="22" w:firstLine="338"/>
              <w:rPr>
                <w:rFonts w:ascii="Times New Roman" w:eastAsiaTheme="minorEastAsia" w:hAnsi="Times New Roman"/>
                <w:sz w:val="28"/>
                <w:szCs w:val="28"/>
                <w:lang w:val="ro-MD" w:eastAsia="zh-CN"/>
              </w:rPr>
            </w:pPr>
            <w:r w:rsidRPr="00EA642F">
              <w:rPr>
                <w:rFonts w:ascii="Times New Roman" w:eastAsiaTheme="minorEastAsia" w:hAnsi="Times New Roman"/>
                <w:sz w:val="28"/>
                <w:szCs w:val="28"/>
                <w:lang w:val="ro-MD" w:eastAsia="zh-CN"/>
              </w:rPr>
              <w:t>E</w:t>
            </w:r>
            <w:r w:rsidR="00D5576E" w:rsidRPr="00EA642F">
              <w:rPr>
                <w:rFonts w:ascii="Times New Roman" w:eastAsiaTheme="minorEastAsia" w:hAnsi="Times New Roman"/>
                <w:sz w:val="28"/>
                <w:szCs w:val="28"/>
                <w:lang w:val="ro-MD" w:eastAsia="zh-CN"/>
              </w:rPr>
              <w:t>xtinderea normelor obligatorii ale organizațiilor de producători pentru alți producători din sector</w:t>
            </w:r>
            <w:r w:rsidR="005F74AB">
              <w:rPr>
                <w:rFonts w:ascii="Times New Roman" w:eastAsiaTheme="minorEastAsia" w:hAnsi="Times New Roman"/>
                <w:sz w:val="28"/>
                <w:szCs w:val="28"/>
                <w:lang w:val="ro-MD" w:eastAsia="zh-CN"/>
              </w:rPr>
              <w:t xml:space="preserve"> -</w:t>
            </w:r>
            <w:r w:rsidRPr="00EA642F">
              <w:rPr>
                <w:rFonts w:ascii="Times New Roman" w:eastAsiaTheme="minorEastAsia" w:hAnsi="Times New Roman"/>
                <w:sz w:val="28"/>
                <w:szCs w:val="28"/>
                <w:lang w:val="ro-MD" w:eastAsia="zh-CN"/>
              </w:rPr>
              <w:t xml:space="preserve"> reflectă </w:t>
            </w:r>
            <w:r w:rsidR="00C755F7" w:rsidRPr="00EA642F">
              <w:rPr>
                <w:rFonts w:ascii="Times New Roman" w:eastAsiaTheme="minorEastAsia" w:hAnsi="Times New Roman"/>
                <w:sz w:val="28"/>
                <w:szCs w:val="28"/>
                <w:lang w:val="ro-MD" w:eastAsia="zh-CN"/>
              </w:rPr>
              <w:t>procedura și condițiile extinderii normelor obligatorii pentru producătorii care nu fac parte din organizați</w:t>
            </w:r>
            <w:r w:rsidR="005F74AB">
              <w:rPr>
                <w:rFonts w:ascii="Times New Roman" w:eastAsiaTheme="minorEastAsia" w:hAnsi="Times New Roman"/>
                <w:sz w:val="28"/>
                <w:szCs w:val="28"/>
                <w:lang w:val="ro-MD" w:eastAsia="zh-CN"/>
              </w:rPr>
              <w:t>a recunoscută</w:t>
            </w:r>
            <w:r w:rsidRPr="00EA642F">
              <w:rPr>
                <w:rFonts w:ascii="Times New Roman" w:eastAsiaTheme="minorEastAsia" w:hAnsi="Times New Roman"/>
                <w:sz w:val="28"/>
                <w:szCs w:val="28"/>
                <w:lang w:val="ro-MD" w:eastAsia="zh-CN"/>
              </w:rPr>
              <w:t>;</w:t>
            </w:r>
          </w:p>
          <w:p w:rsidR="005B20D0" w:rsidRPr="005B20D0" w:rsidRDefault="00C755F7" w:rsidP="00E15A47">
            <w:pPr>
              <w:pStyle w:val="Listparagraf"/>
              <w:numPr>
                <w:ilvl w:val="0"/>
                <w:numId w:val="8"/>
              </w:numPr>
              <w:tabs>
                <w:tab w:val="left" w:pos="630"/>
                <w:tab w:val="left" w:pos="884"/>
                <w:tab w:val="left" w:pos="1196"/>
              </w:tabs>
              <w:spacing w:after="0" w:line="240" w:lineRule="auto"/>
              <w:ind w:left="22" w:firstLine="338"/>
              <w:jc w:val="both"/>
              <w:rPr>
                <w:rFonts w:ascii="Times New Roman" w:eastAsiaTheme="minorEastAsia" w:hAnsi="Times New Roman"/>
                <w:sz w:val="28"/>
                <w:szCs w:val="28"/>
                <w:lang w:val="ro-MD" w:eastAsia="zh-CN"/>
              </w:rPr>
            </w:pPr>
            <w:r w:rsidRPr="00EA642F">
              <w:rPr>
                <w:rFonts w:ascii="Times New Roman" w:eastAsiaTheme="minorEastAsia" w:hAnsi="Times New Roman"/>
                <w:sz w:val="28"/>
                <w:szCs w:val="28"/>
                <w:lang w:val="ro-MD" w:eastAsia="zh-CN"/>
              </w:rPr>
              <w:t>P</w:t>
            </w:r>
            <w:r w:rsidR="00E15A47" w:rsidRPr="00EA642F">
              <w:rPr>
                <w:rFonts w:ascii="Times New Roman" w:eastAsiaTheme="minorEastAsia" w:hAnsi="Times New Roman"/>
                <w:sz w:val="28"/>
                <w:szCs w:val="28"/>
                <w:lang w:val="ro-MD" w:eastAsia="zh-CN"/>
              </w:rPr>
              <w:t>lanul de producere și comercializare a produselor de acvacultură</w:t>
            </w:r>
            <w:r w:rsidR="005F74AB">
              <w:rPr>
                <w:rFonts w:ascii="Times New Roman" w:eastAsiaTheme="minorEastAsia" w:hAnsi="Times New Roman"/>
                <w:sz w:val="28"/>
                <w:szCs w:val="28"/>
                <w:lang w:val="ro-MD" w:eastAsia="zh-CN"/>
              </w:rPr>
              <w:t xml:space="preserve"> -</w:t>
            </w:r>
            <w:r w:rsidRPr="00EA642F">
              <w:rPr>
                <w:rFonts w:ascii="Times New Roman" w:eastAsiaTheme="minorEastAsia" w:hAnsi="Times New Roman"/>
                <w:sz w:val="28"/>
                <w:szCs w:val="28"/>
                <w:lang w:val="ro-MD" w:eastAsia="zh-CN"/>
              </w:rPr>
              <w:t xml:space="preserve"> reflectă forma și conținutul planului de producere și comercializare, impus organizației de producători pentru prevenirea surplusului de produse plasate pe piață și prevenirea pierderilor producătorilor din sector</w:t>
            </w:r>
            <w:r w:rsidR="005B20D0">
              <w:rPr>
                <w:rFonts w:ascii="Times New Roman" w:eastAsiaTheme="minorEastAsia" w:hAnsi="Times New Roman"/>
                <w:sz w:val="28"/>
                <w:szCs w:val="28"/>
                <w:lang w:val="en-US" w:eastAsia="zh-CN"/>
              </w:rPr>
              <w:t>;</w:t>
            </w:r>
          </w:p>
          <w:p w:rsidR="00D5576E" w:rsidRPr="00EA642F" w:rsidRDefault="00C755F7" w:rsidP="00E15A47">
            <w:pPr>
              <w:pStyle w:val="Listparagraf"/>
              <w:numPr>
                <w:ilvl w:val="0"/>
                <w:numId w:val="8"/>
              </w:numPr>
              <w:tabs>
                <w:tab w:val="left" w:pos="630"/>
                <w:tab w:val="left" w:pos="884"/>
                <w:tab w:val="left" w:pos="1196"/>
              </w:tabs>
              <w:spacing w:after="0" w:line="240" w:lineRule="auto"/>
              <w:ind w:left="22" w:firstLine="338"/>
              <w:jc w:val="both"/>
              <w:rPr>
                <w:rFonts w:ascii="Times New Roman" w:eastAsiaTheme="minorEastAsia" w:hAnsi="Times New Roman"/>
                <w:sz w:val="28"/>
                <w:szCs w:val="28"/>
                <w:lang w:val="ro-MD" w:eastAsia="zh-CN"/>
              </w:rPr>
            </w:pPr>
            <w:r w:rsidRPr="00EA642F">
              <w:rPr>
                <w:rFonts w:ascii="Times New Roman" w:eastAsiaTheme="minorEastAsia" w:hAnsi="Times New Roman"/>
                <w:sz w:val="28"/>
                <w:szCs w:val="28"/>
                <w:lang w:val="ro-MD" w:eastAsia="zh-CN"/>
              </w:rPr>
              <w:t xml:space="preserve"> </w:t>
            </w:r>
            <w:r w:rsidR="005B20D0">
              <w:rPr>
                <w:rFonts w:ascii="Times New Roman" w:eastAsiaTheme="minorEastAsia" w:hAnsi="Times New Roman"/>
                <w:sz w:val="28"/>
                <w:szCs w:val="28"/>
                <w:lang w:val="ro-MD" w:eastAsia="zh-CN"/>
              </w:rPr>
              <w:t>A</w:t>
            </w:r>
            <w:r w:rsidRPr="00EA642F">
              <w:rPr>
                <w:rFonts w:ascii="Times New Roman" w:eastAsiaTheme="minorEastAsia" w:hAnsi="Times New Roman"/>
                <w:sz w:val="28"/>
                <w:szCs w:val="28"/>
                <w:lang w:val="ro-MD" w:eastAsia="zh-CN"/>
              </w:rPr>
              <w:t xml:space="preserve">nexele care </w:t>
            </w:r>
            <w:r w:rsidR="001B5EE7" w:rsidRPr="00EA642F">
              <w:rPr>
                <w:rFonts w:ascii="Times New Roman" w:eastAsiaTheme="minorEastAsia" w:hAnsi="Times New Roman"/>
                <w:sz w:val="28"/>
                <w:szCs w:val="28"/>
                <w:lang w:val="ro-MD" w:eastAsia="zh-CN"/>
              </w:rPr>
              <w:t>prev</w:t>
            </w:r>
            <w:r w:rsidR="005B20D0">
              <w:rPr>
                <w:rFonts w:ascii="Times New Roman" w:eastAsiaTheme="minorEastAsia" w:hAnsi="Times New Roman"/>
                <w:sz w:val="28"/>
                <w:szCs w:val="28"/>
                <w:lang w:val="ro-MD" w:eastAsia="zh-CN"/>
              </w:rPr>
              <w:t>ăd</w:t>
            </w:r>
            <w:r w:rsidRPr="00EA642F">
              <w:rPr>
                <w:rFonts w:ascii="Times New Roman" w:eastAsiaTheme="minorEastAsia" w:hAnsi="Times New Roman"/>
                <w:sz w:val="28"/>
                <w:szCs w:val="28"/>
                <w:lang w:val="ro-MD" w:eastAsia="zh-CN"/>
              </w:rPr>
              <w:t>:</w:t>
            </w:r>
          </w:p>
          <w:p w:rsidR="00C755F7" w:rsidRPr="00EA642F" w:rsidRDefault="00C755F7" w:rsidP="00C755F7">
            <w:pPr>
              <w:pStyle w:val="Listparagraf"/>
              <w:numPr>
                <w:ilvl w:val="0"/>
                <w:numId w:val="7"/>
              </w:numPr>
              <w:tabs>
                <w:tab w:val="left" w:pos="630"/>
                <w:tab w:val="left" w:pos="884"/>
                <w:tab w:val="left" w:pos="1196"/>
              </w:tabs>
              <w:spacing w:after="0" w:line="240" w:lineRule="auto"/>
              <w:jc w:val="both"/>
              <w:rPr>
                <w:rFonts w:ascii="Times New Roman" w:eastAsiaTheme="minorEastAsia" w:hAnsi="Times New Roman"/>
                <w:sz w:val="28"/>
                <w:szCs w:val="28"/>
                <w:lang w:val="ro-MD" w:eastAsia="zh-CN"/>
              </w:rPr>
            </w:pPr>
            <w:r w:rsidRPr="00EA642F">
              <w:rPr>
                <w:rFonts w:ascii="Times New Roman" w:eastAsiaTheme="minorEastAsia" w:hAnsi="Times New Roman"/>
                <w:sz w:val="28"/>
                <w:szCs w:val="28"/>
                <w:lang w:val="ro-MD" w:eastAsia="zh-CN"/>
              </w:rPr>
              <w:t>Cererea pentru solicitarea recunoașterii organizației;</w:t>
            </w:r>
          </w:p>
          <w:p w:rsidR="00C755F7" w:rsidRPr="00EA642F" w:rsidRDefault="00C755F7" w:rsidP="00C755F7">
            <w:pPr>
              <w:pStyle w:val="Listparagraf"/>
              <w:numPr>
                <w:ilvl w:val="0"/>
                <w:numId w:val="7"/>
              </w:numPr>
              <w:tabs>
                <w:tab w:val="left" w:pos="630"/>
                <w:tab w:val="left" w:pos="884"/>
                <w:tab w:val="left" w:pos="1196"/>
              </w:tabs>
              <w:spacing w:after="0" w:line="240" w:lineRule="auto"/>
              <w:jc w:val="both"/>
              <w:rPr>
                <w:rFonts w:ascii="Times New Roman" w:eastAsiaTheme="minorEastAsia" w:hAnsi="Times New Roman"/>
                <w:sz w:val="28"/>
                <w:szCs w:val="28"/>
                <w:lang w:val="ro-MD" w:eastAsia="zh-CN"/>
              </w:rPr>
            </w:pPr>
            <w:r w:rsidRPr="00EA642F">
              <w:rPr>
                <w:rFonts w:ascii="Times New Roman" w:eastAsiaTheme="minorEastAsia" w:hAnsi="Times New Roman"/>
                <w:sz w:val="28"/>
                <w:szCs w:val="28"/>
                <w:lang w:val="ro-MD" w:eastAsia="zh-CN"/>
              </w:rPr>
              <w:t xml:space="preserve">Lista </w:t>
            </w:r>
            <w:r w:rsidR="0009047D" w:rsidRPr="00EA642F">
              <w:rPr>
                <w:rFonts w:ascii="Times New Roman" w:eastAsiaTheme="minorEastAsia" w:hAnsi="Times New Roman"/>
                <w:sz w:val="28"/>
                <w:szCs w:val="28"/>
                <w:lang w:val="ro-MD" w:eastAsia="zh-CN"/>
              </w:rPr>
              <w:t>membrilor titular ai organizației;</w:t>
            </w:r>
          </w:p>
          <w:p w:rsidR="0009047D" w:rsidRPr="00EA642F" w:rsidRDefault="0009047D" w:rsidP="00C755F7">
            <w:pPr>
              <w:pStyle w:val="Listparagraf"/>
              <w:numPr>
                <w:ilvl w:val="0"/>
                <w:numId w:val="7"/>
              </w:numPr>
              <w:tabs>
                <w:tab w:val="left" w:pos="630"/>
                <w:tab w:val="left" w:pos="884"/>
                <w:tab w:val="left" w:pos="1196"/>
              </w:tabs>
              <w:spacing w:after="0" w:line="240" w:lineRule="auto"/>
              <w:jc w:val="both"/>
              <w:rPr>
                <w:rFonts w:ascii="Times New Roman" w:eastAsiaTheme="minorEastAsia" w:hAnsi="Times New Roman"/>
                <w:sz w:val="28"/>
                <w:szCs w:val="28"/>
                <w:lang w:val="ro-MD" w:eastAsia="zh-CN"/>
              </w:rPr>
            </w:pPr>
            <w:r w:rsidRPr="00EA642F">
              <w:rPr>
                <w:rFonts w:ascii="Times New Roman" w:eastAsiaTheme="minorEastAsia" w:hAnsi="Times New Roman"/>
                <w:sz w:val="28"/>
                <w:szCs w:val="28"/>
                <w:lang w:val="ro-MD" w:eastAsia="zh-CN"/>
              </w:rPr>
              <w:t>Nota de constatare;</w:t>
            </w:r>
          </w:p>
          <w:p w:rsidR="0009047D" w:rsidRPr="00EA642F" w:rsidRDefault="0009047D" w:rsidP="00C755F7">
            <w:pPr>
              <w:pStyle w:val="Listparagraf"/>
              <w:numPr>
                <w:ilvl w:val="0"/>
                <w:numId w:val="7"/>
              </w:numPr>
              <w:tabs>
                <w:tab w:val="left" w:pos="630"/>
                <w:tab w:val="left" w:pos="884"/>
                <w:tab w:val="left" w:pos="1196"/>
              </w:tabs>
              <w:spacing w:after="0" w:line="240" w:lineRule="auto"/>
              <w:jc w:val="both"/>
              <w:rPr>
                <w:rFonts w:ascii="Times New Roman" w:eastAsiaTheme="minorEastAsia" w:hAnsi="Times New Roman"/>
                <w:sz w:val="28"/>
                <w:szCs w:val="28"/>
                <w:lang w:val="ro-MD" w:eastAsia="zh-CN"/>
              </w:rPr>
            </w:pPr>
            <w:r w:rsidRPr="00EA642F">
              <w:rPr>
                <w:rFonts w:ascii="Times New Roman" w:eastAsiaTheme="minorEastAsia" w:hAnsi="Times New Roman"/>
                <w:sz w:val="28"/>
                <w:szCs w:val="28"/>
                <w:lang w:val="ro-MD" w:eastAsia="zh-CN"/>
              </w:rPr>
              <w:t>Avizul de recunoaștere;</w:t>
            </w:r>
          </w:p>
          <w:p w:rsidR="0009047D" w:rsidRPr="00EA642F" w:rsidRDefault="0009047D" w:rsidP="00C755F7">
            <w:pPr>
              <w:pStyle w:val="Listparagraf"/>
              <w:numPr>
                <w:ilvl w:val="0"/>
                <w:numId w:val="7"/>
              </w:numPr>
              <w:tabs>
                <w:tab w:val="left" w:pos="630"/>
                <w:tab w:val="left" w:pos="884"/>
                <w:tab w:val="left" w:pos="1196"/>
              </w:tabs>
              <w:spacing w:after="0" w:line="240" w:lineRule="auto"/>
              <w:jc w:val="both"/>
              <w:rPr>
                <w:rFonts w:ascii="Times New Roman" w:eastAsiaTheme="minorEastAsia" w:hAnsi="Times New Roman"/>
                <w:sz w:val="28"/>
                <w:szCs w:val="28"/>
                <w:lang w:val="ro-MD" w:eastAsia="zh-CN"/>
              </w:rPr>
            </w:pPr>
            <w:r w:rsidRPr="00EA642F">
              <w:rPr>
                <w:rFonts w:ascii="Times New Roman" w:eastAsiaTheme="minorEastAsia" w:hAnsi="Times New Roman"/>
                <w:sz w:val="28"/>
                <w:szCs w:val="28"/>
                <w:lang w:val="ro-MD" w:eastAsia="zh-CN"/>
              </w:rPr>
              <w:t>Decizia de retragere a recunoașterii organizației de producători / organizației interprofesionale;</w:t>
            </w:r>
          </w:p>
          <w:p w:rsidR="0009047D" w:rsidRPr="00EA642F" w:rsidRDefault="0009047D" w:rsidP="00C755F7">
            <w:pPr>
              <w:pStyle w:val="Listparagraf"/>
              <w:numPr>
                <w:ilvl w:val="0"/>
                <w:numId w:val="7"/>
              </w:numPr>
              <w:tabs>
                <w:tab w:val="left" w:pos="630"/>
                <w:tab w:val="left" w:pos="884"/>
                <w:tab w:val="left" w:pos="1196"/>
              </w:tabs>
              <w:spacing w:after="0" w:line="240" w:lineRule="auto"/>
              <w:jc w:val="both"/>
              <w:rPr>
                <w:rFonts w:ascii="Times New Roman" w:eastAsiaTheme="minorEastAsia" w:hAnsi="Times New Roman"/>
                <w:sz w:val="28"/>
                <w:szCs w:val="28"/>
                <w:lang w:val="ro-MD" w:eastAsia="zh-CN"/>
              </w:rPr>
            </w:pPr>
            <w:r w:rsidRPr="00EA642F">
              <w:rPr>
                <w:rFonts w:ascii="Times New Roman" w:eastAsiaTheme="minorEastAsia" w:hAnsi="Times New Roman"/>
                <w:sz w:val="28"/>
                <w:szCs w:val="28"/>
                <w:lang w:val="ro-MD" w:eastAsia="zh-CN"/>
              </w:rPr>
              <w:t>Registrul de evidență al organizației de producători;</w:t>
            </w:r>
          </w:p>
          <w:p w:rsidR="0009047D" w:rsidRPr="00EA642F" w:rsidRDefault="0009047D" w:rsidP="00EA642F">
            <w:pPr>
              <w:pStyle w:val="Listparagraf"/>
              <w:numPr>
                <w:ilvl w:val="0"/>
                <w:numId w:val="7"/>
              </w:numPr>
              <w:rPr>
                <w:rFonts w:ascii="Times New Roman" w:eastAsiaTheme="minorEastAsia" w:hAnsi="Times New Roman"/>
                <w:sz w:val="28"/>
                <w:szCs w:val="28"/>
                <w:lang w:val="ro-MD" w:eastAsia="zh-CN"/>
              </w:rPr>
            </w:pPr>
            <w:r w:rsidRPr="00EA642F">
              <w:rPr>
                <w:rFonts w:ascii="Times New Roman" w:eastAsiaTheme="minorEastAsia" w:hAnsi="Times New Roman"/>
                <w:sz w:val="28"/>
                <w:szCs w:val="28"/>
                <w:lang w:val="ro-MD" w:eastAsia="zh-CN"/>
              </w:rPr>
              <w:t xml:space="preserve"> Forma Notificării extinderii aplicării normelor</w:t>
            </w:r>
            <w:r w:rsidR="00EA642F" w:rsidRPr="00EA642F">
              <w:rPr>
                <w:rFonts w:ascii="Times New Roman" w:eastAsiaTheme="minorEastAsia" w:hAnsi="Times New Roman"/>
                <w:sz w:val="28"/>
                <w:szCs w:val="28"/>
                <w:lang w:val="ro-MD" w:eastAsia="zh-CN"/>
              </w:rPr>
              <w:t>;</w:t>
            </w:r>
          </w:p>
          <w:p w:rsidR="0009047D" w:rsidRPr="00EA642F" w:rsidRDefault="0009047D" w:rsidP="00C755F7">
            <w:pPr>
              <w:pStyle w:val="Listparagraf"/>
              <w:numPr>
                <w:ilvl w:val="0"/>
                <w:numId w:val="7"/>
              </w:numPr>
              <w:tabs>
                <w:tab w:val="left" w:pos="630"/>
                <w:tab w:val="left" w:pos="884"/>
                <w:tab w:val="left" w:pos="1196"/>
              </w:tabs>
              <w:spacing w:after="0" w:line="240" w:lineRule="auto"/>
              <w:jc w:val="both"/>
              <w:rPr>
                <w:rFonts w:ascii="Times New Roman" w:eastAsiaTheme="minorEastAsia" w:hAnsi="Times New Roman"/>
                <w:sz w:val="28"/>
                <w:szCs w:val="28"/>
                <w:lang w:val="ro-MD" w:eastAsia="zh-CN"/>
              </w:rPr>
            </w:pPr>
            <w:r w:rsidRPr="00EA642F">
              <w:rPr>
                <w:rFonts w:ascii="Times New Roman" w:eastAsiaTheme="minorEastAsia" w:hAnsi="Times New Roman"/>
                <w:sz w:val="28"/>
                <w:szCs w:val="28"/>
                <w:lang w:val="ro-MD" w:eastAsia="zh-CN"/>
              </w:rPr>
              <w:t>Forma    Planului de producer</w:t>
            </w:r>
            <w:r w:rsidR="00EA642F">
              <w:rPr>
                <w:rFonts w:ascii="Times New Roman" w:eastAsiaTheme="minorEastAsia" w:hAnsi="Times New Roman"/>
                <w:sz w:val="28"/>
                <w:szCs w:val="28"/>
                <w:lang w:val="ro-MD" w:eastAsia="zh-CN"/>
              </w:rPr>
              <w:t>e</w:t>
            </w:r>
            <w:r w:rsidRPr="00EA642F">
              <w:rPr>
                <w:rFonts w:ascii="Times New Roman" w:eastAsiaTheme="minorEastAsia" w:hAnsi="Times New Roman"/>
                <w:sz w:val="28"/>
                <w:szCs w:val="28"/>
                <w:lang w:val="ro-MD" w:eastAsia="zh-CN"/>
              </w:rPr>
              <w:t xml:space="preserve"> și de comercializare a produselor de acvacultură</w:t>
            </w:r>
            <w:r w:rsidR="001B5EE7" w:rsidRPr="00EA642F">
              <w:rPr>
                <w:rFonts w:ascii="Times New Roman" w:eastAsiaTheme="minorEastAsia" w:hAnsi="Times New Roman"/>
                <w:sz w:val="28"/>
                <w:szCs w:val="28"/>
                <w:lang w:val="ro-MD" w:eastAsia="zh-CN"/>
              </w:rPr>
              <w:t>.</w:t>
            </w:r>
            <w:r w:rsidRPr="00EA642F">
              <w:rPr>
                <w:rFonts w:ascii="Times New Roman" w:eastAsiaTheme="minorEastAsia" w:hAnsi="Times New Roman"/>
                <w:sz w:val="28"/>
                <w:szCs w:val="28"/>
                <w:lang w:val="ro-MD" w:eastAsia="zh-CN"/>
              </w:rPr>
              <w:t xml:space="preserve">           </w:t>
            </w:r>
          </w:p>
          <w:p w:rsidR="00F7202C" w:rsidRPr="00364622" w:rsidRDefault="00712F87" w:rsidP="00364622">
            <w:pPr>
              <w:tabs>
                <w:tab w:val="left" w:pos="884"/>
                <w:tab w:val="left" w:pos="1196"/>
              </w:tabs>
              <w:spacing w:after="0" w:line="240" w:lineRule="auto"/>
              <w:ind w:firstLine="360"/>
              <w:jc w:val="both"/>
              <w:rPr>
                <w:rFonts w:ascii="Times New Roman" w:hAnsi="Times New Roman"/>
                <w:sz w:val="28"/>
                <w:szCs w:val="28"/>
                <w:lang w:val="ro-MD"/>
              </w:rPr>
            </w:pPr>
            <w:r w:rsidRPr="00EA642F">
              <w:rPr>
                <w:rFonts w:ascii="Times New Roman" w:hAnsi="Times New Roman"/>
                <w:sz w:val="28"/>
                <w:szCs w:val="28"/>
                <w:lang w:val="ro-MD"/>
              </w:rPr>
              <w:lastRenderedPageBreak/>
              <w:t>Re</w:t>
            </w:r>
            <w:r w:rsidR="00D5576E" w:rsidRPr="00EA642F">
              <w:rPr>
                <w:rFonts w:ascii="Times New Roman" w:hAnsi="Times New Roman"/>
                <w:sz w:val="28"/>
                <w:szCs w:val="28"/>
                <w:lang w:val="ro-MD"/>
              </w:rPr>
              <w:t>gulamentul este constituit din 5 capitole și 8</w:t>
            </w:r>
            <w:r w:rsidRPr="00EA642F">
              <w:rPr>
                <w:rFonts w:ascii="Times New Roman" w:hAnsi="Times New Roman"/>
                <w:sz w:val="28"/>
                <w:szCs w:val="28"/>
                <w:lang w:val="ro-MD"/>
              </w:rPr>
              <w:t xml:space="preserve"> anexe, în care se regăsesc modele de documente necesare pentru procedura de recunoaștere, raportare și </w:t>
            </w:r>
            <w:r w:rsidR="005B20D0">
              <w:rPr>
                <w:rFonts w:ascii="Times New Roman" w:hAnsi="Times New Roman"/>
                <w:sz w:val="28"/>
                <w:szCs w:val="28"/>
                <w:lang w:val="ro-MD"/>
              </w:rPr>
              <w:t>monitorizare a</w:t>
            </w:r>
            <w:r w:rsidRPr="00EA642F">
              <w:rPr>
                <w:rFonts w:ascii="Times New Roman" w:hAnsi="Times New Roman"/>
                <w:sz w:val="28"/>
                <w:szCs w:val="28"/>
                <w:lang w:val="ro-MD"/>
              </w:rPr>
              <w:t xml:space="preserve"> </w:t>
            </w:r>
            <w:r w:rsidR="00D5576E" w:rsidRPr="00EA642F">
              <w:rPr>
                <w:rFonts w:ascii="Times New Roman" w:hAnsi="Times New Roman"/>
                <w:sz w:val="28"/>
                <w:szCs w:val="28"/>
                <w:lang w:val="ro-MD"/>
              </w:rPr>
              <w:t>organizațiilor de producători</w:t>
            </w:r>
            <w:r w:rsidR="006D0FC1" w:rsidRPr="00EA642F">
              <w:rPr>
                <w:rFonts w:ascii="Times New Roman" w:hAnsi="Times New Roman"/>
                <w:sz w:val="28"/>
                <w:szCs w:val="28"/>
                <w:lang w:val="ro-MD"/>
              </w:rPr>
              <w:t xml:space="preserve">, dar și </w:t>
            </w:r>
            <w:r w:rsidRPr="00EA642F">
              <w:rPr>
                <w:rFonts w:ascii="Times New Roman" w:hAnsi="Times New Roman"/>
                <w:sz w:val="28"/>
                <w:szCs w:val="28"/>
                <w:lang w:val="ro-MD"/>
              </w:rPr>
              <w:t xml:space="preserve">norme privind etapele și ordinea de recunoaștere a </w:t>
            </w:r>
            <w:r w:rsidR="00D5576E" w:rsidRPr="00EA642F">
              <w:rPr>
                <w:rFonts w:ascii="Times New Roman" w:hAnsi="Times New Roman"/>
                <w:sz w:val="28"/>
                <w:szCs w:val="28"/>
                <w:lang w:val="ro-MD"/>
              </w:rPr>
              <w:t>organizațiilor de producători</w:t>
            </w:r>
            <w:r w:rsidRPr="00EA642F">
              <w:rPr>
                <w:rFonts w:ascii="Times New Roman" w:hAnsi="Times New Roman"/>
                <w:sz w:val="28"/>
                <w:szCs w:val="28"/>
                <w:lang w:val="ro-MD"/>
              </w:rPr>
              <w:t>.</w:t>
            </w:r>
          </w:p>
          <w:p w:rsidR="0028550B" w:rsidRPr="00EA642F" w:rsidRDefault="00D52681" w:rsidP="00712F87">
            <w:pPr>
              <w:tabs>
                <w:tab w:val="left" w:pos="1050"/>
              </w:tabs>
              <w:spacing w:after="0" w:line="240" w:lineRule="auto"/>
              <w:ind w:firstLineChars="157" w:firstLine="440"/>
              <w:jc w:val="both"/>
              <w:rPr>
                <w:rFonts w:ascii="Times New Roman" w:hAnsi="Times New Roman"/>
                <w:sz w:val="28"/>
                <w:szCs w:val="28"/>
                <w:lang w:val="ro-MD"/>
              </w:rPr>
            </w:pPr>
            <w:r w:rsidRPr="00EA642F">
              <w:rPr>
                <w:rFonts w:ascii="Times New Roman" w:hAnsi="Times New Roman"/>
                <w:sz w:val="28"/>
                <w:szCs w:val="28"/>
                <w:lang w:val="ro-MD"/>
              </w:rPr>
              <w:t xml:space="preserve">3.2. </w:t>
            </w:r>
            <w:r w:rsidRPr="00EA642F">
              <w:rPr>
                <w:rFonts w:ascii="Times New Roman" w:hAnsi="Times New Roman"/>
                <w:i/>
                <w:iCs/>
                <w:sz w:val="28"/>
                <w:szCs w:val="28"/>
                <w:lang w:val="ro-MD"/>
              </w:rPr>
              <w:t xml:space="preserve">Opțiunile alternative analizate și motivele pentru care acestea nu au fost luate în considerare </w:t>
            </w:r>
            <w:r w:rsidRPr="00EA642F">
              <w:rPr>
                <w:rFonts w:ascii="Times New Roman" w:hAnsi="Times New Roman"/>
                <w:sz w:val="28"/>
                <w:szCs w:val="28"/>
                <w:lang w:val="ro-MD"/>
              </w:rPr>
              <w:t>- nu se aplică.</w:t>
            </w:r>
          </w:p>
        </w:tc>
      </w:tr>
      <w:tr w:rsidR="0028550B">
        <w:tc>
          <w:tcPr>
            <w:tcW w:w="10294" w:type="dxa"/>
          </w:tcPr>
          <w:p w:rsidR="0028550B" w:rsidRPr="00EA642F" w:rsidRDefault="00D52681">
            <w:pPr>
              <w:spacing w:after="0" w:line="240" w:lineRule="auto"/>
              <w:jc w:val="both"/>
              <w:rPr>
                <w:rFonts w:ascii="Times New Roman" w:hAnsi="Times New Roman"/>
                <w:b/>
                <w:sz w:val="44"/>
                <w:szCs w:val="44"/>
                <w:vertAlign w:val="superscript"/>
                <w:lang w:val="ro-MD"/>
              </w:rPr>
            </w:pPr>
            <w:r w:rsidRPr="00EA642F">
              <w:rPr>
                <w:rFonts w:ascii="Times New Roman" w:hAnsi="Times New Roman"/>
                <w:b/>
                <w:sz w:val="44"/>
                <w:szCs w:val="44"/>
                <w:vertAlign w:val="superscript"/>
                <w:lang w:val="ro-MD"/>
              </w:rPr>
              <w:lastRenderedPageBreak/>
              <w:t>4. Analiza impactului de reglementare</w:t>
            </w:r>
          </w:p>
        </w:tc>
      </w:tr>
      <w:tr w:rsidR="0028550B" w:rsidRPr="009B4B5F">
        <w:tc>
          <w:tcPr>
            <w:tcW w:w="10294" w:type="dxa"/>
          </w:tcPr>
          <w:p w:rsidR="0028550B" w:rsidRPr="00EA642F" w:rsidRDefault="00D52681">
            <w:pPr>
              <w:spacing w:after="0" w:line="240" w:lineRule="auto"/>
              <w:ind w:firstLineChars="157" w:firstLine="440"/>
              <w:jc w:val="both"/>
              <w:rPr>
                <w:rFonts w:ascii="Times New Roman" w:hAnsi="Times New Roman"/>
                <w:i/>
                <w:iCs/>
                <w:sz w:val="28"/>
                <w:szCs w:val="28"/>
                <w:lang w:val="ro-MD"/>
              </w:rPr>
            </w:pPr>
            <w:r w:rsidRPr="00EA642F">
              <w:rPr>
                <w:rFonts w:ascii="Times New Roman" w:hAnsi="Times New Roman"/>
                <w:sz w:val="28"/>
                <w:szCs w:val="28"/>
                <w:lang w:val="ro-MD"/>
              </w:rPr>
              <w:t xml:space="preserve">4.1. </w:t>
            </w:r>
            <w:r w:rsidRPr="00EA642F">
              <w:rPr>
                <w:rFonts w:ascii="Times New Roman" w:hAnsi="Times New Roman"/>
                <w:i/>
                <w:iCs/>
                <w:sz w:val="28"/>
                <w:szCs w:val="28"/>
                <w:lang w:val="ro-MD"/>
              </w:rPr>
              <w:t>Impactul asupra sectorului public</w:t>
            </w:r>
          </w:p>
          <w:p w:rsidR="0028550B" w:rsidRPr="00EA642F" w:rsidRDefault="00F7202C" w:rsidP="0001645D">
            <w:pPr>
              <w:pStyle w:val="Listparagraf"/>
              <w:numPr>
                <w:ilvl w:val="0"/>
                <w:numId w:val="2"/>
              </w:numPr>
              <w:spacing w:after="0" w:line="240" w:lineRule="auto"/>
              <w:ind w:left="29" w:firstLine="425"/>
              <w:jc w:val="both"/>
              <w:rPr>
                <w:rFonts w:ascii="Times New Roman" w:hAnsi="Times New Roman"/>
                <w:sz w:val="28"/>
                <w:szCs w:val="28"/>
                <w:lang w:val="ro-MD"/>
              </w:rPr>
            </w:pPr>
            <w:r w:rsidRPr="00EA642F">
              <w:rPr>
                <w:rFonts w:ascii="Times New Roman" w:eastAsia="Calibri" w:hAnsi="Times New Roman" w:cs="Times New Roman"/>
                <w:sz w:val="28"/>
                <w:szCs w:val="28"/>
                <w:lang w:val="ro-MD" w:eastAsia="ru-RU"/>
              </w:rPr>
              <w:t>Prevederile proiectului promovează interesele Guvernului, în ceea ce privește armonizarea legislației Republicii Moldova cu legislația comunitară în conformitate cu Legea nr. 112/2014 pentru ratificarea Acordului de Asociere între Republica Moldova pe de o parte, și Uniunea Europeană și Comunitatea Europeană a Energiei Atomice și statele membre ale acestora</w:t>
            </w:r>
            <w:r w:rsidR="006A0690" w:rsidRPr="00EA642F">
              <w:rPr>
                <w:rFonts w:ascii="Times New Roman" w:eastAsia="Calibri" w:hAnsi="Times New Roman" w:cs="Times New Roman"/>
                <w:sz w:val="28"/>
                <w:szCs w:val="28"/>
                <w:lang w:val="ro-MD" w:eastAsia="ru-RU"/>
              </w:rPr>
              <w:t>,</w:t>
            </w:r>
            <w:r w:rsidRPr="00EA642F">
              <w:rPr>
                <w:rFonts w:ascii="Times New Roman" w:eastAsia="Calibri" w:hAnsi="Times New Roman" w:cs="Times New Roman"/>
                <w:sz w:val="28"/>
                <w:szCs w:val="28"/>
                <w:lang w:val="ro-MD" w:eastAsia="ru-RU"/>
              </w:rPr>
              <w:t xml:space="preserve"> </w:t>
            </w:r>
            <w:r w:rsidR="006A0690" w:rsidRPr="00EA642F">
              <w:rPr>
                <w:rFonts w:ascii="Times New Roman" w:eastAsia="Calibri" w:hAnsi="Times New Roman" w:cs="Times New Roman"/>
                <w:sz w:val="28"/>
                <w:szCs w:val="28"/>
                <w:lang w:val="ro-MD" w:eastAsia="ru-RU"/>
              </w:rPr>
              <w:t xml:space="preserve">prevăzut în </w:t>
            </w:r>
            <w:r w:rsidRPr="00EA642F">
              <w:rPr>
                <w:rFonts w:ascii="Times New Roman" w:eastAsia="Calibri" w:hAnsi="Times New Roman" w:cs="Times New Roman"/>
                <w:sz w:val="28"/>
                <w:szCs w:val="28"/>
                <w:lang w:val="ro-MD" w:eastAsia="ru-RU"/>
              </w:rPr>
              <w:t>Capitolul 13  Pescuitul și</w:t>
            </w:r>
            <w:r w:rsidR="005B20D0">
              <w:rPr>
                <w:rFonts w:ascii="Times New Roman" w:eastAsia="Calibri" w:hAnsi="Times New Roman" w:cs="Times New Roman"/>
                <w:sz w:val="28"/>
                <w:szCs w:val="28"/>
                <w:lang w:val="ro-MD" w:eastAsia="ru-RU"/>
              </w:rPr>
              <w:t xml:space="preserve"> acvacultură</w:t>
            </w:r>
            <w:r w:rsidR="00D52681" w:rsidRPr="00EA642F">
              <w:rPr>
                <w:rFonts w:ascii="Times New Roman" w:hAnsi="Times New Roman"/>
                <w:sz w:val="28"/>
                <w:szCs w:val="28"/>
                <w:lang w:val="ro-MD"/>
              </w:rPr>
              <w:t>.</w:t>
            </w:r>
          </w:p>
          <w:p w:rsidR="00063907" w:rsidRPr="00EA642F" w:rsidRDefault="00063907">
            <w:pPr>
              <w:pStyle w:val="Listparagraf"/>
              <w:spacing w:after="0" w:line="240" w:lineRule="auto"/>
              <w:ind w:left="454"/>
              <w:jc w:val="both"/>
              <w:rPr>
                <w:rFonts w:ascii="Times New Roman" w:eastAsia="Calibri" w:hAnsi="Times New Roman"/>
                <w:sz w:val="28"/>
                <w:szCs w:val="28"/>
                <w:lang w:val="ro-MD"/>
              </w:rPr>
            </w:pPr>
          </w:p>
          <w:p w:rsidR="0028550B" w:rsidRPr="00EA642F" w:rsidRDefault="00D52681">
            <w:pPr>
              <w:pStyle w:val="Listparagraf"/>
              <w:spacing w:after="0" w:line="240" w:lineRule="auto"/>
              <w:ind w:left="454"/>
              <w:jc w:val="both"/>
              <w:rPr>
                <w:rFonts w:ascii="Times New Roman" w:eastAsia="Calibri" w:hAnsi="Times New Roman"/>
                <w:i/>
                <w:iCs/>
                <w:sz w:val="28"/>
                <w:szCs w:val="28"/>
                <w:lang w:val="ro-MD"/>
              </w:rPr>
            </w:pPr>
            <w:r w:rsidRPr="00EA642F">
              <w:rPr>
                <w:rFonts w:ascii="Times New Roman" w:eastAsia="Calibri" w:hAnsi="Times New Roman"/>
                <w:sz w:val="28"/>
                <w:szCs w:val="28"/>
                <w:lang w:val="ro-MD"/>
              </w:rPr>
              <w:t xml:space="preserve">4.2. </w:t>
            </w:r>
            <w:r w:rsidRPr="00EA642F">
              <w:rPr>
                <w:rFonts w:ascii="Times New Roman" w:eastAsia="Calibri" w:hAnsi="Times New Roman"/>
                <w:i/>
                <w:iCs/>
                <w:sz w:val="28"/>
                <w:szCs w:val="28"/>
                <w:lang w:val="ro-MD"/>
              </w:rPr>
              <w:t>Impactul financiar și argumentarea costurilor estimative</w:t>
            </w:r>
          </w:p>
          <w:p w:rsidR="00EC5807" w:rsidRPr="00EA642F" w:rsidRDefault="006D0FC1" w:rsidP="006D0FC1">
            <w:pPr>
              <w:pStyle w:val="Listparagraf"/>
              <w:spacing w:after="0" w:line="240" w:lineRule="auto"/>
              <w:ind w:left="29" w:firstLine="425"/>
              <w:jc w:val="both"/>
              <w:rPr>
                <w:rFonts w:ascii="Times New Roman" w:hAnsi="Times New Roman"/>
                <w:iCs/>
                <w:sz w:val="28"/>
                <w:szCs w:val="28"/>
                <w:lang w:val="ro-MD"/>
              </w:rPr>
            </w:pPr>
            <w:r w:rsidRPr="00EA642F">
              <w:rPr>
                <w:rFonts w:ascii="Times New Roman" w:hAnsi="Times New Roman"/>
                <w:iCs/>
                <w:sz w:val="28"/>
                <w:szCs w:val="28"/>
                <w:lang w:val="ro-MD"/>
              </w:rPr>
              <w:t>Implementarea acestui proiect nu necesită alocarea surselor financiare suplimentare din bugetul de stat</w:t>
            </w:r>
            <w:r w:rsidR="00D43ED0">
              <w:rPr>
                <w:rFonts w:ascii="Times New Roman" w:hAnsi="Times New Roman"/>
                <w:iCs/>
                <w:sz w:val="28"/>
                <w:szCs w:val="28"/>
                <w:lang w:val="ro-MD"/>
              </w:rPr>
              <w:t>, s</w:t>
            </w:r>
            <w:r w:rsidRPr="00EA642F">
              <w:rPr>
                <w:rFonts w:ascii="Times New Roman" w:hAnsi="Times New Roman"/>
                <w:iCs/>
                <w:sz w:val="28"/>
                <w:szCs w:val="28"/>
                <w:lang w:val="ro-MD"/>
              </w:rPr>
              <w:t>e vor utiliza surse</w:t>
            </w:r>
            <w:r w:rsidR="00D43ED0">
              <w:rPr>
                <w:rFonts w:ascii="Times New Roman" w:hAnsi="Times New Roman"/>
                <w:iCs/>
                <w:sz w:val="28"/>
                <w:szCs w:val="28"/>
                <w:lang w:val="ro-MD"/>
              </w:rPr>
              <w:t>le</w:t>
            </w:r>
            <w:r w:rsidRPr="00EA642F">
              <w:rPr>
                <w:rFonts w:ascii="Times New Roman" w:hAnsi="Times New Roman"/>
                <w:iCs/>
                <w:sz w:val="28"/>
                <w:szCs w:val="28"/>
                <w:lang w:val="ro-MD"/>
              </w:rPr>
              <w:t xml:space="preserve"> financiare aprobate pentru Fondul pentru dezvoltarea sectorului acvaculturii și organizarea pieței produselor pescărești și de acvacultură</w:t>
            </w:r>
            <w:r w:rsidR="005B20D0">
              <w:rPr>
                <w:rFonts w:ascii="Times New Roman" w:hAnsi="Times New Roman"/>
                <w:iCs/>
                <w:sz w:val="28"/>
                <w:szCs w:val="28"/>
                <w:lang w:val="ro-MD"/>
              </w:rPr>
              <w:t xml:space="preserve">, conform </w:t>
            </w:r>
            <w:r w:rsidRPr="00EA642F">
              <w:rPr>
                <w:rFonts w:ascii="Times New Roman" w:hAnsi="Times New Roman"/>
                <w:iCs/>
                <w:sz w:val="28"/>
                <w:szCs w:val="28"/>
                <w:lang w:val="ro-MD"/>
              </w:rPr>
              <w:t>leg</w:t>
            </w:r>
            <w:r w:rsidR="005B20D0">
              <w:rPr>
                <w:rFonts w:ascii="Times New Roman" w:hAnsi="Times New Roman"/>
                <w:iCs/>
                <w:sz w:val="28"/>
                <w:szCs w:val="28"/>
                <w:lang w:val="ro-MD"/>
              </w:rPr>
              <w:t>ii</w:t>
            </w:r>
            <w:r w:rsidRPr="00EA642F">
              <w:rPr>
                <w:rFonts w:ascii="Times New Roman" w:hAnsi="Times New Roman"/>
                <w:iCs/>
                <w:sz w:val="28"/>
                <w:szCs w:val="28"/>
                <w:lang w:val="ro-MD"/>
              </w:rPr>
              <w:t xml:space="preserve"> anual</w:t>
            </w:r>
            <w:r w:rsidR="005B20D0">
              <w:rPr>
                <w:rFonts w:ascii="Times New Roman" w:hAnsi="Times New Roman"/>
                <w:iCs/>
                <w:sz w:val="28"/>
                <w:szCs w:val="28"/>
                <w:lang w:val="ro-MD"/>
              </w:rPr>
              <w:t>e</w:t>
            </w:r>
            <w:r w:rsidRPr="00EA642F">
              <w:rPr>
                <w:rFonts w:ascii="Times New Roman" w:hAnsi="Times New Roman"/>
                <w:iCs/>
                <w:sz w:val="28"/>
                <w:szCs w:val="28"/>
                <w:lang w:val="ro-MD"/>
              </w:rPr>
              <w:t xml:space="preserve"> a bugetului de stat</w:t>
            </w:r>
            <w:r w:rsidR="005B20D0">
              <w:rPr>
                <w:rFonts w:ascii="Times New Roman" w:hAnsi="Times New Roman"/>
                <w:iCs/>
                <w:sz w:val="28"/>
                <w:szCs w:val="28"/>
                <w:lang w:val="ro-MD"/>
              </w:rPr>
              <w:t xml:space="preserve">, </w:t>
            </w:r>
            <w:r w:rsidR="005B20D0" w:rsidRPr="005B20D0">
              <w:rPr>
                <w:rFonts w:ascii="Times New Roman" w:hAnsi="Times New Roman"/>
                <w:iCs/>
                <w:sz w:val="28"/>
                <w:szCs w:val="28"/>
                <w:lang w:val="ro-MD"/>
              </w:rPr>
              <w:t>în conformitate cu prevederile Legii finanțelor publice și responsabilității bugetar-fiscale nr. 181/2014.</w:t>
            </w:r>
            <w:r w:rsidRPr="00EA642F">
              <w:rPr>
                <w:rFonts w:ascii="Times New Roman" w:hAnsi="Times New Roman"/>
                <w:iCs/>
                <w:sz w:val="28"/>
                <w:szCs w:val="28"/>
                <w:lang w:val="ro-MD"/>
              </w:rPr>
              <w:t xml:space="preserve"> </w:t>
            </w:r>
          </w:p>
          <w:p w:rsidR="00706AFB" w:rsidRPr="00EA642F" w:rsidRDefault="00706AFB" w:rsidP="00EC5807">
            <w:pPr>
              <w:pStyle w:val="Listparagraf"/>
              <w:spacing w:after="0" w:line="240" w:lineRule="auto"/>
              <w:ind w:left="29" w:firstLine="425"/>
              <w:jc w:val="both"/>
              <w:rPr>
                <w:rFonts w:ascii="Times New Roman" w:eastAsiaTheme="minorEastAsia" w:hAnsi="Times New Roman"/>
                <w:iCs/>
                <w:sz w:val="28"/>
                <w:szCs w:val="28"/>
                <w:lang w:val="ro-MD" w:eastAsia="zh-CN"/>
              </w:rPr>
            </w:pPr>
          </w:p>
          <w:p w:rsidR="0028550B" w:rsidRPr="00EA642F" w:rsidRDefault="00D52681">
            <w:pPr>
              <w:spacing w:after="0" w:line="240" w:lineRule="auto"/>
              <w:ind w:firstLineChars="157" w:firstLine="440"/>
              <w:jc w:val="both"/>
              <w:rPr>
                <w:rFonts w:ascii="Times New Roman" w:hAnsi="Times New Roman"/>
                <w:i/>
                <w:iCs/>
                <w:sz w:val="28"/>
                <w:szCs w:val="28"/>
                <w:lang w:val="ro-MD"/>
              </w:rPr>
            </w:pPr>
            <w:r w:rsidRPr="00EA642F">
              <w:rPr>
                <w:rFonts w:ascii="Times New Roman" w:hAnsi="Times New Roman"/>
                <w:sz w:val="28"/>
                <w:szCs w:val="28"/>
                <w:lang w:val="ro-MD"/>
              </w:rPr>
              <w:t xml:space="preserve">4.3. </w:t>
            </w:r>
            <w:r w:rsidRPr="00EA642F">
              <w:rPr>
                <w:rFonts w:ascii="Times New Roman" w:hAnsi="Times New Roman"/>
                <w:i/>
                <w:iCs/>
                <w:sz w:val="28"/>
                <w:szCs w:val="28"/>
                <w:lang w:val="ro-MD"/>
              </w:rPr>
              <w:t>Impactul asupra sectorului privat</w:t>
            </w:r>
          </w:p>
          <w:p w:rsidR="009A7473" w:rsidRPr="00EA642F" w:rsidRDefault="002A0F13" w:rsidP="00665A63">
            <w:pPr>
              <w:spacing w:after="0" w:line="240" w:lineRule="auto"/>
              <w:ind w:firstLineChars="157" w:firstLine="440"/>
              <w:jc w:val="both"/>
              <w:rPr>
                <w:rFonts w:ascii="Times New Roman" w:hAnsi="Times New Roman"/>
                <w:sz w:val="28"/>
                <w:szCs w:val="28"/>
                <w:lang w:val="ro-MD"/>
              </w:rPr>
            </w:pPr>
            <w:r w:rsidRPr="00EA642F">
              <w:rPr>
                <w:rFonts w:ascii="Times New Roman" w:hAnsi="Times New Roman"/>
                <w:sz w:val="28"/>
                <w:szCs w:val="28"/>
                <w:lang w:val="ro-MD"/>
              </w:rPr>
              <w:t>Organizarea pieței produselor pescărești și de acvacultură este prima componentă pentru dezvoltarea sectorului</w:t>
            </w:r>
            <w:r w:rsidR="003E0CBE" w:rsidRPr="00EA642F">
              <w:rPr>
                <w:rFonts w:ascii="Times New Roman" w:hAnsi="Times New Roman"/>
                <w:sz w:val="28"/>
                <w:szCs w:val="28"/>
                <w:lang w:val="ro-MD"/>
              </w:rPr>
              <w:t xml:space="preserve"> de acvacultură, </w:t>
            </w:r>
            <w:r w:rsidRPr="00EA642F">
              <w:rPr>
                <w:rFonts w:ascii="Times New Roman" w:hAnsi="Times New Roman"/>
                <w:sz w:val="28"/>
                <w:szCs w:val="28"/>
                <w:lang w:val="ro-MD"/>
              </w:rPr>
              <w:t xml:space="preserve">protejarea producătorilor, precum și a viabilității economice a pieței produselor pescărești și de acvacultură. </w:t>
            </w:r>
          </w:p>
          <w:p w:rsidR="007D41AE" w:rsidRPr="00EA642F" w:rsidRDefault="005145CA" w:rsidP="00665A63">
            <w:pPr>
              <w:spacing w:after="0" w:line="240" w:lineRule="auto"/>
              <w:ind w:firstLineChars="157" w:firstLine="440"/>
              <w:jc w:val="both"/>
              <w:rPr>
                <w:rFonts w:ascii="Times New Roman" w:hAnsi="Times New Roman"/>
                <w:sz w:val="28"/>
                <w:szCs w:val="28"/>
                <w:lang w:val="ro-MD"/>
              </w:rPr>
            </w:pPr>
            <w:r w:rsidRPr="00EA642F">
              <w:rPr>
                <w:rFonts w:ascii="Times New Roman" w:hAnsi="Times New Roman"/>
                <w:sz w:val="28"/>
                <w:szCs w:val="28"/>
                <w:lang w:val="ro-MD"/>
              </w:rPr>
              <w:t>Impactul adoptării actului normativ propus va fi unul benefic</w:t>
            </w:r>
            <w:r w:rsidR="007D41AE" w:rsidRPr="00EA642F">
              <w:rPr>
                <w:rFonts w:ascii="Times New Roman" w:hAnsi="Times New Roman"/>
                <w:sz w:val="28"/>
                <w:szCs w:val="28"/>
                <w:lang w:val="ro-MD"/>
              </w:rPr>
              <w:t xml:space="preserve"> pentru dezvoltarea economică a sectorului,</w:t>
            </w:r>
            <w:r w:rsidRPr="00EA642F">
              <w:rPr>
                <w:rFonts w:ascii="Times New Roman" w:hAnsi="Times New Roman"/>
                <w:sz w:val="28"/>
                <w:szCs w:val="28"/>
                <w:lang w:val="ro-MD"/>
              </w:rPr>
              <w:t xml:space="preserve"> </w:t>
            </w:r>
            <w:r w:rsidR="007B4D4B" w:rsidRPr="00EA642F">
              <w:rPr>
                <w:rFonts w:ascii="Times New Roman" w:hAnsi="Times New Roman"/>
                <w:sz w:val="28"/>
                <w:szCs w:val="28"/>
                <w:lang w:val="ro-MD"/>
              </w:rPr>
              <w:t>fiind orientat spre revitalizarea sector</w:t>
            </w:r>
            <w:r w:rsidR="006E590A">
              <w:rPr>
                <w:rFonts w:ascii="Times New Roman" w:hAnsi="Times New Roman"/>
                <w:sz w:val="28"/>
                <w:szCs w:val="28"/>
                <w:lang w:val="ro-MD"/>
              </w:rPr>
              <w:t>ului și adaptarea la cerințele și necesitățile pieței interne și</w:t>
            </w:r>
            <w:r w:rsidR="0035636E">
              <w:rPr>
                <w:rFonts w:ascii="Times New Roman" w:hAnsi="Times New Roman"/>
                <w:sz w:val="28"/>
                <w:szCs w:val="28"/>
                <w:lang w:val="ro-MD"/>
              </w:rPr>
              <w:t xml:space="preserve"> comunitare</w:t>
            </w:r>
            <w:r w:rsidR="007B4D4B" w:rsidRPr="00EA642F">
              <w:rPr>
                <w:rFonts w:ascii="Times New Roman" w:hAnsi="Times New Roman"/>
                <w:sz w:val="28"/>
                <w:szCs w:val="28"/>
                <w:lang w:val="ro-MD"/>
              </w:rPr>
              <w:t xml:space="preserve">. </w:t>
            </w:r>
          </w:p>
          <w:p w:rsidR="00665A63" w:rsidRPr="00EA642F" w:rsidRDefault="007D41AE" w:rsidP="00665A63">
            <w:pPr>
              <w:spacing w:after="0" w:line="240" w:lineRule="auto"/>
              <w:ind w:firstLineChars="157" w:firstLine="440"/>
              <w:jc w:val="both"/>
              <w:rPr>
                <w:rFonts w:ascii="Times New Roman" w:hAnsi="Times New Roman"/>
                <w:sz w:val="28"/>
                <w:szCs w:val="28"/>
                <w:lang w:val="ro-MD"/>
              </w:rPr>
            </w:pPr>
            <w:r w:rsidRPr="00EA642F">
              <w:rPr>
                <w:rFonts w:ascii="Times New Roman" w:hAnsi="Times New Roman"/>
                <w:sz w:val="28"/>
                <w:szCs w:val="28"/>
                <w:lang w:val="ro-MD"/>
              </w:rPr>
              <w:t xml:space="preserve">Nemijlocit </w:t>
            </w:r>
            <w:r w:rsidR="00665A63" w:rsidRPr="00EA642F">
              <w:rPr>
                <w:rFonts w:ascii="Times New Roman" w:hAnsi="Times New Roman"/>
                <w:sz w:val="28"/>
                <w:szCs w:val="28"/>
                <w:lang w:val="ro-MD"/>
              </w:rPr>
              <w:t xml:space="preserve">sectorul privat </w:t>
            </w:r>
            <w:r w:rsidRPr="00EA642F">
              <w:rPr>
                <w:rFonts w:ascii="Times New Roman" w:hAnsi="Times New Roman"/>
                <w:sz w:val="28"/>
                <w:szCs w:val="28"/>
                <w:lang w:val="ro-MD"/>
              </w:rPr>
              <w:t xml:space="preserve">va </w:t>
            </w:r>
            <w:r w:rsidR="007B4D4B" w:rsidRPr="00EA642F">
              <w:rPr>
                <w:rFonts w:ascii="Times New Roman" w:hAnsi="Times New Roman"/>
                <w:sz w:val="28"/>
                <w:szCs w:val="28"/>
                <w:lang w:val="ro-MD"/>
              </w:rPr>
              <w:t xml:space="preserve">fi supus unor provocări, </w:t>
            </w:r>
            <w:r w:rsidRPr="00EA642F">
              <w:rPr>
                <w:rFonts w:ascii="Times New Roman" w:hAnsi="Times New Roman"/>
                <w:sz w:val="28"/>
                <w:szCs w:val="28"/>
                <w:lang w:val="ro-MD"/>
              </w:rPr>
              <w:t>dar și va</w:t>
            </w:r>
            <w:r w:rsidR="007B4D4B" w:rsidRPr="00EA642F">
              <w:rPr>
                <w:rFonts w:ascii="Times New Roman" w:hAnsi="Times New Roman"/>
                <w:sz w:val="28"/>
                <w:szCs w:val="28"/>
                <w:lang w:val="ro-MD"/>
              </w:rPr>
              <w:t xml:space="preserve"> beneficia de mai multe </w:t>
            </w:r>
            <w:r w:rsidR="00665A63" w:rsidRPr="00EA642F">
              <w:rPr>
                <w:rFonts w:ascii="Times New Roman" w:hAnsi="Times New Roman"/>
                <w:sz w:val="28"/>
                <w:szCs w:val="28"/>
                <w:lang w:val="ro-MD"/>
              </w:rPr>
              <w:t>oportunități,</w:t>
            </w:r>
            <w:r w:rsidR="007B4D4B" w:rsidRPr="00EA642F">
              <w:rPr>
                <w:rFonts w:ascii="Times New Roman" w:hAnsi="Times New Roman"/>
                <w:sz w:val="28"/>
                <w:szCs w:val="28"/>
                <w:lang w:val="ro-MD"/>
              </w:rPr>
              <w:t xml:space="preserve"> cum ar fi</w:t>
            </w:r>
            <w:r w:rsidR="00665A63" w:rsidRPr="00EA642F">
              <w:rPr>
                <w:rFonts w:ascii="Times New Roman" w:hAnsi="Times New Roman"/>
                <w:sz w:val="28"/>
                <w:szCs w:val="28"/>
                <w:lang w:val="ro-MD"/>
              </w:rPr>
              <w:t>:</w:t>
            </w:r>
          </w:p>
          <w:p w:rsidR="007D41AE" w:rsidRPr="00EA642F" w:rsidRDefault="007D41AE" w:rsidP="007D41AE">
            <w:pPr>
              <w:pStyle w:val="Listparagraf"/>
              <w:numPr>
                <w:ilvl w:val="0"/>
                <w:numId w:val="5"/>
              </w:numPr>
              <w:spacing w:after="0" w:line="240" w:lineRule="auto"/>
              <w:ind w:left="29" w:firstLine="411"/>
              <w:jc w:val="both"/>
              <w:rPr>
                <w:rFonts w:ascii="Times New Roman" w:hAnsi="Times New Roman"/>
                <w:sz w:val="28"/>
                <w:szCs w:val="28"/>
                <w:lang w:val="ro-MD"/>
              </w:rPr>
            </w:pPr>
            <w:r w:rsidRPr="00EA642F">
              <w:rPr>
                <w:rFonts w:ascii="Times New Roman" w:hAnsi="Times New Roman"/>
                <w:sz w:val="28"/>
                <w:szCs w:val="28"/>
                <w:lang w:val="ro-MD"/>
              </w:rPr>
              <w:t>Îmbunătățirea accesului la resurse și la finanțare - Organizațiile de producători re</w:t>
            </w:r>
            <w:r w:rsidR="00D43ED0">
              <w:rPr>
                <w:rFonts w:ascii="Times New Roman" w:hAnsi="Times New Roman"/>
                <w:sz w:val="28"/>
                <w:szCs w:val="28"/>
                <w:lang w:val="ro-MD"/>
              </w:rPr>
              <w:t>cunoscute</w:t>
            </w:r>
            <w:r w:rsidRPr="00EA642F">
              <w:rPr>
                <w:rFonts w:ascii="Times New Roman" w:hAnsi="Times New Roman"/>
                <w:sz w:val="28"/>
                <w:szCs w:val="28"/>
                <w:lang w:val="ro-MD"/>
              </w:rPr>
              <w:t xml:space="preserve"> </w:t>
            </w:r>
            <w:r w:rsidR="00D43ED0">
              <w:rPr>
                <w:rFonts w:ascii="Times New Roman" w:hAnsi="Times New Roman"/>
                <w:sz w:val="28"/>
                <w:szCs w:val="28"/>
                <w:lang w:val="ro-MD"/>
              </w:rPr>
              <w:t xml:space="preserve">vor </w:t>
            </w:r>
            <w:r w:rsidRPr="00EA642F">
              <w:rPr>
                <w:rFonts w:ascii="Times New Roman" w:hAnsi="Times New Roman"/>
                <w:sz w:val="28"/>
                <w:szCs w:val="28"/>
                <w:lang w:val="ro-MD"/>
              </w:rPr>
              <w:t>p</w:t>
            </w:r>
            <w:r w:rsidR="00D43ED0">
              <w:rPr>
                <w:rFonts w:ascii="Times New Roman" w:hAnsi="Times New Roman"/>
                <w:sz w:val="28"/>
                <w:szCs w:val="28"/>
                <w:lang w:val="ro-MD"/>
              </w:rPr>
              <w:t>utea</w:t>
            </w:r>
            <w:r w:rsidRPr="00EA642F">
              <w:rPr>
                <w:rFonts w:ascii="Times New Roman" w:hAnsi="Times New Roman"/>
                <w:sz w:val="28"/>
                <w:szCs w:val="28"/>
                <w:lang w:val="ro-MD"/>
              </w:rPr>
              <w:t xml:space="preserve"> beneficia de sprijin financiar din partea statului pentru modernizarea infrastructurii, </w:t>
            </w:r>
            <w:r w:rsidR="003848FF">
              <w:rPr>
                <w:rFonts w:ascii="Times New Roman" w:hAnsi="Times New Roman"/>
                <w:sz w:val="28"/>
                <w:szCs w:val="28"/>
                <w:lang w:val="ro-MD"/>
              </w:rPr>
              <w:t>optimizarea</w:t>
            </w:r>
            <w:r w:rsidRPr="00EA642F">
              <w:rPr>
                <w:rFonts w:ascii="Times New Roman" w:hAnsi="Times New Roman"/>
                <w:sz w:val="28"/>
                <w:szCs w:val="28"/>
                <w:lang w:val="ro-MD"/>
              </w:rPr>
              <w:t xml:space="preserve"> proceselor de producție</w:t>
            </w:r>
            <w:r w:rsidR="00D43ED0">
              <w:rPr>
                <w:rFonts w:ascii="Times New Roman" w:hAnsi="Times New Roman"/>
                <w:sz w:val="28"/>
                <w:szCs w:val="28"/>
                <w:lang w:val="ro-MD"/>
              </w:rPr>
              <w:t>, prin intermediul unui program strategic sectorial</w:t>
            </w:r>
            <w:r w:rsidRPr="00EA642F">
              <w:rPr>
                <w:rFonts w:ascii="Times New Roman" w:hAnsi="Times New Roman"/>
                <w:sz w:val="28"/>
                <w:szCs w:val="28"/>
                <w:lang w:val="ro-MD"/>
              </w:rPr>
              <w:t xml:space="preserve">. </w:t>
            </w:r>
          </w:p>
          <w:p w:rsidR="007D41AE" w:rsidRPr="00EA642F" w:rsidRDefault="007D41AE" w:rsidP="007D41AE">
            <w:pPr>
              <w:pStyle w:val="Listparagraf"/>
              <w:numPr>
                <w:ilvl w:val="0"/>
                <w:numId w:val="5"/>
              </w:numPr>
              <w:spacing w:after="0" w:line="240" w:lineRule="auto"/>
              <w:ind w:left="29" w:firstLine="425"/>
              <w:jc w:val="both"/>
              <w:rPr>
                <w:rFonts w:ascii="Times New Roman" w:hAnsi="Times New Roman"/>
                <w:sz w:val="28"/>
                <w:szCs w:val="28"/>
                <w:lang w:val="ro-MD"/>
              </w:rPr>
            </w:pPr>
            <w:r w:rsidRPr="00EA642F">
              <w:rPr>
                <w:rFonts w:ascii="Times New Roman" w:hAnsi="Times New Roman"/>
                <w:sz w:val="28"/>
                <w:szCs w:val="28"/>
                <w:lang w:val="ro-MD"/>
              </w:rPr>
              <w:t xml:space="preserve">Consolidarea puterii de negociere - Organizarea producătorilor în organizații de producători le permite acestora să negocieze condiții mai favorabile cu </w:t>
            </w:r>
            <w:r w:rsidR="00CE7C1D" w:rsidRPr="00EA642F">
              <w:rPr>
                <w:rFonts w:ascii="Times New Roman" w:hAnsi="Times New Roman"/>
                <w:sz w:val="28"/>
                <w:szCs w:val="28"/>
                <w:lang w:val="ro-MD"/>
              </w:rPr>
              <w:t>procesatorii</w:t>
            </w:r>
            <w:r w:rsidRPr="00EA642F">
              <w:rPr>
                <w:rFonts w:ascii="Times New Roman" w:hAnsi="Times New Roman"/>
                <w:sz w:val="28"/>
                <w:szCs w:val="28"/>
                <w:lang w:val="ro-MD"/>
              </w:rPr>
              <w:t xml:space="preserve"> și cu clienții, pentru a obține prețuri mai bune și să își protejeze marjele de profit, ceea ce poate crește competitivitatea sectorului privat.</w:t>
            </w:r>
          </w:p>
          <w:p w:rsidR="007D41AE" w:rsidRPr="00EA642F" w:rsidRDefault="00CE7C1D" w:rsidP="00D3185A">
            <w:pPr>
              <w:pStyle w:val="Listparagraf"/>
              <w:numPr>
                <w:ilvl w:val="0"/>
                <w:numId w:val="5"/>
              </w:numPr>
              <w:spacing w:after="0" w:line="240" w:lineRule="auto"/>
              <w:ind w:left="29" w:firstLine="411"/>
              <w:jc w:val="both"/>
              <w:rPr>
                <w:rFonts w:ascii="Times New Roman" w:hAnsi="Times New Roman"/>
                <w:sz w:val="28"/>
                <w:szCs w:val="28"/>
                <w:lang w:val="ro-MD"/>
              </w:rPr>
            </w:pPr>
            <w:r w:rsidRPr="00EA642F">
              <w:rPr>
                <w:rFonts w:ascii="Times New Roman" w:hAnsi="Times New Roman"/>
                <w:sz w:val="28"/>
                <w:szCs w:val="28"/>
                <w:lang w:val="ro-MD"/>
              </w:rPr>
              <w:t xml:space="preserve">Promovarea sustenabilității și a calității produselor - Reglementarea organizațiilor de producători contribuie la combaterea concurenței neloiale și la prevenirea abuzurilor de putere economică, protejând astfel producătorii mici și medii. </w:t>
            </w:r>
          </w:p>
          <w:p w:rsidR="00CE7C1D" w:rsidRPr="00EA642F" w:rsidRDefault="00CE7C1D" w:rsidP="00CE7C1D">
            <w:pPr>
              <w:pStyle w:val="Listparagraf"/>
              <w:numPr>
                <w:ilvl w:val="0"/>
                <w:numId w:val="5"/>
              </w:numPr>
              <w:spacing w:after="0" w:line="240" w:lineRule="auto"/>
              <w:ind w:left="29" w:firstLine="425"/>
              <w:jc w:val="both"/>
              <w:rPr>
                <w:rFonts w:ascii="Times New Roman" w:hAnsi="Times New Roman"/>
                <w:sz w:val="28"/>
                <w:szCs w:val="28"/>
                <w:lang w:val="ro-MD"/>
              </w:rPr>
            </w:pPr>
            <w:r w:rsidRPr="00EA642F">
              <w:rPr>
                <w:rFonts w:ascii="Times New Roman" w:hAnsi="Times New Roman"/>
                <w:sz w:val="28"/>
                <w:szCs w:val="28"/>
                <w:lang w:val="ro-MD"/>
              </w:rPr>
              <w:t xml:space="preserve">Stimulent pentru cooperare și parteneriate - Reglementarea organizațiilor de producători poate sprijini dezvoltarea unor parteneriate între diverse entități din sectorul privat, cum ar fi procesatori, distribuitori și </w:t>
            </w:r>
            <w:proofErr w:type="spellStart"/>
            <w:r w:rsidRPr="00EA642F">
              <w:rPr>
                <w:rFonts w:ascii="Times New Roman" w:hAnsi="Times New Roman"/>
                <w:sz w:val="28"/>
                <w:szCs w:val="28"/>
                <w:lang w:val="ro-MD"/>
              </w:rPr>
              <w:t>retaileri</w:t>
            </w:r>
            <w:proofErr w:type="spellEnd"/>
            <w:r w:rsidRPr="00EA642F">
              <w:rPr>
                <w:rFonts w:ascii="Times New Roman" w:hAnsi="Times New Roman"/>
                <w:sz w:val="28"/>
                <w:szCs w:val="28"/>
                <w:lang w:val="ro-MD"/>
              </w:rPr>
              <w:t>. Aceasta poate duce la integrarea verticală și orizontală a pieței, creând oportunități de cooperare și de creștere a eficienței întregului lanț valoric.</w:t>
            </w:r>
          </w:p>
          <w:p w:rsidR="00063907" w:rsidRPr="00EA642F" w:rsidRDefault="00063907" w:rsidP="00F402D9">
            <w:pPr>
              <w:spacing w:after="0" w:line="240" w:lineRule="auto"/>
              <w:ind w:firstLineChars="157" w:firstLine="440"/>
              <w:jc w:val="both"/>
              <w:rPr>
                <w:rFonts w:ascii="Times New Roman" w:hAnsi="Times New Roman"/>
                <w:sz w:val="28"/>
                <w:szCs w:val="28"/>
                <w:lang w:val="ro-MD"/>
              </w:rPr>
            </w:pPr>
          </w:p>
          <w:p w:rsidR="0028550B" w:rsidRPr="00EA642F" w:rsidRDefault="00D52681" w:rsidP="00F402D9">
            <w:pPr>
              <w:spacing w:after="0" w:line="240" w:lineRule="auto"/>
              <w:ind w:firstLineChars="157" w:firstLine="440"/>
              <w:jc w:val="both"/>
              <w:rPr>
                <w:rFonts w:ascii="Times New Roman" w:hAnsi="Times New Roman"/>
                <w:i/>
                <w:iCs/>
                <w:sz w:val="28"/>
                <w:szCs w:val="28"/>
                <w:lang w:val="ro-MD"/>
              </w:rPr>
            </w:pPr>
            <w:r w:rsidRPr="00EA642F">
              <w:rPr>
                <w:rFonts w:ascii="Times New Roman" w:hAnsi="Times New Roman"/>
                <w:sz w:val="28"/>
                <w:szCs w:val="28"/>
                <w:lang w:val="ro-MD"/>
              </w:rPr>
              <w:t xml:space="preserve">4.4. </w:t>
            </w:r>
            <w:r w:rsidRPr="00EA642F">
              <w:rPr>
                <w:rFonts w:ascii="Times New Roman" w:hAnsi="Times New Roman"/>
                <w:i/>
                <w:iCs/>
                <w:sz w:val="28"/>
                <w:szCs w:val="28"/>
                <w:lang w:val="ro-MD"/>
              </w:rPr>
              <w:t>Impactul social</w:t>
            </w:r>
          </w:p>
          <w:p w:rsidR="00F402D9" w:rsidRPr="00EA642F" w:rsidRDefault="00F402D9" w:rsidP="00F402D9">
            <w:pPr>
              <w:spacing w:after="0" w:line="240" w:lineRule="auto"/>
              <w:ind w:firstLineChars="157" w:firstLine="440"/>
              <w:jc w:val="both"/>
              <w:rPr>
                <w:rFonts w:ascii="Times New Roman" w:hAnsi="Times New Roman"/>
                <w:sz w:val="28"/>
                <w:szCs w:val="28"/>
                <w:lang w:val="ro-MD"/>
              </w:rPr>
            </w:pPr>
            <w:r w:rsidRPr="00EA642F">
              <w:rPr>
                <w:rFonts w:ascii="Times New Roman" w:hAnsi="Times New Roman"/>
                <w:sz w:val="28"/>
                <w:szCs w:val="28"/>
                <w:lang w:val="ro-MD"/>
              </w:rPr>
              <w:t>Reglementarea organizațiilor de producători și organizațiilor interprofesionale în domeniul acvaculturii are un impact social semnificativ, contribuind la dezvoltarea comunităților locale și la îmbunătățirea condițiilor de muncă și trai pentru cei implicați în această industrie, astfel va contribui la:</w:t>
            </w:r>
          </w:p>
          <w:p w:rsidR="00F402D9" w:rsidRPr="00EA642F" w:rsidRDefault="00F402D9" w:rsidP="00F33C84">
            <w:pPr>
              <w:pStyle w:val="Listparagraf"/>
              <w:numPr>
                <w:ilvl w:val="0"/>
                <w:numId w:val="6"/>
              </w:numPr>
              <w:spacing w:after="0" w:line="240" w:lineRule="auto"/>
              <w:ind w:left="29" w:firstLine="425"/>
              <w:jc w:val="both"/>
              <w:rPr>
                <w:rFonts w:ascii="Times New Roman" w:hAnsi="Times New Roman"/>
                <w:sz w:val="28"/>
                <w:szCs w:val="28"/>
                <w:lang w:val="ro-MD"/>
              </w:rPr>
            </w:pPr>
            <w:r w:rsidRPr="00EA642F">
              <w:rPr>
                <w:rFonts w:ascii="Times New Roman" w:hAnsi="Times New Roman"/>
                <w:i/>
                <w:sz w:val="28"/>
                <w:szCs w:val="28"/>
                <w:lang w:val="ro-MD"/>
              </w:rPr>
              <w:t>Stabilitatea locurilor de muncă și creșterea veniturilor</w:t>
            </w:r>
            <w:r w:rsidR="00F33C84" w:rsidRPr="00EA642F">
              <w:rPr>
                <w:rFonts w:ascii="Times New Roman" w:hAnsi="Times New Roman"/>
                <w:sz w:val="28"/>
                <w:szCs w:val="28"/>
                <w:lang w:val="ro-MD"/>
              </w:rPr>
              <w:t xml:space="preserve"> - o</w:t>
            </w:r>
            <w:r w:rsidRPr="00EA642F">
              <w:rPr>
                <w:rFonts w:ascii="Times New Roman" w:hAnsi="Times New Roman"/>
                <w:sz w:val="28"/>
                <w:szCs w:val="28"/>
                <w:lang w:val="ro-MD"/>
              </w:rPr>
              <w:t>rganizațiile recunoscute</w:t>
            </w:r>
            <w:r w:rsidR="00D43ED0">
              <w:rPr>
                <w:rFonts w:ascii="Times New Roman" w:hAnsi="Times New Roman"/>
                <w:sz w:val="28"/>
                <w:szCs w:val="28"/>
                <w:lang w:val="ro-MD"/>
              </w:rPr>
              <w:t xml:space="preserve"> vor </w:t>
            </w:r>
            <w:r w:rsidRPr="00EA642F">
              <w:rPr>
                <w:rFonts w:ascii="Times New Roman" w:hAnsi="Times New Roman"/>
                <w:sz w:val="28"/>
                <w:szCs w:val="28"/>
                <w:lang w:val="ro-MD"/>
              </w:rPr>
              <w:t xml:space="preserve">oferi condiții de muncă mai bune, salarii mai competitive și posibilități de formare pentru </w:t>
            </w:r>
            <w:r w:rsidR="00D43ED0">
              <w:rPr>
                <w:rFonts w:ascii="Times New Roman" w:hAnsi="Times New Roman"/>
                <w:sz w:val="28"/>
                <w:szCs w:val="28"/>
                <w:lang w:val="ro-MD"/>
              </w:rPr>
              <w:t>membrii acestora</w:t>
            </w:r>
            <w:r w:rsidRPr="00EA642F">
              <w:rPr>
                <w:rFonts w:ascii="Times New Roman" w:hAnsi="Times New Roman"/>
                <w:sz w:val="28"/>
                <w:szCs w:val="28"/>
                <w:lang w:val="ro-MD"/>
              </w:rPr>
              <w:t xml:space="preserve">, ceea ce </w:t>
            </w:r>
            <w:r w:rsidR="00F33C84" w:rsidRPr="00EA642F">
              <w:rPr>
                <w:rFonts w:ascii="Times New Roman" w:hAnsi="Times New Roman"/>
                <w:sz w:val="28"/>
                <w:szCs w:val="28"/>
                <w:lang w:val="ro-MD"/>
              </w:rPr>
              <w:t xml:space="preserve">va </w:t>
            </w:r>
            <w:r w:rsidRPr="00EA642F">
              <w:rPr>
                <w:rFonts w:ascii="Times New Roman" w:hAnsi="Times New Roman"/>
                <w:sz w:val="28"/>
                <w:szCs w:val="28"/>
                <w:lang w:val="ro-MD"/>
              </w:rPr>
              <w:t xml:space="preserve">duce </w:t>
            </w:r>
            <w:r w:rsidR="00F33C84" w:rsidRPr="00EA642F">
              <w:rPr>
                <w:rFonts w:ascii="Times New Roman" w:hAnsi="Times New Roman"/>
                <w:sz w:val="28"/>
                <w:szCs w:val="28"/>
                <w:lang w:val="ro-MD"/>
              </w:rPr>
              <w:t>la îmbunătățirea calității vieții</w:t>
            </w:r>
            <w:r w:rsidRPr="00EA642F">
              <w:rPr>
                <w:rFonts w:ascii="Times New Roman" w:hAnsi="Times New Roman"/>
                <w:sz w:val="28"/>
                <w:szCs w:val="28"/>
                <w:lang w:val="ro-MD"/>
              </w:rPr>
              <w:t>.</w:t>
            </w:r>
          </w:p>
          <w:p w:rsidR="00F33C84" w:rsidRPr="00EA642F" w:rsidRDefault="00F33C84" w:rsidP="00F33C84">
            <w:pPr>
              <w:pStyle w:val="Listparagraf"/>
              <w:numPr>
                <w:ilvl w:val="0"/>
                <w:numId w:val="6"/>
              </w:numPr>
              <w:spacing w:after="0" w:line="240" w:lineRule="auto"/>
              <w:ind w:left="29" w:firstLine="425"/>
              <w:jc w:val="both"/>
              <w:rPr>
                <w:rFonts w:ascii="Times New Roman" w:hAnsi="Times New Roman"/>
                <w:sz w:val="28"/>
                <w:szCs w:val="28"/>
                <w:lang w:val="ro-MD"/>
              </w:rPr>
            </w:pPr>
            <w:r w:rsidRPr="00EA642F">
              <w:rPr>
                <w:rFonts w:ascii="Times New Roman" w:hAnsi="Times New Roman"/>
                <w:i/>
                <w:sz w:val="28"/>
                <w:szCs w:val="28"/>
                <w:lang w:val="ro-MD"/>
              </w:rPr>
              <w:t>Dezvoltarea comunităților locale</w:t>
            </w:r>
            <w:r w:rsidRPr="00EA642F">
              <w:rPr>
                <w:rFonts w:ascii="Times New Roman" w:hAnsi="Times New Roman"/>
                <w:sz w:val="28"/>
                <w:szCs w:val="28"/>
                <w:lang w:val="ro-MD"/>
              </w:rPr>
              <w:t xml:space="preserve"> - organizațiile recunoscute vor joacă un rol important în creșterea economică a comunităților locale, prin investiții în infrastruct</w:t>
            </w:r>
            <w:r w:rsidR="00851E0C" w:rsidRPr="00EA642F">
              <w:rPr>
                <w:rFonts w:ascii="Times New Roman" w:hAnsi="Times New Roman"/>
                <w:sz w:val="28"/>
                <w:szCs w:val="28"/>
                <w:lang w:val="ro-MD"/>
              </w:rPr>
              <w:t xml:space="preserve">ură și dezvoltarea serviciilor </w:t>
            </w:r>
            <w:r w:rsidRPr="00EA642F">
              <w:rPr>
                <w:rFonts w:ascii="Times New Roman" w:hAnsi="Times New Roman"/>
                <w:sz w:val="28"/>
                <w:szCs w:val="28"/>
                <w:lang w:val="ro-MD"/>
              </w:rPr>
              <w:t>pentru membrii comunității.</w:t>
            </w:r>
          </w:p>
          <w:p w:rsidR="00063907" w:rsidRPr="00364622" w:rsidRDefault="00851E0C" w:rsidP="00364622">
            <w:pPr>
              <w:pStyle w:val="Listparagraf"/>
              <w:numPr>
                <w:ilvl w:val="0"/>
                <w:numId w:val="6"/>
              </w:numPr>
              <w:spacing w:after="0" w:line="240" w:lineRule="auto"/>
              <w:ind w:left="29" w:firstLine="411"/>
              <w:jc w:val="both"/>
              <w:rPr>
                <w:rFonts w:ascii="Times New Roman" w:hAnsi="Times New Roman"/>
                <w:sz w:val="28"/>
                <w:szCs w:val="28"/>
                <w:lang w:val="ro-MD"/>
              </w:rPr>
            </w:pPr>
            <w:r w:rsidRPr="00EA642F">
              <w:rPr>
                <w:rFonts w:ascii="Times New Roman" w:hAnsi="Times New Roman"/>
                <w:sz w:val="28"/>
                <w:szCs w:val="28"/>
                <w:lang w:val="ro-MD"/>
              </w:rPr>
              <w:t>Promovarea echității și incluziunii - prin consolidarea organizațiilor de producători, se oferă oportunități de colaborare și sprijin pentru toți membrii, inclusiv pentru micii producători sau grupurile vulnerabile, care pot avea acces egal la resurse și la piețe.</w:t>
            </w:r>
          </w:p>
          <w:p w:rsidR="0028550B" w:rsidRPr="00EA642F" w:rsidRDefault="00D52681">
            <w:pPr>
              <w:spacing w:after="0" w:line="240" w:lineRule="auto"/>
              <w:ind w:firstLineChars="150" w:firstLine="420"/>
              <w:rPr>
                <w:rFonts w:ascii="Times New Roman" w:hAnsi="Times New Roman"/>
                <w:sz w:val="28"/>
                <w:szCs w:val="28"/>
                <w:lang w:val="ro-MD"/>
              </w:rPr>
            </w:pPr>
            <w:r w:rsidRPr="00EA642F">
              <w:rPr>
                <w:rFonts w:ascii="Times New Roman" w:hAnsi="Times New Roman"/>
                <w:sz w:val="28"/>
                <w:szCs w:val="28"/>
                <w:lang w:val="ro-MD"/>
              </w:rPr>
              <w:t xml:space="preserve">4.4.1. </w:t>
            </w:r>
            <w:r w:rsidRPr="00EA642F">
              <w:rPr>
                <w:rFonts w:ascii="Times New Roman" w:hAnsi="Times New Roman"/>
                <w:i/>
                <w:iCs/>
                <w:sz w:val="28"/>
                <w:szCs w:val="28"/>
                <w:lang w:val="ro-MD"/>
              </w:rPr>
              <w:t>Impactul asupra datelor cu caracter personal</w:t>
            </w:r>
            <w:r w:rsidRPr="00EA642F">
              <w:rPr>
                <w:rFonts w:ascii="Times New Roman" w:hAnsi="Times New Roman"/>
                <w:sz w:val="28"/>
                <w:szCs w:val="28"/>
                <w:lang w:val="ro-MD"/>
              </w:rPr>
              <w:t xml:space="preserve"> </w:t>
            </w:r>
          </w:p>
          <w:p w:rsidR="00B354D2" w:rsidRPr="00EA642F" w:rsidRDefault="00063907" w:rsidP="00583F4A">
            <w:pPr>
              <w:spacing w:after="0" w:line="240" w:lineRule="auto"/>
              <w:ind w:firstLineChars="150" w:firstLine="420"/>
              <w:jc w:val="both"/>
              <w:rPr>
                <w:rFonts w:ascii="Times New Roman" w:hAnsi="Times New Roman"/>
                <w:sz w:val="28"/>
                <w:szCs w:val="28"/>
                <w:lang w:val="ro-MD"/>
              </w:rPr>
            </w:pPr>
            <w:r w:rsidRPr="00EA642F">
              <w:rPr>
                <w:rFonts w:ascii="Times New Roman" w:hAnsi="Times New Roman"/>
                <w:sz w:val="28"/>
                <w:szCs w:val="28"/>
                <w:lang w:val="ro-MD"/>
              </w:rPr>
              <w:t xml:space="preserve">Organizațiile de producători </w:t>
            </w:r>
            <w:r w:rsidR="00583F4A">
              <w:rPr>
                <w:rFonts w:ascii="Times New Roman" w:hAnsi="Times New Roman"/>
                <w:sz w:val="28"/>
                <w:szCs w:val="28"/>
                <w:lang w:val="ro-MD"/>
              </w:rPr>
              <w:t xml:space="preserve">vor </w:t>
            </w:r>
            <w:r w:rsidRPr="00EA642F">
              <w:rPr>
                <w:rFonts w:ascii="Times New Roman" w:hAnsi="Times New Roman"/>
                <w:sz w:val="28"/>
                <w:szCs w:val="28"/>
                <w:lang w:val="ro-MD"/>
              </w:rPr>
              <w:t>colect</w:t>
            </w:r>
            <w:r w:rsidR="00583F4A">
              <w:rPr>
                <w:rFonts w:ascii="Times New Roman" w:hAnsi="Times New Roman"/>
                <w:sz w:val="28"/>
                <w:szCs w:val="28"/>
                <w:lang w:val="ro-MD"/>
              </w:rPr>
              <w:t>a</w:t>
            </w:r>
            <w:r w:rsidRPr="00EA642F">
              <w:rPr>
                <w:rFonts w:ascii="Times New Roman" w:hAnsi="Times New Roman"/>
                <w:sz w:val="28"/>
                <w:szCs w:val="28"/>
                <w:lang w:val="ro-MD"/>
              </w:rPr>
              <w:t xml:space="preserve"> și </w:t>
            </w:r>
            <w:r w:rsidR="00583F4A">
              <w:rPr>
                <w:rFonts w:ascii="Times New Roman" w:hAnsi="Times New Roman"/>
                <w:sz w:val="28"/>
                <w:szCs w:val="28"/>
                <w:lang w:val="ro-MD"/>
              </w:rPr>
              <w:t xml:space="preserve">vor livra </w:t>
            </w:r>
            <w:r w:rsidRPr="00EA642F">
              <w:rPr>
                <w:rFonts w:ascii="Times New Roman" w:hAnsi="Times New Roman"/>
                <w:sz w:val="28"/>
                <w:szCs w:val="28"/>
                <w:lang w:val="ro-MD"/>
              </w:rPr>
              <w:t>date</w:t>
            </w:r>
            <w:r w:rsidR="00583F4A">
              <w:rPr>
                <w:rFonts w:ascii="Times New Roman" w:hAnsi="Times New Roman"/>
                <w:sz w:val="28"/>
                <w:szCs w:val="28"/>
                <w:lang w:val="ro-MD"/>
              </w:rPr>
              <w:t>,</w:t>
            </w:r>
            <w:r w:rsidRPr="00EA642F">
              <w:rPr>
                <w:rFonts w:ascii="Times New Roman" w:hAnsi="Times New Roman"/>
                <w:sz w:val="28"/>
                <w:szCs w:val="28"/>
                <w:lang w:val="ro-MD"/>
              </w:rPr>
              <w:t xml:space="preserve"> pentru </w:t>
            </w:r>
            <w:r w:rsidR="00583F4A">
              <w:rPr>
                <w:rFonts w:ascii="Times New Roman" w:hAnsi="Times New Roman"/>
                <w:sz w:val="28"/>
                <w:szCs w:val="28"/>
                <w:lang w:val="ro-MD"/>
              </w:rPr>
              <w:t>buna</w:t>
            </w:r>
            <w:r w:rsidRPr="00EA642F">
              <w:rPr>
                <w:rFonts w:ascii="Times New Roman" w:hAnsi="Times New Roman"/>
                <w:sz w:val="28"/>
                <w:szCs w:val="28"/>
                <w:lang w:val="ro-MD"/>
              </w:rPr>
              <w:t xml:space="preserve"> funcționare</w:t>
            </w:r>
            <w:r w:rsidR="00583F4A">
              <w:rPr>
                <w:rFonts w:ascii="Times New Roman" w:hAnsi="Times New Roman"/>
                <w:sz w:val="28"/>
                <w:szCs w:val="28"/>
                <w:lang w:val="ro-MD"/>
              </w:rPr>
              <w:t xml:space="preserve"> </w:t>
            </w:r>
            <w:r w:rsidRPr="00EA642F">
              <w:rPr>
                <w:rFonts w:ascii="Times New Roman" w:hAnsi="Times New Roman"/>
                <w:sz w:val="28"/>
                <w:szCs w:val="28"/>
                <w:lang w:val="ro-MD"/>
              </w:rPr>
              <w:t>a activități</w:t>
            </w:r>
            <w:r w:rsidR="00583F4A">
              <w:rPr>
                <w:rFonts w:ascii="Times New Roman" w:hAnsi="Times New Roman"/>
                <w:sz w:val="28"/>
                <w:szCs w:val="28"/>
                <w:lang w:val="ro-MD"/>
              </w:rPr>
              <w:t>i organizației</w:t>
            </w:r>
            <w:r w:rsidRPr="00EA642F">
              <w:rPr>
                <w:rFonts w:ascii="Times New Roman" w:hAnsi="Times New Roman"/>
                <w:sz w:val="28"/>
                <w:szCs w:val="28"/>
                <w:lang w:val="ro-MD"/>
              </w:rPr>
              <w:t xml:space="preserve">, </w:t>
            </w:r>
            <w:r w:rsidR="00583F4A">
              <w:rPr>
                <w:rFonts w:ascii="Times New Roman" w:hAnsi="Times New Roman"/>
                <w:sz w:val="28"/>
                <w:szCs w:val="28"/>
                <w:lang w:val="ro-MD"/>
              </w:rPr>
              <w:t xml:space="preserve">dar și vor promova </w:t>
            </w:r>
            <w:r w:rsidR="009F0B66">
              <w:rPr>
                <w:rFonts w:ascii="Times New Roman" w:hAnsi="Times New Roman"/>
                <w:sz w:val="28"/>
                <w:szCs w:val="28"/>
                <w:lang w:val="ro-MD"/>
              </w:rPr>
              <w:t xml:space="preserve">și </w:t>
            </w:r>
            <w:r w:rsidR="00583F4A">
              <w:rPr>
                <w:rFonts w:ascii="Times New Roman" w:hAnsi="Times New Roman"/>
                <w:sz w:val="28"/>
                <w:szCs w:val="28"/>
                <w:lang w:val="ro-MD"/>
              </w:rPr>
              <w:t xml:space="preserve">vor </w:t>
            </w:r>
            <w:r w:rsidR="00B354D2" w:rsidRPr="00EA642F">
              <w:rPr>
                <w:rFonts w:ascii="Times New Roman" w:hAnsi="Times New Roman"/>
                <w:sz w:val="28"/>
                <w:szCs w:val="28"/>
                <w:lang w:val="ro-MD"/>
              </w:rPr>
              <w:t>respect</w:t>
            </w:r>
            <w:r w:rsidR="00583F4A">
              <w:rPr>
                <w:rFonts w:ascii="Times New Roman" w:hAnsi="Times New Roman"/>
                <w:sz w:val="28"/>
                <w:szCs w:val="28"/>
                <w:lang w:val="ro-MD"/>
              </w:rPr>
              <w:t>a</w:t>
            </w:r>
            <w:r w:rsidR="00B354D2" w:rsidRPr="00EA642F">
              <w:rPr>
                <w:rFonts w:ascii="Times New Roman" w:hAnsi="Times New Roman"/>
                <w:sz w:val="28"/>
                <w:szCs w:val="28"/>
                <w:lang w:val="ro-MD"/>
              </w:rPr>
              <w:t xml:space="preserve"> drepturile membrilor săi, în ceea ce privește datele lor personale, inclusiv dreptul de acces, rectificare, ștergere și portabilitate a datelor. Membrii vor fi informați cu privire la datele colectate și scopurile pentru care acestea sunt utilizate. </w:t>
            </w:r>
          </w:p>
          <w:p w:rsidR="0028550B" w:rsidRPr="00EA642F" w:rsidRDefault="00D52681">
            <w:pPr>
              <w:spacing w:after="0" w:line="240" w:lineRule="auto"/>
              <w:ind w:firstLineChars="157" w:firstLine="440"/>
              <w:jc w:val="both"/>
              <w:rPr>
                <w:rFonts w:ascii="Times New Roman" w:hAnsi="Times New Roman"/>
                <w:color w:val="FF0000"/>
                <w:sz w:val="28"/>
                <w:szCs w:val="28"/>
                <w:lang w:val="ro-MD"/>
              </w:rPr>
            </w:pPr>
            <w:r w:rsidRPr="00EA642F">
              <w:rPr>
                <w:rFonts w:ascii="Times New Roman" w:hAnsi="Times New Roman"/>
                <w:sz w:val="28"/>
                <w:szCs w:val="28"/>
                <w:lang w:val="ro-MD"/>
              </w:rPr>
              <w:t xml:space="preserve">4.4.2. </w:t>
            </w:r>
            <w:r w:rsidRPr="00EA642F">
              <w:rPr>
                <w:rFonts w:ascii="Times New Roman" w:hAnsi="Times New Roman"/>
                <w:i/>
                <w:iCs/>
                <w:sz w:val="28"/>
                <w:szCs w:val="28"/>
                <w:lang w:val="ro-MD"/>
              </w:rPr>
              <w:t>Impactul asupra echității și egalității de gen</w:t>
            </w:r>
            <w:r w:rsidRPr="00EA642F">
              <w:rPr>
                <w:rFonts w:ascii="Times New Roman" w:hAnsi="Times New Roman"/>
                <w:sz w:val="28"/>
                <w:szCs w:val="28"/>
                <w:lang w:val="ro-MD"/>
              </w:rPr>
              <w:t xml:space="preserve"> - nu se aplică</w:t>
            </w:r>
          </w:p>
          <w:p w:rsidR="0028550B" w:rsidRPr="00EA642F" w:rsidRDefault="00D52681">
            <w:pPr>
              <w:spacing w:after="0" w:line="240" w:lineRule="auto"/>
              <w:ind w:firstLineChars="157" w:firstLine="440"/>
              <w:jc w:val="both"/>
              <w:rPr>
                <w:rFonts w:ascii="Times New Roman" w:hAnsi="Times New Roman"/>
                <w:i/>
                <w:iCs/>
                <w:sz w:val="28"/>
                <w:szCs w:val="28"/>
                <w:lang w:val="ro-MD"/>
              </w:rPr>
            </w:pPr>
            <w:r w:rsidRPr="00EA642F">
              <w:rPr>
                <w:rFonts w:ascii="Times New Roman" w:hAnsi="Times New Roman"/>
                <w:sz w:val="28"/>
                <w:szCs w:val="28"/>
                <w:lang w:val="ro-MD"/>
              </w:rPr>
              <w:t xml:space="preserve">4.5. </w:t>
            </w:r>
            <w:r w:rsidRPr="00EA642F">
              <w:rPr>
                <w:rFonts w:ascii="Times New Roman" w:hAnsi="Times New Roman"/>
                <w:i/>
                <w:iCs/>
                <w:sz w:val="28"/>
                <w:szCs w:val="28"/>
                <w:lang w:val="ro-MD"/>
              </w:rPr>
              <w:t>Impactul asupra mediului</w:t>
            </w:r>
            <w:r w:rsidR="00706AFB" w:rsidRPr="00EA642F">
              <w:rPr>
                <w:rFonts w:ascii="Times New Roman" w:hAnsi="Times New Roman"/>
                <w:i/>
                <w:iCs/>
                <w:sz w:val="28"/>
                <w:szCs w:val="28"/>
                <w:lang w:val="ro-MD"/>
              </w:rPr>
              <w:t xml:space="preserve"> - nu se aplică</w:t>
            </w:r>
          </w:p>
          <w:p w:rsidR="0028550B" w:rsidRPr="00EA642F" w:rsidRDefault="00D52681">
            <w:pPr>
              <w:spacing w:after="0" w:line="240" w:lineRule="auto"/>
              <w:ind w:firstLineChars="157" w:firstLine="440"/>
              <w:jc w:val="both"/>
              <w:rPr>
                <w:rFonts w:ascii="Times New Roman" w:hAnsi="Times New Roman"/>
                <w:color w:val="FF0000"/>
                <w:sz w:val="28"/>
                <w:szCs w:val="28"/>
                <w:lang w:val="ro-MD"/>
              </w:rPr>
            </w:pPr>
            <w:r w:rsidRPr="00EA642F">
              <w:rPr>
                <w:rFonts w:ascii="Times New Roman" w:hAnsi="Times New Roman"/>
                <w:sz w:val="28"/>
                <w:szCs w:val="28"/>
                <w:lang w:val="ro-MD"/>
              </w:rPr>
              <w:t xml:space="preserve">4.6. </w:t>
            </w:r>
            <w:r w:rsidRPr="00EA642F">
              <w:rPr>
                <w:rFonts w:ascii="Times New Roman" w:hAnsi="Times New Roman"/>
                <w:i/>
                <w:iCs/>
                <w:sz w:val="28"/>
                <w:szCs w:val="28"/>
                <w:lang w:val="ro-MD"/>
              </w:rPr>
              <w:t>Alte impacturi și informații relevante</w:t>
            </w:r>
            <w:r w:rsidRPr="00EA642F">
              <w:rPr>
                <w:rFonts w:ascii="Times New Roman" w:hAnsi="Times New Roman"/>
                <w:sz w:val="28"/>
                <w:szCs w:val="28"/>
                <w:lang w:val="ro-MD"/>
              </w:rPr>
              <w:t xml:space="preserve"> - nu se aplică</w:t>
            </w:r>
          </w:p>
        </w:tc>
      </w:tr>
      <w:tr w:rsidR="0028550B" w:rsidRPr="009B4B5F">
        <w:tc>
          <w:tcPr>
            <w:tcW w:w="10294" w:type="dxa"/>
          </w:tcPr>
          <w:p w:rsidR="0028550B" w:rsidRPr="003A1CF1" w:rsidRDefault="00D52681">
            <w:pPr>
              <w:spacing w:after="0" w:line="240" w:lineRule="auto"/>
              <w:jc w:val="both"/>
              <w:rPr>
                <w:rFonts w:ascii="Times New Roman" w:hAnsi="Times New Roman"/>
                <w:b/>
                <w:sz w:val="28"/>
                <w:szCs w:val="28"/>
                <w:vertAlign w:val="superscript"/>
                <w:lang w:val="ro-MD"/>
              </w:rPr>
            </w:pPr>
            <w:r w:rsidRPr="003A1CF1">
              <w:rPr>
                <w:rFonts w:ascii="Times New Roman" w:hAnsi="Times New Roman"/>
                <w:b/>
                <w:sz w:val="44"/>
                <w:szCs w:val="44"/>
                <w:vertAlign w:val="superscript"/>
                <w:lang w:val="ro-MD"/>
              </w:rPr>
              <w:lastRenderedPageBreak/>
              <w:t>5. Compatibilitatea proiectului actului normative cu legislația UE</w:t>
            </w:r>
          </w:p>
        </w:tc>
      </w:tr>
      <w:tr w:rsidR="0028550B" w:rsidRPr="009B4B5F">
        <w:tc>
          <w:tcPr>
            <w:tcW w:w="10294" w:type="dxa"/>
          </w:tcPr>
          <w:p w:rsidR="0028550B" w:rsidRPr="00B41802" w:rsidRDefault="00D52681" w:rsidP="005A63A3">
            <w:pPr>
              <w:tabs>
                <w:tab w:val="left" w:pos="884"/>
                <w:tab w:val="left" w:pos="1196"/>
              </w:tabs>
              <w:spacing w:after="0" w:line="240" w:lineRule="auto"/>
              <w:ind w:firstLine="360"/>
              <w:jc w:val="both"/>
              <w:rPr>
                <w:rFonts w:ascii="Times New Roman" w:hAnsi="Times New Roman"/>
                <w:sz w:val="28"/>
                <w:szCs w:val="28"/>
                <w:lang w:val="ro-MD"/>
              </w:rPr>
            </w:pPr>
            <w:r w:rsidRPr="00B41802">
              <w:rPr>
                <w:rFonts w:ascii="Times New Roman" w:hAnsi="Times New Roman"/>
                <w:sz w:val="28"/>
                <w:szCs w:val="28"/>
                <w:lang w:val="ro-MD"/>
              </w:rPr>
              <w:t xml:space="preserve">5.1. </w:t>
            </w:r>
            <w:r w:rsidRPr="00B41802">
              <w:rPr>
                <w:rFonts w:ascii="Times New Roman" w:hAnsi="Times New Roman"/>
                <w:i/>
                <w:iCs/>
                <w:sz w:val="28"/>
                <w:szCs w:val="28"/>
                <w:lang w:val="ro-MD"/>
              </w:rPr>
              <w:t>Măsuri normative necesare pentru transpunerea actelor juridice ale UE în legislația națională</w:t>
            </w:r>
          </w:p>
          <w:p w:rsidR="0028550B" w:rsidRPr="00B41802" w:rsidRDefault="00D52681" w:rsidP="005A63A3">
            <w:pPr>
              <w:tabs>
                <w:tab w:val="left" w:pos="884"/>
                <w:tab w:val="left" w:pos="1196"/>
              </w:tabs>
              <w:spacing w:after="0" w:line="240" w:lineRule="auto"/>
              <w:ind w:firstLine="360"/>
              <w:jc w:val="both"/>
              <w:rPr>
                <w:rFonts w:ascii="Times New Roman" w:hAnsi="Times New Roman"/>
                <w:sz w:val="28"/>
                <w:szCs w:val="28"/>
                <w:lang w:val="ro-MD"/>
              </w:rPr>
            </w:pPr>
            <w:r w:rsidRPr="00B41802">
              <w:rPr>
                <w:rFonts w:ascii="Times New Roman" w:hAnsi="Times New Roman"/>
                <w:sz w:val="28"/>
                <w:szCs w:val="28"/>
                <w:lang w:val="ro-MD"/>
              </w:rPr>
              <w:t xml:space="preserve">Măsura propusă în prezentul proiect, transpune: </w:t>
            </w:r>
          </w:p>
          <w:p w:rsidR="00451DF4" w:rsidRDefault="00B41802" w:rsidP="005A63A3">
            <w:pPr>
              <w:pStyle w:val="Listparagraf"/>
              <w:numPr>
                <w:ilvl w:val="0"/>
                <w:numId w:val="7"/>
              </w:numPr>
              <w:spacing w:after="0" w:line="240" w:lineRule="auto"/>
              <w:ind w:left="22" w:firstLine="425"/>
              <w:jc w:val="both"/>
              <w:rPr>
                <w:rFonts w:ascii="Times New Roman" w:hAnsi="Times New Roman"/>
                <w:sz w:val="28"/>
                <w:szCs w:val="28"/>
                <w:lang w:val="en-US"/>
              </w:rPr>
            </w:pPr>
            <w:r w:rsidRPr="00DF307E">
              <w:rPr>
                <w:rFonts w:ascii="Times New Roman" w:hAnsi="Times New Roman"/>
                <w:sz w:val="28"/>
                <w:szCs w:val="28"/>
                <w:lang w:val="ro-MD"/>
              </w:rPr>
              <w:t>Regulamentul de punere în aplicare (UE) nr. 1419/2013 AL COMISIEI din 17 decembrie 2013 privind recunoașterea organizațiilor de producători și a organizațiilor interprofesionale, extinderea normelor organizațiilor de producători și ale organizațiilor interprofesionale și publicarea prețurilor de declanșare, așa cum se prevede în Regulamentul (UE) nr. 1379/2013 al Parlamentului European și al Consiliului privind organizarea comună a piețelor în sectorul produselor pescărești și de acvacultură, publicat în Jurnalul Oficial al Uniunii Europene L 353/43 din 28 decembrie 2013, CELEX:32013R1419</w:t>
            </w:r>
            <w:r w:rsidR="00DF307E" w:rsidRPr="00DF307E">
              <w:rPr>
                <w:rFonts w:ascii="Times New Roman" w:hAnsi="Times New Roman"/>
                <w:sz w:val="28"/>
                <w:szCs w:val="28"/>
                <w:lang w:val="en-US"/>
              </w:rPr>
              <w:t>;</w:t>
            </w:r>
          </w:p>
          <w:p w:rsidR="00451DF4" w:rsidRPr="0008071B" w:rsidRDefault="00451DF4" w:rsidP="005A63A3">
            <w:pPr>
              <w:pStyle w:val="Listparagraf"/>
              <w:numPr>
                <w:ilvl w:val="0"/>
                <w:numId w:val="7"/>
              </w:numPr>
              <w:spacing w:after="0" w:line="240" w:lineRule="auto"/>
              <w:ind w:left="22" w:firstLine="425"/>
              <w:jc w:val="both"/>
              <w:rPr>
                <w:rFonts w:ascii="Times New Roman" w:hAnsi="Times New Roman"/>
                <w:sz w:val="28"/>
                <w:szCs w:val="28"/>
                <w:lang w:val="ro-MD"/>
              </w:rPr>
            </w:pPr>
            <w:r w:rsidRPr="0008071B">
              <w:rPr>
                <w:rFonts w:ascii="Times New Roman" w:hAnsi="Times New Roman"/>
                <w:sz w:val="28"/>
                <w:szCs w:val="28"/>
                <w:lang w:val="ro-MD"/>
              </w:rPr>
              <w:t>Regulamentul de punere în aplicare (UE) nr.  1418/2013 al Comisiei din 17 decembrie 2013   în ceea ce privește planurile de producție și de comercializare prevăzute de Regulamentul (UE) nr. 1379/2013 al Parlamentului European și al Consiliului privind organizarea comună a piețelor în sectorul produselor pescărești și de acvacultură,  publicat în Jurnalul Oficial al Uniunii Europene L 353/43 din 28 decembrie 2013, CELEX:  32013R1418;</w:t>
            </w:r>
          </w:p>
          <w:p w:rsidR="00364622" w:rsidRDefault="00451DF4" w:rsidP="004F6682">
            <w:pPr>
              <w:pStyle w:val="Listparagraf"/>
              <w:numPr>
                <w:ilvl w:val="0"/>
                <w:numId w:val="7"/>
              </w:numPr>
              <w:spacing w:after="0" w:line="240" w:lineRule="auto"/>
              <w:ind w:left="22" w:firstLine="425"/>
              <w:jc w:val="both"/>
              <w:rPr>
                <w:rFonts w:ascii="Times New Roman" w:hAnsi="Times New Roman"/>
                <w:sz w:val="28"/>
                <w:szCs w:val="28"/>
                <w:lang w:val="ro-MD"/>
              </w:rPr>
            </w:pPr>
            <w:r w:rsidRPr="0008071B">
              <w:rPr>
                <w:rFonts w:ascii="Times New Roman" w:hAnsi="Times New Roman"/>
                <w:sz w:val="28"/>
                <w:szCs w:val="28"/>
                <w:lang w:val="ro-MD"/>
              </w:rPr>
              <w:t xml:space="preserve">Recomandarea Comisiei din 3 martie 2014 privind instituirea și punerea în aplicare a planurilor de producție și comercializare în conformitate cu Regulamentul (UE) nr. 1379/2013 al Parlamentului European și al Consiliului privind organizarea comună a </w:t>
            </w:r>
            <w:r w:rsidRPr="0008071B">
              <w:rPr>
                <w:rFonts w:ascii="Times New Roman" w:hAnsi="Times New Roman"/>
                <w:sz w:val="28"/>
                <w:szCs w:val="28"/>
                <w:lang w:val="ro-MD"/>
              </w:rPr>
              <w:lastRenderedPageBreak/>
              <w:t>piețelor în domeniul pescuitului și produse de acvacultură,  publicat în Jurnalul Oficial al Uniunii Europene L 65/31 din 5.03.2014, CELEX: 32014H0117.</w:t>
            </w:r>
          </w:p>
          <w:p w:rsidR="0028550B" w:rsidRPr="00364622" w:rsidRDefault="00A976DD" w:rsidP="004F6682">
            <w:pPr>
              <w:pStyle w:val="Listparagraf"/>
              <w:spacing w:after="0" w:line="240" w:lineRule="auto"/>
              <w:ind w:left="0" w:firstLine="447"/>
              <w:jc w:val="both"/>
              <w:rPr>
                <w:rFonts w:ascii="Times New Roman" w:hAnsi="Times New Roman"/>
                <w:sz w:val="28"/>
                <w:szCs w:val="28"/>
                <w:lang w:val="ro-MD"/>
              </w:rPr>
            </w:pPr>
            <w:r w:rsidRPr="00364622">
              <w:rPr>
                <w:rFonts w:ascii="Times New Roman" w:hAnsi="Times New Roman"/>
                <w:sz w:val="28"/>
                <w:szCs w:val="28"/>
                <w:lang w:val="ro-MD"/>
              </w:rPr>
              <w:t xml:space="preserve">Gradul de compatibilitate a actelor UE cu proiectul în cauză </w:t>
            </w:r>
            <w:r w:rsidR="004F6682">
              <w:rPr>
                <w:rFonts w:ascii="Times New Roman" w:hAnsi="Times New Roman"/>
                <w:sz w:val="28"/>
                <w:szCs w:val="28"/>
                <w:lang w:val="ro-MD"/>
              </w:rPr>
              <w:t>este</w:t>
            </w:r>
            <w:r w:rsidRPr="00364622">
              <w:rPr>
                <w:rFonts w:ascii="Times New Roman" w:hAnsi="Times New Roman"/>
                <w:sz w:val="28"/>
                <w:szCs w:val="28"/>
                <w:lang w:val="ro-MD"/>
              </w:rPr>
              <w:t xml:space="preserve"> reflectat în tabelele de concordanță elaborate în conformitate cu prevederile Regulamentului privind armonizarea legislației Republicii Moldova cu legislația Uniunii Europene aprobat prin Hotărârea de Guvern nr. 1171/2018.</w:t>
            </w:r>
          </w:p>
        </w:tc>
      </w:tr>
      <w:tr w:rsidR="0028550B" w:rsidRPr="009B4B5F">
        <w:tc>
          <w:tcPr>
            <w:tcW w:w="10294" w:type="dxa"/>
          </w:tcPr>
          <w:p w:rsidR="0028550B" w:rsidRDefault="00D52681" w:rsidP="005A63A3">
            <w:pPr>
              <w:spacing w:after="0" w:line="240" w:lineRule="auto"/>
              <w:jc w:val="both"/>
              <w:rPr>
                <w:rFonts w:ascii="Times New Roman" w:hAnsi="Times New Roman"/>
                <w:b/>
                <w:sz w:val="28"/>
                <w:szCs w:val="28"/>
                <w:vertAlign w:val="superscript"/>
                <w:lang w:val="en-US"/>
              </w:rPr>
            </w:pPr>
            <w:r>
              <w:rPr>
                <w:rFonts w:ascii="Times New Roman" w:hAnsi="Times New Roman"/>
                <w:b/>
                <w:sz w:val="44"/>
                <w:szCs w:val="44"/>
                <w:vertAlign w:val="superscript"/>
                <w:lang w:val="en-US"/>
              </w:rPr>
              <w:lastRenderedPageBreak/>
              <w:t xml:space="preserve">6. </w:t>
            </w:r>
            <w:r w:rsidRPr="00451DF4">
              <w:rPr>
                <w:rFonts w:ascii="Times New Roman" w:hAnsi="Times New Roman"/>
                <w:b/>
                <w:sz w:val="44"/>
                <w:szCs w:val="44"/>
                <w:vertAlign w:val="superscript"/>
                <w:lang w:val="ro-MD"/>
              </w:rPr>
              <w:t>Avizarea și consultarea publică a proiectului actului normativ</w:t>
            </w:r>
          </w:p>
        </w:tc>
      </w:tr>
      <w:tr w:rsidR="0028550B" w:rsidRPr="009B4B5F">
        <w:tc>
          <w:tcPr>
            <w:tcW w:w="10294" w:type="dxa"/>
          </w:tcPr>
          <w:p w:rsidR="0028550B" w:rsidRPr="00BB6BAF" w:rsidRDefault="00D52681" w:rsidP="00BB6BAF">
            <w:pPr>
              <w:spacing w:after="0" w:line="240" w:lineRule="auto"/>
              <w:ind w:firstLine="284"/>
              <w:jc w:val="both"/>
              <w:rPr>
                <w:rFonts w:ascii="Times New Roman" w:hAnsi="Times New Roman"/>
                <w:color w:val="FF0000"/>
                <w:sz w:val="28"/>
                <w:szCs w:val="28"/>
                <w:lang w:val="en-US"/>
              </w:rPr>
            </w:pPr>
            <w:r w:rsidRPr="00451DF4">
              <w:rPr>
                <w:rFonts w:ascii="Times New Roman" w:hAnsi="Times New Roman"/>
                <w:sz w:val="28"/>
                <w:szCs w:val="28"/>
                <w:lang w:val="ro-RO"/>
              </w:rPr>
              <w:t>În scopul respectării prevederilor Legii nr. 239/2008 privind transparența în procesul decizional, anunțul priv</w:t>
            </w:r>
            <w:r w:rsidR="00451DF4" w:rsidRPr="00451DF4">
              <w:rPr>
                <w:rFonts w:ascii="Times New Roman" w:hAnsi="Times New Roman"/>
                <w:sz w:val="28"/>
                <w:szCs w:val="28"/>
                <w:lang w:val="ro-RO"/>
              </w:rPr>
              <w:t xml:space="preserve">ind inițierea proiectului </w:t>
            </w:r>
            <w:r w:rsidR="00750F84">
              <w:rPr>
                <w:rFonts w:ascii="Times New Roman" w:hAnsi="Times New Roman"/>
                <w:sz w:val="28"/>
                <w:szCs w:val="28"/>
                <w:lang w:val="ro-RO"/>
              </w:rPr>
              <w:t xml:space="preserve">este </w:t>
            </w:r>
            <w:r w:rsidRPr="00451DF4">
              <w:rPr>
                <w:rFonts w:ascii="Times New Roman" w:hAnsi="Times New Roman"/>
                <w:sz w:val="28"/>
                <w:szCs w:val="28"/>
                <w:lang w:val="ro-RO"/>
              </w:rPr>
              <w:t xml:space="preserve">publicat pe pagina web a Ministerului Agriculturii și Industriei Alimentare </w:t>
            </w:r>
            <w:hyperlink r:id="rId7" w:history="1">
              <w:r w:rsidR="00BB6BAF" w:rsidRPr="00A3132F">
                <w:rPr>
                  <w:rStyle w:val="Hyperlink"/>
                  <w:rFonts w:ascii="Times New Roman" w:hAnsi="Times New Roman"/>
                  <w:sz w:val="28"/>
                  <w:szCs w:val="28"/>
                  <w:lang w:val="en-US"/>
                </w:rPr>
                <w:t>https://particip.gov.md/ro/document/stages/anunt-privind-initierea-elaborarii-proiectului-hotararii-guvernului-pentru-aprobarea regulamentului-privind-procedura-de-recunoastere-a-organizatiilor-de-producatori-organizatiilor-interprofesionale-din-sectorul-acvaculturii-si-organizarea-pietei-produselor-pescaresti-si-de-acvacultura/13712</w:t>
              </w:r>
            </w:hyperlink>
            <w:r w:rsidR="00BB6BAF">
              <w:rPr>
                <w:rFonts w:ascii="Times New Roman" w:hAnsi="Times New Roman"/>
                <w:sz w:val="28"/>
                <w:szCs w:val="28"/>
                <w:lang w:val="en-US"/>
              </w:rPr>
              <w:t xml:space="preserve"> </w:t>
            </w:r>
            <w:r w:rsidR="00BB6BAF" w:rsidRPr="00BB6BAF">
              <w:rPr>
                <w:rFonts w:ascii="Times New Roman" w:hAnsi="Times New Roman"/>
                <w:sz w:val="28"/>
                <w:szCs w:val="28"/>
                <w:lang w:val="en-US"/>
              </w:rPr>
              <w:t>.</w:t>
            </w:r>
          </w:p>
          <w:p w:rsidR="00BB4678" w:rsidRPr="00996063" w:rsidRDefault="00996063" w:rsidP="005A63A3">
            <w:pPr>
              <w:spacing w:after="0" w:line="240" w:lineRule="auto"/>
              <w:ind w:firstLine="284"/>
              <w:jc w:val="both"/>
              <w:rPr>
                <w:rFonts w:ascii="Times New Roman" w:hAnsi="Times New Roman"/>
                <w:color w:val="FF0000"/>
                <w:sz w:val="28"/>
                <w:szCs w:val="28"/>
                <w:lang w:val="ro-RO"/>
              </w:rPr>
            </w:pPr>
            <w:r w:rsidRPr="00996063">
              <w:rPr>
                <w:rFonts w:ascii="Times New Roman" w:hAnsi="Times New Roman"/>
                <w:color w:val="000000" w:themeColor="text1"/>
                <w:sz w:val="28"/>
                <w:szCs w:val="28"/>
                <w:lang w:val="ro-RO"/>
              </w:rPr>
              <w:t>Totodată, proiectul a fost discutat în cadrul ședinței Platformei consultative permanente a Ministerului Agriculturii și Industriei Alimentare pe domeniul acvaculturii cu membrii Grupului de lucru, care a</w:t>
            </w:r>
            <w:r w:rsidR="00750F84">
              <w:rPr>
                <w:rFonts w:ascii="Times New Roman" w:hAnsi="Times New Roman"/>
                <w:color w:val="000000" w:themeColor="text1"/>
                <w:sz w:val="28"/>
                <w:szCs w:val="28"/>
                <w:lang w:val="ro-RO"/>
              </w:rPr>
              <w:t>u</w:t>
            </w:r>
            <w:r w:rsidRPr="00996063">
              <w:rPr>
                <w:rFonts w:ascii="Times New Roman" w:hAnsi="Times New Roman"/>
                <w:color w:val="000000" w:themeColor="text1"/>
                <w:sz w:val="28"/>
                <w:szCs w:val="28"/>
                <w:lang w:val="ro-RO"/>
              </w:rPr>
              <w:t xml:space="preserve"> susținut promovarea proiectului.</w:t>
            </w:r>
          </w:p>
        </w:tc>
      </w:tr>
      <w:tr w:rsidR="0028550B">
        <w:tc>
          <w:tcPr>
            <w:tcW w:w="10294" w:type="dxa"/>
          </w:tcPr>
          <w:p w:rsidR="0028550B" w:rsidRDefault="00D52681" w:rsidP="005A63A3">
            <w:pPr>
              <w:spacing w:after="0" w:line="240" w:lineRule="auto"/>
              <w:jc w:val="both"/>
              <w:rPr>
                <w:rFonts w:ascii="Times New Roman" w:hAnsi="Times New Roman"/>
                <w:b/>
                <w:sz w:val="28"/>
                <w:szCs w:val="28"/>
                <w:vertAlign w:val="superscript"/>
                <w:lang w:val="en-US"/>
              </w:rPr>
            </w:pPr>
            <w:r>
              <w:rPr>
                <w:rFonts w:ascii="Times New Roman" w:hAnsi="Times New Roman"/>
                <w:b/>
                <w:sz w:val="44"/>
                <w:szCs w:val="44"/>
                <w:vertAlign w:val="superscript"/>
                <w:lang w:val="en-US"/>
              </w:rPr>
              <w:t xml:space="preserve">7. </w:t>
            </w:r>
            <w:r w:rsidRPr="00734E46">
              <w:rPr>
                <w:rFonts w:ascii="Times New Roman" w:hAnsi="Times New Roman"/>
                <w:b/>
                <w:sz w:val="44"/>
                <w:szCs w:val="44"/>
                <w:vertAlign w:val="superscript"/>
                <w:lang w:val="ro-MD"/>
              </w:rPr>
              <w:t>Concluziile expertizelor</w:t>
            </w:r>
          </w:p>
        </w:tc>
      </w:tr>
      <w:tr w:rsidR="0028550B" w:rsidRPr="009B4B5F">
        <w:tc>
          <w:tcPr>
            <w:tcW w:w="10294" w:type="dxa"/>
          </w:tcPr>
          <w:p w:rsidR="00364622" w:rsidRPr="00BB6BAF" w:rsidRDefault="00BB6BAF" w:rsidP="005A63A3">
            <w:pPr>
              <w:spacing w:after="0" w:line="240" w:lineRule="auto"/>
              <w:jc w:val="both"/>
              <w:rPr>
                <w:rFonts w:ascii="Times New Roman" w:hAnsi="Times New Roman"/>
                <w:sz w:val="28"/>
                <w:szCs w:val="28"/>
                <w:lang w:val="ro-RO"/>
              </w:rPr>
            </w:pPr>
            <w:r w:rsidRPr="00BB6BAF">
              <w:rPr>
                <w:rFonts w:ascii="Times New Roman" w:hAnsi="Times New Roman"/>
                <w:sz w:val="28"/>
                <w:szCs w:val="28"/>
                <w:lang w:val="ro-RO"/>
              </w:rPr>
              <w:t>În conformitate cu art. 36</w:t>
            </w:r>
            <w:r>
              <w:rPr>
                <w:rFonts w:ascii="Times New Roman" w:hAnsi="Times New Roman"/>
                <w:sz w:val="28"/>
                <w:szCs w:val="28"/>
                <w:lang w:val="ro-RO"/>
              </w:rPr>
              <w:t xml:space="preserve"> și 37,</w:t>
            </w:r>
            <w:r w:rsidRPr="00BB6BAF">
              <w:rPr>
                <w:rFonts w:ascii="Times New Roman" w:hAnsi="Times New Roman"/>
                <w:sz w:val="28"/>
                <w:szCs w:val="28"/>
                <w:lang w:val="ro-RO"/>
              </w:rPr>
              <w:t xml:space="preserve"> din Legea nr. 100/2017 cu privire la actele normative, proiectul și materialele conexe urmează să fie supuse expertizei de către Centrul Național Anticorupție și Ministerul Justiției</w:t>
            </w:r>
            <w:r>
              <w:rPr>
                <w:rFonts w:ascii="Times New Roman" w:hAnsi="Times New Roman"/>
                <w:sz w:val="28"/>
                <w:szCs w:val="28"/>
                <w:lang w:val="ro-RO"/>
              </w:rPr>
              <w:t>.</w:t>
            </w:r>
          </w:p>
        </w:tc>
      </w:tr>
      <w:tr w:rsidR="0028550B" w:rsidRPr="009B4B5F">
        <w:tc>
          <w:tcPr>
            <w:tcW w:w="10294" w:type="dxa"/>
          </w:tcPr>
          <w:p w:rsidR="0028550B" w:rsidRDefault="00D52681" w:rsidP="005A63A3">
            <w:pPr>
              <w:spacing w:after="0" w:line="240" w:lineRule="auto"/>
              <w:jc w:val="both"/>
              <w:rPr>
                <w:rFonts w:ascii="Times New Roman" w:hAnsi="Times New Roman"/>
                <w:sz w:val="28"/>
                <w:szCs w:val="28"/>
                <w:lang w:val="ro-RO"/>
              </w:rPr>
            </w:pPr>
            <w:r>
              <w:rPr>
                <w:rFonts w:ascii="Times New Roman" w:hAnsi="Times New Roman"/>
                <w:b/>
                <w:sz w:val="44"/>
                <w:szCs w:val="44"/>
                <w:vertAlign w:val="superscript"/>
                <w:lang w:val="ro-RO"/>
              </w:rPr>
              <w:t>8. Modul de încorporare a actului în cadrul normativ existent</w:t>
            </w:r>
          </w:p>
        </w:tc>
      </w:tr>
      <w:tr w:rsidR="0028550B" w:rsidRPr="009B4B5F">
        <w:tc>
          <w:tcPr>
            <w:tcW w:w="10294" w:type="dxa"/>
          </w:tcPr>
          <w:p w:rsidR="0028550B" w:rsidRDefault="00D52681" w:rsidP="005A63A3">
            <w:pPr>
              <w:spacing w:after="0" w:line="240" w:lineRule="auto"/>
              <w:ind w:firstLine="315"/>
              <w:jc w:val="both"/>
              <w:rPr>
                <w:rFonts w:ascii="Times New Roman" w:hAnsi="Times New Roman"/>
                <w:b/>
                <w:sz w:val="28"/>
                <w:szCs w:val="28"/>
                <w:vertAlign w:val="superscript"/>
                <w:lang w:val="en-US"/>
              </w:rPr>
            </w:pPr>
            <w:r>
              <w:rPr>
                <w:rFonts w:ascii="Times New Roman" w:hAnsi="Times New Roman"/>
                <w:sz w:val="28"/>
                <w:szCs w:val="28"/>
                <w:lang w:val="ro-RO"/>
              </w:rPr>
              <w:t xml:space="preserve">Proiectul este elaborat în temeiul </w:t>
            </w:r>
            <w:r w:rsidR="00451DF4" w:rsidRPr="00451DF4">
              <w:rPr>
                <w:rFonts w:ascii="Times New Roman" w:hAnsi="Times New Roman"/>
                <w:sz w:val="28"/>
                <w:szCs w:val="28"/>
                <w:lang w:val="ro-RO"/>
              </w:rPr>
              <w:t xml:space="preserve">art. </w:t>
            </w:r>
            <w:r w:rsidR="00996063">
              <w:rPr>
                <w:rFonts w:ascii="Times New Roman" w:hAnsi="Times New Roman"/>
                <w:sz w:val="28"/>
                <w:szCs w:val="28"/>
                <w:lang w:val="ro-RO"/>
              </w:rPr>
              <w:t xml:space="preserve">23, </w:t>
            </w:r>
            <w:r w:rsidR="00451DF4" w:rsidRPr="00451DF4">
              <w:rPr>
                <w:rFonts w:ascii="Times New Roman" w:hAnsi="Times New Roman"/>
                <w:sz w:val="28"/>
                <w:szCs w:val="28"/>
                <w:lang w:val="ro-RO"/>
              </w:rPr>
              <w:t xml:space="preserve">24, </w:t>
            </w:r>
            <w:r w:rsidR="00BB6BAF">
              <w:rPr>
                <w:rFonts w:ascii="Times New Roman" w:hAnsi="Times New Roman"/>
                <w:sz w:val="28"/>
                <w:szCs w:val="28"/>
                <w:lang w:val="ro-RO"/>
              </w:rPr>
              <w:t xml:space="preserve">27, </w:t>
            </w:r>
            <w:r w:rsidR="00451DF4" w:rsidRPr="00451DF4">
              <w:rPr>
                <w:rFonts w:ascii="Times New Roman" w:hAnsi="Times New Roman"/>
                <w:sz w:val="28"/>
                <w:szCs w:val="28"/>
                <w:lang w:val="ro-RO"/>
              </w:rPr>
              <w:t>28 și 34  din Legea nr. 288/2024 privind politica în sectorul acvaculturii și organizarea pieței produselor pescărești și de acvacultură</w:t>
            </w:r>
            <w:r w:rsidR="00451DF4">
              <w:rPr>
                <w:rFonts w:ascii="Times New Roman" w:hAnsi="Times New Roman"/>
                <w:sz w:val="28"/>
                <w:szCs w:val="28"/>
                <w:lang w:val="ro-RO"/>
              </w:rPr>
              <w:t>, care transpune Regulamentele (UE)</w:t>
            </w:r>
            <w:r w:rsidR="00451DF4" w:rsidRPr="00451DF4">
              <w:rPr>
                <w:rFonts w:ascii="Times New Roman" w:hAnsi="Times New Roman"/>
                <w:sz w:val="28"/>
                <w:szCs w:val="28"/>
                <w:lang w:val="ro-RO"/>
              </w:rPr>
              <w:t xml:space="preserve"> </w:t>
            </w:r>
            <w:r w:rsidR="006A0690">
              <w:rPr>
                <w:rFonts w:ascii="Times New Roman" w:hAnsi="Times New Roman"/>
                <w:sz w:val="28"/>
                <w:szCs w:val="28"/>
                <w:lang w:val="ro-RO"/>
              </w:rPr>
              <w:t>prevăzut</w:t>
            </w:r>
            <w:r w:rsidR="00451DF4">
              <w:rPr>
                <w:rFonts w:ascii="Times New Roman" w:hAnsi="Times New Roman"/>
                <w:sz w:val="28"/>
                <w:szCs w:val="28"/>
                <w:lang w:val="ro-RO"/>
              </w:rPr>
              <w:t>e</w:t>
            </w:r>
            <w:r w:rsidR="006A0690">
              <w:rPr>
                <w:rFonts w:ascii="Times New Roman" w:hAnsi="Times New Roman"/>
                <w:sz w:val="28"/>
                <w:szCs w:val="28"/>
                <w:lang w:val="ro-RO"/>
              </w:rPr>
              <w:t xml:space="preserve"> </w:t>
            </w:r>
            <w:r w:rsidR="00451DF4">
              <w:rPr>
                <w:rFonts w:ascii="Times New Roman" w:hAnsi="Times New Roman"/>
                <w:sz w:val="28"/>
                <w:szCs w:val="28"/>
                <w:lang w:val="ro-RO"/>
              </w:rPr>
              <w:t xml:space="preserve">în </w:t>
            </w:r>
            <w:r>
              <w:rPr>
                <w:rFonts w:ascii="Times New Roman" w:hAnsi="Times New Roman"/>
                <w:sz w:val="28"/>
                <w:szCs w:val="28"/>
                <w:lang w:val="ro-RO"/>
              </w:rPr>
              <w:t xml:space="preserve">Capitolul 13 </w:t>
            </w:r>
            <w:r w:rsidR="00CD4BE8">
              <w:rPr>
                <w:rFonts w:ascii="Times New Roman" w:hAnsi="Times New Roman"/>
                <w:sz w:val="28"/>
                <w:szCs w:val="28"/>
                <w:lang w:val="ro-RO"/>
              </w:rPr>
              <w:t>P</w:t>
            </w:r>
            <w:r>
              <w:rPr>
                <w:rFonts w:ascii="Times New Roman" w:hAnsi="Times New Roman"/>
                <w:sz w:val="28"/>
                <w:szCs w:val="28"/>
                <w:lang w:val="ro-RO"/>
              </w:rPr>
              <w:t xml:space="preserve">escuit și </w:t>
            </w:r>
            <w:r w:rsidR="007D0D77">
              <w:rPr>
                <w:rFonts w:ascii="Times New Roman" w:hAnsi="Times New Roman"/>
                <w:sz w:val="28"/>
                <w:szCs w:val="28"/>
                <w:lang w:val="ro-RO"/>
              </w:rPr>
              <w:t>acvacultură</w:t>
            </w:r>
            <w:r>
              <w:rPr>
                <w:rFonts w:ascii="Times New Roman" w:hAnsi="Times New Roman"/>
                <w:sz w:val="28"/>
                <w:szCs w:val="28"/>
                <w:lang w:val="ro-RO"/>
              </w:rPr>
              <w:t>. Proiectul nu contravine și nu abrogă alte acte legislative naționale.</w:t>
            </w:r>
          </w:p>
        </w:tc>
      </w:tr>
      <w:tr w:rsidR="0028550B" w:rsidRPr="009B4B5F">
        <w:tc>
          <w:tcPr>
            <w:tcW w:w="10294" w:type="dxa"/>
          </w:tcPr>
          <w:p w:rsidR="0074057C" w:rsidRPr="0074057C" w:rsidRDefault="00D52681" w:rsidP="005A63A3">
            <w:pPr>
              <w:spacing w:after="0"/>
              <w:jc w:val="both"/>
              <w:rPr>
                <w:rFonts w:ascii="Times New Roman" w:hAnsi="Times New Roman"/>
                <w:b/>
                <w:sz w:val="28"/>
                <w:szCs w:val="28"/>
                <w:lang w:val="ro-RO"/>
              </w:rPr>
            </w:pPr>
            <w:r>
              <w:rPr>
                <w:rFonts w:ascii="Times New Roman" w:hAnsi="Times New Roman"/>
                <w:b/>
                <w:sz w:val="28"/>
                <w:szCs w:val="28"/>
                <w:lang w:val="ro-RO"/>
              </w:rPr>
              <w:t>9. Măsurile necesare pentru implementarea prevederilor proiectului actului normativ</w:t>
            </w:r>
          </w:p>
        </w:tc>
      </w:tr>
      <w:tr w:rsidR="0028550B" w:rsidRPr="009B4B5F">
        <w:tc>
          <w:tcPr>
            <w:tcW w:w="10294" w:type="dxa"/>
          </w:tcPr>
          <w:p w:rsidR="0028550B" w:rsidRDefault="00E17F78" w:rsidP="005A63A3">
            <w:pPr>
              <w:pStyle w:val="Listparagraf"/>
              <w:tabs>
                <w:tab w:val="left" w:pos="0"/>
                <w:tab w:val="left" w:pos="851"/>
              </w:tabs>
              <w:spacing w:after="0" w:line="240" w:lineRule="auto"/>
              <w:ind w:left="0" w:right="-57" w:firstLineChars="157" w:firstLine="440"/>
              <w:jc w:val="both"/>
              <w:rPr>
                <w:rFonts w:ascii="Times New Roman" w:hAnsi="Times New Roman"/>
                <w:sz w:val="28"/>
                <w:szCs w:val="28"/>
                <w:lang w:val="en-US"/>
              </w:rPr>
            </w:pPr>
            <w:r w:rsidRPr="00E17F78">
              <w:rPr>
                <w:rFonts w:ascii="Times New Roman" w:hAnsi="Times New Roman"/>
                <w:sz w:val="28"/>
                <w:szCs w:val="28"/>
                <w:lang w:val="ro-RO"/>
              </w:rPr>
              <w:t>Implementarea prevederilor proiectului va fi asigurată de către</w:t>
            </w:r>
            <w:r>
              <w:rPr>
                <w:rFonts w:ascii="Times New Roman" w:hAnsi="Times New Roman"/>
                <w:sz w:val="28"/>
                <w:szCs w:val="28"/>
                <w:lang w:val="ro-RO"/>
              </w:rPr>
              <w:t xml:space="preserve"> Ministerul Agriculturii și Industriei Alimentare</w:t>
            </w:r>
            <w:r w:rsidR="005A63A3">
              <w:rPr>
                <w:rFonts w:ascii="Times New Roman" w:hAnsi="Times New Roman"/>
                <w:sz w:val="28"/>
                <w:szCs w:val="28"/>
                <w:lang w:val="ro-RO"/>
              </w:rPr>
              <w:t>,</w:t>
            </w:r>
            <w:r w:rsidR="0013247E">
              <w:rPr>
                <w:rFonts w:ascii="Times New Roman" w:hAnsi="Times New Roman"/>
                <w:sz w:val="28"/>
                <w:szCs w:val="28"/>
                <w:lang w:val="ro-RO"/>
              </w:rPr>
              <w:t xml:space="preserve"> prin</w:t>
            </w:r>
            <w:r w:rsidR="0013247E">
              <w:rPr>
                <w:rFonts w:ascii="Times New Roman" w:hAnsi="Times New Roman"/>
                <w:sz w:val="28"/>
                <w:szCs w:val="28"/>
                <w:lang w:val="en-US"/>
              </w:rPr>
              <w:t>:</w:t>
            </w:r>
          </w:p>
          <w:p w:rsidR="0013247E" w:rsidRPr="00364622" w:rsidRDefault="0013247E" w:rsidP="005A63A3">
            <w:pPr>
              <w:pStyle w:val="Listparagraf"/>
              <w:numPr>
                <w:ilvl w:val="3"/>
                <w:numId w:val="2"/>
              </w:numPr>
              <w:tabs>
                <w:tab w:val="left" w:pos="0"/>
                <w:tab w:val="left" w:pos="851"/>
              </w:tabs>
              <w:spacing w:after="0" w:line="240" w:lineRule="auto"/>
              <w:ind w:left="31" w:right="-57" w:firstLine="425"/>
              <w:jc w:val="both"/>
              <w:rPr>
                <w:rFonts w:ascii="Times New Roman" w:hAnsi="Times New Roman"/>
                <w:sz w:val="28"/>
                <w:szCs w:val="28"/>
                <w:lang w:val="ro-MD"/>
              </w:rPr>
            </w:pPr>
            <w:r w:rsidRPr="00364622">
              <w:rPr>
                <w:rFonts w:ascii="Times New Roman" w:hAnsi="Times New Roman"/>
                <w:sz w:val="28"/>
                <w:szCs w:val="28"/>
                <w:lang w:val="ro-MD"/>
              </w:rPr>
              <w:t>Promovarea organizării sectorului acvaculturii și pieței produselor pescărești și de acvacultură în organizații de producători și organizații interprofesionale;</w:t>
            </w:r>
          </w:p>
          <w:p w:rsidR="0013247E" w:rsidRPr="00364622" w:rsidRDefault="00364622" w:rsidP="005A63A3">
            <w:pPr>
              <w:pStyle w:val="Listparagraf"/>
              <w:numPr>
                <w:ilvl w:val="3"/>
                <w:numId w:val="2"/>
              </w:numPr>
              <w:tabs>
                <w:tab w:val="left" w:pos="0"/>
                <w:tab w:val="left" w:pos="851"/>
              </w:tabs>
              <w:spacing w:after="0" w:line="240" w:lineRule="auto"/>
              <w:ind w:left="31" w:right="-57" w:firstLine="425"/>
              <w:jc w:val="both"/>
              <w:rPr>
                <w:rFonts w:ascii="Times New Roman" w:hAnsi="Times New Roman"/>
                <w:sz w:val="28"/>
                <w:szCs w:val="28"/>
                <w:lang w:val="ro-MD"/>
              </w:rPr>
            </w:pPr>
            <w:r w:rsidRPr="00364622">
              <w:rPr>
                <w:rFonts w:ascii="Times New Roman" w:hAnsi="Times New Roman"/>
                <w:sz w:val="28"/>
                <w:szCs w:val="28"/>
                <w:lang w:val="ro-MD"/>
              </w:rPr>
              <w:t>Instituirea</w:t>
            </w:r>
            <w:r w:rsidR="0013247E" w:rsidRPr="00364622">
              <w:rPr>
                <w:rFonts w:ascii="Times New Roman" w:hAnsi="Times New Roman"/>
                <w:sz w:val="28"/>
                <w:szCs w:val="28"/>
                <w:lang w:val="ro-MD"/>
              </w:rPr>
              <w:t xml:space="preserve"> Comisiei de recunoaștere și organizarea recunoașterii organizațiilor de producători și organizații</w:t>
            </w:r>
            <w:r w:rsidRPr="00364622">
              <w:rPr>
                <w:rFonts w:ascii="Times New Roman" w:hAnsi="Times New Roman"/>
                <w:sz w:val="28"/>
                <w:szCs w:val="28"/>
                <w:lang w:val="ro-MD"/>
              </w:rPr>
              <w:t>lor</w:t>
            </w:r>
            <w:r w:rsidR="0013247E" w:rsidRPr="00364622">
              <w:rPr>
                <w:rFonts w:ascii="Times New Roman" w:hAnsi="Times New Roman"/>
                <w:sz w:val="28"/>
                <w:szCs w:val="28"/>
                <w:lang w:val="ro-MD"/>
              </w:rPr>
              <w:t xml:space="preserve"> interprofesionale;</w:t>
            </w:r>
          </w:p>
          <w:p w:rsidR="0013247E" w:rsidRPr="0013247E" w:rsidRDefault="00364622" w:rsidP="005A63A3">
            <w:pPr>
              <w:pStyle w:val="Listparagraf"/>
              <w:numPr>
                <w:ilvl w:val="3"/>
                <w:numId w:val="2"/>
              </w:numPr>
              <w:tabs>
                <w:tab w:val="left" w:pos="0"/>
                <w:tab w:val="left" w:pos="851"/>
              </w:tabs>
              <w:spacing w:after="0" w:line="240" w:lineRule="auto"/>
              <w:ind w:left="31" w:right="-57" w:firstLine="425"/>
              <w:jc w:val="both"/>
              <w:rPr>
                <w:rFonts w:ascii="Times New Roman" w:hAnsi="Times New Roman"/>
                <w:sz w:val="28"/>
                <w:szCs w:val="28"/>
                <w:lang w:val="en-US"/>
              </w:rPr>
            </w:pPr>
            <w:r w:rsidRPr="00364622">
              <w:rPr>
                <w:rFonts w:ascii="Times New Roman" w:hAnsi="Times New Roman"/>
                <w:sz w:val="28"/>
                <w:szCs w:val="28"/>
                <w:lang w:val="ro-MD"/>
              </w:rPr>
              <w:t xml:space="preserve">Promovarea elaborării </w:t>
            </w:r>
            <w:r w:rsidR="005A63A3" w:rsidRPr="005A63A3">
              <w:rPr>
                <w:rFonts w:ascii="Times New Roman" w:hAnsi="Times New Roman"/>
                <w:sz w:val="28"/>
                <w:szCs w:val="28"/>
                <w:lang w:val="ro-MD"/>
              </w:rPr>
              <w:t>și aplicăr</w:t>
            </w:r>
            <w:r w:rsidR="005A63A3">
              <w:rPr>
                <w:rFonts w:ascii="Times New Roman" w:hAnsi="Times New Roman"/>
                <w:sz w:val="28"/>
                <w:szCs w:val="28"/>
                <w:lang w:val="ro-MD"/>
              </w:rPr>
              <w:t xml:space="preserve">ii </w:t>
            </w:r>
            <w:r w:rsidRPr="00364622">
              <w:rPr>
                <w:rFonts w:ascii="Times New Roman" w:hAnsi="Times New Roman"/>
                <w:sz w:val="28"/>
                <w:szCs w:val="28"/>
                <w:lang w:val="ro-MD"/>
              </w:rPr>
              <w:t>de către organizațiile de producători a Planurilor de producție și comercializare</w:t>
            </w:r>
            <w:r w:rsidR="005A63A3">
              <w:rPr>
                <w:rFonts w:ascii="Times New Roman" w:hAnsi="Times New Roman"/>
                <w:sz w:val="28"/>
                <w:szCs w:val="28"/>
                <w:lang w:val="ro-MD"/>
              </w:rPr>
              <w:t>, pentru organizarea</w:t>
            </w:r>
            <w:r>
              <w:rPr>
                <w:rFonts w:ascii="Times New Roman" w:hAnsi="Times New Roman"/>
                <w:sz w:val="28"/>
                <w:szCs w:val="28"/>
                <w:lang w:val="ro-RO"/>
              </w:rPr>
              <w:t xml:space="preserve"> sectorul</w:t>
            </w:r>
            <w:r w:rsidR="005A63A3">
              <w:rPr>
                <w:rFonts w:ascii="Times New Roman" w:hAnsi="Times New Roman"/>
                <w:sz w:val="28"/>
                <w:szCs w:val="28"/>
                <w:lang w:val="ro-RO"/>
              </w:rPr>
              <w:t>ui</w:t>
            </w:r>
            <w:r>
              <w:rPr>
                <w:rFonts w:ascii="Times New Roman" w:hAnsi="Times New Roman"/>
                <w:sz w:val="28"/>
                <w:szCs w:val="28"/>
                <w:lang w:val="ro-RO"/>
              </w:rPr>
              <w:t xml:space="preserve"> acvaculturii</w:t>
            </w:r>
            <w:r w:rsidR="005A63A3">
              <w:rPr>
                <w:rFonts w:ascii="Times New Roman" w:hAnsi="Times New Roman"/>
                <w:sz w:val="28"/>
                <w:szCs w:val="28"/>
                <w:lang w:val="ro-RO"/>
              </w:rPr>
              <w:t xml:space="preserve"> și pieței produselor pescărești și de acvacultură.</w:t>
            </w:r>
          </w:p>
        </w:tc>
      </w:tr>
    </w:tbl>
    <w:p w:rsidR="0028550B" w:rsidRDefault="0028550B">
      <w:pPr>
        <w:spacing w:after="0" w:line="240" w:lineRule="auto"/>
        <w:jc w:val="both"/>
        <w:rPr>
          <w:rFonts w:ascii="Times New Roman" w:hAnsi="Times New Roman"/>
          <w:b/>
          <w:sz w:val="28"/>
          <w:szCs w:val="28"/>
          <w:vertAlign w:val="superscript"/>
          <w:lang w:val="en-US"/>
        </w:rPr>
      </w:pPr>
    </w:p>
    <w:p w:rsidR="005A63A3" w:rsidRDefault="005A63A3" w:rsidP="005A63A3">
      <w:pPr>
        <w:spacing w:after="0" w:line="240" w:lineRule="auto"/>
        <w:ind w:leftChars="200" w:left="440"/>
        <w:rPr>
          <w:rFonts w:ascii="Times New Roman" w:hAnsi="Times New Roman"/>
          <w:b/>
          <w:sz w:val="28"/>
          <w:szCs w:val="28"/>
          <w:lang w:val="ro-RO"/>
        </w:rPr>
      </w:pPr>
    </w:p>
    <w:p w:rsidR="00400272" w:rsidRDefault="00400272" w:rsidP="005A63A3">
      <w:pPr>
        <w:spacing w:after="0" w:line="240" w:lineRule="auto"/>
        <w:ind w:leftChars="200" w:left="440"/>
        <w:rPr>
          <w:rFonts w:ascii="Times New Roman" w:hAnsi="Times New Roman"/>
          <w:b/>
          <w:sz w:val="28"/>
          <w:szCs w:val="28"/>
          <w:lang w:val="ro-RO"/>
        </w:rPr>
      </w:pPr>
      <w:r>
        <w:rPr>
          <w:rFonts w:ascii="Times New Roman" w:hAnsi="Times New Roman"/>
          <w:b/>
          <w:sz w:val="28"/>
          <w:szCs w:val="28"/>
          <w:lang w:val="ro-RO"/>
        </w:rPr>
        <w:t>Secretar de stat,</w:t>
      </w:r>
    </w:p>
    <w:p w:rsidR="0008071B" w:rsidRPr="0008071B" w:rsidRDefault="0008071B" w:rsidP="005A63A3">
      <w:pPr>
        <w:spacing w:after="0" w:line="240" w:lineRule="auto"/>
        <w:ind w:leftChars="200" w:left="440"/>
        <w:rPr>
          <w:rFonts w:ascii="Times New Roman" w:hAnsi="Times New Roman"/>
          <w:b/>
          <w:sz w:val="28"/>
          <w:szCs w:val="28"/>
          <w:lang w:val="ro-RO"/>
        </w:rPr>
      </w:pPr>
      <w:r w:rsidRPr="0008071B">
        <w:rPr>
          <w:rFonts w:ascii="Times New Roman" w:hAnsi="Times New Roman"/>
          <w:b/>
          <w:sz w:val="28"/>
          <w:szCs w:val="28"/>
          <w:lang w:val="ro-RO"/>
        </w:rPr>
        <w:t>Minis</w:t>
      </w:r>
      <w:r w:rsidR="00400272">
        <w:rPr>
          <w:rFonts w:ascii="Times New Roman" w:hAnsi="Times New Roman"/>
          <w:b/>
          <w:sz w:val="28"/>
          <w:szCs w:val="28"/>
          <w:lang w:val="ro-RO"/>
        </w:rPr>
        <w:t>terul</w:t>
      </w:r>
      <w:r w:rsidRPr="0008071B">
        <w:rPr>
          <w:rFonts w:ascii="Times New Roman" w:hAnsi="Times New Roman"/>
          <w:b/>
          <w:sz w:val="28"/>
          <w:szCs w:val="28"/>
          <w:lang w:val="ro-RO"/>
        </w:rPr>
        <w:t xml:space="preserve"> </w:t>
      </w:r>
      <w:r w:rsidR="00400272">
        <w:rPr>
          <w:rFonts w:ascii="Times New Roman" w:hAnsi="Times New Roman"/>
          <w:b/>
          <w:sz w:val="28"/>
          <w:szCs w:val="28"/>
          <w:lang w:val="ro-RO"/>
        </w:rPr>
        <w:t>A</w:t>
      </w:r>
      <w:r w:rsidRPr="0008071B">
        <w:rPr>
          <w:rFonts w:ascii="Times New Roman" w:hAnsi="Times New Roman"/>
          <w:b/>
          <w:sz w:val="28"/>
          <w:szCs w:val="28"/>
          <w:lang w:val="ro-RO"/>
        </w:rPr>
        <w:t xml:space="preserve">griculturii </w:t>
      </w:r>
      <w:proofErr w:type="spellStart"/>
      <w:r w:rsidRPr="0008071B">
        <w:rPr>
          <w:rFonts w:ascii="Times New Roman" w:hAnsi="Times New Roman"/>
          <w:b/>
          <w:sz w:val="28"/>
          <w:szCs w:val="28"/>
          <w:lang w:val="ro-RO"/>
        </w:rPr>
        <w:t>şi</w:t>
      </w:r>
      <w:proofErr w:type="spellEnd"/>
    </w:p>
    <w:p w:rsidR="0028550B" w:rsidRPr="006706E7" w:rsidRDefault="00400272" w:rsidP="005A63A3">
      <w:pPr>
        <w:spacing w:after="0" w:line="240" w:lineRule="auto"/>
        <w:ind w:leftChars="200" w:left="440"/>
        <w:rPr>
          <w:rFonts w:ascii="Times New Roman" w:hAnsi="Times New Roman"/>
          <w:b/>
          <w:sz w:val="28"/>
          <w:szCs w:val="28"/>
          <w:lang w:val="ro-RO"/>
        </w:rPr>
      </w:pPr>
      <w:r>
        <w:rPr>
          <w:rFonts w:ascii="Times New Roman" w:hAnsi="Times New Roman"/>
          <w:b/>
          <w:sz w:val="28"/>
          <w:szCs w:val="28"/>
          <w:lang w:val="ro-RO"/>
        </w:rPr>
        <w:t>I</w:t>
      </w:r>
      <w:r w:rsidR="0008071B" w:rsidRPr="0008071B">
        <w:rPr>
          <w:rFonts w:ascii="Times New Roman" w:hAnsi="Times New Roman"/>
          <w:b/>
          <w:sz w:val="28"/>
          <w:szCs w:val="28"/>
          <w:lang w:val="ro-RO"/>
        </w:rPr>
        <w:t xml:space="preserve">ndustriei </w:t>
      </w:r>
      <w:r>
        <w:rPr>
          <w:rFonts w:ascii="Times New Roman" w:hAnsi="Times New Roman"/>
          <w:b/>
          <w:sz w:val="28"/>
          <w:szCs w:val="28"/>
          <w:lang w:val="ro-RO"/>
        </w:rPr>
        <w:t>A</w:t>
      </w:r>
      <w:r w:rsidR="0008071B" w:rsidRPr="0008071B">
        <w:rPr>
          <w:rFonts w:ascii="Times New Roman" w:hAnsi="Times New Roman"/>
          <w:b/>
          <w:sz w:val="28"/>
          <w:szCs w:val="28"/>
          <w:lang w:val="ro-RO"/>
        </w:rPr>
        <w:t>limentare</w:t>
      </w:r>
      <w:r w:rsidR="0008071B" w:rsidRPr="0008071B">
        <w:rPr>
          <w:rFonts w:ascii="Times New Roman" w:hAnsi="Times New Roman"/>
          <w:b/>
          <w:sz w:val="28"/>
          <w:szCs w:val="28"/>
          <w:lang w:val="ro-RO"/>
        </w:rPr>
        <w:tab/>
      </w:r>
      <w:r w:rsidR="0008071B" w:rsidRPr="0008071B">
        <w:rPr>
          <w:rFonts w:ascii="Times New Roman" w:hAnsi="Times New Roman"/>
          <w:b/>
          <w:sz w:val="28"/>
          <w:szCs w:val="28"/>
          <w:lang w:val="ro-RO"/>
        </w:rPr>
        <w:tab/>
      </w:r>
      <w:r w:rsidR="006706E7" w:rsidRPr="006706E7">
        <w:rPr>
          <w:rFonts w:ascii="Times New Roman" w:hAnsi="Times New Roman"/>
          <w:b/>
          <w:sz w:val="28"/>
          <w:szCs w:val="28"/>
          <w:lang w:val="ro-RO"/>
        </w:rPr>
        <w:tab/>
      </w:r>
      <w:r w:rsidR="006706E7" w:rsidRPr="006706E7">
        <w:rPr>
          <w:rFonts w:ascii="Times New Roman" w:hAnsi="Times New Roman"/>
          <w:b/>
          <w:sz w:val="28"/>
          <w:szCs w:val="28"/>
          <w:lang w:val="ro-RO"/>
        </w:rPr>
        <w:tab/>
      </w:r>
      <w:r w:rsidR="006706E7" w:rsidRPr="006706E7">
        <w:rPr>
          <w:rFonts w:ascii="Times New Roman" w:hAnsi="Times New Roman"/>
          <w:b/>
          <w:sz w:val="28"/>
          <w:szCs w:val="28"/>
          <w:lang w:val="ro-RO"/>
        </w:rPr>
        <w:tab/>
      </w:r>
      <w:r w:rsidR="006706E7" w:rsidRPr="006706E7">
        <w:rPr>
          <w:rFonts w:ascii="Times New Roman" w:hAnsi="Times New Roman"/>
          <w:b/>
          <w:sz w:val="28"/>
          <w:szCs w:val="28"/>
          <w:lang w:val="ro-RO"/>
        </w:rPr>
        <w:tab/>
      </w:r>
      <w:r>
        <w:rPr>
          <w:rFonts w:ascii="Times New Roman" w:hAnsi="Times New Roman"/>
          <w:b/>
          <w:sz w:val="28"/>
          <w:szCs w:val="28"/>
          <w:lang w:val="ro-RO"/>
        </w:rPr>
        <w:t>Iurie SCRIPNIC</w:t>
      </w:r>
    </w:p>
    <w:p w:rsidR="0028550B" w:rsidRDefault="0028550B">
      <w:pPr>
        <w:spacing w:after="0" w:line="240" w:lineRule="auto"/>
        <w:ind w:leftChars="200" w:left="440"/>
        <w:rPr>
          <w:rFonts w:ascii="Times New Roman" w:hAnsi="Times New Roman"/>
          <w:b/>
          <w:sz w:val="28"/>
          <w:szCs w:val="28"/>
          <w:lang w:val="ro-RO"/>
        </w:rPr>
      </w:pPr>
    </w:p>
    <w:p w:rsidR="0028550B" w:rsidRDefault="0028550B">
      <w:pPr>
        <w:spacing w:after="0" w:line="240" w:lineRule="auto"/>
        <w:ind w:leftChars="800" w:left="1760"/>
        <w:rPr>
          <w:rFonts w:ascii="Times New Roman" w:hAnsi="Times New Roman"/>
          <w:bCs/>
          <w:sz w:val="28"/>
          <w:szCs w:val="28"/>
          <w:lang w:val="ro-RO"/>
        </w:rPr>
      </w:pPr>
    </w:p>
    <w:sectPr w:rsidR="0028550B" w:rsidSect="005A63A3">
      <w:headerReference w:type="default" r:id="rId8"/>
      <w:footerReference w:type="even" r:id="rId9"/>
      <w:pgSz w:w="11906" w:h="16838"/>
      <w:pgMar w:top="568" w:right="849"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2CA" w:rsidRDefault="006D52CA">
      <w:pPr>
        <w:spacing w:line="240" w:lineRule="auto"/>
      </w:pPr>
      <w:r>
        <w:separator/>
      </w:r>
    </w:p>
  </w:endnote>
  <w:endnote w:type="continuationSeparator" w:id="0">
    <w:p w:rsidR="006D52CA" w:rsidRDefault="006D5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EE7" w:rsidRDefault="001B5EE7">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1B5EE7" w:rsidRDefault="001B5EE7">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2CA" w:rsidRDefault="006D52CA">
      <w:pPr>
        <w:spacing w:after="0"/>
      </w:pPr>
      <w:r>
        <w:separator/>
      </w:r>
    </w:p>
  </w:footnote>
  <w:footnote w:type="continuationSeparator" w:id="0">
    <w:p w:rsidR="006D52CA" w:rsidRDefault="006D52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EE7" w:rsidRDefault="001B5EE7">
    <w:pPr>
      <w:pStyle w:val="Antet"/>
      <w:jc w:val="right"/>
      <w:rPr>
        <w:rFonts w:ascii="Times New Roman" w:hAnsi="Times New Roman"/>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219E2"/>
    <w:multiLevelType w:val="hybridMultilevel"/>
    <w:tmpl w:val="9864BE16"/>
    <w:lvl w:ilvl="0" w:tplc="F228718C">
      <w:start w:val="3"/>
      <w:numFmt w:val="bullet"/>
      <w:lvlText w:val="-"/>
      <w:lvlJc w:val="left"/>
      <w:pPr>
        <w:ind w:left="630" w:hanging="360"/>
      </w:pPr>
      <w:rPr>
        <w:rFonts w:ascii="Times New Roman" w:eastAsia="Calibri" w:hAnsi="Times New Roman" w:cs="Times New Roman"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1" w15:restartNumberingAfterBreak="0">
    <w:nsid w:val="0D884AD3"/>
    <w:multiLevelType w:val="hybridMultilevel"/>
    <w:tmpl w:val="72942772"/>
    <w:lvl w:ilvl="0" w:tplc="70E6B872">
      <w:start w:val="2"/>
      <w:numFmt w:val="bullet"/>
      <w:lvlText w:val="-"/>
      <w:lvlJc w:val="left"/>
      <w:pPr>
        <w:ind w:left="630" w:hanging="360"/>
      </w:pPr>
      <w:rPr>
        <w:rFonts w:ascii="Times New Roman" w:eastAsia="Calibri" w:hAnsi="Times New Roman" w:cs="Times New Roman"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2" w15:restartNumberingAfterBreak="0">
    <w:nsid w:val="2CE504DD"/>
    <w:multiLevelType w:val="hybridMultilevel"/>
    <w:tmpl w:val="0CA6B1D6"/>
    <w:lvl w:ilvl="0" w:tplc="E3D6383E">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43464A4"/>
    <w:multiLevelType w:val="hybridMultilevel"/>
    <w:tmpl w:val="2F40FBFA"/>
    <w:lvl w:ilvl="0" w:tplc="F30E23E4">
      <w:start w:val="2"/>
      <w:numFmt w:val="bullet"/>
      <w:lvlText w:val="-"/>
      <w:lvlJc w:val="left"/>
      <w:pPr>
        <w:ind w:left="630" w:hanging="360"/>
      </w:pPr>
      <w:rPr>
        <w:rFonts w:ascii="Times New Roman" w:eastAsia="Calibri" w:hAnsi="Times New Roman" w:cs="Times New Roman"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4" w15:restartNumberingAfterBreak="0">
    <w:nsid w:val="48F82691"/>
    <w:multiLevelType w:val="hybridMultilevel"/>
    <w:tmpl w:val="3EE680CC"/>
    <w:lvl w:ilvl="0" w:tplc="DBDE581A">
      <w:start w:val="1"/>
      <w:numFmt w:val="lowerLetter"/>
      <w:lvlText w:val="%1)"/>
      <w:lvlJc w:val="left"/>
      <w:pPr>
        <w:ind w:left="800" w:hanging="360"/>
      </w:pPr>
      <w:rPr>
        <w:rFonts w:hint="default"/>
      </w:rPr>
    </w:lvl>
    <w:lvl w:ilvl="1" w:tplc="04180019" w:tentative="1">
      <w:start w:val="1"/>
      <w:numFmt w:val="lowerLetter"/>
      <w:lvlText w:val="%2."/>
      <w:lvlJc w:val="left"/>
      <w:pPr>
        <w:ind w:left="1520" w:hanging="360"/>
      </w:pPr>
    </w:lvl>
    <w:lvl w:ilvl="2" w:tplc="0418001B" w:tentative="1">
      <w:start w:val="1"/>
      <w:numFmt w:val="lowerRoman"/>
      <w:lvlText w:val="%3."/>
      <w:lvlJc w:val="right"/>
      <w:pPr>
        <w:ind w:left="2240" w:hanging="180"/>
      </w:pPr>
    </w:lvl>
    <w:lvl w:ilvl="3" w:tplc="0418000F" w:tentative="1">
      <w:start w:val="1"/>
      <w:numFmt w:val="decimal"/>
      <w:lvlText w:val="%4."/>
      <w:lvlJc w:val="left"/>
      <w:pPr>
        <w:ind w:left="2960" w:hanging="360"/>
      </w:pPr>
    </w:lvl>
    <w:lvl w:ilvl="4" w:tplc="04180019" w:tentative="1">
      <w:start w:val="1"/>
      <w:numFmt w:val="lowerLetter"/>
      <w:lvlText w:val="%5."/>
      <w:lvlJc w:val="left"/>
      <w:pPr>
        <w:ind w:left="3680" w:hanging="360"/>
      </w:pPr>
    </w:lvl>
    <w:lvl w:ilvl="5" w:tplc="0418001B" w:tentative="1">
      <w:start w:val="1"/>
      <w:numFmt w:val="lowerRoman"/>
      <w:lvlText w:val="%6."/>
      <w:lvlJc w:val="right"/>
      <w:pPr>
        <w:ind w:left="4400" w:hanging="180"/>
      </w:pPr>
    </w:lvl>
    <w:lvl w:ilvl="6" w:tplc="0418000F" w:tentative="1">
      <w:start w:val="1"/>
      <w:numFmt w:val="decimal"/>
      <w:lvlText w:val="%7."/>
      <w:lvlJc w:val="left"/>
      <w:pPr>
        <w:ind w:left="5120" w:hanging="360"/>
      </w:pPr>
    </w:lvl>
    <w:lvl w:ilvl="7" w:tplc="04180019" w:tentative="1">
      <w:start w:val="1"/>
      <w:numFmt w:val="lowerLetter"/>
      <w:lvlText w:val="%8."/>
      <w:lvlJc w:val="left"/>
      <w:pPr>
        <w:ind w:left="5840" w:hanging="360"/>
      </w:pPr>
    </w:lvl>
    <w:lvl w:ilvl="8" w:tplc="0418001B" w:tentative="1">
      <w:start w:val="1"/>
      <w:numFmt w:val="lowerRoman"/>
      <w:lvlText w:val="%9."/>
      <w:lvlJc w:val="right"/>
      <w:pPr>
        <w:ind w:left="6560" w:hanging="180"/>
      </w:pPr>
    </w:lvl>
  </w:abstractNum>
  <w:abstractNum w:abstractNumId="5" w15:restartNumberingAfterBreak="0">
    <w:nsid w:val="4D6B53DF"/>
    <w:multiLevelType w:val="hybridMultilevel"/>
    <w:tmpl w:val="C93A328E"/>
    <w:lvl w:ilvl="0" w:tplc="7158B0B6">
      <w:start w:val="1"/>
      <w:numFmt w:val="decimal"/>
      <w:lvlText w:val="%1."/>
      <w:lvlJc w:val="left"/>
      <w:pPr>
        <w:ind w:left="720" w:hanging="360"/>
      </w:pPr>
      <w:rPr>
        <w:rFonts w:eastAsiaTheme="minorEastAs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F947459"/>
    <w:multiLevelType w:val="hybridMultilevel"/>
    <w:tmpl w:val="D1789BA6"/>
    <w:lvl w:ilvl="0" w:tplc="E1C4A96A">
      <w:start w:val="1"/>
      <w:numFmt w:val="lowerLetter"/>
      <w:lvlText w:val="%1)"/>
      <w:lvlJc w:val="left"/>
      <w:pPr>
        <w:ind w:left="800" w:hanging="360"/>
      </w:pPr>
      <w:rPr>
        <w:rFonts w:hint="default"/>
      </w:rPr>
    </w:lvl>
    <w:lvl w:ilvl="1" w:tplc="04180019" w:tentative="1">
      <w:start w:val="1"/>
      <w:numFmt w:val="lowerLetter"/>
      <w:lvlText w:val="%2."/>
      <w:lvlJc w:val="left"/>
      <w:pPr>
        <w:ind w:left="1520" w:hanging="360"/>
      </w:pPr>
    </w:lvl>
    <w:lvl w:ilvl="2" w:tplc="0418001B" w:tentative="1">
      <w:start w:val="1"/>
      <w:numFmt w:val="lowerRoman"/>
      <w:lvlText w:val="%3."/>
      <w:lvlJc w:val="right"/>
      <w:pPr>
        <w:ind w:left="2240" w:hanging="180"/>
      </w:pPr>
    </w:lvl>
    <w:lvl w:ilvl="3" w:tplc="0418000F" w:tentative="1">
      <w:start w:val="1"/>
      <w:numFmt w:val="decimal"/>
      <w:lvlText w:val="%4."/>
      <w:lvlJc w:val="left"/>
      <w:pPr>
        <w:ind w:left="2960" w:hanging="360"/>
      </w:pPr>
    </w:lvl>
    <w:lvl w:ilvl="4" w:tplc="04180019" w:tentative="1">
      <w:start w:val="1"/>
      <w:numFmt w:val="lowerLetter"/>
      <w:lvlText w:val="%5."/>
      <w:lvlJc w:val="left"/>
      <w:pPr>
        <w:ind w:left="3680" w:hanging="360"/>
      </w:pPr>
    </w:lvl>
    <w:lvl w:ilvl="5" w:tplc="0418001B" w:tentative="1">
      <w:start w:val="1"/>
      <w:numFmt w:val="lowerRoman"/>
      <w:lvlText w:val="%6."/>
      <w:lvlJc w:val="right"/>
      <w:pPr>
        <w:ind w:left="4400" w:hanging="180"/>
      </w:pPr>
    </w:lvl>
    <w:lvl w:ilvl="6" w:tplc="0418000F" w:tentative="1">
      <w:start w:val="1"/>
      <w:numFmt w:val="decimal"/>
      <w:lvlText w:val="%7."/>
      <w:lvlJc w:val="left"/>
      <w:pPr>
        <w:ind w:left="5120" w:hanging="360"/>
      </w:pPr>
    </w:lvl>
    <w:lvl w:ilvl="7" w:tplc="04180019" w:tentative="1">
      <w:start w:val="1"/>
      <w:numFmt w:val="lowerLetter"/>
      <w:lvlText w:val="%8."/>
      <w:lvlJc w:val="left"/>
      <w:pPr>
        <w:ind w:left="5840" w:hanging="360"/>
      </w:pPr>
    </w:lvl>
    <w:lvl w:ilvl="8" w:tplc="0418001B" w:tentative="1">
      <w:start w:val="1"/>
      <w:numFmt w:val="lowerRoman"/>
      <w:lvlText w:val="%9."/>
      <w:lvlJc w:val="right"/>
      <w:pPr>
        <w:ind w:left="6560" w:hanging="180"/>
      </w:pPr>
    </w:lvl>
  </w:abstractNum>
  <w:abstractNum w:abstractNumId="7" w15:restartNumberingAfterBreak="0">
    <w:nsid w:val="6976161E"/>
    <w:multiLevelType w:val="multilevel"/>
    <w:tmpl w:val="CA6E711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FD4C37"/>
    <w:multiLevelType w:val="multilevel"/>
    <w:tmpl w:val="6DFD4C37"/>
    <w:lvl w:ilvl="0">
      <w:start w:val="1"/>
      <w:numFmt w:val="lowerLetter"/>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7"/>
  </w:num>
  <w:num w:numId="3">
    <w:abstractNumId w:val="2"/>
  </w:num>
  <w:num w:numId="4">
    <w:abstractNumId w:val="0"/>
  </w:num>
  <w:num w:numId="5">
    <w:abstractNumId w:val="6"/>
  </w:num>
  <w:num w:numId="6">
    <w:abstractNumId w:val="4"/>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756"/>
    <w:rsid w:val="00010D9F"/>
    <w:rsid w:val="00015257"/>
    <w:rsid w:val="0001645D"/>
    <w:rsid w:val="00016BF8"/>
    <w:rsid w:val="00017662"/>
    <w:rsid w:val="00020DBD"/>
    <w:rsid w:val="00021527"/>
    <w:rsid w:val="00022A24"/>
    <w:rsid w:val="00024194"/>
    <w:rsid w:val="00024199"/>
    <w:rsid w:val="00025FF6"/>
    <w:rsid w:val="00031627"/>
    <w:rsid w:val="00034C60"/>
    <w:rsid w:val="00034F96"/>
    <w:rsid w:val="00042341"/>
    <w:rsid w:val="0005049F"/>
    <w:rsid w:val="00053D95"/>
    <w:rsid w:val="000615E6"/>
    <w:rsid w:val="00063907"/>
    <w:rsid w:val="00070F5C"/>
    <w:rsid w:val="00071AB5"/>
    <w:rsid w:val="000760F5"/>
    <w:rsid w:val="000778E7"/>
    <w:rsid w:val="0008071B"/>
    <w:rsid w:val="00083631"/>
    <w:rsid w:val="00084719"/>
    <w:rsid w:val="000866FF"/>
    <w:rsid w:val="0009047D"/>
    <w:rsid w:val="00091334"/>
    <w:rsid w:val="0009260F"/>
    <w:rsid w:val="00092D3A"/>
    <w:rsid w:val="000B042E"/>
    <w:rsid w:val="000B04DF"/>
    <w:rsid w:val="000B3E58"/>
    <w:rsid w:val="000B4E44"/>
    <w:rsid w:val="000B60E5"/>
    <w:rsid w:val="000C0FFE"/>
    <w:rsid w:val="000D2584"/>
    <w:rsid w:val="000E152A"/>
    <w:rsid w:val="000E4C3C"/>
    <w:rsid w:val="000E7734"/>
    <w:rsid w:val="000F07ED"/>
    <w:rsid w:val="000F0C1B"/>
    <w:rsid w:val="000F1CA1"/>
    <w:rsid w:val="000F2E71"/>
    <w:rsid w:val="000F56A0"/>
    <w:rsid w:val="000F5702"/>
    <w:rsid w:val="001021C8"/>
    <w:rsid w:val="001037A1"/>
    <w:rsid w:val="00103925"/>
    <w:rsid w:val="001069BF"/>
    <w:rsid w:val="00121C22"/>
    <w:rsid w:val="00122AF9"/>
    <w:rsid w:val="0013090F"/>
    <w:rsid w:val="0013247E"/>
    <w:rsid w:val="00134F50"/>
    <w:rsid w:val="00140332"/>
    <w:rsid w:val="00146618"/>
    <w:rsid w:val="00156443"/>
    <w:rsid w:val="0017273E"/>
    <w:rsid w:val="00176694"/>
    <w:rsid w:val="00177B6A"/>
    <w:rsid w:val="001839C7"/>
    <w:rsid w:val="00187808"/>
    <w:rsid w:val="001923A3"/>
    <w:rsid w:val="0019240D"/>
    <w:rsid w:val="00195B2B"/>
    <w:rsid w:val="00195C8A"/>
    <w:rsid w:val="00197692"/>
    <w:rsid w:val="001A1B96"/>
    <w:rsid w:val="001A2EFF"/>
    <w:rsid w:val="001B0D77"/>
    <w:rsid w:val="001B3924"/>
    <w:rsid w:val="001B5EE7"/>
    <w:rsid w:val="001B7F44"/>
    <w:rsid w:val="001C200B"/>
    <w:rsid w:val="001C24D4"/>
    <w:rsid w:val="001C7E31"/>
    <w:rsid w:val="001D0788"/>
    <w:rsid w:val="001D2A6C"/>
    <w:rsid w:val="001D324B"/>
    <w:rsid w:val="001D4AD1"/>
    <w:rsid w:val="001D6D32"/>
    <w:rsid w:val="001E09A4"/>
    <w:rsid w:val="001E3C61"/>
    <w:rsid w:val="001E48C4"/>
    <w:rsid w:val="001F0898"/>
    <w:rsid w:val="001F218E"/>
    <w:rsid w:val="001F63B7"/>
    <w:rsid w:val="001F6D79"/>
    <w:rsid w:val="00200169"/>
    <w:rsid w:val="00203B90"/>
    <w:rsid w:val="00205A94"/>
    <w:rsid w:val="00205EB6"/>
    <w:rsid w:val="0021185B"/>
    <w:rsid w:val="002123BE"/>
    <w:rsid w:val="002171B1"/>
    <w:rsid w:val="00221667"/>
    <w:rsid w:val="002324C5"/>
    <w:rsid w:val="00232EEE"/>
    <w:rsid w:val="002338BB"/>
    <w:rsid w:val="00237ABE"/>
    <w:rsid w:val="0024525C"/>
    <w:rsid w:val="00245CC8"/>
    <w:rsid w:val="00247FAF"/>
    <w:rsid w:val="002509A1"/>
    <w:rsid w:val="00250BA0"/>
    <w:rsid w:val="00255072"/>
    <w:rsid w:val="00255DAB"/>
    <w:rsid w:val="00255FF3"/>
    <w:rsid w:val="00261D5F"/>
    <w:rsid w:val="002639CD"/>
    <w:rsid w:val="0026453A"/>
    <w:rsid w:val="0026680F"/>
    <w:rsid w:val="0027294D"/>
    <w:rsid w:val="00280BAC"/>
    <w:rsid w:val="002812DC"/>
    <w:rsid w:val="00281AB3"/>
    <w:rsid w:val="00283842"/>
    <w:rsid w:val="0028550B"/>
    <w:rsid w:val="0029399D"/>
    <w:rsid w:val="00294404"/>
    <w:rsid w:val="002A0C7E"/>
    <w:rsid w:val="002A0F13"/>
    <w:rsid w:val="002A29D9"/>
    <w:rsid w:val="002A2E8D"/>
    <w:rsid w:val="002A2FDF"/>
    <w:rsid w:val="002A6CA8"/>
    <w:rsid w:val="002B6DA3"/>
    <w:rsid w:val="002C2171"/>
    <w:rsid w:val="002C3158"/>
    <w:rsid w:val="002C35CB"/>
    <w:rsid w:val="002C4629"/>
    <w:rsid w:val="002C4830"/>
    <w:rsid w:val="002D2955"/>
    <w:rsid w:val="002D3550"/>
    <w:rsid w:val="002D5FBB"/>
    <w:rsid w:val="002D6B07"/>
    <w:rsid w:val="002E489F"/>
    <w:rsid w:val="002F0974"/>
    <w:rsid w:val="002F0C5F"/>
    <w:rsid w:val="002F64B3"/>
    <w:rsid w:val="00301E80"/>
    <w:rsid w:val="00301FF0"/>
    <w:rsid w:val="00307B7E"/>
    <w:rsid w:val="0031058A"/>
    <w:rsid w:val="00312FC6"/>
    <w:rsid w:val="003150CE"/>
    <w:rsid w:val="003167DC"/>
    <w:rsid w:val="0032217A"/>
    <w:rsid w:val="0032310E"/>
    <w:rsid w:val="003254BB"/>
    <w:rsid w:val="00330F6F"/>
    <w:rsid w:val="00342A59"/>
    <w:rsid w:val="00346330"/>
    <w:rsid w:val="00351B8F"/>
    <w:rsid w:val="00351C7F"/>
    <w:rsid w:val="00353FD3"/>
    <w:rsid w:val="003554A9"/>
    <w:rsid w:val="00355B57"/>
    <w:rsid w:val="0035636E"/>
    <w:rsid w:val="0036004A"/>
    <w:rsid w:val="003633C3"/>
    <w:rsid w:val="00364622"/>
    <w:rsid w:val="00364A7F"/>
    <w:rsid w:val="00371B9F"/>
    <w:rsid w:val="0037374E"/>
    <w:rsid w:val="00376F94"/>
    <w:rsid w:val="003778D7"/>
    <w:rsid w:val="003848FF"/>
    <w:rsid w:val="00385A33"/>
    <w:rsid w:val="00391FD4"/>
    <w:rsid w:val="003A1CF1"/>
    <w:rsid w:val="003A3CBF"/>
    <w:rsid w:val="003A66D4"/>
    <w:rsid w:val="003A757B"/>
    <w:rsid w:val="003A76A8"/>
    <w:rsid w:val="003A7992"/>
    <w:rsid w:val="003B76DD"/>
    <w:rsid w:val="003C0D6A"/>
    <w:rsid w:val="003C1329"/>
    <w:rsid w:val="003D0ECB"/>
    <w:rsid w:val="003D7327"/>
    <w:rsid w:val="003E0CBE"/>
    <w:rsid w:val="003E32A2"/>
    <w:rsid w:val="003F0988"/>
    <w:rsid w:val="003F16E1"/>
    <w:rsid w:val="00400272"/>
    <w:rsid w:val="0040619A"/>
    <w:rsid w:val="004115ED"/>
    <w:rsid w:val="00411D95"/>
    <w:rsid w:val="00412EA2"/>
    <w:rsid w:val="004148FD"/>
    <w:rsid w:val="00416348"/>
    <w:rsid w:val="004174CB"/>
    <w:rsid w:val="00422600"/>
    <w:rsid w:val="00423533"/>
    <w:rsid w:val="00424694"/>
    <w:rsid w:val="00427274"/>
    <w:rsid w:val="0042734A"/>
    <w:rsid w:val="004319A4"/>
    <w:rsid w:val="00432F53"/>
    <w:rsid w:val="004354DA"/>
    <w:rsid w:val="004377F1"/>
    <w:rsid w:val="004417B9"/>
    <w:rsid w:val="0044246C"/>
    <w:rsid w:val="00442E47"/>
    <w:rsid w:val="004454B5"/>
    <w:rsid w:val="00447EE0"/>
    <w:rsid w:val="00451DF4"/>
    <w:rsid w:val="00452315"/>
    <w:rsid w:val="00454EDF"/>
    <w:rsid w:val="004564EA"/>
    <w:rsid w:val="00467CD7"/>
    <w:rsid w:val="004707F0"/>
    <w:rsid w:val="00470EE0"/>
    <w:rsid w:val="004733BE"/>
    <w:rsid w:val="0047780B"/>
    <w:rsid w:val="00481E20"/>
    <w:rsid w:val="00484331"/>
    <w:rsid w:val="004858E4"/>
    <w:rsid w:val="00485919"/>
    <w:rsid w:val="00485D95"/>
    <w:rsid w:val="00486F1C"/>
    <w:rsid w:val="004872B2"/>
    <w:rsid w:val="004874F3"/>
    <w:rsid w:val="00490C20"/>
    <w:rsid w:val="004933F8"/>
    <w:rsid w:val="004A06B6"/>
    <w:rsid w:val="004A18AB"/>
    <w:rsid w:val="004A1BAA"/>
    <w:rsid w:val="004A3BE0"/>
    <w:rsid w:val="004A40BC"/>
    <w:rsid w:val="004B5E3F"/>
    <w:rsid w:val="004C25C4"/>
    <w:rsid w:val="004C5413"/>
    <w:rsid w:val="004C7422"/>
    <w:rsid w:val="004E06B8"/>
    <w:rsid w:val="004E1F8A"/>
    <w:rsid w:val="004E405D"/>
    <w:rsid w:val="004E4BBB"/>
    <w:rsid w:val="004E716E"/>
    <w:rsid w:val="004F0055"/>
    <w:rsid w:val="004F1D6A"/>
    <w:rsid w:val="004F1E46"/>
    <w:rsid w:val="004F37C0"/>
    <w:rsid w:val="004F4F7E"/>
    <w:rsid w:val="004F63C5"/>
    <w:rsid w:val="004F6682"/>
    <w:rsid w:val="00500F39"/>
    <w:rsid w:val="00502991"/>
    <w:rsid w:val="005032E3"/>
    <w:rsid w:val="00503306"/>
    <w:rsid w:val="005038A1"/>
    <w:rsid w:val="00507D2A"/>
    <w:rsid w:val="0051457E"/>
    <w:rsid w:val="0051459C"/>
    <w:rsid w:val="005145CA"/>
    <w:rsid w:val="00516CF0"/>
    <w:rsid w:val="00522F61"/>
    <w:rsid w:val="0052557A"/>
    <w:rsid w:val="00526857"/>
    <w:rsid w:val="00540D2E"/>
    <w:rsid w:val="00542C09"/>
    <w:rsid w:val="005451BA"/>
    <w:rsid w:val="00547E13"/>
    <w:rsid w:val="00550745"/>
    <w:rsid w:val="00552AE5"/>
    <w:rsid w:val="00553004"/>
    <w:rsid w:val="00555E1A"/>
    <w:rsid w:val="005563A3"/>
    <w:rsid w:val="00566DD3"/>
    <w:rsid w:val="00571B7F"/>
    <w:rsid w:val="00572E62"/>
    <w:rsid w:val="0057514D"/>
    <w:rsid w:val="00575733"/>
    <w:rsid w:val="00576E98"/>
    <w:rsid w:val="005779C3"/>
    <w:rsid w:val="00577E46"/>
    <w:rsid w:val="00583F4A"/>
    <w:rsid w:val="00586EA0"/>
    <w:rsid w:val="00591282"/>
    <w:rsid w:val="00594C68"/>
    <w:rsid w:val="00596210"/>
    <w:rsid w:val="005A0129"/>
    <w:rsid w:val="005A1971"/>
    <w:rsid w:val="005A3CA6"/>
    <w:rsid w:val="005A63A3"/>
    <w:rsid w:val="005B1E0D"/>
    <w:rsid w:val="005B20D0"/>
    <w:rsid w:val="005B3E4F"/>
    <w:rsid w:val="005C34FA"/>
    <w:rsid w:val="005C4F1D"/>
    <w:rsid w:val="005C6F4C"/>
    <w:rsid w:val="005D428D"/>
    <w:rsid w:val="005D4610"/>
    <w:rsid w:val="005D70DC"/>
    <w:rsid w:val="005E11F8"/>
    <w:rsid w:val="005E1212"/>
    <w:rsid w:val="005E2811"/>
    <w:rsid w:val="005E51BA"/>
    <w:rsid w:val="005F1D3F"/>
    <w:rsid w:val="005F2E6D"/>
    <w:rsid w:val="005F3AF2"/>
    <w:rsid w:val="005F74AB"/>
    <w:rsid w:val="005F76DB"/>
    <w:rsid w:val="00612169"/>
    <w:rsid w:val="00612363"/>
    <w:rsid w:val="0061333B"/>
    <w:rsid w:val="006175B9"/>
    <w:rsid w:val="0061773C"/>
    <w:rsid w:val="00620A97"/>
    <w:rsid w:val="00620CFF"/>
    <w:rsid w:val="00620F62"/>
    <w:rsid w:val="0062573E"/>
    <w:rsid w:val="006279EF"/>
    <w:rsid w:val="00630013"/>
    <w:rsid w:val="006304C7"/>
    <w:rsid w:val="006318B3"/>
    <w:rsid w:val="0063419A"/>
    <w:rsid w:val="00635D74"/>
    <w:rsid w:val="00636996"/>
    <w:rsid w:val="00642908"/>
    <w:rsid w:val="00644F16"/>
    <w:rsid w:val="0065123C"/>
    <w:rsid w:val="00651FED"/>
    <w:rsid w:val="006539AD"/>
    <w:rsid w:val="00654F41"/>
    <w:rsid w:val="00655948"/>
    <w:rsid w:val="00665A63"/>
    <w:rsid w:val="00667F8A"/>
    <w:rsid w:val="006706E7"/>
    <w:rsid w:val="00671756"/>
    <w:rsid w:val="00672F59"/>
    <w:rsid w:val="00676A5E"/>
    <w:rsid w:val="00682572"/>
    <w:rsid w:val="006832DF"/>
    <w:rsid w:val="0068331A"/>
    <w:rsid w:val="006919A2"/>
    <w:rsid w:val="00691ABA"/>
    <w:rsid w:val="00693458"/>
    <w:rsid w:val="00694765"/>
    <w:rsid w:val="00695BD3"/>
    <w:rsid w:val="00695EAB"/>
    <w:rsid w:val="006A0690"/>
    <w:rsid w:val="006A29C3"/>
    <w:rsid w:val="006A4852"/>
    <w:rsid w:val="006A5C2D"/>
    <w:rsid w:val="006A7301"/>
    <w:rsid w:val="006B1151"/>
    <w:rsid w:val="006B23DF"/>
    <w:rsid w:val="006C1850"/>
    <w:rsid w:val="006D0FC1"/>
    <w:rsid w:val="006D205A"/>
    <w:rsid w:val="006D3286"/>
    <w:rsid w:val="006D52CA"/>
    <w:rsid w:val="006D5929"/>
    <w:rsid w:val="006D7D75"/>
    <w:rsid w:val="006E1BC2"/>
    <w:rsid w:val="006E590A"/>
    <w:rsid w:val="006E7B20"/>
    <w:rsid w:val="006F73DE"/>
    <w:rsid w:val="00701393"/>
    <w:rsid w:val="0070524F"/>
    <w:rsid w:val="00706AFB"/>
    <w:rsid w:val="007105A9"/>
    <w:rsid w:val="00712F87"/>
    <w:rsid w:val="00713BF5"/>
    <w:rsid w:val="007161AD"/>
    <w:rsid w:val="00717415"/>
    <w:rsid w:val="0072387F"/>
    <w:rsid w:val="007240CD"/>
    <w:rsid w:val="00733005"/>
    <w:rsid w:val="00733E66"/>
    <w:rsid w:val="00734E46"/>
    <w:rsid w:val="007353F4"/>
    <w:rsid w:val="0074057C"/>
    <w:rsid w:val="00741C3D"/>
    <w:rsid w:val="00743F06"/>
    <w:rsid w:val="00745B6C"/>
    <w:rsid w:val="00746702"/>
    <w:rsid w:val="00747E3A"/>
    <w:rsid w:val="00750F84"/>
    <w:rsid w:val="0075562D"/>
    <w:rsid w:val="00755C22"/>
    <w:rsid w:val="00756A28"/>
    <w:rsid w:val="00756D5E"/>
    <w:rsid w:val="007614AA"/>
    <w:rsid w:val="00762079"/>
    <w:rsid w:val="00762766"/>
    <w:rsid w:val="00764338"/>
    <w:rsid w:val="007702D2"/>
    <w:rsid w:val="00770D80"/>
    <w:rsid w:val="007719C5"/>
    <w:rsid w:val="00774567"/>
    <w:rsid w:val="00776AF2"/>
    <w:rsid w:val="007801FD"/>
    <w:rsid w:val="0078590F"/>
    <w:rsid w:val="007866D0"/>
    <w:rsid w:val="007871C5"/>
    <w:rsid w:val="00790987"/>
    <w:rsid w:val="007B36E4"/>
    <w:rsid w:val="007B4D4B"/>
    <w:rsid w:val="007B7408"/>
    <w:rsid w:val="007C2D1D"/>
    <w:rsid w:val="007C33A3"/>
    <w:rsid w:val="007D0D77"/>
    <w:rsid w:val="007D41AE"/>
    <w:rsid w:val="007D6D11"/>
    <w:rsid w:val="007D7C48"/>
    <w:rsid w:val="007E10A8"/>
    <w:rsid w:val="007E3A97"/>
    <w:rsid w:val="007E5566"/>
    <w:rsid w:val="007E685E"/>
    <w:rsid w:val="007E7F66"/>
    <w:rsid w:val="007F1944"/>
    <w:rsid w:val="007F2B75"/>
    <w:rsid w:val="00802359"/>
    <w:rsid w:val="008026D5"/>
    <w:rsid w:val="008034E9"/>
    <w:rsid w:val="0080452A"/>
    <w:rsid w:val="00806268"/>
    <w:rsid w:val="008125AA"/>
    <w:rsid w:val="008142FD"/>
    <w:rsid w:val="008164FC"/>
    <w:rsid w:val="00824B3B"/>
    <w:rsid w:val="00826FBC"/>
    <w:rsid w:val="008278FD"/>
    <w:rsid w:val="00832851"/>
    <w:rsid w:val="00833E87"/>
    <w:rsid w:val="008345A5"/>
    <w:rsid w:val="00840122"/>
    <w:rsid w:val="0084279C"/>
    <w:rsid w:val="00842B1C"/>
    <w:rsid w:val="0084303D"/>
    <w:rsid w:val="00845AFA"/>
    <w:rsid w:val="00846277"/>
    <w:rsid w:val="00846AB0"/>
    <w:rsid w:val="00851E0C"/>
    <w:rsid w:val="0085368A"/>
    <w:rsid w:val="008536AD"/>
    <w:rsid w:val="00856A8C"/>
    <w:rsid w:val="008571F0"/>
    <w:rsid w:val="00861A16"/>
    <w:rsid w:val="00861CBE"/>
    <w:rsid w:val="00873B04"/>
    <w:rsid w:val="00881979"/>
    <w:rsid w:val="00882081"/>
    <w:rsid w:val="008825E1"/>
    <w:rsid w:val="0088342B"/>
    <w:rsid w:val="00884B58"/>
    <w:rsid w:val="0088608C"/>
    <w:rsid w:val="00890076"/>
    <w:rsid w:val="00890E7B"/>
    <w:rsid w:val="0089443B"/>
    <w:rsid w:val="00897A0B"/>
    <w:rsid w:val="008A42B3"/>
    <w:rsid w:val="008A5A32"/>
    <w:rsid w:val="008A5F53"/>
    <w:rsid w:val="008A66E4"/>
    <w:rsid w:val="008B118F"/>
    <w:rsid w:val="008B452F"/>
    <w:rsid w:val="008B7B23"/>
    <w:rsid w:val="008C521E"/>
    <w:rsid w:val="008D0104"/>
    <w:rsid w:val="008D164C"/>
    <w:rsid w:val="008D29B1"/>
    <w:rsid w:val="008D405F"/>
    <w:rsid w:val="008E118D"/>
    <w:rsid w:val="008E3B0D"/>
    <w:rsid w:val="008E6481"/>
    <w:rsid w:val="008F3B48"/>
    <w:rsid w:val="008F4F6A"/>
    <w:rsid w:val="009044B3"/>
    <w:rsid w:val="0091042C"/>
    <w:rsid w:val="00911446"/>
    <w:rsid w:val="00915C44"/>
    <w:rsid w:val="00922B4A"/>
    <w:rsid w:val="00923189"/>
    <w:rsid w:val="009241F1"/>
    <w:rsid w:val="009247F6"/>
    <w:rsid w:val="00931A13"/>
    <w:rsid w:val="00931B17"/>
    <w:rsid w:val="00935DBF"/>
    <w:rsid w:val="00943ADF"/>
    <w:rsid w:val="009441AD"/>
    <w:rsid w:val="00944418"/>
    <w:rsid w:val="009458F7"/>
    <w:rsid w:val="0095026A"/>
    <w:rsid w:val="0095056D"/>
    <w:rsid w:val="00951299"/>
    <w:rsid w:val="009576EC"/>
    <w:rsid w:val="00957954"/>
    <w:rsid w:val="009614A7"/>
    <w:rsid w:val="00963AD7"/>
    <w:rsid w:val="009651CC"/>
    <w:rsid w:val="0096612F"/>
    <w:rsid w:val="00970A8F"/>
    <w:rsid w:val="009715A2"/>
    <w:rsid w:val="00985ED8"/>
    <w:rsid w:val="00986A8C"/>
    <w:rsid w:val="00991235"/>
    <w:rsid w:val="00991A2A"/>
    <w:rsid w:val="00993FBA"/>
    <w:rsid w:val="00996063"/>
    <w:rsid w:val="009964FC"/>
    <w:rsid w:val="009A2CC1"/>
    <w:rsid w:val="009A7473"/>
    <w:rsid w:val="009B2946"/>
    <w:rsid w:val="009B4161"/>
    <w:rsid w:val="009B4AFC"/>
    <w:rsid w:val="009B4B5F"/>
    <w:rsid w:val="009B65B8"/>
    <w:rsid w:val="009B727E"/>
    <w:rsid w:val="009B72C4"/>
    <w:rsid w:val="009D0459"/>
    <w:rsid w:val="009D1D96"/>
    <w:rsid w:val="009D33B6"/>
    <w:rsid w:val="009D670B"/>
    <w:rsid w:val="009D7772"/>
    <w:rsid w:val="009D7BA6"/>
    <w:rsid w:val="009E0094"/>
    <w:rsid w:val="009E05DA"/>
    <w:rsid w:val="009E0B59"/>
    <w:rsid w:val="009E60BB"/>
    <w:rsid w:val="009F0628"/>
    <w:rsid w:val="009F0B66"/>
    <w:rsid w:val="009F1EE1"/>
    <w:rsid w:val="00A02D51"/>
    <w:rsid w:val="00A0377B"/>
    <w:rsid w:val="00A0576B"/>
    <w:rsid w:val="00A113C6"/>
    <w:rsid w:val="00A1258C"/>
    <w:rsid w:val="00A127E0"/>
    <w:rsid w:val="00A14ECD"/>
    <w:rsid w:val="00A153A9"/>
    <w:rsid w:val="00A25A92"/>
    <w:rsid w:val="00A25AF6"/>
    <w:rsid w:val="00A25E7F"/>
    <w:rsid w:val="00A300BE"/>
    <w:rsid w:val="00A31AA3"/>
    <w:rsid w:val="00A40B97"/>
    <w:rsid w:val="00A4326A"/>
    <w:rsid w:val="00A43F49"/>
    <w:rsid w:val="00A52280"/>
    <w:rsid w:val="00A53B77"/>
    <w:rsid w:val="00A548BB"/>
    <w:rsid w:val="00A62475"/>
    <w:rsid w:val="00A629C6"/>
    <w:rsid w:val="00A64B85"/>
    <w:rsid w:val="00A64D1C"/>
    <w:rsid w:val="00A65363"/>
    <w:rsid w:val="00A65EDF"/>
    <w:rsid w:val="00A67FAD"/>
    <w:rsid w:val="00A71002"/>
    <w:rsid w:val="00A71614"/>
    <w:rsid w:val="00A74E05"/>
    <w:rsid w:val="00A92FE8"/>
    <w:rsid w:val="00A96CDC"/>
    <w:rsid w:val="00A976DD"/>
    <w:rsid w:val="00AA06FD"/>
    <w:rsid w:val="00AA0CEA"/>
    <w:rsid w:val="00AA1234"/>
    <w:rsid w:val="00AA4D05"/>
    <w:rsid w:val="00AA5EA8"/>
    <w:rsid w:val="00AB57F6"/>
    <w:rsid w:val="00AB6903"/>
    <w:rsid w:val="00AB70FF"/>
    <w:rsid w:val="00AC0EC1"/>
    <w:rsid w:val="00AC5FDF"/>
    <w:rsid w:val="00AC7502"/>
    <w:rsid w:val="00AD1995"/>
    <w:rsid w:val="00AD456A"/>
    <w:rsid w:val="00AD73BE"/>
    <w:rsid w:val="00AE0E31"/>
    <w:rsid w:val="00AE4B41"/>
    <w:rsid w:val="00AF06D0"/>
    <w:rsid w:val="00B004FE"/>
    <w:rsid w:val="00B02877"/>
    <w:rsid w:val="00B032F8"/>
    <w:rsid w:val="00B03679"/>
    <w:rsid w:val="00B05324"/>
    <w:rsid w:val="00B075A8"/>
    <w:rsid w:val="00B12970"/>
    <w:rsid w:val="00B150E4"/>
    <w:rsid w:val="00B15774"/>
    <w:rsid w:val="00B23AB9"/>
    <w:rsid w:val="00B23D3B"/>
    <w:rsid w:val="00B24F74"/>
    <w:rsid w:val="00B25972"/>
    <w:rsid w:val="00B275F9"/>
    <w:rsid w:val="00B30455"/>
    <w:rsid w:val="00B32495"/>
    <w:rsid w:val="00B33105"/>
    <w:rsid w:val="00B34E10"/>
    <w:rsid w:val="00B354D2"/>
    <w:rsid w:val="00B358E6"/>
    <w:rsid w:val="00B37A92"/>
    <w:rsid w:val="00B41802"/>
    <w:rsid w:val="00B43A94"/>
    <w:rsid w:val="00B469A6"/>
    <w:rsid w:val="00B53569"/>
    <w:rsid w:val="00B546C1"/>
    <w:rsid w:val="00B60397"/>
    <w:rsid w:val="00B80F00"/>
    <w:rsid w:val="00B87D4B"/>
    <w:rsid w:val="00B92D0A"/>
    <w:rsid w:val="00B9328A"/>
    <w:rsid w:val="00B94810"/>
    <w:rsid w:val="00BA0C53"/>
    <w:rsid w:val="00BA1647"/>
    <w:rsid w:val="00BA3A01"/>
    <w:rsid w:val="00BA78D4"/>
    <w:rsid w:val="00BA7F41"/>
    <w:rsid w:val="00BB0449"/>
    <w:rsid w:val="00BB32AE"/>
    <w:rsid w:val="00BB4678"/>
    <w:rsid w:val="00BB6164"/>
    <w:rsid w:val="00BB6BAF"/>
    <w:rsid w:val="00BC0483"/>
    <w:rsid w:val="00BC4285"/>
    <w:rsid w:val="00BD25E8"/>
    <w:rsid w:val="00BD5CD7"/>
    <w:rsid w:val="00BD79A2"/>
    <w:rsid w:val="00BF357A"/>
    <w:rsid w:val="00BF446A"/>
    <w:rsid w:val="00BF4A70"/>
    <w:rsid w:val="00BF51BC"/>
    <w:rsid w:val="00BF5C8D"/>
    <w:rsid w:val="00BF73F6"/>
    <w:rsid w:val="00C01062"/>
    <w:rsid w:val="00C0611B"/>
    <w:rsid w:val="00C1087F"/>
    <w:rsid w:val="00C1104B"/>
    <w:rsid w:val="00C134B0"/>
    <w:rsid w:val="00C142DC"/>
    <w:rsid w:val="00C174CD"/>
    <w:rsid w:val="00C2017B"/>
    <w:rsid w:val="00C20827"/>
    <w:rsid w:val="00C24639"/>
    <w:rsid w:val="00C27C63"/>
    <w:rsid w:val="00C3019D"/>
    <w:rsid w:val="00C318D1"/>
    <w:rsid w:val="00C324D1"/>
    <w:rsid w:val="00C32F14"/>
    <w:rsid w:val="00C33EE4"/>
    <w:rsid w:val="00C35509"/>
    <w:rsid w:val="00C356EE"/>
    <w:rsid w:val="00C4146C"/>
    <w:rsid w:val="00C434C0"/>
    <w:rsid w:val="00C46C55"/>
    <w:rsid w:val="00C520C1"/>
    <w:rsid w:val="00C528D7"/>
    <w:rsid w:val="00C57689"/>
    <w:rsid w:val="00C57966"/>
    <w:rsid w:val="00C624DD"/>
    <w:rsid w:val="00C65A5F"/>
    <w:rsid w:val="00C72408"/>
    <w:rsid w:val="00C755F7"/>
    <w:rsid w:val="00C760E3"/>
    <w:rsid w:val="00C802AD"/>
    <w:rsid w:val="00C84443"/>
    <w:rsid w:val="00C84696"/>
    <w:rsid w:val="00C86F14"/>
    <w:rsid w:val="00C92153"/>
    <w:rsid w:val="00C943A7"/>
    <w:rsid w:val="00C9553A"/>
    <w:rsid w:val="00CA06F0"/>
    <w:rsid w:val="00CA24E7"/>
    <w:rsid w:val="00CA2FDC"/>
    <w:rsid w:val="00CA4FCC"/>
    <w:rsid w:val="00CB075D"/>
    <w:rsid w:val="00CB6D65"/>
    <w:rsid w:val="00CC05C7"/>
    <w:rsid w:val="00CC37A2"/>
    <w:rsid w:val="00CC49AA"/>
    <w:rsid w:val="00CC6449"/>
    <w:rsid w:val="00CD4B87"/>
    <w:rsid w:val="00CD4BE8"/>
    <w:rsid w:val="00CD5961"/>
    <w:rsid w:val="00CE1FAF"/>
    <w:rsid w:val="00CE2257"/>
    <w:rsid w:val="00CE251C"/>
    <w:rsid w:val="00CE2E59"/>
    <w:rsid w:val="00CE30E2"/>
    <w:rsid w:val="00CE357C"/>
    <w:rsid w:val="00CE409D"/>
    <w:rsid w:val="00CE7277"/>
    <w:rsid w:val="00CE7C1D"/>
    <w:rsid w:val="00CF1B3E"/>
    <w:rsid w:val="00CF4B17"/>
    <w:rsid w:val="00CF613A"/>
    <w:rsid w:val="00CF6897"/>
    <w:rsid w:val="00CF6E40"/>
    <w:rsid w:val="00CF7E6A"/>
    <w:rsid w:val="00D00F07"/>
    <w:rsid w:val="00D02396"/>
    <w:rsid w:val="00D0635F"/>
    <w:rsid w:val="00D11D9E"/>
    <w:rsid w:val="00D12FB9"/>
    <w:rsid w:val="00D147BB"/>
    <w:rsid w:val="00D14CF9"/>
    <w:rsid w:val="00D15876"/>
    <w:rsid w:val="00D15A84"/>
    <w:rsid w:val="00D22425"/>
    <w:rsid w:val="00D3185A"/>
    <w:rsid w:val="00D4054B"/>
    <w:rsid w:val="00D43ED0"/>
    <w:rsid w:val="00D4772C"/>
    <w:rsid w:val="00D5149E"/>
    <w:rsid w:val="00D52681"/>
    <w:rsid w:val="00D54C7E"/>
    <w:rsid w:val="00D5576E"/>
    <w:rsid w:val="00D5602B"/>
    <w:rsid w:val="00D61CA3"/>
    <w:rsid w:val="00D621D3"/>
    <w:rsid w:val="00D629B5"/>
    <w:rsid w:val="00D71025"/>
    <w:rsid w:val="00D72475"/>
    <w:rsid w:val="00D727E8"/>
    <w:rsid w:val="00D7783D"/>
    <w:rsid w:val="00D77D12"/>
    <w:rsid w:val="00D820A6"/>
    <w:rsid w:val="00D858FD"/>
    <w:rsid w:val="00D905E9"/>
    <w:rsid w:val="00D911E1"/>
    <w:rsid w:val="00D929C3"/>
    <w:rsid w:val="00D92AAB"/>
    <w:rsid w:val="00D952C9"/>
    <w:rsid w:val="00DA35BD"/>
    <w:rsid w:val="00DA5E17"/>
    <w:rsid w:val="00DB0B90"/>
    <w:rsid w:val="00DB34B4"/>
    <w:rsid w:val="00DC1FB5"/>
    <w:rsid w:val="00DC24AC"/>
    <w:rsid w:val="00DC35C6"/>
    <w:rsid w:val="00DC77C6"/>
    <w:rsid w:val="00DD0AD8"/>
    <w:rsid w:val="00DD0D35"/>
    <w:rsid w:val="00DD14AE"/>
    <w:rsid w:val="00DD46CC"/>
    <w:rsid w:val="00DD56A4"/>
    <w:rsid w:val="00DD6FBD"/>
    <w:rsid w:val="00DD74F2"/>
    <w:rsid w:val="00DE700D"/>
    <w:rsid w:val="00DF307E"/>
    <w:rsid w:val="00E02468"/>
    <w:rsid w:val="00E14A1B"/>
    <w:rsid w:val="00E15A47"/>
    <w:rsid w:val="00E17F78"/>
    <w:rsid w:val="00E22684"/>
    <w:rsid w:val="00E22FC8"/>
    <w:rsid w:val="00E246F3"/>
    <w:rsid w:val="00E34DAE"/>
    <w:rsid w:val="00E40E7E"/>
    <w:rsid w:val="00E45DE6"/>
    <w:rsid w:val="00E4790B"/>
    <w:rsid w:val="00E50882"/>
    <w:rsid w:val="00E5364E"/>
    <w:rsid w:val="00E5365E"/>
    <w:rsid w:val="00E569C5"/>
    <w:rsid w:val="00E624DA"/>
    <w:rsid w:val="00E76707"/>
    <w:rsid w:val="00E81FB4"/>
    <w:rsid w:val="00E82B22"/>
    <w:rsid w:val="00E82DAC"/>
    <w:rsid w:val="00EA0605"/>
    <w:rsid w:val="00EA4A3C"/>
    <w:rsid w:val="00EA642F"/>
    <w:rsid w:val="00EB02E8"/>
    <w:rsid w:val="00EB0717"/>
    <w:rsid w:val="00EB1BD8"/>
    <w:rsid w:val="00EB40A4"/>
    <w:rsid w:val="00EB60A4"/>
    <w:rsid w:val="00EC2F73"/>
    <w:rsid w:val="00EC5807"/>
    <w:rsid w:val="00EC625F"/>
    <w:rsid w:val="00ED2480"/>
    <w:rsid w:val="00ED6D6D"/>
    <w:rsid w:val="00EE1C0D"/>
    <w:rsid w:val="00EE4F84"/>
    <w:rsid w:val="00EE5133"/>
    <w:rsid w:val="00EE62EE"/>
    <w:rsid w:val="00EF1154"/>
    <w:rsid w:val="00EF5386"/>
    <w:rsid w:val="00EF7A7E"/>
    <w:rsid w:val="00F101FF"/>
    <w:rsid w:val="00F12B0C"/>
    <w:rsid w:val="00F21D40"/>
    <w:rsid w:val="00F24D24"/>
    <w:rsid w:val="00F33C84"/>
    <w:rsid w:val="00F33FE8"/>
    <w:rsid w:val="00F35263"/>
    <w:rsid w:val="00F35612"/>
    <w:rsid w:val="00F3573A"/>
    <w:rsid w:val="00F36894"/>
    <w:rsid w:val="00F37ECA"/>
    <w:rsid w:val="00F402D9"/>
    <w:rsid w:val="00F43670"/>
    <w:rsid w:val="00F4507D"/>
    <w:rsid w:val="00F46595"/>
    <w:rsid w:val="00F46EE8"/>
    <w:rsid w:val="00F50886"/>
    <w:rsid w:val="00F547DD"/>
    <w:rsid w:val="00F55192"/>
    <w:rsid w:val="00F57D1E"/>
    <w:rsid w:val="00F612F0"/>
    <w:rsid w:val="00F6289B"/>
    <w:rsid w:val="00F6481D"/>
    <w:rsid w:val="00F65669"/>
    <w:rsid w:val="00F7202C"/>
    <w:rsid w:val="00F805F1"/>
    <w:rsid w:val="00F9235A"/>
    <w:rsid w:val="00F9338B"/>
    <w:rsid w:val="00FA5863"/>
    <w:rsid w:val="00FB2161"/>
    <w:rsid w:val="00FB3D3A"/>
    <w:rsid w:val="00FB4AD8"/>
    <w:rsid w:val="00FB6E47"/>
    <w:rsid w:val="00FB72E6"/>
    <w:rsid w:val="00FC44BE"/>
    <w:rsid w:val="00FC76BA"/>
    <w:rsid w:val="00FD36AC"/>
    <w:rsid w:val="00FD5C50"/>
    <w:rsid w:val="00FF079B"/>
    <w:rsid w:val="00FF1632"/>
    <w:rsid w:val="00FF7166"/>
    <w:rsid w:val="0EFD1C75"/>
    <w:rsid w:val="0F927F1A"/>
    <w:rsid w:val="3EEA7EA2"/>
    <w:rsid w:val="4079063D"/>
    <w:rsid w:val="41966382"/>
    <w:rsid w:val="4A2D77C0"/>
    <w:rsid w:val="4ABD575F"/>
    <w:rsid w:val="4F8939A6"/>
    <w:rsid w:val="59091733"/>
    <w:rsid w:val="69F05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7F60"/>
  <w15:docId w15:val="{E5EA54EF-8D80-4352-A936-31B511D8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sz w:val="22"/>
      <w:szCs w:val="22"/>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after="0" w:line="240" w:lineRule="auto"/>
    </w:pPr>
    <w:rPr>
      <w:rFonts w:ascii="Tahoma" w:hAnsi="Tahoma" w:cs="Tahoma"/>
      <w:sz w:val="16"/>
      <w:szCs w:val="16"/>
    </w:rPr>
  </w:style>
  <w:style w:type="paragraph" w:styleId="Subsol">
    <w:name w:val="footer"/>
    <w:basedOn w:val="Normal"/>
    <w:link w:val="SubsolCaracter"/>
    <w:qFormat/>
    <w:pPr>
      <w:tabs>
        <w:tab w:val="center" w:pos="4677"/>
        <w:tab w:val="right" w:pos="9355"/>
      </w:tabs>
    </w:pPr>
    <w:rPr>
      <w:rFonts w:eastAsia="Times New Roman"/>
    </w:rPr>
  </w:style>
  <w:style w:type="paragraph" w:styleId="Antet">
    <w:name w:val="header"/>
    <w:basedOn w:val="Normal"/>
    <w:link w:val="AntetCaracter"/>
    <w:qFormat/>
    <w:pPr>
      <w:tabs>
        <w:tab w:val="center" w:pos="4677"/>
        <w:tab w:val="right" w:pos="9355"/>
      </w:tabs>
    </w:pPr>
    <w:rPr>
      <w:rFonts w:eastAsia="Times New Roman"/>
    </w:rPr>
  </w:style>
  <w:style w:type="character" w:styleId="Hyperlink">
    <w:name w:val="Hyperlink"/>
    <w:basedOn w:val="Fontdeparagrafimplicit"/>
    <w:uiPriority w:val="99"/>
    <w:unhideWhenUsed/>
    <w:qFormat/>
    <w:rPr>
      <w:color w:val="0563C1" w:themeColor="hyperlink"/>
      <w:u w:val="single"/>
    </w:rPr>
  </w:style>
  <w:style w:type="character" w:styleId="Numrdepagin">
    <w:name w:val="page number"/>
    <w:basedOn w:val="Fontdeparagrafimplicit"/>
    <w:qFormat/>
    <w:rPr>
      <w:rFonts w:cs="Times New Roman"/>
    </w:rPr>
  </w:style>
  <w:style w:type="table" w:styleId="Tabelgri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etCaracter">
    <w:name w:val="Antet Caracter"/>
    <w:basedOn w:val="Fontdeparagrafimplicit"/>
    <w:link w:val="Antet"/>
    <w:qFormat/>
    <w:rPr>
      <w:rFonts w:ascii="Calibri" w:eastAsia="Times New Roman" w:hAnsi="Calibri" w:cs="Times New Roman"/>
      <w:lang w:val="ru-RU" w:eastAsia="ru-RU"/>
    </w:rPr>
  </w:style>
  <w:style w:type="character" w:customStyle="1" w:styleId="SubsolCaracter">
    <w:name w:val="Subsol Caracter"/>
    <w:basedOn w:val="Fontdeparagrafimplicit"/>
    <w:link w:val="Subsol"/>
    <w:qFormat/>
    <w:rPr>
      <w:rFonts w:ascii="Calibri" w:eastAsia="Times New Roman" w:hAnsi="Calibri" w:cs="Times New Roman"/>
      <w:lang w:val="ru-RU" w:eastAsia="ru-RU"/>
    </w:rPr>
  </w:style>
  <w:style w:type="paragraph" w:styleId="Listparagraf">
    <w:name w:val="List Paragraph"/>
    <w:basedOn w:val="Normal"/>
    <w:uiPriority w:val="34"/>
    <w:qFormat/>
    <w:pPr>
      <w:ind w:left="720"/>
      <w:contextualSpacing/>
    </w:pPr>
    <w:rPr>
      <w:rFonts w:asciiTheme="minorHAnsi" w:eastAsiaTheme="minorHAnsi" w:hAnsiTheme="minorHAnsi" w:cstheme="minorBidi"/>
      <w:lang w:eastAsia="en-US"/>
    </w:rPr>
  </w:style>
  <w:style w:type="character" w:customStyle="1" w:styleId="a">
    <w:name w:val="Основной текст_"/>
    <w:basedOn w:val="Fontdeparagrafimplicit"/>
    <w:link w:val="1"/>
    <w:qFormat/>
    <w:rPr>
      <w:rFonts w:ascii="Batang" w:eastAsia="Batang" w:hAnsi="Batang" w:cs="Batang"/>
      <w:spacing w:val="4"/>
      <w:sz w:val="14"/>
      <w:szCs w:val="14"/>
      <w:shd w:val="clear" w:color="auto" w:fill="FFFFFF"/>
    </w:rPr>
  </w:style>
  <w:style w:type="paragraph" w:customStyle="1" w:styleId="1">
    <w:name w:val="Основной текст1"/>
    <w:basedOn w:val="Normal"/>
    <w:link w:val="a"/>
    <w:qFormat/>
    <w:pPr>
      <w:shd w:val="clear" w:color="auto" w:fill="FFFFFF"/>
      <w:spacing w:after="0" w:line="0" w:lineRule="atLeast"/>
    </w:pPr>
    <w:rPr>
      <w:rFonts w:ascii="Batang" w:eastAsia="Batang" w:hAnsi="Batang" w:cs="Batang"/>
      <w:spacing w:val="4"/>
      <w:sz w:val="14"/>
      <w:szCs w:val="14"/>
      <w:lang w:val="en-US" w:eastAsia="en-US"/>
    </w:rPr>
  </w:style>
  <w:style w:type="character" w:customStyle="1" w:styleId="1pt">
    <w:name w:val="Основной текст + Интервал 1 pt"/>
    <w:basedOn w:val="a"/>
    <w:qFormat/>
    <w:rPr>
      <w:rFonts w:ascii="Batang" w:eastAsia="Batang" w:hAnsi="Batang" w:cs="Batang"/>
      <w:spacing w:val="31"/>
      <w:sz w:val="14"/>
      <w:szCs w:val="14"/>
      <w:shd w:val="clear" w:color="auto" w:fill="FFFFFF"/>
    </w:rPr>
  </w:style>
  <w:style w:type="character" w:customStyle="1" w:styleId="a0">
    <w:name w:val="???????? ?????_"/>
    <w:basedOn w:val="Fontdeparagrafimplicit"/>
    <w:link w:val="a1"/>
    <w:uiPriority w:val="99"/>
    <w:qFormat/>
    <w:rPr>
      <w:rFonts w:ascii="Batang" w:eastAsia="Batang" w:cs="Batang"/>
      <w:spacing w:val="4"/>
      <w:sz w:val="14"/>
      <w:szCs w:val="14"/>
      <w:shd w:val="clear" w:color="auto" w:fill="FFFFFF"/>
    </w:rPr>
  </w:style>
  <w:style w:type="paragraph" w:customStyle="1" w:styleId="a1">
    <w:name w:val="???????? ?????"/>
    <w:basedOn w:val="Normal"/>
    <w:link w:val="a0"/>
    <w:uiPriority w:val="99"/>
    <w:qFormat/>
    <w:pPr>
      <w:shd w:val="clear" w:color="auto" w:fill="FFFFFF"/>
      <w:spacing w:after="0" w:line="240" w:lineRule="atLeast"/>
    </w:pPr>
    <w:rPr>
      <w:rFonts w:ascii="Batang" w:eastAsia="Batang" w:hAnsiTheme="minorHAnsi" w:cs="Batang"/>
      <w:spacing w:val="4"/>
      <w:sz w:val="14"/>
      <w:szCs w:val="14"/>
      <w:lang w:val="en-US" w:eastAsia="en-US"/>
    </w:rPr>
  </w:style>
  <w:style w:type="character" w:customStyle="1" w:styleId="TextnBalonCaracter">
    <w:name w:val="Text în Balon Caracter"/>
    <w:basedOn w:val="Fontdeparagrafimplicit"/>
    <w:link w:val="TextnBalon"/>
    <w:uiPriority w:val="99"/>
    <w:semiHidden/>
    <w:qFormat/>
    <w:rPr>
      <w:rFonts w:ascii="Tahoma" w:eastAsia="Calibri" w:hAnsi="Tahoma" w:cs="Tahoma"/>
      <w:sz w:val="16"/>
      <w:szCs w:val="16"/>
      <w:lang w:val="ru-RU" w:eastAsia="ru-RU"/>
    </w:rPr>
  </w:style>
  <w:style w:type="paragraph" w:styleId="Textnotdesubsol">
    <w:name w:val="footnote text"/>
    <w:basedOn w:val="Normal"/>
    <w:link w:val="TextnotdesubsolCaracter"/>
    <w:uiPriority w:val="99"/>
    <w:semiHidden/>
    <w:unhideWhenUsed/>
    <w:rsid w:val="0001525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015257"/>
    <w:rPr>
      <w:rFonts w:ascii="Calibri" w:eastAsia="Calibri" w:hAnsi="Calibri"/>
      <w:lang w:val="ru-RU" w:eastAsia="ru-RU"/>
    </w:rPr>
  </w:style>
  <w:style w:type="character" w:styleId="Referinnotdesubsol">
    <w:name w:val="footnote reference"/>
    <w:basedOn w:val="Fontdeparagrafimplicit"/>
    <w:uiPriority w:val="99"/>
    <w:semiHidden/>
    <w:unhideWhenUsed/>
    <w:rsid w:val="00015257"/>
    <w:rPr>
      <w:vertAlign w:val="superscript"/>
    </w:rPr>
  </w:style>
  <w:style w:type="character" w:styleId="MeniuneNerezolvat">
    <w:name w:val="Unresolved Mention"/>
    <w:basedOn w:val="Fontdeparagrafimplicit"/>
    <w:uiPriority w:val="99"/>
    <w:semiHidden/>
    <w:unhideWhenUsed/>
    <w:rsid w:val="00BB6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articip.gov.md/ro/document/stages/anunt-privind-initierea-elaborarii-proiectului-hotararii-guvernului-pentru-aprobarea%20regulamentului-privind-procedura-de-recunoastere-a-organizatiilor-de-producatori-organizatiilor-interprofesionale-din-sectorul-acvaculturii-si-organizarea-pietei-produselor-pescaresti-si-de-acvacultura/137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6100</TotalTime>
  <Pages>5</Pages>
  <Words>2328</Words>
  <Characters>13507</Characters>
  <Application>Microsoft Office Word</Application>
  <DocSecurity>0</DocSecurity>
  <Lines>112</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Viorica ȚURCANU</cp:lastModifiedBy>
  <cp:revision>39</cp:revision>
  <cp:lastPrinted>2024-10-02T13:37:00Z</cp:lastPrinted>
  <dcterms:created xsi:type="dcterms:W3CDTF">2024-11-04T13:27:00Z</dcterms:created>
  <dcterms:modified xsi:type="dcterms:W3CDTF">2025-02-10T13:12:00Z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06664D1E0C6244BB935C7E2E28D586EF_13</vt:lpwstr>
  </property>
</Properties>
</file>