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63" w:type="pct"/>
        <w:jc w:val="center"/>
        <w:tblCellMar>
          <w:top w:w="15" w:type="dxa"/>
          <w:left w:w="15" w:type="dxa"/>
          <w:bottom w:w="15" w:type="dxa"/>
          <w:right w:w="15" w:type="dxa"/>
        </w:tblCellMar>
        <w:tblLook w:val="04A0" w:firstRow="1" w:lastRow="0" w:firstColumn="1" w:lastColumn="0" w:noHBand="0" w:noVBand="1"/>
      </w:tblPr>
      <w:tblGrid>
        <w:gridCol w:w="10586"/>
      </w:tblGrid>
      <w:tr w:rsidR="00BC1740" w:rsidRPr="00BC1740" w:rsidTr="00050778">
        <w:trPr>
          <w:jc w:val="center"/>
        </w:trPr>
        <w:tc>
          <w:tcPr>
            <w:tcW w:w="5000" w:type="pct"/>
            <w:tcBorders>
              <w:top w:val="nil"/>
              <w:left w:val="nil"/>
              <w:bottom w:val="nil"/>
              <w:right w:val="nil"/>
            </w:tcBorders>
            <w:tcMar>
              <w:top w:w="15" w:type="dxa"/>
              <w:left w:w="45" w:type="dxa"/>
              <w:bottom w:w="15" w:type="dxa"/>
              <w:right w:w="45" w:type="dxa"/>
            </w:tcMar>
            <w:hideMark/>
          </w:tcPr>
          <w:p w:rsidR="00BC1740" w:rsidRPr="00BC1740" w:rsidRDefault="00BC1740" w:rsidP="00F975B0">
            <w:pPr>
              <w:spacing w:after="0" w:line="240" w:lineRule="auto"/>
              <w:ind w:right="50" w:firstLine="567"/>
              <w:jc w:val="both"/>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t> </w:t>
            </w:r>
          </w:p>
          <w:p w:rsidR="00BC1740" w:rsidRPr="00BC1740" w:rsidRDefault="00BC1740" w:rsidP="00F975B0">
            <w:pPr>
              <w:spacing w:after="0" w:line="240" w:lineRule="auto"/>
              <w:ind w:right="50"/>
              <w:jc w:val="center"/>
              <w:rPr>
                <w:rFonts w:ascii="Times New Roman" w:eastAsia="Times New Roman" w:hAnsi="Times New Roman" w:cs="Times New Roman"/>
                <w:sz w:val="24"/>
                <w:szCs w:val="24"/>
                <w:lang w:val="ro-MD"/>
              </w:rPr>
            </w:pPr>
            <w:r w:rsidRPr="00BC1740">
              <w:rPr>
                <w:rFonts w:ascii="Times New Roman" w:eastAsia="Times New Roman" w:hAnsi="Times New Roman" w:cs="Times New Roman"/>
                <w:b/>
                <w:bCs/>
                <w:sz w:val="24"/>
                <w:szCs w:val="24"/>
                <w:lang w:val="ro-MD"/>
              </w:rPr>
              <w:t>NOTA DE FUNDAMENTARE</w:t>
            </w:r>
          </w:p>
          <w:p w:rsidR="00BC1740" w:rsidRDefault="00BC1740" w:rsidP="00F975B0">
            <w:pPr>
              <w:spacing w:after="0" w:line="240" w:lineRule="auto"/>
              <w:ind w:right="50"/>
              <w:jc w:val="center"/>
              <w:rPr>
                <w:rFonts w:ascii="Times New Roman" w:eastAsia="Times New Roman" w:hAnsi="Times New Roman" w:cs="Times New Roman"/>
                <w:b/>
                <w:bCs/>
                <w:sz w:val="24"/>
                <w:szCs w:val="24"/>
                <w:lang w:val="ro-MD"/>
              </w:rPr>
            </w:pPr>
            <w:r w:rsidRPr="00BC1740">
              <w:rPr>
                <w:rFonts w:ascii="Times New Roman" w:eastAsia="Times New Roman" w:hAnsi="Times New Roman" w:cs="Times New Roman"/>
                <w:b/>
                <w:bCs/>
                <w:sz w:val="24"/>
                <w:szCs w:val="24"/>
                <w:lang w:val="ro-MD"/>
              </w:rPr>
              <w:t>la proiectul</w:t>
            </w:r>
            <w:r w:rsidRPr="00BC1740">
              <w:rPr>
                <w:rFonts w:ascii="Times New Roman" w:eastAsia="Times New Roman" w:hAnsi="Times New Roman" w:cs="Times New Roman"/>
                <w:sz w:val="24"/>
                <w:szCs w:val="24"/>
                <w:lang w:val="ro-MD"/>
              </w:rPr>
              <w:t xml:space="preserve"> </w:t>
            </w:r>
            <w:r w:rsidRPr="00BC1740">
              <w:rPr>
                <w:rFonts w:ascii="Times New Roman" w:eastAsia="Times New Roman" w:hAnsi="Times New Roman" w:cs="Times New Roman"/>
                <w:b/>
                <w:sz w:val="24"/>
                <w:szCs w:val="24"/>
                <w:lang w:val="ro-MD"/>
              </w:rPr>
              <w:t xml:space="preserve">hotărârii de Guvern </w:t>
            </w:r>
            <w:r w:rsidRPr="00BC1740">
              <w:rPr>
                <w:rFonts w:ascii="Times New Roman" w:eastAsia="Times New Roman" w:hAnsi="Times New Roman" w:cs="Times New Roman"/>
                <w:b/>
                <w:bCs/>
                <w:sz w:val="24"/>
                <w:szCs w:val="24"/>
                <w:lang w:val="ro-MD"/>
              </w:rPr>
              <w:t xml:space="preserve"> cu privire la modificarea unor </w:t>
            </w:r>
            <w:r>
              <w:rPr>
                <w:rFonts w:ascii="Times New Roman" w:eastAsia="Times New Roman" w:hAnsi="Times New Roman" w:cs="Times New Roman"/>
                <w:b/>
                <w:bCs/>
                <w:sz w:val="24"/>
                <w:szCs w:val="24"/>
                <w:lang w:val="ro-MD"/>
              </w:rPr>
              <w:t xml:space="preserve"> </w:t>
            </w:r>
          </w:p>
          <w:p w:rsidR="00BC1740" w:rsidRPr="00BC1740" w:rsidRDefault="00BC1740" w:rsidP="00F975B0">
            <w:pPr>
              <w:spacing w:after="0" w:line="240" w:lineRule="auto"/>
              <w:ind w:right="50"/>
              <w:jc w:val="center"/>
              <w:rPr>
                <w:rFonts w:ascii="Times New Roman" w:eastAsia="Times New Roman" w:hAnsi="Times New Roman" w:cs="Times New Roman"/>
                <w:bCs/>
                <w:sz w:val="24"/>
                <w:szCs w:val="24"/>
                <w:lang w:val="ro-MD"/>
              </w:rPr>
            </w:pPr>
            <w:r>
              <w:rPr>
                <w:rFonts w:ascii="Times New Roman" w:eastAsia="Times New Roman" w:hAnsi="Times New Roman" w:cs="Times New Roman"/>
                <w:b/>
                <w:bCs/>
                <w:sz w:val="24"/>
                <w:szCs w:val="24"/>
                <w:lang w:val="ro-MD"/>
              </w:rPr>
              <w:t>h</w:t>
            </w:r>
            <w:r w:rsidRPr="00BC1740">
              <w:rPr>
                <w:rFonts w:ascii="Times New Roman" w:eastAsia="Times New Roman" w:hAnsi="Times New Roman" w:cs="Times New Roman"/>
                <w:b/>
                <w:bCs/>
                <w:sz w:val="24"/>
                <w:szCs w:val="24"/>
                <w:lang w:val="ro-MD"/>
              </w:rPr>
              <w:t xml:space="preserve">otărâri ale Guvernului în domeniul metrologiei </w:t>
            </w:r>
          </w:p>
          <w:p w:rsidR="00BC1740" w:rsidRPr="00BC1740" w:rsidRDefault="00BC1740" w:rsidP="00F975B0">
            <w:pPr>
              <w:spacing w:after="0" w:line="240" w:lineRule="auto"/>
              <w:ind w:right="50" w:firstLine="567"/>
              <w:jc w:val="both"/>
              <w:rPr>
                <w:rFonts w:ascii="Times New Roman" w:eastAsia="Times New Roman" w:hAnsi="Times New Roman" w:cs="Times New Roman"/>
                <w:sz w:val="24"/>
                <w:szCs w:val="24"/>
                <w:lang w:val="ro-MD"/>
              </w:rPr>
            </w:pP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b/>
                <w:bCs/>
                <w:sz w:val="24"/>
                <w:szCs w:val="24"/>
                <w:lang w:val="ro-MD"/>
              </w:rPr>
              <w:t>1. Denumirea sau numele autorulu</w:t>
            </w:r>
            <w:r>
              <w:rPr>
                <w:rFonts w:ascii="Times New Roman" w:eastAsia="Times New Roman" w:hAnsi="Times New Roman" w:cs="Times New Roman"/>
                <w:b/>
                <w:bCs/>
                <w:sz w:val="24"/>
                <w:szCs w:val="24"/>
                <w:lang w:val="ro-MD"/>
              </w:rPr>
              <w:t>i şi, după caz, a/al participanț</w:t>
            </w:r>
            <w:r w:rsidRPr="00BC1740">
              <w:rPr>
                <w:rFonts w:ascii="Times New Roman" w:eastAsia="Times New Roman" w:hAnsi="Times New Roman" w:cs="Times New Roman"/>
                <w:b/>
                <w:bCs/>
                <w:sz w:val="24"/>
                <w:szCs w:val="24"/>
                <w:lang w:val="ro-MD"/>
              </w:rPr>
              <w:t>ilor la elaborarea proiectului actului normativ</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t> </w:t>
            </w:r>
            <w:r w:rsidR="001D2FE1">
              <w:rPr>
                <w:rFonts w:ascii="Times New Roman" w:eastAsia="Times New Roman" w:hAnsi="Times New Roman" w:cs="Times New Roman"/>
                <w:sz w:val="24"/>
                <w:szCs w:val="24"/>
                <w:lang w:val="ro-MD"/>
              </w:rPr>
              <w:t>Ministerul Dezvoltării Economice și Digitalizării</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b/>
                <w:bCs/>
                <w:sz w:val="24"/>
                <w:szCs w:val="24"/>
                <w:lang w:val="ro-MD"/>
              </w:rPr>
              <w:t>2. Condiţiile ce au impus elaborarea proiectului actului normativ</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3FD1" w:rsidRPr="00E13FD1" w:rsidRDefault="00E13FD1" w:rsidP="00F975B0">
            <w:pPr>
              <w:spacing w:after="0" w:line="240" w:lineRule="auto"/>
              <w:ind w:right="50"/>
              <w:rPr>
                <w:rFonts w:ascii="Times New Roman" w:eastAsia="Times New Roman" w:hAnsi="Times New Roman" w:cs="Times New Roman"/>
                <w:b/>
                <w:sz w:val="24"/>
                <w:szCs w:val="24"/>
                <w:lang w:val="ro-MD"/>
              </w:rPr>
            </w:pPr>
            <w:r w:rsidRPr="00E13FD1">
              <w:rPr>
                <w:rFonts w:ascii="Times New Roman" w:eastAsia="Times New Roman" w:hAnsi="Times New Roman" w:cs="Times New Roman"/>
                <w:b/>
                <w:sz w:val="24"/>
                <w:szCs w:val="24"/>
                <w:lang w:val="ro-MD"/>
              </w:rPr>
              <w:t xml:space="preserve">2.1. Temeiul legal sau, după caz, sursa proiectului actului normativ </w:t>
            </w:r>
          </w:p>
          <w:p w:rsidR="00A92E8F" w:rsidRPr="00A92E8F" w:rsidRDefault="00A92E8F" w:rsidP="00F975B0">
            <w:pPr>
              <w:spacing w:after="0" w:line="240" w:lineRule="auto"/>
              <w:ind w:right="50"/>
              <w:jc w:val="both"/>
              <w:rPr>
                <w:rFonts w:ascii="Times New Roman" w:eastAsia="Times New Roman" w:hAnsi="Times New Roman" w:cs="Times New Roman"/>
                <w:sz w:val="24"/>
                <w:szCs w:val="24"/>
                <w:lang w:val="ro-MD"/>
              </w:rPr>
            </w:pPr>
            <w:r w:rsidRPr="00A92E8F">
              <w:rPr>
                <w:rFonts w:ascii="Times New Roman" w:eastAsia="Times New Roman" w:hAnsi="Times New Roman" w:cs="Times New Roman"/>
                <w:sz w:val="24"/>
                <w:szCs w:val="24"/>
                <w:lang w:val="ro-MD"/>
              </w:rPr>
              <w:t xml:space="preserve">Proiectul de hotărâre de Guvern este elaborat întru implementarea art.173 capitolul 3 titlul V  </w:t>
            </w:r>
            <w:r w:rsidRPr="00A92E8F">
              <w:rPr>
                <w:rFonts w:ascii="Times New Roman" w:eastAsia="Times New Roman" w:hAnsi="Times New Roman" w:cs="Times New Roman"/>
                <w:i/>
                <w:sz w:val="24"/>
                <w:szCs w:val="24"/>
                <w:lang w:val="ro-MD"/>
              </w:rPr>
              <w:t>Comerțul și aspectele legate de comerț</w:t>
            </w:r>
            <w:r w:rsidRPr="00A92E8F">
              <w:rPr>
                <w:rFonts w:ascii="Times New Roman" w:eastAsia="Times New Roman" w:hAnsi="Times New Roman" w:cs="Times New Roman"/>
                <w:sz w:val="24"/>
                <w:szCs w:val="24"/>
                <w:lang w:val="ro-MD"/>
              </w:rPr>
              <w:t xml:space="preserve"> din Acordul de Asociere între Republica Moldova, pe de o parte, și Uniunea Europeană și Comunitatea Europeană a Energiei Atomice și statele membre ale acestora pe de altă parte, ratificat prin Legea nr.112/2014.</w:t>
            </w:r>
          </w:p>
          <w:p w:rsidR="00D00EC2" w:rsidRDefault="00F05324" w:rsidP="00F975B0">
            <w:pPr>
              <w:spacing w:before="120" w:after="120" w:line="240" w:lineRule="auto"/>
              <w:ind w:right="50"/>
              <w:jc w:val="both"/>
              <w:rPr>
                <w:rFonts w:ascii="Times New Roman" w:eastAsia="Times New Roman" w:hAnsi="Times New Roman" w:cs="Times New Roman"/>
                <w:sz w:val="24"/>
                <w:szCs w:val="24"/>
              </w:rPr>
            </w:pPr>
            <w:r w:rsidRPr="00F05324">
              <w:rPr>
                <w:rFonts w:ascii="Times New Roman" w:eastAsia="Times New Roman" w:hAnsi="Times New Roman" w:cs="Times New Roman"/>
                <w:sz w:val="24"/>
                <w:szCs w:val="24"/>
              </w:rPr>
              <w:t xml:space="preserve">Conform angajamentelor asumate prin art. </w:t>
            </w:r>
            <w:r w:rsidR="0047405E">
              <w:rPr>
                <w:rFonts w:ascii="Times New Roman" w:eastAsia="Times New Roman" w:hAnsi="Times New Roman" w:cs="Times New Roman"/>
                <w:sz w:val="24"/>
                <w:szCs w:val="24"/>
              </w:rPr>
              <w:t>173</w:t>
            </w:r>
            <w:r w:rsidRPr="00F05324">
              <w:rPr>
                <w:rFonts w:ascii="Times New Roman" w:eastAsia="Times New Roman" w:hAnsi="Times New Roman" w:cs="Times New Roman"/>
                <w:sz w:val="24"/>
                <w:szCs w:val="24"/>
              </w:rPr>
              <w:t xml:space="preserve"> din Acordul de Asociere RM-UE, Republica Moldova </w:t>
            </w:r>
            <w:r w:rsidR="0047405E" w:rsidRPr="0047405E">
              <w:rPr>
                <w:rFonts w:ascii="Times New Roman" w:eastAsia="Times New Roman" w:hAnsi="Times New Roman" w:cs="Times New Roman"/>
                <w:sz w:val="24"/>
                <w:szCs w:val="24"/>
              </w:rPr>
              <w:t>ia măsurile necesare pentru a asigura în mod progresiv conformitatea cu obiectivele Uniunii în materie de reglementări tehnice, standarde, metrologie, acreditare, evaluarea conformității, sisteme corespunzătoare și sistemul de supraveghere a pieței, și se angajează să urmeze principiile și practica prevăzute în acquis-</w:t>
            </w:r>
            <w:proofErr w:type="spellStart"/>
            <w:r w:rsidR="0047405E" w:rsidRPr="0047405E">
              <w:rPr>
                <w:rFonts w:ascii="Times New Roman" w:eastAsia="Times New Roman" w:hAnsi="Times New Roman" w:cs="Times New Roman"/>
                <w:sz w:val="24"/>
                <w:szCs w:val="24"/>
              </w:rPr>
              <w:t>ul</w:t>
            </w:r>
            <w:proofErr w:type="spellEnd"/>
            <w:r w:rsidR="0047405E" w:rsidRPr="0047405E">
              <w:rPr>
                <w:rFonts w:ascii="Times New Roman" w:eastAsia="Times New Roman" w:hAnsi="Times New Roman" w:cs="Times New Roman"/>
                <w:sz w:val="24"/>
                <w:szCs w:val="24"/>
              </w:rPr>
              <w:t xml:space="preserve"> relevant al Uniunii.</w:t>
            </w:r>
            <w:r w:rsidR="0047405E">
              <w:rPr>
                <w:rFonts w:ascii="Times New Roman" w:eastAsia="Times New Roman" w:hAnsi="Times New Roman" w:cs="Times New Roman"/>
                <w:sz w:val="24"/>
                <w:szCs w:val="24"/>
              </w:rPr>
              <w:t xml:space="preserve"> </w:t>
            </w:r>
            <w:r w:rsidR="0047405E" w:rsidRPr="0047405E">
              <w:rPr>
                <w:rFonts w:ascii="Times New Roman" w:eastAsia="Times New Roman" w:hAnsi="Times New Roman" w:cs="Times New Roman"/>
                <w:sz w:val="24"/>
                <w:szCs w:val="24"/>
              </w:rPr>
              <w:t>În vederea îndep</w:t>
            </w:r>
            <w:r w:rsidR="00D00EC2">
              <w:rPr>
                <w:rFonts w:ascii="Times New Roman" w:eastAsia="Times New Roman" w:hAnsi="Times New Roman" w:cs="Times New Roman"/>
                <w:sz w:val="24"/>
                <w:szCs w:val="24"/>
              </w:rPr>
              <w:t>linirii obiectivelor menționate</w:t>
            </w:r>
            <w:r w:rsidR="0047405E" w:rsidRPr="0047405E">
              <w:rPr>
                <w:rFonts w:ascii="Times New Roman" w:eastAsia="Times New Roman" w:hAnsi="Times New Roman" w:cs="Times New Roman"/>
                <w:sz w:val="24"/>
                <w:szCs w:val="24"/>
              </w:rPr>
              <w:t>, Republica Moldova include progresiv acquis-</w:t>
            </w:r>
            <w:proofErr w:type="spellStart"/>
            <w:r w:rsidR="0047405E" w:rsidRPr="0047405E">
              <w:rPr>
                <w:rFonts w:ascii="Times New Roman" w:eastAsia="Times New Roman" w:hAnsi="Times New Roman" w:cs="Times New Roman"/>
                <w:sz w:val="24"/>
                <w:szCs w:val="24"/>
              </w:rPr>
              <w:t>ul</w:t>
            </w:r>
            <w:proofErr w:type="spellEnd"/>
            <w:r w:rsidR="0047405E" w:rsidRPr="0047405E">
              <w:rPr>
                <w:rFonts w:ascii="Times New Roman" w:eastAsia="Times New Roman" w:hAnsi="Times New Roman" w:cs="Times New Roman"/>
                <w:sz w:val="24"/>
                <w:szCs w:val="24"/>
              </w:rPr>
              <w:t xml:space="preserve"> relevant al Uniunii în legislația sa</w:t>
            </w:r>
            <w:r w:rsidR="00F975B0">
              <w:rPr>
                <w:rFonts w:ascii="Times New Roman" w:eastAsia="Times New Roman" w:hAnsi="Times New Roman" w:cs="Times New Roman"/>
                <w:sz w:val="24"/>
                <w:szCs w:val="24"/>
              </w:rPr>
              <w:t>.</w:t>
            </w:r>
          </w:p>
          <w:p w:rsidR="0047405E" w:rsidRDefault="001173CE" w:rsidP="00F975B0">
            <w:pPr>
              <w:spacing w:after="0" w:line="240" w:lineRule="auto"/>
              <w:ind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asemenea, a</w:t>
            </w:r>
            <w:r w:rsidR="0047405E">
              <w:rPr>
                <w:rFonts w:ascii="Times New Roman" w:eastAsia="Times New Roman" w:hAnsi="Times New Roman" w:cs="Times New Roman"/>
                <w:sz w:val="24"/>
                <w:szCs w:val="24"/>
              </w:rPr>
              <w:t>rt</w:t>
            </w:r>
            <w:r>
              <w:rPr>
                <w:rFonts w:ascii="Times New Roman" w:eastAsia="Times New Roman" w:hAnsi="Times New Roman" w:cs="Times New Roman"/>
                <w:sz w:val="24"/>
                <w:szCs w:val="24"/>
              </w:rPr>
              <w:t xml:space="preserve">icolele </w:t>
            </w:r>
            <w:r w:rsidR="0047405E">
              <w:rPr>
                <w:rFonts w:ascii="Times New Roman" w:eastAsia="Times New Roman" w:hAnsi="Times New Roman" w:cs="Times New Roman"/>
                <w:sz w:val="24"/>
                <w:szCs w:val="24"/>
              </w:rPr>
              <w:t xml:space="preserve"> 408, 410, 448</w:t>
            </w:r>
            <w:r>
              <w:rPr>
                <w:rFonts w:ascii="Times New Roman" w:eastAsia="Times New Roman" w:hAnsi="Times New Roman" w:cs="Times New Roman"/>
                <w:sz w:val="24"/>
                <w:szCs w:val="24"/>
              </w:rPr>
              <w:t xml:space="preserve"> din Acordul de Asociere stabilesc prevederi clare, care  urmează a fi implementate de Republica Moldova:</w:t>
            </w:r>
          </w:p>
          <w:p w:rsidR="0047405E" w:rsidRDefault="0047405E" w:rsidP="00F975B0">
            <w:pPr>
              <w:pStyle w:val="ListParagraph"/>
              <w:numPr>
                <w:ilvl w:val="0"/>
                <w:numId w:val="2"/>
              </w:numPr>
              <w:spacing w:after="100" w:afterAutospacing="1" w:line="240" w:lineRule="auto"/>
              <w:ind w:right="50"/>
              <w:jc w:val="both"/>
              <w:rPr>
                <w:rFonts w:ascii="Times New Roman" w:eastAsia="Times New Roman" w:hAnsi="Times New Roman" w:cs="Times New Roman"/>
                <w:sz w:val="24"/>
                <w:szCs w:val="24"/>
              </w:rPr>
            </w:pPr>
            <w:r w:rsidRPr="001173CE">
              <w:rPr>
                <w:rFonts w:ascii="Times New Roman" w:eastAsia="Times New Roman" w:hAnsi="Times New Roman" w:cs="Times New Roman"/>
                <w:sz w:val="24"/>
                <w:szCs w:val="24"/>
              </w:rPr>
              <w:t>Republica Moldova se abține de la modificarea legislației sale orizontale și sectoriale, mai puțin atunci când face acest lucru în vederea alinierii progresive a acestei legislații la acquis-</w:t>
            </w:r>
            <w:proofErr w:type="spellStart"/>
            <w:r w:rsidRPr="001173CE">
              <w:rPr>
                <w:rFonts w:ascii="Times New Roman" w:eastAsia="Times New Roman" w:hAnsi="Times New Roman" w:cs="Times New Roman"/>
                <w:sz w:val="24"/>
                <w:szCs w:val="24"/>
              </w:rPr>
              <w:t>ul</w:t>
            </w:r>
            <w:proofErr w:type="spellEnd"/>
            <w:r w:rsidRPr="001173CE">
              <w:rPr>
                <w:rFonts w:ascii="Times New Roman" w:eastAsia="Times New Roman" w:hAnsi="Times New Roman" w:cs="Times New Roman"/>
                <w:sz w:val="24"/>
                <w:szCs w:val="24"/>
              </w:rPr>
              <w:t xml:space="preserve"> corespunzător al Uniunii și a menținerii acestei alinieri; </w:t>
            </w:r>
          </w:p>
          <w:p w:rsidR="001173CE" w:rsidRDefault="001173CE" w:rsidP="00F975B0">
            <w:pPr>
              <w:pStyle w:val="ListParagraph"/>
              <w:numPr>
                <w:ilvl w:val="0"/>
                <w:numId w:val="2"/>
              </w:numPr>
              <w:spacing w:before="120" w:after="100" w:afterAutospacing="1" w:line="240" w:lineRule="auto"/>
              <w:ind w:right="50"/>
              <w:jc w:val="both"/>
              <w:rPr>
                <w:rFonts w:ascii="Times New Roman" w:eastAsia="Times New Roman" w:hAnsi="Times New Roman" w:cs="Times New Roman"/>
                <w:sz w:val="24"/>
                <w:szCs w:val="24"/>
              </w:rPr>
            </w:pPr>
            <w:r w:rsidRPr="0047405E">
              <w:rPr>
                <w:rFonts w:ascii="Times New Roman" w:eastAsia="Times New Roman" w:hAnsi="Times New Roman" w:cs="Times New Roman"/>
                <w:sz w:val="24"/>
                <w:szCs w:val="24"/>
              </w:rPr>
              <w:t>Ca parte a apropierii, Republica Moldova retrage dispozițiile din legislația internă sau revocă practicile interne care sunt incompatibile cu dreptul Uniunii sau cu legislația sa internă apropiată de dreptul Uniunii în domeniile legate de comerț aferente titlului V (Comerț și aspecte legate de comerț)</w:t>
            </w:r>
            <w:r>
              <w:rPr>
                <w:rFonts w:ascii="Times New Roman" w:eastAsia="Times New Roman" w:hAnsi="Times New Roman" w:cs="Times New Roman"/>
                <w:sz w:val="24"/>
                <w:szCs w:val="24"/>
              </w:rPr>
              <w:t>;</w:t>
            </w:r>
          </w:p>
          <w:p w:rsidR="00D47D06" w:rsidRDefault="001173CE" w:rsidP="00F975B0">
            <w:pPr>
              <w:pStyle w:val="ListParagraph"/>
              <w:numPr>
                <w:ilvl w:val="0"/>
                <w:numId w:val="2"/>
              </w:numPr>
              <w:spacing w:before="120" w:after="100" w:afterAutospacing="1" w:line="240" w:lineRule="auto"/>
              <w:ind w:right="50"/>
              <w:jc w:val="both"/>
              <w:rPr>
                <w:rFonts w:ascii="Times New Roman" w:eastAsia="Times New Roman" w:hAnsi="Times New Roman" w:cs="Times New Roman"/>
                <w:sz w:val="24"/>
                <w:szCs w:val="24"/>
              </w:rPr>
            </w:pPr>
            <w:r w:rsidRPr="00D47D06">
              <w:rPr>
                <w:rFonts w:ascii="Times New Roman" w:eastAsia="Times New Roman" w:hAnsi="Times New Roman" w:cs="Times New Roman"/>
                <w:sz w:val="24"/>
                <w:szCs w:val="24"/>
              </w:rPr>
              <w:t>Republica Moldova asigură punerea efectivă în aplicare a legislației sale interne apropiate și întreprinde orice acțiune necesară pentru a reflecta evoluțiile dreptului Uniunii în legislația sa internă, în domeniile legate de comerț aferente titlului V (Comerț și aspecte legate de comerț)</w:t>
            </w:r>
            <w:r w:rsidR="00D47D06">
              <w:rPr>
                <w:rFonts w:ascii="Times New Roman" w:eastAsia="Times New Roman" w:hAnsi="Times New Roman" w:cs="Times New Roman"/>
                <w:sz w:val="24"/>
                <w:szCs w:val="24"/>
              </w:rPr>
              <w:t>;</w:t>
            </w:r>
          </w:p>
          <w:p w:rsidR="001173CE" w:rsidRDefault="001173CE" w:rsidP="00F975B0">
            <w:pPr>
              <w:pStyle w:val="ListParagraph"/>
              <w:numPr>
                <w:ilvl w:val="0"/>
                <w:numId w:val="2"/>
              </w:numPr>
              <w:spacing w:before="120" w:after="120" w:line="240" w:lineRule="auto"/>
              <w:ind w:right="50"/>
              <w:jc w:val="both"/>
              <w:rPr>
                <w:rFonts w:ascii="Times New Roman" w:eastAsia="Times New Roman" w:hAnsi="Times New Roman" w:cs="Times New Roman"/>
                <w:sz w:val="24"/>
                <w:szCs w:val="24"/>
              </w:rPr>
            </w:pPr>
            <w:r w:rsidRPr="00D47D06">
              <w:rPr>
                <w:rFonts w:ascii="Times New Roman" w:eastAsia="Times New Roman" w:hAnsi="Times New Roman" w:cs="Times New Roman"/>
                <w:sz w:val="24"/>
                <w:szCs w:val="24"/>
              </w:rPr>
              <w:t>Republica Moldova se abține de la orice acțiune care ar putea submina obiectivul sau rezultatul apropierii în ceea ce privește titlul V (Comerț și aspecte legate de comerț) din prezentul acord.</w:t>
            </w:r>
          </w:p>
          <w:p w:rsidR="00D824DC" w:rsidRDefault="00B42582" w:rsidP="00F975B0">
            <w:pPr>
              <w:spacing w:before="120" w:after="120" w:line="240" w:lineRule="auto"/>
              <w:ind w:right="5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În </w:t>
            </w:r>
            <w:r w:rsidR="00C173EF">
              <w:rPr>
                <w:rFonts w:ascii="Times New Roman" w:eastAsia="Times New Roman" w:hAnsi="Times New Roman" w:cs="Times New Roman"/>
                <w:sz w:val="24"/>
                <w:szCs w:val="24"/>
              </w:rPr>
              <w:t>contextul celor expuse</w:t>
            </w:r>
            <w:r w:rsidR="00D82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824DC">
              <w:rPr>
                <w:rFonts w:ascii="Times New Roman" w:eastAsia="Times New Roman" w:hAnsi="Times New Roman" w:cs="Times New Roman"/>
                <w:sz w:val="24"/>
                <w:szCs w:val="24"/>
              </w:rPr>
              <w:t xml:space="preserve">precum și având ca obiectiv pregătirea </w:t>
            </w:r>
            <w:r w:rsidR="00D824DC" w:rsidRPr="00D824DC">
              <w:rPr>
                <w:rFonts w:ascii="Times New Roman" w:eastAsia="Times New Roman" w:hAnsi="Times New Roman" w:cs="Times New Roman"/>
                <w:sz w:val="24"/>
                <w:szCs w:val="24"/>
              </w:rPr>
              <w:t xml:space="preserve">către </w:t>
            </w:r>
            <w:r w:rsidR="00D824DC" w:rsidRPr="00D824DC">
              <w:rPr>
                <w:rFonts w:ascii="Times New Roman" w:eastAsia="Times New Roman" w:hAnsi="Times New Roman" w:cs="Times New Roman"/>
                <w:color w:val="000000"/>
                <w:sz w:val="24"/>
                <w:szCs w:val="24"/>
              </w:rPr>
              <w:t>reuniunea  de screening bilateral pentru Capitol</w:t>
            </w:r>
            <w:r w:rsidR="00D824DC">
              <w:rPr>
                <w:rFonts w:ascii="Times New Roman" w:eastAsia="Times New Roman" w:hAnsi="Times New Roman" w:cs="Times New Roman"/>
                <w:color w:val="000000"/>
                <w:sz w:val="24"/>
                <w:szCs w:val="24"/>
              </w:rPr>
              <w:t>u</w:t>
            </w:r>
            <w:r w:rsidR="00D824DC" w:rsidRPr="00D824DC">
              <w:rPr>
                <w:rFonts w:ascii="Times New Roman" w:eastAsia="Times New Roman" w:hAnsi="Times New Roman" w:cs="Times New Roman"/>
                <w:color w:val="000000"/>
                <w:sz w:val="24"/>
                <w:szCs w:val="24"/>
              </w:rPr>
              <w:t>l 1:Libera circulație a bunurilor,</w:t>
            </w:r>
            <w:r w:rsidR="00D824DC">
              <w:rPr>
                <w:rFonts w:ascii="Arial" w:eastAsia="Times New Roman" w:hAnsi="Arial" w:cs="Arial"/>
                <w:color w:val="000000"/>
              </w:rPr>
              <w:t xml:space="preserve"> </w:t>
            </w:r>
            <w:r w:rsidR="00C173EF">
              <w:rPr>
                <w:rFonts w:ascii="Times New Roman" w:eastAsia="Times New Roman" w:hAnsi="Times New Roman" w:cs="Times New Roman"/>
                <w:sz w:val="24"/>
                <w:szCs w:val="24"/>
              </w:rPr>
              <w:t>a fost identificată ca măsură</w:t>
            </w:r>
            <w:r w:rsidR="00F05324" w:rsidRPr="00F05324">
              <w:rPr>
                <w:rFonts w:ascii="Times New Roman" w:eastAsia="Times New Roman" w:hAnsi="Times New Roman" w:cs="Times New Roman"/>
                <w:sz w:val="24"/>
                <w:szCs w:val="24"/>
              </w:rPr>
              <w:t xml:space="preserve"> prioritar</w:t>
            </w:r>
            <w:r w:rsidR="00C173EF">
              <w:rPr>
                <w:rFonts w:ascii="Times New Roman" w:eastAsia="Times New Roman" w:hAnsi="Times New Roman" w:cs="Times New Roman"/>
                <w:sz w:val="24"/>
                <w:szCs w:val="24"/>
              </w:rPr>
              <w:t xml:space="preserve">ă, </w:t>
            </w:r>
            <w:r w:rsidR="00F05324" w:rsidRPr="00F05324">
              <w:rPr>
                <w:rFonts w:ascii="Times New Roman" w:eastAsia="Times New Roman" w:hAnsi="Times New Roman" w:cs="Times New Roman"/>
                <w:sz w:val="24"/>
                <w:szCs w:val="24"/>
              </w:rPr>
              <w:t xml:space="preserve"> </w:t>
            </w:r>
            <w:r w:rsidR="00D824DC">
              <w:rPr>
                <w:rFonts w:ascii="Times New Roman" w:eastAsia="Times New Roman" w:hAnsi="Times New Roman" w:cs="Times New Roman"/>
                <w:sz w:val="24"/>
                <w:szCs w:val="24"/>
              </w:rPr>
              <w:t xml:space="preserve">ajustarea legislației naționale în domeniul metrologiei cu actele UE, incluse în agenda </w:t>
            </w:r>
            <w:r w:rsidR="00D824DC" w:rsidRPr="00D824DC">
              <w:rPr>
                <w:rFonts w:ascii="Times New Roman" w:eastAsia="Times New Roman" w:hAnsi="Times New Roman" w:cs="Times New Roman"/>
                <w:sz w:val="24"/>
                <w:szCs w:val="24"/>
                <w:lang w:val="en-GB"/>
              </w:rPr>
              <w:t>Bilateral Screening Meeting</w:t>
            </w:r>
            <w:r w:rsidR="00D824DC">
              <w:rPr>
                <w:rFonts w:ascii="Times New Roman" w:eastAsia="Times New Roman" w:hAnsi="Times New Roman" w:cs="Times New Roman"/>
                <w:sz w:val="24"/>
                <w:szCs w:val="24"/>
                <w:lang w:val="en-GB"/>
              </w:rPr>
              <w:t xml:space="preserve">. </w:t>
            </w:r>
            <w:r w:rsidR="00050778">
              <w:rPr>
                <w:rFonts w:ascii="Times New Roman" w:eastAsia="Times New Roman" w:hAnsi="Times New Roman" w:cs="Times New Roman"/>
                <w:sz w:val="24"/>
                <w:szCs w:val="24"/>
                <w:lang w:val="en-GB"/>
              </w:rPr>
              <w:t xml:space="preserve"> </w:t>
            </w:r>
          </w:p>
          <w:p w:rsidR="003A73BD" w:rsidRPr="000D106A" w:rsidRDefault="00A659E1" w:rsidP="00F975B0">
            <w:pPr>
              <w:spacing w:beforeLines="20" w:before="48" w:afterLines="20" w:after="48" w:line="240" w:lineRule="auto"/>
              <w:ind w:right="50"/>
              <w:jc w:val="both"/>
              <w:rPr>
                <w:rFonts w:ascii="Times New Roman" w:eastAsia="Times New Roman" w:hAnsi="Times New Roman" w:cs="Times New Roman"/>
                <w:sz w:val="24"/>
                <w:szCs w:val="24"/>
                <w:lang w:val="ro-MD" w:eastAsia="en-GB"/>
              </w:rPr>
            </w:pPr>
            <w:r w:rsidRPr="000D106A">
              <w:rPr>
                <w:rFonts w:ascii="Times New Roman" w:eastAsia="Times New Roman" w:hAnsi="Times New Roman" w:cs="Times New Roman"/>
                <w:sz w:val="24"/>
                <w:szCs w:val="24"/>
                <w:lang w:val="ro-MD" w:eastAsia="en-GB"/>
              </w:rPr>
              <w:t xml:space="preserve">Mai mult, Reglementările tehnice naţionale </w:t>
            </w:r>
            <w:r w:rsidR="001E7F64" w:rsidRPr="000D106A">
              <w:rPr>
                <w:rFonts w:ascii="Times New Roman" w:eastAsia="Times New Roman" w:hAnsi="Times New Roman" w:cs="Times New Roman"/>
                <w:sz w:val="24"/>
                <w:szCs w:val="24"/>
                <w:lang w:val="ro-MD" w:eastAsia="en-GB"/>
              </w:rPr>
              <w:t xml:space="preserve">aferente domeniului metrologiei au fost supuse evaluării legislative cu suportul proiectului </w:t>
            </w:r>
            <w:r w:rsidRPr="000D106A">
              <w:rPr>
                <w:rFonts w:ascii="Times New Roman" w:eastAsia="Times New Roman" w:hAnsi="Times New Roman" w:cs="Times New Roman"/>
                <w:i/>
                <w:sz w:val="24"/>
                <w:szCs w:val="24"/>
                <w:lang w:val="ro-MD" w:eastAsia="en-GB"/>
              </w:rPr>
              <w:t>„Legislative Pre-</w:t>
            </w:r>
            <w:proofErr w:type="spellStart"/>
            <w:r w:rsidRPr="000D106A">
              <w:rPr>
                <w:rFonts w:ascii="Times New Roman" w:eastAsia="Times New Roman" w:hAnsi="Times New Roman" w:cs="Times New Roman"/>
                <w:i/>
                <w:sz w:val="24"/>
                <w:szCs w:val="24"/>
                <w:lang w:val="ro-MD" w:eastAsia="en-GB"/>
              </w:rPr>
              <w:t>Assessment</w:t>
            </w:r>
            <w:proofErr w:type="spellEnd"/>
            <w:r w:rsidRPr="000D106A">
              <w:rPr>
                <w:rFonts w:ascii="Times New Roman" w:eastAsia="Times New Roman" w:hAnsi="Times New Roman" w:cs="Times New Roman"/>
                <w:i/>
                <w:sz w:val="24"/>
                <w:szCs w:val="24"/>
                <w:lang w:val="ro-MD" w:eastAsia="en-GB"/>
              </w:rPr>
              <w:t xml:space="preserve"> of </w:t>
            </w:r>
            <w:proofErr w:type="spellStart"/>
            <w:r w:rsidRPr="000D106A">
              <w:rPr>
                <w:rFonts w:ascii="Times New Roman" w:eastAsia="Times New Roman" w:hAnsi="Times New Roman" w:cs="Times New Roman"/>
                <w:i/>
                <w:sz w:val="24"/>
                <w:szCs w:val="24"/>
                <w:lang w:val="ro-MD" w:eastAsia="en-GB"/>
              </w:rPr>
              <w:t>the</w:t>
            </w:r>
            <w:proofErr w:type="spellEnd"/>
            <w:r w:rsidRPr="000D106A">
              <w:rPr>
                <w:rFonts w:ascii="Times New Roman" w:eastAsia="Times New Roman" w:hAnsi="Times New Roman" w:cs="Times New Roman"/>
                <w:i/>
                <w:sz w:val="24"/>
                <w:szCs w:val="24"/>
                <w:lang w:val="ro-MD" w:eastAsia="en-GB"/>
              </w:rPr>
              <w:t xml:space="preserve"> EU - Moldova Association Agreement -</w:t>
            </w:r>
            <w:proofErr w:type="spellStart"/>
            <w:r w:rsidRPr="000D106A">
              <w:rPr>
                <w:rFonts w:ascii="Times New Roman" w:eastAsia="Times New Roman" w:hAnsi="Times New Roman" w:cs="Times New Roman"/>
                <w:i/>
                <w:sz w:val="24"/>
                <w:szCs w:val="24"/>
                <w:lang w:val="ro-MD" w:eastAsia="en-GB"/>
              </w:rPr>
              <w:t>Provisions</w:t>
            </w:r>
            <w:proofErr w:type="spellEnd"/>
            <w:r w:rsidRPr="000D106A">
              <w:rPr>
                <w:rFonts w:ascii="Times New Roman" w:eastAsia="Times New Roman" w:hAnsi="Times New Roman" w:cs="Times New Roman"/>
                <w:i/>
                <w:sz w:val="24"/>
                <w:szCs w:val="24"/>
                <w:lang w:val="ro-MD" w:eastAsia="en-GB"/>
              </w:rPr>
              <w:t xml:space="preserve"> on </w:t>
            </w:r>
            <w:proofErr w:type="spellStart"/>
            <w:r w:rsidRPr="000D106A">
              <w:rPr>
                <w:rFonts w:ascii="Times New Roman" w:eastAsia="Times New Roman" w:hAnsi="Times New Roman" w:cs="Times New Roman"/>
                <w:i/>
                <w:sz w:val="24"/>
                <w:szCs w:val="24"/>
                <w:lang w:val="ro-MD" w:eastAsia="en-GB"/>
              </w:rPr>
              <w:t>Technical</w:t>
            </w:r>
            <w:proofErr w:type="spellEnd"/>
            <w:r w:rsidRPr="000D106A">
              <w:rPr>
                <w:rFonts w:ascii="Times New Roman" w:eastAsia="Times New Roman" w:hAnsi="Times New Roman" w:cs="Times New Roman"/>
                <w:i/>
                <w:sz w:val="24"/>
                <w:szCs w:val="24"/>
                <w:lang w:val="ro-MD" w:eastAsia="en-GB"/>
              </w:rPr>
              <w:t xml:space="preserve"> </w:t>
            </w:r>
            <w:proofErr w:type="spellStart"/>
            <w:r w:rsidRPr="000D106A">
              <w:rPr>
                <w:rFonts w:ascii="Times New Roman" w:eastAsia="Times New Roman" w:hAnsi="Times New Roman" w:cs="Times New Roman"/>
                <w:i/>
                <w:sz w:val="24"/>
                <w:szCs w:val="24"/>
                <w:lang w:val="ro-MD" w:eastAsia="en-GB"/>
              </w:rPr>
              <w:t>Barriers</w:t>
            </w:r>
            <w:proofErr w:type="spellEnd"/>
            <w:r w:rsidRPr="000D106A">
              <w:rPr>
                <w:rFonts w:ascii="Times New Roman" w:eastAsia="Times New Roman" w:hAnsi="Times New Roman" w:cs="Times New Roman"/>
                <w:i/>
                <w:sz w:val="24"/>
                <w:szCs w:val="24"/>
                <w:lang w:val="ro-MD" w:eastAsia="en-GB"/>
              </w:rPr>
              <w:t xml:space="preserve"> </w:t>
            </w:r>
            <w:proofErr w:type="spellStart"/>
            <w:r w:rsidRPr="000D106A">
              <w:rPr>
                <w:rFonts w:ascii="Times New Roman" w:eastAsia="Times New Roman" w:hAnsi="Times New Roman" w:cs="Times New Roman"/>
                <w:i/>
                <w:sz w:val="24"/>
                <w:szCs w:val="24"/>
                <w:lang w:val="ro-MD" w:eastAsia="en-GB"/>
              </w:rPr>
              <w:t>to</w:t>
            </w:r>
            <w:proofErr w:type="spellEnd"/>
            <w:r w:rsidRPr="000D106A">
              <w:rPr>
                <w:rFonts w:ascii="Times New Roman" w:eastAsia="Times New Roman" w:hAnsi="Times New Roman" w:cs="Times New Roman"/>
                <w:i/>
                <w:sz w:val="24"/>
                <w:szCs w:val="24"/>
                <w:lang w:val="ro-MD" w:eastAsia="en-GB"/>
              </w:rPr>
              <w:t xml:space="preserve"> Trade” (</w:t>
            </w:r>
            <w:proofErr w:type="spellStart"/>
            <w:r w:rsidRPr="000D106A">
              <w:rPr>
                <w:rFonts w:ascii="Times New Roman" w:eastAsia="Times New Roman" w:hAnsi="Times New Roman" w:cs="Times New Roman"/>
                <w:i/>
                <w:sz w:val="24"/>
                <w:szCs w:val="24"/>
                <w:lang w:val="ro-MD" w:eastAsia="en-GB"/>
              </w:rPr>
              <w:t>project</w:t>
            </w:r>
            <w:proofErr w:type="spellEnd"/>
            <w:r w:rsidRPr="000D106A">
              <w:rPr>
                <w:rFonts w:ascii="Times New Roman" w:eastAsia="Times New Roman" w:hAnsi="Times New Roman" w:cs="Times New Roman"/>
                <w:i/>
                <w:sz w:val="24"/>
                <w:szCs w:val="24"/>
                <w:lang w:val="ro-MD" w:eastAsia="en-GB"/>
              </w:rPr>
              <w:t xml:space="preserve"> </w:t>
            </w:r>
            <w:proofErr w:type="spellStart"/>
            <w:r w:rsidRPr="000D106A">
              <w:rPr>
                <w:rFonts w:ascii="Times New Roman" w:eastAsia="Times New Roman" w:hAnsi="Times New Roman" w:cs="Times New Roman"/>
                <w:i/>
                <w:sz w:val="24"/>
                <w:szCs w:val="24"/>
                <w:lang w:val="ro-MD" w:eastAsia="en-GB"/>
              </w:rPr>
              <w:t>number</w:t>
            </w:r>
            <w:proofErr w:type="spellEnd"/>
            <w:r w:rsidRPr="000D106A">
              <w:rPr>
                <w:rFonts w:ascii="Times New Roman" w:eastAsia="Times New Roman" w:hAnsi="Times New Roman" w:cs="Times New Roman"/>
                <w:i/>
                <w:sz w:val="24"/>
                <w:szCs w:val="24"/>
                <w:lang w:val="ro-MD" w:eastAsia="en-GB"/>
              </w:rPr>
              <w:t xml:space="preserve"> SIEA-2018-19547)</w:t>
            </w:r>
            <w:r w:rsidR="000D106A" w:rsidRPr="000D106A">
              <w:rPr>
                <w:rFonts w:ascii="Times New Roman" w:eastAsia="Times New Roman" w:hAnsi="Times New Roman" w:cs="Times New Roman"/>
                <w:i/>
                <w:sz w:val="24"/>
                <w:szCs w:val="24"/>
                <w:lang w:val="ro-MD" w:eastAsia="en-GB"/>
              </w:rPr>
              <w:t xml:space="preserve">. </w:t>
            </w:r>
            <w:r w:rsidRPr="000D106A">
              <w:rPr>
                <w:rFonts w:ascii="Times New Roman" w:eastAsia="Times New Roman" w:hAnsi="Times New Roman" w:cs="Times New Roman"/>
                <w:i/>
                <w:sz w:val="24"/>
                <w:szCs w:val="24"/>
                <w:lang w:val="ro-MD" w:eastAsia="en-GB"/>
              </w:rPr>
              <w:t xml:space="preserve"> </w:t>
            </w:r>
            <w:r w:rsidR="000D106A" w:rsidRPr="000D106A">
              <w:rPr>
                <w:rFonts w:ascii="Times New Roman" w:eastAsia="Times New Roman" w:hAnsi="Times New Roman" w:cs="Times New Roman"/>
                <w:sz w:val="24"/>
                <w:szCs w:val="24"/>
                <w:lang w:val="ro-MD" w:eastAsia="en-GB"/>
              </w:rPr>
              <w:t>Cu toate că,</w:t>
            </w:r>
            <w:r w:rsidR="000D106A" w:rsidRPr="000D106A">
              <w:rPr>
                <w:rFonts w:ascii="Times New Roman" w:eastAsia="Times New Roman" w:hAnsi="Times New Roman" w:cs="Times New Roman"/>
                <w:i/>
                <w:sz w:val="24"/>
                <w:szCs w:val="24"/>
                <w:lang w:val="ro-MD" w:eastAsia="en-GB"/>
              </w:rPr>
              <w:t xml:space="preserve"> </w:t>
            </w:r>
            <w:r w:rsidR="000D106A" w:rsidRPr="000D106A">
              <w:rPr>
                <w:rFonts w:ascii="Times New Roman" w:eastAsia="Times New Roman" w:hAnsi="Times New Roman" w:cs="Times New Roman"/>
                <w:sz w:val="24"/>
                <w:szCs w:val="24"/>
                <w:lang w:val="ro-MD" w:eastAsia="en-GB"/>
              </w:rPr>
              <w:t>c</w:t>
            </w:r>
            <w:r w:rsidRPr="000D106A">
              <w:rPr>
                <w:rFonts w:ascii="Times New Roman" w:eastAsia="Times New Roman" w:hAnsi="Times New Roman" w:cs="Times New Roman"/>
                <w:sz w:val="24"/>
                <w:szCs w:val="24"/>
                <w:lang w:val="ro-MD" w:eastAsia="en-GB"/>
              </w:rPr>
              <w:t xml:space="preserve">onform </w:t>
            </w:r>
            <w:r w:rsidRPr="000D106A">
              <w:rPr>
                <w:rFonts w:ascii="Times New Roman" w:eastAsia="Times New Roman" w:hAnsi="Times New Roman" w:cs="Times New Roman"/>
                <w:i/>
                <w:sz w:val="24"/>
                <w:szCs w:val="24"/>
                <w:lang w:val="ro-MD" w:eastAsia="en-GB"/>
              </w:rPr>
              <w:t>Final Report Legislative Pre-</w:t>
            </w:r>
            <w:proofErr w:type="spellStart"/>
            <w:r w:rsidRPr="000D106A">
              <w:rPr>
                <w:rFonts w:ascii="Times New Roman" w:eastAsia="Times New Roman" w:hAnsi="Times New Roman" w:cs="Times New Roman"/>
                <w:i/>
                <w:sz w:val="24"/>
                <w:szCs w:val="24"/>
                <w:lang w:val="ro-MD" w:eastAsia="en-GB"/>
              </w:rPr>
              <w:t>Assessment</w:t>
            </w:r>
            <w:proofErr w:type="spellEnd"/>
            <w:r w:rsidRPr="000D106A">
              <w:rPr>
                <w:rFonts w:ascii="Times New Roman" w:eastAsia="Times New Roman" w:hAnsi="Times New Roman" w:cs="Times New Roman"/>
                <w:i/>
                <w:sz w:val="24"/>
                <w:szCs w:val="24"/>
                <w:lang w:val="ro-MD" w:eastAsia="en-GB"/>
              </w:rPr>
              <w:t xml:space="preserve"> of </w:t>
            </w:r>
            <w:proofErr w:type="spellStart"/>
            <w:r w:rsidRPr="000D106A">
              <w:rPr>
                <w:rFonts w:ascii="Times New Roman" w:eastAsia="Times New Roman" w:hAnsi="Times New Roman" w:cs="Times New Roman"/>
                <w:i/>
                <w:sz w:val="24"/>
                <w:szCs w:val="24"/>
                <w:lang w:val="ro-MD" w:eastAsia="en-GB"/>
              </w:rPr>
              <w:t>the</w:t>
            </w:r>
            <w:proofErr w:type="spellEnd"/>
            <w:r w:rsidRPr="000D106A">
              <w:rPr>
                <w:rFonts w:ascii="Times New Roman" w:eastAsia="Times New Roman" w:hAnsi="Times New Roman" w:cs="Times New Roman"/>
                <w:i/>
                <w:sz w:val="24"/>
                <w:szCs w:val="24"/>
                <w:lang w:val="ro-MD" w:eastAsia="en-GB"/>
              </w:rPr>
              <w:t xml:space="preserve"> EU - Moldova Association Agreement </w:t>
            </w:r>
            <w:proofErr w:type="spellStart"/>
            <w:r w:rsidRPr="000D106A">
              <w:rPr>
                <w:rFonts w:ascii="Times New Roman" w:eastAsia="Times New Roman" w:hAnsi="Times New Roman" w:cs="Times New Roman"/>
                <w:i/>
                <w:sz w:val="24"/>
                <w:szCs w:val="24"/>
                <w:lang w:val="ro-MD" w:eastAsia="en-GB"/>
              </w:rPr>
              <w:t>Provisions</w:t>
            </w:r>
            <w:proofErr w:type="spellEnd"/>
            <w:r w:rsidRPr="000D106A">
              <w:rPr>
                <w:rFonts w:ascii="Times New Roman" w:eastAsia="Times New Roman" w:hAnsi="Times New Roman" w:cs="Times New Roman"/>
                <w:i/>
                <w:sz w:val="24"/>
                <w:szCs w:val="24"/>
                <w:lang w:val="ro-MD" w:eastAsia="en-GB"/>
              </w:rPr>
              <w:t xml:space="preserve"> on </w:t>
            </w:r>
            <w:proofErr w:type="spellStart"/>
            <w:r w:rsidRPr="000D106A">
              <w:rPr>
                <w:rFonts w:ascii="Times New Roman" w:eastAsia="Times New Roman" w:hAnsi="Times New Roman" w:cs="Times New Roman"/>
                <w:i/>
                <w:sz w:val="24"/>
                <w:szCs w:val="24"/>
                <w:lang w:val="ro-MD" w:eastAsia="en-GB"/>
              </w:rPr>
              <w:t>Technical</w:t>
            </w:r>
            <w:proofErr w:type="spellEnd"/>
            <w:r w:rsidRPr="000D106A">
              <w:rPr>
                <w:rFonts w:ascii="Times New Roman" w:eastAsia="Times New Roman" w:hAnsi="Times New Roman" w:cs="Times New Roman"/>
                <w:i/>
                <w:sz w:val="24"/>
                <w:szCs w:val="24"/>
                <w:lang w:val="ro-MD" w:eastAsia="en-GB"/>
              </w:rPr>
              <w:t xml:space="preserve"> </w:t>
            </w:r>
            <w:proofErr w:type="spellStart"/>
            <w:r w:rsidRPr="000D106A">
              <w:rPr>
                <w:rFonts w:ascii="Times New Roman" w:eastAsia="Times New Roman" w:hAnsi="Times New Roman" w:cs="Times New Roman"/>
                <w:i/>
                <w:sz w:val="24"/>
                <w:szCs w:val="24"/>
                <w:lang w:val="ro-MD" w:eastAsia="en-GB"/>
              </w:rPr>
              <w:t>Barriers</w:t>
            </w:r>
            <w:proofErr w:type="spellEnd"/>
            <w:r w:rsidRPr="000D106A">
              <w:rPr>
                <w:rFonts w:ascii="Times New Roman" w:eastAsia="Times New Roman" w:hAnsi="Times New Roman" w:cs="Times New Roman"/>
                <w:i/>
                <w:sz w:val="24"/>
                <w:szCs w:val="24"/>
                <w:lang w:val="ro-MD" w:eastAsia="en-GB"/>
              </w:rPr>
              <w:t xml:space="preserve"> </w:t>
            </w:r>
            <w:proofErr w:type="spellStart"/>
            <w:r w:rsidRPr="000D106A">
              <w:rPr>
                <w:rFonts w:ascii="Times New Roman" w:eastAsia="Times New Roman" w:hAnsi="Times New Roman" w:cs="Times New Roman"/>
                <w:i/>
                <w:sz w:val="24"/>
                <w:szCs w:val="24"/>
                <w:lang w:val="ro-MD" w:eastAsia="en-GB"/>
              </w:rPr>
              <w:t>to</w:t>
            </w:r>
            <w:proofErr w:type="spellEnd"/>
            <w:r w:rsidRPr="000D106A">
              <w:rPr>
                <w:rFonts w:ascii="Times New Roman" w:eastAsia="Times New Roman" w:hAnsi="Times New Roman" w:cs="Times New Roman"/>
                <w:i/>
                <w:sz w:val="24"/>
                <w:szCs w:val="24"/>
                <w:lang w:val="ro-MD" w:eastAsia="en-GB"/>
              </w:rPr>
              <w:t xml:space="preserve"> Trade</w:t>
            </w:r>
            <w:r w:rsidR="000D106A" w:rsidRPr="000D106A">
              <w:rPr>
                <w:rFonts w:ascii="Times New Roman" w:eastAsia="Times New Roman" w:hAnsi="Times New Roman" w:cs="Times New Roman"/>
                <w:i/>
                <w:sz w:val="24"/>
                <w:szCs w:val="24"/>
                <w:lang w:val="ro-MD" w:eastAsia="en-GB"/>
              </w:rPr>
              <w:t xml:space="preserve"> </w:t>
            </w:r>
            <w:r w:rsidRPr="000D106A">
              <w:rPr>
                <w:rFonts w:ascii="Times New Roman" w:eastAsia="Times New Roman" w:hAnsi="Times New Roman" w:cs="Times New Roman"/>
                <w:i/>
                <w:sz w:val="24"/>
                <w:szCs w:val="24"/>
                <w:lang w:val="ro-MD" w:eastAsia="en-GB"/>
              </w:rPr>
              <w:t xml:space="preserve"> </w:t>
            </w:r>
            <w:r w:rsidR="000D106A" w:rsidRPr="000D106A">
              <w:rPr>
                <w:rFonts w:ascii="Times New Roman" w:eastAsia="Times New Roman" w:hAnsi="Times New Roman" w:cs="Times New Roman"/>
                <w:sz w:val="24"/>
                <w:szCs w:val="24"/>
                <w:lang w:val="ro-MD" w:eastAsia="en-GB"/>
              </w:rPr>
              <w:t>a fost stabilit</w:t>
            </w:r>
            <w:r w:rsidR="003A73BD" w:rsidRPr="000D106A">
              <w:rPr>
                <w:rFonts w:ascii="Times New Roman" w:eastAsia="Times New Roman" w:hAnsi="Times New Roman" w:cs="Times New Roman"/>
                <w:sz w:val="24"/>
                <w:szCs w:val="24"/>
                <w:lang w:val="ro-MD" w:eastAsia="en-GB"/>
              </w:rPr>
              <w:t xml:space="preserve"> </w:t>
            </w:r>
            <w:r w:rsidRPr="000D106A">
              <w:rPr>
                <w:rFonts w:ascii="Times New Roman" w:eastAsia="Times New Roman" w:hAnsi="Times New Roman" w:cs="Times New Roman"/>
                <w:sz w:val="24"/>
                <w:szCs w:val="24"/>
                <w:lang w:val="ro-MD" w:eastAsia="en-GB"/>
              </w:rPr>
              <w:t>gradul de aliniere</w:t>
            </w:r>
            <w:r w:rsidR="003A73BD" w:rsidRPr="000D106A">
              <w:rPr>
                <w:rFonts w:ascii="Times New Roman" w:eastAsia="Times New Roman" w:hAnsi="Times New Roman" w:cs="Times New Roman"/>
                <w:sz w:val="24"/>
                <w:szCs w:val="24"/>
                <w:lang w:val="ro-MD" w:eastAsia="en-GB"/>
              </w:rPr>
              <w:t xml:space="preserve"> </w:t>
            </w:r>
            <w:r w:rsidR="000D106A" w:rsidRPr="000D106A">
              <w:rPr>
                <w:rFonts w:ascii="Times New Roman" w:eastAsia="Times New Roman" w:hAnsi="Times New Roman" w:cs="Times New Roman"/>
                <w:sz w:val="24"/>
                <w:szCs w:val="24"/>
                <w:lang w:val="ro-MD" w:eastAsia="en-GB"/>
              </w:rPr>
              <w:t>–</w:t>
            </w:r>
            <w:r w:rsidR="003A73BD" w:rsidRPr="000D106A">
              <w:rPr>
                <w:rFonts w:ascii="Times New Roman" w:eastAsia="Times New Roman" w:hAnsi="Times New Roman" w:cs="Times New Roman"/>
                <w:sz w:val="24"/>
                <w:szCs w:val="24"/>
                <w:lang w:val="ro-MD" w:eastAsia="en-GB"/>
              </w:rPr>
              <w:t xml:space="preserve"> compatibil</w:t>
            </w:r>
            <w:r w:rsidR="000D106A" w:rsidRPr="000D106A">
              <w:rPr>
                <w:rFonts w:ascii="Times New Roman" w:eastAsia="Times New Roman" w:hAnsi="Times New Roman" w:cs="Times New Roman"/>
                <w:i/>
                <w:sz w:val="24"/>
                <w:szCs w:val="24"/>
                <w:lang w:val="ro-MD" w:eastAsia="en-GB"/>
              </w:rPr>
              <w:t xml:space="preserve">, </w:t>
            </w:r>
            <w:r w:rsidR="003A73BD" w:rsidRPr="000D106A">
              <w:rPr>
                <w:rFonts w:ascii="Times New Roman" w:eastAsia="Times New Roman" w:hAnsi="Times New Roman" w:cs="Times New Roman"/>
                <w:sz w:val="24"/>
                <w:szCs w:val="24"/>
                <w:lang w:val="ro-MD" w:eastAsia="en-GB"/>
              </w:rPr>
              <w:t>au fost identificate unele necorelări tehnice, care urmează a fi</w:t>
            </w:r>
            <w:r w:rsidR="000D106A">
              <w:rPr>
                <w:rFonts w:ascii="Times New Roman" w:eastAsia="Times New Roman" w:hAnsi="Times New Roman" w:cs="Times New Roman"/>
                <w:sz w:val="24"/>
                <w:szCs w:val="24"/>
                <w:lang w:val="ro-MD" w:eastAsia="en-GB"/>
              </w:rPr>
              <w:t xml:space="preserve"> ajustate</w:t>
            </w:r>
            <w:r w:rsidR="003A73BD" w:rsidRPr="000D106A">
              <w:rPr>
                <w:rFonts w:ascii="Times New Roman" w:eastAsia="Times New Roman" w:hAnsi="Times New Roman" w:cs="Times New Roman"/>
                <w:sz w:val="24"/>
                <w:szCs w:val="24"/>
                <w:lang w:val="ro-MD" w:eastAsia="en-GB"/>
              </w:rPr>
              <w:t xml:space="preserve">. </w:t>
            </w:r>
          </w:p>
          <w:p w:rsidR="00A659E1" w:rsidRDefault="006E40B1" w:rsidP="00F975B0">
            <w:pPr>
              <w:spacing w:beforeLines="20" w:before="48" w:afterLines="20" w:after="48" w:line="240" w:lineRule="auto"/>
              <w:ind w:right="5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val="ro-MD" w:eastAsia="en-GB"/>
              </w:rPr>
              <w:t xml:space="preserve">Complementar, </w:t>
            </w:r>
            <w:r w:rsidR="00A659E1">
              <w:rPr>
                <w:rFonts w:ascii="Times New Roman" w:eastAsia="Times New Roman" w:hAnsi="Times New Roman" w:cs="Times New Roman"/>
                <w:bCs/>
                <w:sz w:val="24"/>
                <w:szCs w:val="24"/>
              </w:rPr>
              <w:t>alinier</w:t>
            </w:r>
            <w:r>
              <w:rPr>
                <w:rFonts w:ascii="Times New Roman" w:eastAsia="Times New Roman" w:hAnsi="Times New Roman" w:cs="Times New Roman"/>
                <w:bCs/>
                <w:sz w:val="24"/>
                <w:szCs w:val="24"/>
              </w:rPr>
              <w:t xml:space="preserve">ea legislației naționale </w:t>
            </w:r>
            <w:r w:rsidR="00A659E1" w:rsidRPr="00BF4D9F">
              <w:rPr>
                <w:rFonts w:ascii="Times New Roman" w:eastAsia="Times New Roman" w:hAnsi="Times New Roman" w:cs="Times New Roman"/>
                <w:bCs/>
                <w:sz w:val="24"/>
                <w:szCs w:val="24"/>
              </w:rPr>
              <w:t xml:space="preserve"> la legislația UE a fost </w:t>
            </w:r>
            <w:r>
              <w:rPr>
                <w:rFonts w:ascii="Times New Roman" w:eastAsia="Times New Roman" w:hAnsi="Times New Roman" w:cs="Times New Roman"/>
                <w:bCs/>
                <w:sz w:val="24"/>
                <w:szCs w:val="24"/>
              </w:rPr>
              <w:t xml:space="preserve">sugerată </w:t>
            </w:r>
            <w:r w:rsidR="003A73BD">
              <w:rPr>
                <w:rFonts w:ascii="Times New Roman" w:eastAsia="Times New Roman" w:hAnsi="Times New Roman" w:cs="Times New Roman"/>
                <w:bCs/>
                <w:sz w:val="24"/>
                <w:szCs w:val="24"/>
              </w:rPr>
              <w:t xml:space="preserve">și </w:t>
            </w:r>
            <w:r w:rsidR="00A659E1" w:rsidRPr="00BF4D9F">
              <w:rPr>
                <w:rFonts w:ascii="Times New Roman" w:eastAsia="Times New Roman" w:hAnsi="Times New Roman" w:cs="Times New Roman"/>
                <w:bCs/>
                <w:sz w:val="24"/>
                <w:szCs w:val="24"/>
              </w:rPr>
              <w:t xml:space="preserve"> de către Comisia Europeană în recomandările sale respective.</w:t>
            </w:r>
          </w:p>
          <w:p w:rsidR="00A659E1" w:rsidRDefault="00A659E1" w:rsidP="00F975B0">
            <w:pPr>
              <w:spacing w:after="120"/>
              <w:ind w:right="50"/>
              <w:jc w:val="both"/>
              <w:rPr>
                <w:rFonts w:ascii="Times New Roman" w:eastAsia="Times New Roman" w:hAnsi="Times New Roman" w:cs="Times New Roman"/>
                <w:bCs/>
                <w:sz w:val="24"/>
                <w:szCs w:val="24"/>
              </w:rPr>
            </w:pPr>
          </w:p>
          <w:p w:rsidR="00050778" w:rsidRDefault="00F05324" w:rsidP="00F975B0">
            <w:pPr>
              <w:spacing w:after="120"/>
              <w:ind w:right="50"/>
              <w:jc w:val="both"/>
              <w:rPr>
                <w:rFonts w:ascii="Times New Roman" w:eastAsia="Times New Roman" w:hAnsi="Times New Roman" w:cs="Times New Roman"/>
                <w:bCs/>
                <w:sz w:val="24"/>
                <w:szCs w:val="24"/>
              </w:rPr>
            </w:pPr>
            <w:r w:rsidRPr="00F05324">
              <w:rPr>
                <w:rFonts w:ascii="Times New Roman" w:eastAsia="Times New Roman" w:hAnsi="Times New Roman" w:cs="Times New Roman"/>
                <w:bCs/>
                <w:sz w:val="24"/>
                <w:szCs w:val="24"/>
              </w:rPr>
              <w:lastRenderedPageBreak/>
              <w:t>Astfel, prin proiectul în cauză se impune modificarea</w:t>
            </w:r>
            <w:r w:rsidR="00050778">
              <w:rPr>
                <w:rFonts w:ascii="Times New Roman" w:eastAsia="Times New Roman" w:hAnsi="Times New Roman" w:cs="Times New Roman"/>
                <w:bCs/>
                <w:sz w:val="24"/>
                <w:szCs w:val="24"/>
              </w:rPr>
              <w:t xml:space="preserve"> unor acte  naționale, care transpun legislația Uniunii </w:t>
            </w:r>
            <w:r w:rsidRPr="00F05324">
              <w:rPr>
                <w:rFonts w:ascii="Times New Roman" w:eastAsia="Times New Roman" w:hAnsi="Times New Roman" w:cs="Times New Roman"/>
                <w:bCs/>
                <w:sz w:val="24"/>
                <w:szCs w:val="24"/>
              </w:rPr>
              <w:t xml:space="preserve"> </w:t>
            </w:r>
            <w:r w:rsidR="00D824DC">
              <w:rPr>
                <w:rFonts w:ascii="Times New Roman" w:eastAsia="Times New Roman" w:hAnsi="Times New Roman" w:cs="Times New Roman"/>
                <w:sz w:val="24"/>
                <w:szCs w:val="24"/>
              </w:rPr>
              <w:t>în domeni</w:t>
            </w:r>
            <w:r w:rsidR="00050778">
              <w:rPr>
                <w:rFonts w:ascii="Times New Roman" w:eastAsia="Times New Roman" w:hAnsi="Times New Roman" w:cs="Times New Roman"/>
                <w:sz w:val="24"/>
                <w:szCs w:val="24"/>
              </w:rPr>
              <w:t>ul metrologiei, și anume</w:t>
            </w:r>
            <w:r w:rsidR="00D824DC">
              <w:rPr>
                <w:rFonts w:ascii="Times New Roman" w:eastAsia="Times New Roman" w:hAnsi="Times New Roman" w:cs="Times New Roman"/>
                <w:sz w:val="24"/>
                <w:szCs w:val="24"/>
              </w:rPr>
              <w:t xml:space="preserve">: </w:t>
            </w:r>
            <w:r w:rsidR="00D824DC" w:rsidRPr="00050778">
              <w:rPr>
                <w:rFonts w:ascii="Times New Roman" w:eastAsia="Times New Roman" w:hAnsi="Times New Roman" w:cs="Times New Roman"/>
                <w:sz w:val="24"/>
                <w:szCs w:val="24"/>
                <w:lang w:val="en-GB" w:eastAsia="en-GB"/>
              </w:rPr>
              <w:t>Measuring containers (bottles); Measuring instruments (MID); Measuring units; Non-Automatic Weighing Instruments (NAWI); Pre-packaged products</w:t>
            </w:r>
            <w:r w:rsidR="00050778">
              <w:rPr>
                <w:rFonts w:ascii="Times New Roman" w:eastAsia="Times New Roman" w:hAnsi="Times New Roman" w:cs="Times New Roman"/>
                <w:sz w:val="24"/>
                <w:szCs w:val="24"/>
                <w:lang w:val="en-GB" w:eastAsia="en-GB"/>
              </w:rPr>
              <w:t>.</w:t>
            </w:r>
            <w:r w:rsidR="00050778" w:rsidRPr="00F05324">
              <w:rPr>
                <w:rFonts w:ascii="Times New Roman" w:eastAsia="Times New Roman" w:hAnsi="Times New Roman" w:cs="Times New Roman"/>
                <w:bCs/>
                <w:sz w:val="24"/>
                <w:szCs w:val="24"/>
              </w:rPr>
              <w:t xml:space="preserve"> </w:t>
            </w:r>
            <w:r w:rsidR="00050778">
              <w:rPr>
                <w:rFonts w:ascii="Times New Roman" w:eastAsia="Times New Roman" w:hAnsi="Times New Roman" w:cs="Times New Roman"/>
                <w:bCs/>
                <w:sz w:val="24"/>
                <w:szCs w:val="24"/>
              </w:rPr>
              <w:t>Modificările propuse sunt de ordin tehnic, operarea cărora va exclude unele neconformități din legislația națională în raport cu acquis-</w:t>
            </w:r>
            <w:proofErr w:type="spellStart"/>
            <w:r w:rsidR="00050778">
              <w:rPr>
                <w:rFonts w:ascii="Times New Roman" w:eastAsia="Times New Roman" w:hAnsi="Times New Roman" w:cs="Times New Roman"/>
                <w:bCs/>
                <w:sz w:val="24"/>
                <w:szCs w:val="24"/>
              </w:rPr>
              <w:t>ul</w:t>
            </w:r>
            <w:proofErr w:type="spellEnd"/>
            <w:r w:rsidR="00050778">
              <w:rPr>
                <w:rFonts w:ascii="Times New Roman" w:eastAsia="Times New Roman" w:hAnsi="Times New Roman" w:cs="Times New Roman"/>
                <w:bCs/>
                <w:sz w:val="24"/>
                <w:szCs w:val="24"/>
              </w:rPr>
              <w:t xml:space="preserve"> european respectiv.</w:t>
            </w:r>
            <w:r w:rsidR="00050778" w:rsidRPr="00050778">
              <w:rPr>
                <w:rFonts w:ascii="Times New Roman" w:eastAsia="Times New Roman" w:hAnsi="Times New Roman" w:cs="Times New Roman"/>
                <w:sz w:val="24"/>
                <w:szCs w:val="24"/>
              </w:rPr>
              <w:t xml:space="preserve"> </w:t>
            </w:r>
          </w:p>
          <w:p w:rsidR="00050778" w:rsidRDefault="00050778" w:rsidP="00F975B0">
            <w:pPr>
              <w:spacing w:after="120"/>
              <w:ind w:right="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Urmare celor menționate a fost elaborat prezentul proiect de hotărâre de Guvern, care modifică:</w:t>
            </w:r>
          </w:p>
          <w:p w:rsidR="00F05324" w:rsidRDefault="00F05324" w:rsidP="00F975B0">
            <w:pPr>
              <w:numPr>
                <w:ilvl w:val="0"/>
                <w:numId w:val="6"/>
              </w:numPr>
              <w:spacing w:after="0" w:line="240" w:lineRule="auto"/>
              <w:ind w:right="50"/>
              <w:jc w:val="both"/>
              <w:rPr>
                <w:rFonts w:ascii="Times New Roman" w:eastAsia="Times New Roman" w:hAnsi="Times New Roman" w:cs="Times New Roman"/>
                <w:bCs/>
                <w:iCs/>
                <w:sz w:val="24"/>
                <w:szCs w:val="24"/>
              </w:rPr>
            </w:pPr>
            <w:r w:rsidRPr="00F05324">
              <w:rPr>
                <w:rFonts w:ascii="Times New Roman" w:eastAsia="Times New Roman" w:hAnsi="Times New Roman" w:cs="Times New Roman"/>
                <w:bCs/>
                <w:sz w:val="24"/>
                <w:szCs w:val="24"/>
              </w:rPr>
              <w:t>Hotărârea Guvernului nr.267/2014 pentru aprobarea Reglementării tehnice privind aparatele de cântărit neautomate</w:t>
            </w:r>
            <w:r w:rsidRPr="00F05324">
              <w:rPr>
                <w:rFonts w:ascii="Times New Roman" w:eastAsia="Times New Roman" w:hAnsi="Times New Roman" w:cs="Times New Roman"/>
                <w:bCs/>
                <w:iCs/>
                <w:sz w:val="24"/>
                <w:szCs w:val="24"/>
              </w:rPr>
              <w:t xml:space="preserve"> (Monitorul Oficial al Republicii Moldova, 2014, nr.92-98, art.296)</w:t>
            </w:r>
            <w:r w:rsidRPr="00F05324">
              <w:rPr>
                <w:rFonts w:ascii="Times New Roman" w:eastAsia="Times New Roman" w:hAnsi="Times New Roman" w:cs="Times New Roman"/>
                <w:sz w:val="24"/>
                <w:szCs w:val="24"/>
              </w:rPr>
              <w:t xml:space="preserve"> </w:t>
            </w:r>
            <w:r w:rsidRPr="00F05324">
              <w:rPr>
                <w:rFonts w:ascii="Times New Roman" w:eastAsia="Times New Roman" w:hAnsi="Times New Roman" w:cs="Times New Roman"/>
                <w:bCs/>
                <w:iCs/>
                <w:sz w:val="24"/>
                <w:szCs w:val="24"/>
              </w:rPr>
              <w:t>cu modificările ulterioare;</w:t>
            </w:r>
          </w:p>
          <w:p w:rsidR="00C173EF" w:rsidRPr="00C173EF" w:rsidRDefault="00C173EF" w:rsidP="00F975B0">
            <w:pPr>
              <w:numPr>
                <w:ilvl w:val="0"/>
                <w:numId w:val="6"/>
              </w:numPr>
              <w:spacing w:after="0" w:line="240" w:lineRule="auto"/>
              <w:ind w:right="50"/>
              <w:jc w:val="both"/>
              <w:rPr>
                <w:rFonts w:ascii="Times New Roman" w:eastAsia="Times New Roman" w:hAnsi="Times New Roman" w:cs="Times New Roman"/>
                <w:bCs/>
                <w:iCs/>
                <w:sz w:val="24"/>
                <w:szCs w:val="24"/>
              </w:rPr>
            </w:pPr>
            <w:r w:rsidRPr="00C173EF">
              <w:rPr>
                <w:rFonts w:ascii="Times New Roman" w:eastAsia="Times New Roman" w:hAnsi="Times New Roman" w:cs="Times New Roman"/>
                <w:bCs/>
                <w:iCs/>
                <w:sz w:val="24"/>
                <w:szCs w:val="24"/>
              </w:rPr>
              <w:t>Hotărârea Guvernului nr.881/2014 cu privire la aprobarea Regulamentului general de metrologie legală de stabilire a cerinţelor privind sticlele utilizate ca recipiente de măsură (Monitorul Oficial al Republicii Moldova, 2014, nr.325-332, art. 949</w:t>
            </w:r>
            <w:r>
              <w:rPr>
                <w:rFonts w:ascii="Times New Roman" w:eastAsia="Times New Roman" w:hAnsi="Times New Roman" w:cs="Times New Roman"/>
                <w:bCs/>
                <w:iCs/>
                <w:sz w:val="24"/>
                <w:szCs w:val="24"/>
              </w:rPr>
              <w:t>), cu modificările ulterioare;</w:t>
            </w:r>
          </w:p>
          <w:p w:rsidR="00F05324" w:rsidRDefault="00F05324" w:rsidP="00F975B0">
            <w:pPr>
              <w:numPr>
                <w:ilvl w:val="0"/>
                <w:numId w:val="6"/>
              </w:numPr>
              <w:spacing w:after="0" w:line="240" w:lineRule="auto"/>
              <w:ind w:right="50"/>
              <w:jc w:val="both"/>
              <w:rPr>
                <w:rFonts w:ascii="Times New Roman" w:eastAsia="Times New Roman" w:hAnsi="Times New Roman" w:cs="Times New Roman"/>
                <w:sz w:val="24"/>
                <w:szCs w:val="24"/>
              </w:rPr>
            </w:pPr>
            <w:r w:rsidRPr="00F05324">
              <w:rPr>
                <w:rFonts w:ascii="Times New Roman" w:eastAsia="Times New Roman" w:hAnsi="Times New Roman" w:cs="Times New Roman"/>
                <w:sz w:val="24"/>
                <w:szCs w:val="24"/>
              </w:rPr>
              <w:t xml:space="preserve">Hotărârea Guvernului nr.907/2014 </w:t>
            </w:r>
            <w:r w:rsidRPr="00F05324">
              <w:rPr>
                <w:rFonts w:ascii="Times New Roman" w:eastAsia="Times New Roman" w:hAnsi="Times New Roman" w:cs="Times New Roman"/>
                <w:bCs/>
                <w:sz w:val="24"/>
                <w:szCs w:val="24"/>
              </w:rPr>
              <w:t xml:space="preserve">pentru aprobarea Regulamentului general de metrologie legală referitor </w:t>
            </w:r>
            <w:r w:rsidRPr="00F05324">
              <w:rPr>
                <w:rFonts w:ascii="Times New Roman" w:eastAsia="Times New Roman" w:hAnsi="Times New Roman" w:cs="Times New Roman"/>
                <w:sz w:val="24"/>
                <w:szCs w:val="24"/>
              </w:rPr>
              <w:t>la preambalarea, în funcţie de masă sau volum, a anumitor preambalate (Monitorul Oficial al Republicii Moldova, 2014, nr.333-338, art.975), cu modificările ulterioare;</w:t>
            </w:r>
          </w:p>
          <w:p w:rsidR="00C173EF" w:rsidRPr="00C173EF" w:rsidRDefault="00D26E24" w:rsidP="00F975B0">
            <w:pPr>
              <w:numPr>
                <w:ilvl w:val="0"/>
                <w:numId w:val="6"/>
              </w:numPr>
              <w:spacing w:after="0" w:line="240" w:lineRule="auto"/>
              <w:ind w:right="50"/>
              <w:jc w:val="both"/>
              <w:rPr>
                <w:rFonts w:ascii="Times New Roman" w:eastAsia="Times New Roman" w:hAnsi="Times New Roman" w:cs="Times New Roman"/>
                <w:sz w:val="24"/>
                <w:szCs w:val="24"/>
              </w:rPr>
            </w:pPr>
            <w:hyperlink r:id="rId5" w:history="1">
              <w:r w:rsidR="00C173EF" w:rsidRPr="00C173EF">
                <w:rPr>
                  <w:rStyle w:val="Hyperlink"/>
                  <w:rFonts w:ascii="Times New Roman" w:eastAsia="Times New Roman" w:hAnsi="Times New Roman" w:cs="Times New Roman"/>
                  <w:bCs/>
                  <w:color w:val="auto"/>
                  <w:sz w:val="24"/>
                  <w:szCs w:val="24"/>
                  <w:u w:val="none"/>
                </w:rPr>
                <w:t>Hotărârea Guvernului nr.909/201</w:t>
              </w:r>
            </w:hyperlink>
            <w:r w:rsidR="00C173EF" w:rsidRPr="00C173EF">
              <w:rPr>
                <w:rFonts w:ascii="Times New Roman" w:eastAsia="Times New Roman" w:hAnsi="Times New Roman" w:cs="Times New Roman"/>
                <w:bCs/>
                <w:sz w:val="24"/>
                <w:szCs w:val="24"/>
              </w:rPr>
              <w:t>4 cu privire la aprobarea unităților de măsură legale  (Monitorul Oficial al Republicii Moldova, 2014, nr.333-338, art.977)</w:t>
            </w:r>
            <w:r w:rsidR="00C173EF">
              <w:rPr>
                <w:rFonts w:ascii="Times New Roman" w:eastAsia="Times New Roman" w:hAnsi="Times New Roman" w:cs="Times New Roman"/>
                <w:bCs/>
                <w:sz w:val="24"/>
                <w:szCs w:val="24"/>
              </w:rPr>
              <w:t>, cu modificările ulterioare;</w:t>
            </w:r>
          </w:p>
          <w:p w:rsidR="00A92E8F" w:rsidRPr="00BC1740" w:rsidRDefault="00F05324" w:rsidP="00F975B0">
            <w:pPr>
              <w:numPr>
                <w:ilvl w:val="0"/>
                <w:numId w:val="6"/>
              </w:numPr>
              <w:spacing w:after="0" w:line="240" w:lineRule="auto"/>
              <w:ind w:right="50"/>
              <w:jc w:val="both"/>
              <w:rPr>
                <w:rFonts w:ascii="Times New Roman" w:eastAsia="Times New Roman" w:hAnsi="Times New Roman" w:cs="Times New Roman"/>
                <w:sz w:val="24"/>
                <w:szCs w:val="24"/>
                <w:lang w:val="ro-MD"/>
              </w:rPr>
            </w:pPr>
            <w:r w:rsidRPr="00C173EF">
              <w:rPr>
                <w:rFonts w:ascii="Times New Roman" w:eastAsia="Times New Roman" w:hAnsi="Times New Roman" w:cs="Times New Roman"/>
                <w:bCs/>
                <w:sz w:val="24"/>
                <w:szCs w:val="24"/>
              </w:rPr>
              <w:t>Hotărârea Guvernului nr.408/2015 pentru aprobarea Reglementării tehnice privind punerea la dispoziţie pe piaţă a mijloacelor de măsurare (</w:t>
            </w:r>
            <w:r w:rsidRPr="00C173EF">
              <w:rPr>
                <w:rFonts w:ascii="Times New Roman" w:eastAsia="Times New Roman" w:hAnsi="Times New Roman" w:cs="Times New Roman"/>
                <w:bCs/>
                <w:iCs/>
                <w:sz w:val="24"/>
                <w:szCs w:val="24"/>
              </w:rPr>
              <w:t>Monitorul Oficial al Republicii Moldova, 2015, nr.177-184, art.471)</w:t>
            </w:r>
            <w:r w:rsidRPr="00C173EF">
              <w:rPr>
                <w:rFonts w:ascii="Times New Roman" w:eastAsia="Times New Roman" w:hAnsi="Times New Roman" w:cs="Times New Roman"/>
                <w:sz w:val="24"/>
                <w:szCs w:val="24"/>
              </w:rPr>
              <w:t xml:space="preserve"> </w:t>
            </w:r>
            <w:r w:rsidRPr="00C173EF">
              <w:rPr>
                <w:rFonts w:ascii="Times New Roman" w:eastAsia="Times New Roman" w:hAnsi="Times New Roman" w:cs="Times New Roman"/>
                <w:bCs/>
                <w:iCs/>
                <w:sz w:val="24"/>
                <w:szCs w:val="24"/>
              </w:rPr>
              <w:t>cu modificările ulterioare.</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3FD1" w:rsidRPr="00E13FD1" w:rsidRDefault="00E13FD1" w:rsidP="00F975B0">
            <w:pPr>
              <w:spacing w:after="0" w:line="240" w:lineRule="auto"/>
              <w:ind w:right="50"/>
              <w:jc w:val="both"/>
              <w:rPr>
                <w:rFonts w:ascii="Times New Roman" w:eastAsia="Times New Roman" w:hAnsi="Times New Roman" w:cs="Times New Roman"/>
                <w:b/>
                <w:sz w:val="24"/>
                <w:szCs w:val="24"/>
              </w:rPr>
            </w:pPr>
            <w:r w:rsidRPr="00E13FD1">
              <w:rPr>
                <w:rFonts w:ascii="Times New Roman" w:eastAsia="Times New Roman" w:hAnsi="Times New Roman" w:cs="Times New Roman"/>
                <w:b/>
                <w:sz w:val="24"/>
                <w:szCs w:val="24"/>
                <w:lang w:val="ro-MD"/>
              </w:rPr>
              <w:lastRenderedPageBreak/>
              <w:t>2.2. Descrierea situaţiei actuale şi a problemelor care impun intervenția, inclusiv a cadrului normativ aplicabil şi a deficiențelor/lacunelor normative</w:t>
            </w:r>
            <w:r w:rsidRPr="00E13FD1">
              <w:rPr>
                <w:rFonts w:ascii="Times New Roman" w:eastAsia="Times New Roman" w:hAnsi="Times New Roman" w:cs="Times New Roman"/>
                <w:b/>
                <w:sz w:val="24"/>
                <w:szCs w:val="24"/>
              </w:rPr>
              <w:t xml:space="preserve"> </w:t>
            </w:r>
          </w:p>
          <w:p w:rsidR="006E40B1" w:rsidRDefault="000F1B8D" w:rsidP="00F975B0">
            <w:pPr>
              <w:spacing w:after="0" w:line="240" w:lineRule="auto"/>
              <w:ind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Proiectul cuprinde norme de ordin tehnic </w:t>
            </w:r>
            <w:r w:rsidR="006E40B1" w:rsidRPr="006E40B1">
              <w:rPr>
                <w:rFonts w:ascii="Times New Roman" w:eastAsia="Times New Roman" w:hAnsi="Times New Roman" w:cs="Times New Roman"/>
                <w:sz w:val="24"/>
                <w:szCs w:val="24"/>
              </w:rPr>
              <w:t xml:space="preserve">întru </w:t>
            </w:r>
            <w:r>
              <w:rPr>
                <w:rFonts w:ascii="Times New Roman" w:eastAsia="Times New Roman" w:hAnsi="Times New Roman" w:cs="Times New Roman"/>
                <w:sz w:val="24"/>
                <w:szCs w:val="24"/>
              </w:rPr>
              <w:t xml:space="preserve">ajustarea </w:t>
            </w:r>
            <w:r w:rsidR="006E40B1" w:rsidRPr="006E40B1">
              <w:rPr>
                <w:rFonts w:ascii="Times New Roman" w:eastAsia="Times New Roman" w:hAnsi="Times New Roman" w:cs="Times New Roman"/>
                <w:sz w:val="24"/>
                <w:szCs w:val="24"/>
              </w:rPr>
              <w:t xml:space="preserve"> reglementărilor tehnice</w:t>
            </w:r>
            <w:r>
              <w:rPr>
                <w:rFonts w:ascii="Times New Roman" w:eastAsia="Times New Roman" w:hAnsi="Times New Roman" w:cs="Times New Roman"/>
                <w:sz w:val="24"/>
                <w:szCs w:val="24"/>
              </w:rPr>
              <w:t xml:space="preserve"> naționale </w:t>
            </w:r>
            <w:r w:rsidR="006E40B1" w:rsidRPr="006E40B1">
              <w:rPr>
                <w:rFonts w:ascii="Times New Roman" w:eastAsia="Times New Roman" w:hAnsi="Times New Roman" w:cs="Times New Roman"/>
                <w:sz w:val="24"/>
                <w:szCs w:val="24"/>
              </w:rPr>
              <w:t xml:space="preserve"> cu directivele Uniunii Europene:</w:t>
            </w:r>
          </w:p>
          <w:tbl>
            <w:tblPr>
              <w:tblW w:w="5000" w:type="pct"/>
              <w:tblCellMar>
                <w:left w:w="0" w:type="dxa"/>
                <w:right w:w="0" w:type="dxa"/>
              </w:tblCellMar>
              <w:tblLook w:val="04A0" w:firstRow="1" w:lastRow="0" w:firstColumn="1" w:lastColumn="0" w:noHBand="0" w:noVBand="1"/>
            </w:tblPr>
            <w:tblGrid>
              <w:gridCol w:w="10490"/>
              <w:gridCol w:w="6"/>
            </w:tblGrid>
            <w:tr w:rsidR="006E40B1" w:rsidRPr="006E40B1" w:rsidTr="003005C5">
              <w:tc>
                <w:tcPr>
                  <w:tcW w:w="0" w:type="auto"/>
                  <w:shd w:val="clear" w:color="auto" w:fill="auto"/>
                  <w:hideMark/>
                </w:tcPr>
                <w:p w:rsidR="006E40B1" w:rsidRDefault="000F1B8D" w:rsidP="00F975B0">
                  <w:pPr>
                    <w:pStyle w:val="ListParagraph"/>
                    <w:numPr>
                      <w:ilvl w:val="0"/>
                      <w:numId w:val="4"/>
                    </w:numPr>
                    <w:spacing w:after="0" w:line="240" w:lineRule="auto"/>
                    <w:ind w:right="50"/>
                    <w:jc w:val="both"/>
                    <w:rPr>
                      <w:rFonts w:ascii="Times New Roman" w:eastAsia="Times New Roman" w:hAnsi="Times New Roman" w:cs="Times New Roman"/>
                      <w:sz w:val="24"/>
                      <w:szCs w:val="24"/>
                    </w:rPr>
                  </w:pPr>
                  <w:r w:rsidRPr="000F1B8D">
                    <w:rPr>
                      <w:rFonts w:ascii="Times New Roman" w:eastAsia="Times New Roman" w:hAnsi="Times New Roman" w:cs="Times New Roman"/>
                      <w:bCs/>
                      <w:sz w:val="24"/>
                      <w:szCs w:val="24"/>
                      <w:lang w:val="ro-MD"/>
                    </w:rPr>
                    <w:t xml:space="preserve">Directiva 2014/31/UE a Parlamentului European și a Consiliului din 26 februarie 2014 privind armonizarea legislației statelor membre referitoare la punerea la dispoziție pe piață a aparatelor de cântărit cu funcționare neautomată (reformare), </w:t>
                  </w:r>
                  <w:r w:rsidRPr="000F1B8D">
                    <w:rPr>
                      <w:rFonts w:ascii="Times New Roman" w:eastAsia="Times New Roman" w:hAnsi="Times New Roman" w:cs="Times New Roman"/>
                      <w:bCs/>
                      <w:sz w:val="24"/>
                      <w:szCs w:val="24"/>
                    </w:rPr>
                    <w:t xml:space="preserve">Număr CELEX: </w:t>
                  </w:r>
                  <w:r w:rsidRPr="000F1B8D">
                    <w:rPr>
                      <w:rFonts w:ascii="Times New Roman" w:eastAsia="Times New Roman" w:hAnsi="Times New Roman" w:cs="Times New Roman"/>
                      <w:bCs/>
                      <w:sz w:val="24"/>
                      <w:szCs w:val="24"/>
                      <w:lang w:val="ro-MD"/>
                    </w:rPr>
                    <w:t> </w:t>
                  </w:r>
                  <w:hyperlink r:id="rId6" w:history="1">
                    <w:r w:rsidRPr="000F1B8D">
                      <w:rPr>
                        <w:rStyle w:val="Hyperlink"/>
                        <w:rFonts w:ascii="Times New Roman" w:eastAsia="Times New Roman" w:hAnsi="Times New Roman" w:cs="Times New Roman"/>
                        <w:bCs/>
                        <w:sz w:val="24"/>
                        <w:szCs w:val="24"/>
                        <w:lang w:val="ro-MD"/>
                      </w:rPr>
                      <w:t>02014L0031-20140329</w:t>
                    </w:r>
                  </w:hyperlink>
                  <w:r w:rsidR="006E40B1" w:rsidRPr="000F1B8D">
                    <w:rPr>
                      <w:rFonts w:ascii="Times New Roman" w:eastAsia="Times New Roman" w:hAnsi="Times New Roman" w:cs="Times New Roman"/>
                      <w:sz w:val="24"/>
                      <w:szCs w:val="24"/>
                    </w:rPr>
                    <w:t>;</w:t>
                  </w:r>
                </w:p>
                <w:p w:rsidR="000F1B8D" w:rsidRPr="000F1B8D" w:rsidRDefault="000F1B8D" w:rsidP="00F975B0">
                  <w:pPr>
                    <w:pStyle w:val="ListParagraph"/>
                    <w:numPr>
                      <w:ilvl w:val="0"/>
                      <w:numId w:val="4"/>
                    </w:numPr>
                    <w:spacing w:after="0" w:line="240" w:lineRule="auto"/>
                    <w:ind w:right="50"/>
                    <w:jc w:val="both"/>
                    <w:rPr>
                      <w:rFonts w:ascii="Times New Roman" w:eastAsia="Times New Roman" w:hAnsi="Times New Roman" w:cs="Times New Roman"/>
                      <w:sz w:val="24"/>
                      <w:szCs w:val="24"/>
                    </w:rPr>
                  </w:pPr>
                  <w:r w:rsidRPr="000F1B8D">
                    <w:rPr>
                      <w:rFonts w:ascii="Times New Roman" w:eastAsia="Calibri" w:hAnsi="Times New Roman" w:cs="Times New Roman"/>
                      <w:sz w:val="24"/>
                      <w:szCs w:val="24"/>
                      <w:lang w:val="it-IT" w:eastAsia="ru-RU"/>
                    </w:rPr>
                    <w:t>Directiva  75/107/CEE  a Consiliului din 19 decembrie 1974 privind apropierea legisla</w:t>
                  </w:r>
                  <w:r w:rsidRPr="000F1B8D">
                    <w:rPr>
                      <w:rFonts w:ascii="Cambria Math" w:eastAsia="Calibri" w:hAnsi="Cambria Math" w:cs="Cambria Math"/>
                      <w:sz w:val="24"/>
                      <w:szCs w:val="24"/>
                      <w:lang w:val="it-IT" w:eastAsia="ru-RU"/>
                    </w:rPr>
                    <w:t>ț</w:t>
                  </w:r>
                  <w:r w:rsidRPr="000F1B8D">
                    <w:rPr>
                      <w:rFonts w:ascii="Times New Roman" w:eastAsia="Calibri" w:hAnsi="Times New Roman" w:cs="Times New Roman"/>
                      <w:sz w:val="24"/>
                      <w:szCs w:val="24"/>
                      <w:lang w:val="it-IT" w:eastAsia="ru-RU"/>
                    </w:rPr>
                    <w:t xml:space="preserve">iilor statelor membre referitoare la sticlele utilizate ca recipiente de măsurare, Număr CELEX: </w:t>
                  </w:r>
                  <w:r w:rsidRPr="000F1B8D">
                    <w:rPr>
                      <w:rFonts w:ascii="Segoe UI" w:eastAsia="Calibri" w:hAnsi="Segoe UI" w:cs="Segoe UI"/>
                      <w:color w:val="333333"/>
                      <w:sz w:val="24"/>
                      <w:szCs w:val="24"/>
                      <w:shd w:val="clear" w:color="auto" w:fill="FFFFFF"/>
                      <w:lang w:val="en-US" w:eastAsia="ru-RU"/>
                    </w:rPr>
                    <w:t xml:space="preserve"> </w:t>
                  </w:r>
                  <w:hyperlink r:id="rId7" w:history="1">
                    <w:r w:rsidRPr="000F1B8D">
                      <w:rPr>
                        <w:rFonts w:ascii="Times New Roman" w:eastAsia="Calibri" w:hAnsi="Times New Roman" w:cs="Times New Roman"/>
                        <w:color w:val="0563C1"/>
                        <w:sz w:val="24"/>
                        <w:szCs w:val="24"/>
                        <w:u w:val="single"/>
                        <w:lang w:val="en-US" w:eastAsia="ru-RU"/>
                      </w:rPr>
                      <w:t>31975L0107</w:t>
                    </w:r>
                  </w:hyperlink>
                  <w:r>
                    <w:rPr>
                      <w:rFonts w:ascii="Times New Roman" w:eastAsia="Calibri" w:hAnsi="Times New Roman" w:cs="Times New Roman"/>
                      <w:sz w:val="24"/>
                      <w:szCs w:val="24"/>
                      <w:lang w:val="en-US" w:eastAsia="ru-RU"/>
                    </w:rPr>
                    <w:t>;</w:t>
                  </w:r>
                </w:p>
                <w:p w:rsidR="000F1B8D" w:rsidRDefault="000F1B8D" w:rsidP="00F975B0">
                  <w:pPr>
                    <w:pStyle w:val="ListParagraph"/>
                    <w:numPr>
                      <w:ilvl w:val="0"/>
                      <w:numId w:val="4"/>
                    </w:numPr>
                    <w:spacing w:after="0" w:line="240" w:lineRule="auto"/>
                    <w:ind w:right="50"/>
                    <w:jc w:val="both"/>
                    <w:rPr>
                      <w:rFonts w:ascii="Times New Roman" w:eastAsia="Times New Roman" w:hAnsi="Times New Roman" w:cs="Times New Roman"/>
                      <w:sz w:val="24"/>
                      <w:szCs w:val="24"/>
                    </w:rPr>
                  </w:pPr>
                  <w:r w:rsidRPr="000F1B8D">
                    <w:rPr>
                      <w:rFonts w:ascii="Times New Roman" w:eastAsia="Times New Roman" w:hAnsi="Times New Roman" w:cs="Times New Roman"/>
                      <w:sz w:val="24"/>
                      <w:szCs w:val="24"/>
                    </w:rPr>
                    <w:t xml:space="preserve">Directiva Consiliului din 20 ianuarie 1976 privind apropierea legislațiilor statelor membre referitoare la preambalarea, în funcție de masă sau volum, a anumitor produse preambalate(76/211/CEE), astfel cum a fost modificată ultima dată  prin </w:t>
                  </w:r>
                  <w:hyperlink r:id="rId8" w:tooltip="32019R1243" w:history="1">
                    <w:r w:rsidRPr="000F1B8D">
                      <w:rPr>
                        <w:rStyle w:val="Hyperlink"/>
                        <w:rFonts w:ascii="Times New Roman" w:eastAsia="Times New Roman" w:hAnsi="Times New Roman" w:cs="Times New Roman"/>
                        <w:color w:val="auto"/>
                        <w:sz w:val="24"/>
                        <w:szCs w:val="24"/>
                        <w:u w:val="none"/>
                      </w:rPr>
                      <w:t>Regulamentul (UE) 2019/1243 al Parlamentului European și al Consiliului din 20 iunie 2019</w:t>
                    </w:r>
                  </w:hyperlink>
                  <w:r w:rsidRPr="000F1B8D">
                    <w:rPr>
                      <w:rFonts w:ascii="Times New Roman" w:eastAsia="Times New Roman" w:hAnsi="Times New Roman" w:cs="Times New Roman"/>
                      <w:sz w:val="24"/>
                      <w:szCs w:val="24"/>
                    </w:rPr>
                    <w:t xml:space="preserve"> </w:t>
                  </w:r>
                  <w:r w:rsidRPr="000F1B8D">
                    <w:rPr>
                      <w:rFonts w:ascii="Times New Roman" w:eastAsia="Times New Roman" w:hAnsi="Times New Roman" w:cs="Times New Roman"/>
                      <w:sz w:val="24"/>
                      <w:szCs w:val="24"/>
                      <w:lang w:val="ro-MD"/>
                    </w:rPr>
                    <w:t>de adaptare la articolele 290 și 291 din Tratatul privind funcționarea Uniunii Europene a unei serii de acte juridice care prevăd utilizarea procedurii de reglementare cu control</w:t>
                  </w:r>
                  <w:r w:rsidRPr="000F1B8D">
                    <w:rPr>
                      <w:rFonts w:ascii="Times New Roman" w:eastAsia="Times New Roman" w:hAnsi="Times New Roman" w:cs="Times New Roman"/>
                      <w:sz w:val="24"/>
                      <w:szCs w:val="24"/>
                    </w:rPr>
                    <w:t xml:space="preserve">, Număr CELEX </w:t>
                  </w:r>
                  <w:hyperlink r:id="rId9" w:history="1">
                    <w:r w:rsidRPr="000F1B8D">
                      <w:rPr>
                        <w:rStyle w:val="Hyperlink"/>
                        <w:rFonts w:ascii="Times New Roman" w:eastAsia="Times New Roman" w:hAnsi="Times New Roman" w:cs="Times New Roman"/>
                        <w:sz w:val="24"/>
                        <w:szCs w:val="24"/>
                      </w:rPr>
                      <w:t>01976L0211-20190726</w:t>
                    </w:r>
                  </w:hyperlink>
                  <w:r>
                    <w:rPr>
                      <w:rFonts w:ascii="Times New Roman" w:eastAsia="Times New Roman" w:hAnsi="Times New Roman" w:cs="Times New Roman"/>
                      <w:sz w:val="24"/>
                      <w:szCs w:val="24"/>
                    </w:rPr>
                    <w:t>;</w:t>
                  </w:r>
                </w:p>
                <w:p w:rsidR="000F1B8D" w:rsidRDefault="000F1B8D" w:rsidP="00F975B0">
                  <w:pPr>
                    <w:pStyle w:val="ListParagraph"/>
                    <w:numPr>
                      <w:ilvl w:val="0"/>
                      <w:numId w:val="4"/>
                    </w:numPr>
                    <w:spacing w:after="0" w:line="240" w:lineRule="auto"/>
                    <w:ind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MD"/>
                    </w:rPr>
                    <w:t>Directiva 2007/45/CE a Parlamentului E</w:t>
                  </w:r>
                  <w:r w:rsidR="0021632F">
                    <w:rPr>
                      <w:rFonts w:ascii="Times New Roman" w:eastAsia="Times New Roman" w:hAnsi="Times New Roman" w:cs="Times New Roman"/>
                      <w:sz w:val="24"/>
                      <w:szCs w:val="24"/>
                      <w:lang w:val="ro-MD"/>
                    </w:rPr>
                    <w:t>uropean şi a C</w:t>
                  </w:r>
                  <w:r w:rsidRPr="000F1B8D">
                    <w:rPr>
                      <w:rFonts w:ascii="Times New Roman" w:eastAsia="Times New Roman" w:hAnsi="Times New Roman" w:cs="Times New Roman"/>
                      <w:sz w:val="24"/>
                      <w:szCs w:val="24"/>
                      <w:lang w:val="ro-MD"/>
                    </w:rPr>
                    <w:t xml:space="preserve">onsiliului din 5 septembrie 2007 de stabilire a normelor privind cantitățile nominale ale produselor preambalate, de abrogare a Directivelor 75/106/CEE și 80/232/CEE ale Consiliului, și de modificare a Directivei 76/211/CEE a Consiliului, Număr CELEX </w:t>
                  </w:r>
                  <w:hyperlink r:id="rId10" w:history="1">
                    <w:r w:rsidRPr="000F1B8D">
                      <w:rPr>
                        <w:rStyle w:val="Hyperlink"/>
                        <w:rFonts w:ascii="Times New Roman" w:eastAsia="Times New Roman" w:hAnsi="Times New Roman" w:cs="Times New Roman"/>
                        <w:sz w:val="24"/>
                        <w:szCs w:val="24"/>
                        <w:lang w:val="ro-MD"/>
                      </w:rPr>
                      <w:t>32007L0045</w:t>
                    </w:r>
                  </w:hyperlink>
                  <w:r w:rsidR="0021632F">
                    <w:rPr>
                      <w:rFonts w:ascii="Times New Roman" w:eastAsia="Times New Roman" w:hAnsi="Times New Roman" w:cs="Times New Roman"/>
                      <w:sz w:val="24"/>
                      <w:szCs w:val="24"/>
                    </w:rPr>
                    <w:t>;</w:t>
                  </w:r>
                </w:p>
                <w:p w:rsidR="0021632F" w:rsidRPr="0021632F" w:rsidRDefault="0021632F" w:rsidP="00F975B0">
                  <w:pPr>
                    <w:pStyle w:val="ListParagraph"/>
                    <w:numPr>
                      <w:ilvl w:val="0"/>
                      <w:numId w:val="4"/>
                    </w:numPr>
                    <w:spacing w:after="0" w:line="240" w:lineRule="auto"/>
                    <w:ind w:right="50"/>
                    <w:jc w:val="both"/>
                    <w:rPr>
                      <w:rFonts w:ascii="Times New Roman" w:eastAsia="Times New Roman" w:hAnsi="Times New Roman" w:cs="Times New Roman"/>
                      <w:sz w:val="24"/>
                      <w:szCs w:val="24"/>
                      <w:lang w:val="ro-MD"/>
                    </w:rPr>
                  </w:pPr>
                  <w:r w:rsidRPr="0021632F">
                    <w:rPr>
                      <w:rFonts w:ascii="Times New Roman" w:eastAsia="Times New Roman" w:hAnsi="Times New Roman" w:cs="Times New Roman"/>
                      <w:bCs/>
                      <w:sz w:val="24"/>
                      <w:szCs w:val="24"/>
                      <w:lang w:val="ro-MD"/>
                    </w:rPr>
                    <w:t>Directiva Consiliului din 20 decembrie 1979 privind apropierea legislațiilor statelor membre referitoare la unitățile de măsură și de abrogare a Directivei 71/354/CEE (80/181/CEE),</w:t>
                  </w:r>
                  <w:r w:rsidRPr="0021632F">
                    <w:rPr>
                      <w:rFonts w:ascii="Times New Roman" w:eastAsia="Times New Roman" w:hAnsi="Times New Roman" w:cs="Times New Roman"/>
                      <w:sz w:val="24"/>
                      <w:szCs w:val="24"/>
                      <w:lang w:val="ro-MD"/>
                    </w:rPr>
                    <w:t xml:space="preserve"> astfel cum a fost modificată ultima data prin Directiva 9UE) 2019/1258 a Comisiei din 23 iulie 2019, </w:t>
                  </w:r>
                  <w:r w:rsidRPr="0021632F">
                    <w:rPr>
                      <w:rFonts w:ascii="Times New Roman" w:eastAsia="Times New Roman" w:hAnsi="Times New Roman" w:cs="Times New Roman"/>
                      <w:bCs/>
                      <w:sz w:val="24"/>
                      <w:szCs w:val="24"/>
                      <w:lang w:val="ro-MD"/>
                    </w:rPr>
                    <w:t>Număr CELEX: </w:t>
                  </w:r>
                  <w:hyperlink r:id="rId11" w:history="1">
                    <w:r w:rsidRPr="0021632F">
                      <w:rPr>
                        <w:rStyle w:val="Hyperlink"/>
                        <w:rFonts w:ascii="Times New Roman" w:eastAsia="Times New Roman" w:hAnsi="Times New Roman" w:cs="Times New Roman"/>
                        <w:bCs/>
                        <w:sz w:val="24"/>
                        <w:szCs w:val="24"/>
                        <w:lang w:val="ro-MD"/>
                      </w:rPr>
                      <w:t>01980L0181-20200613</w:t>
                    </w:r>
                  </w:hyperlink>
                  <w:r w:rsidRPr="0021632F">
                    <w:rPr>
                      <w:rFonts w:ascii="Times New Roman" w:eastAsia="Times New Roman" w:hAnsi="Times New Roman" w:cs="Times New Roman"/>
                      <w:sz w:val="24"/>
                      <w:szCs w:val="24"/>
                      <w:lang w:val="ro-MD"/>
                    </w:rPr>
                    <w:t>;</w:t>
                  </w:r>
                </w:p>
                <w:p w:rsidR="0021632F" w:rsidRPr="000F1B8D" w:rsidRDefault="0021632F" w:rsidP="00F975B0">
                  <w:pPr>
                    <w:pStyle w:val="ListParagraph"/>
                    <w:numPr>
                      <w:ilvl w:val="0"/>
                      <w:numId w:val="4"/>
                    </w:numPr>
                    <w:spacing w:after="0" w:line="240" w:lineRule="auto"/>
                    <w:ind w:right="50"/>
                    <w:jc w:val="both"/>
                    <w:rPr>
                      <w:rFonts w:ascii="Times New Roman" w:eastAsia="Times New Roman" w:hAnsi="Times New Roman" w:cs="Times New Roman"/>
                      <w:sz w:val="24"/>
                      <w:szCs w:val="24"/>
                    </w:rPr>
                  </w:pPr>
                  <w:r w:rsidRPr="0021632F">
                    <w:rPr>
                      <w:rFonts w:ascii="Times New Roman" w:eastAsia="Times New Roman" w:hAnsi="Times New Roman" w:cs="Times New Roman"/>
                      <w:bCs/>
                      <w:sz w:val="24"/>
                      <w:szCs w:val="24"/>
                    </w:rPr>
                    <w:t>Directiva 2014/32/</w:t>
                  </w:r>
                  <w:r>
                    <w:rPr>
                      <w:rFonts w:ascii="Times New Roman" w:eastAsia="Times New Roman" w:hAnsi="Times New Roman" w:cs="Times New Roman"/>
                      <w:bCs/>
                      <w:sz w:val="24"/>
                      <w:szCs w:val="24"/>
                    </w:rPr>
                    <w:t>UE a Parlamentului European și a C</w:t>
                  </w:r>
                  <w:r w:rsidRPr="0021632F">
                    <w:rPr>
                      <w:rFonts w:ascii="Times New Roman" w:eastAsia="Times New Roman" w:hAnsi="Times New Roman" w:cs="Times New Roman"/>
                      <w:bCs/>
                      <w:sz w:val="24"/>
                      <w:szCs w:val="24"/>
                    </w:rPr>
                    <w:t>onsiliului din 26 februarie 2014 privind armonizarea legislației statelor membre referitoare la punerea la dispoziție pe piață a mijloacelor de măsurare (reformare)</w:t>
                  </w:r>
                  <w:r w:rsidRPr="0021632F">
                    <w:rPr>
                      <w:rFonts w:ascii="Times New Roman" w:eastAsia="Times New Roman" w:hAnsi="Times New Roman" w:cs="Times New Roman"/>
                      <w:sz w:val="24"/>
                      <w:szCs w:val="24"/>
                      <w:lang w:val="ro-MD"/>
                    </w:rPr>
                    <w:t>, așa cum a fost modificată ultima dată  prin Directiva delegată (UE) 2015/13 a Comisiei din 31 octombrie 2014</w:t>
                  </w:r>
                  <w:r w:rsidRPr="0021632F">
                    <w:rPr>
                      <w:rFonts w:ascii="Times New Roman" w:eastAsia="Times New Roman" w:hAnsi="Times New Roman" w:cs="Times New Roman"/>
                      <w:bCs/>
                      <w:sz w:val="24"/>
                      <w:szCs w:val="24"/>
                    </w:rPr>
                    <w:t xml:space="preserve">, </w:t>
                  </w:r>
                  <w:r w:rsidRPr="0021632F">
                    <w:rPr>
                      <w:rFonts w:ascii="Times New Roman" w:eastAsia="Times New Roman" w:hAnsi="Times New Roman" w:cs="Times New Roman"/>
                      <w:sz w:val="24"/>
                      <w:szCs w:val="24"/>
                    </w:rPr>
                    <w:t>Număr CELEX</w:t>
                  </w:r>
                  <w:r w:rsidRPr="0021632F">
                    <w:rPr>
                      <w:rFonts w:ascii="Times New Roman" w:eastAsia="Times New Roman" w:hAnsi="Times New Roman" w:cs="Times New Roman"/>
                      <w:sz w:val="24"/>
                      <w:szCs w:val="24"/>
                      <w:lang w:val="ro-MD"/>
                    </w:rPr>
                    <w:t xml:space="preserve"> :  </w:t>
                  </w:r>
                  <w:hyperlink r:id="rId12" w:history="1">
                    <w:r w:rsidRPr="0021632F">
                      <w:rPr>
                        <w:rStyle w:val="Hyperlink"/>
                        <w:rFonts w:ascii="Times New Roman" w:eastAsia="Times New Roman" w:hAnsi="Times New Roman" w:cs="Times New Roman"/>
                        <w:sz w:val="24"/>
                        <w:szCs w:val="24"/>
                        <w:lang w:val="ro-MD"/>
                      </w:rPr>
                      <w:t>02014L0032-20150127</w:t>
                    </w:r>
                  </w:hyperlink>
                </w:p>
                <w:p w:rsidR="00857858" w:rsidRPr="006E40B1" w:rsidRDefault="006E40B1" w:rsidP="00F975B0">
                  <w:pPr>
                    <w:spacing w:after="0" w:line="240" w:lineRule="auto"/>
                    <w:ind w:right="50"/>
                    <w:jc w:val="both"/>
                    <w:rPr>
                      <w:rFonts w:ascii="Times New Roman" w:eastAsia="Times New Roman" w:hAnsi="Times New Roman" w:cs="Times New Roman"/>
                      <w:sz w:val="24"/>
                      <w:szCs w:val="24"/>
                    </w:rPr>
                  </w:pPr>
                  <w:r w:rsidRPr="000F1B8D">
                    <w:rPr>
                      <w:rFonts w:ascii="Times New Roman" w:eastAsia="Times New Roman" w:hAnsi="Times New Roman" w:cs="Times New Roman"/>
                      <w:sz w:val="24"/>
                      <w:szCs w:val="24"/>
                    </w:rPr>
                    <w:lastRenderedPageBreak/>
                    <w:t xml:space="preserve">Gradul de compatibilitate a actului juridic UE cu proiectul în cauză este </w:t>
                  </w:r>
                  <w:r w:rsidR="00857858">
                    <w:rPr>
                      <w:rFonts w:ascii="Times New Roman" w:eastAsia="Times New Roman" w:hAnsi="Times New Roman" w:cs="Times New Roman"/>
                      <w:sz w:val="24"/>
                      <w:szCs w:val="24"/>
                    </w:rPr>
                    <w:t xml:space="preserve">stabilit „compatibil” și este </w:t>
                  </w:r>
                  <w:r w:rsidRPr="000F1B8D">
                    <w:rPr>
                      <w:rFonts w:ascii="Times New Roman" w:eastAsia="Times New Roman" w:hAnsi="Times New Roman" w:cs="Times New Roman"/>
                      <w:sz w:val="24"/>
                      <w:szCs w:val="24"/>
                    </w:rPr>
                    <w:t>reflectat în Tabe</w:t>
                  </w:r>
                  <w:r w:rsidR="0021632F">
                    <w:rPr>
                      <w:rFonts w:ascii="Times New Roman" w:eastAsia="Times New Roman" w:hAnsi="Times New Roman" w:cs="Times New Roman"/>
                      <w:sz w:val="24"/>
                      <w:szCs w:val="24"/>
                    </w:rPr>
                    <w:t>lele</w:t>
                  </w:r>
                  <w:r w:rsidRPr="000F1B8D">
                    <w:rPr>
                      <w:rFonts w:ascii="Times New Roman" w:eastAsia="Times New Roman" w:hAnsi="Times New Roman" w:cs="Times New Roman"/>
                      <w:sz w:val="24"/>
                      <w:szCs w:val="24"/>
                    </w:rPr>
                    <w:t xml:space="preserve"> de concordanță elaborat conform prevederilor Regulamentului privind armonizarea legislației Republicii Moldova cu legislația Uniunii Europene, aprobat prin Ho</w:t>
                  </w:r>
                  <w:r w:rsidR="0021632F">
                    <w:rPr>
                      <w:rFonts w:ascii="Times New Roman" w:eastAsia="Times New Roman" w:hAnsi="Times New Roman" w:cs="Times New Roman"/>
                      <w:sz w:val="24"/>
                      <w:szCs w:val="24"/>
                    </w:rPr>
                    <w:t>tărârea Guvernului nr.1171/2018, cu modificările ulterioare.</w:t>
                  </w:r>
                </w:p>
              </w:tc>
              <w:tc>
                <w:tcPr>
                  <w:tcW w:w="0" w:type="auto"/>
                  <w:shd w:val="clear" w:color="auto" w:fill="auto"/>
                  <w:hideMark/>
                </w:tcPr>
                <w:p w:rsidR="006E40B1" w:rsidRPr="006E40B1" w:rsidRDefault="006E40B1" w:rsidP="00F975B0">
                  <w:pPr>
                    <w:spacing w:after="0" w:line="240" w:lineRule="auto"/>
                    <w:ind w:right="50"/>
                    <w:jc w:val="both"/>
                    <w:rPr>
                      <w:rFonts w:ascii="Times New Roman" w:eastAsia="Times New Roman" w:hAnsi="Times New Roman" w:cs="Times New Roman"/>
                      <w:sz w:val="24"/>
                      <w:szCs w:val="24"/>
                    </w:rPr>
                  </w:pPr>
                </w:p>
              </w:tc>
            </w:tr>
          </w:tbl>
          <w:p w:rsidR="00BF4D9F" w:rsidRPr="00BC1740" w:rsidRDefault="00BF4D9F" w:rsidP="00F975B0">
            <w:pPr>
              <w:spacing w:after="0" w:line="240" w:lineRule="auto"/>
              <w:ind w:right="50"/>
              <w:rPr>
                <w:rFonts w:ascii="Times New Roman" w:eastAsia="Times New Roman" w:hAnsi="Times New Roman" w:cs="Times New Roman"/>
                <w:sz w:val="24"/>
                <w:szCs w:val="24"/>
                <w:lang w:val="ro-MD"/>
              </w:rPr>
            </w:pP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lastRenderedPageBreak/>
              <w:t>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6371E8" w:rsidP="00F975B0">
            <w:pPr>
              <w:spacing w:after="0" w:line="240" w:lineRule="auto"/>
              <w:ind w:right="50"/>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3. Obiectivele urmărite şi soluț</w:t>
            </w:r>
            <w:r w:rsidR="00BC1740" w:rsidRPr="00BC1740">
              <w:rPr>
                <w:rFonts w:ascii="Times New Roman" w:eastAsia="Times New Roman" w:hAnsi="Times New Roman" w:cs="Times New Roman"/>
                <w:b/>
                <w:bCs/>
                <w:sz w:val="24"/>
                <w:szCs w:val="24"/>
                <w:lang w:val="ro-MD"/>
              </w:rPr>
              <w:t>iile propuse</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3FD1" w:rsidRDefault="00E13FD1" w:rsidP="00F975B0">
            <w:pPr>
              <w:spacing w:after="0" w:line="240" w:lineRule="auto"/>
              <w:ind w:right="50"/>
              <w:jc w:val="both"/>
              <w:rPr>
                <w:rFonts w:ascii="Times New Roman" w:eastAsia="Times New Roman" w:hAnsi="Times New Roman" w:cs="Times New Roman"/>
                <w:sz w:val="24"/>
                <w:szCs w:val="24"/>
              </w:rPr>
            </w:pPr>
            <w:r w:rsidRPr="00E13FD1">
              <w:rPr>
                <w:rFonts w:ascii="Times New Roman" w:eastAsia="Times New Roman" w:hAnsi="Times New Roman" w:cs="Times New Roman"/>
                <w:b/>
                <w:sz w:val="24"/>
                <w:szCs w:val="24"/>
                <w:lang w:val="ro-MD"/>
              </w:rPr>
              <w:t>3.1. Principalele prevederi ale proiectului şi evidențierea elementelor noi</w:t>
            </w:r>
            <w:r w:rsidRPr="00857858">
              <w:rPr>
                <w:rFonts w:ascii="Times New Roman" w:eastAsia="Times New Roman" w:hAnsi="Times New Roman" w:cs="Times New Roman"/>
                <w:sz w:val="24"/>
                <w:szCs w:val="24"/>
              </w:rPr>
              <w:t xml:space="preserve"> </w:t>
            </w:r>
          </w:p>
          <w:p w:rsidR="006371E8" w:rsidRDefault="00857858" w:rsidP="00F975B0">
            <w:pPr>
              <w:spacing w:after="0" w:line="240" w:lineRule="auto"/>
              <w:ind w:right="50"/>
              <w:jc w:val="both"/>
              <w:rPr>
                <w:rFonts w:ascii="Times New Roman" w:eastAsia="Times New Roman" w:hAnsi="Times New Roman" w:cs="Times New Roman"/>
                <w:sz w:val="24"/>
                <w:szCs w:val="24"/>
              </w:rPr>
            </w:pPr>
            <w:r w:rsidRPr="00857858">
              <w:rPr>
                <w:rFonts w:ascii="Times New Roman" w:eastAsia="Times New Roman" w:hAnsi="Times New Roman" w:cs="Times New Roman"/>
                <w:sz w:val="24"/>
                <w:szCs w:val="24"/>
              </w:rPr>
              <w:t xml:space="preserve">Proiectul are drept scop </w:t>
            </w:r>
            <w:r w:rsidR="006371E8">
              <w:rPr>
                <w:rFonts w:ascii="Times New Roman" w:eastAsia="Times New Roman" w:hAnsi="Times New Roman" w:cs="Times New Roman"/>
                <w:sz w:val="24"/>
                <w:szCs w:val="24"/>
              </w:rPr>
              <w:t>ajustarea normelor</w:t>
            </w:r>
            <w:r w:rsidRPr="00857858">
              <w:rPr>
                <w:rFonts w:ascii="Times New Roman" w:eastAsia="Times New Roman" w:hAnsi="Times New Roman" w:cs="Times New Roman"/>
                <w:sz w:val="24"/>
                <w:szCs w:val="24"/>
              </w:rPr>
              <w:t xml:space="preserve"> privind</w:t>
            </w:r>
            <w:r w:rsidR="006371E8">
              <w:rPr>
                <w:rFonts w:ascii="Times New Roman" w:eastAsia="Times New Roman" w:hAnsi="Times New Roman" w:cs="Times New Roman"/>
                <w:sz w:val="24"/>
                <w:szCs w:val="24"/>
              </w:rPr>
              <w:t>:</w:t>
            </w:r>
          </w:p>
          <w:p w:rsidR="006371E8" w:rsidRDefault="00857858" w:rsidP="00F975B0">
            <w:pPr>
              <w:pStyle w:val="ListParagraph"/>
              <w:numPr>
                <w:ilvl w:val="0"/>
                <w:numId w:val="7"/>
              </w:numPr>
              <w:spacing w:after="0" w:line="240" w:lineRule="auto"/>
              <w:ind w:right="50"/>
              <w:jc w:val="both"/>
              <w:rPr>
                <w:rFonts w:ascii="Times New Roman" w:eastAsia="Times New Roman" w:hAnsi="Times New Roman" w:cs="Times New Roman"/>
                <w:sz w:val="24"/>
                <w:szCs w:val="24"/>
              </w:rPr>
            </w:pPr>
            <w:r w:rsidRPr="006371E8">
              <w:rPr>
                <w:rFonts w:ascii="Times New Roman" w:eastAsia="Times New Roman" w:hAnsi="Times New Roman" w:cs="Times New Roman"/>
                <w:sz w:val="24"/>
                <w:szCs w:val="24"/>
              </w:rPr>
              <w:t xml:space="preserve">introducerea și punerea la dispoziție pe piață, punerea în funcțiune a </w:t>
            </w:r>
            <w:r w:rsidR="006371E8" w:rsidRPr="006371E8">
              <w:rPr>
                <w:rFonts w:ascii="Times New Roman" w:eastAsia="Times New Roman" w:hAnsi="Times New Roman" w:cs="Times New Roman"/>
                <w:sz w:val="24"/>
                <w:szCs w:val="24"/>
              </w:rPr>
              <w:t xml:space="preserve">aparatelor de cântărit cu funcționarea neautomată și </w:t>
            </w:r>
            <w:r w:rsidRPr="006371E8">
              <w:rPr>
                <w:rFonts w:ascii="Times New Roman" w:eastAsia="Times New Roman" w:hAnsi="Times New Roman" w:cs="Times New Roman"/>
                <w:sz w:val="24"/>
                <w:szCs w:val="24"/>
              </w:rPr>
              <w:t>mijloacelor de măsurare</w:t>
            </w:r>
            <w:r w:rsidR="006371E8">
              <w:rPr>
                <w:rFonts w:ascii="Times New Roman" w:eastAsia="Times New Roman" w:hAnsi="Times New Roman" w:cs="Times New Roman"/>
                <w:sz w:val="24"/>
                <w:szCs w:val="24"/>
              </w:rPr>
              <w:t>;</w:t>
            </w:r>
          </w:p>
          <w:p w:rsidR="006371E8" w:rsidRPr="00E2039E" w:rsidRDefault="006371E8" w:rsidP="00F975B0">
            <w:pPr>
              <w:pStyle w:val="ListParagraph"/>
              <w:numPr>
                <w:ilvl w:val="0"/>
                <w:numId w:val="7"/>
              </w:numPr>
              <w:spacing w:after="0" w:line="240" w:lineRule="auto"/>
              <w:ind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cerințele </w:t>
            </w:r>
            <w:r w:rsidRPr="006371E8">
              <w:rPr>
                <w:rFonts w:ascii="Times New Roman" w:eastAsia="Times New Roman" w:hAnsi="Times New Roman" w:cs="Times New Roman"/>
                <w:bCs/>
                <w:sz w:val="24"/>
                <w:szCs w:val="24"/>
              </w:rPr>
              <w:t>privind sticlele utilizate ca recipiente de măsură</w:t>
            </w:r>
            <w:r>
              <w:rPr>
                <w:rFonts w:ascii="Times New Roman" w:eastAsia="Times New Roman" w:hAnsi="Times New Roman" w:cs="Times New Roman"/>
                <w:bCs/>
                <w:sz w:val="24"/>
                <w:szCs w:val="24"/>
              </w:rPr>
              <w:t xml:space="preserve">, </w:t>
            </w:r>
            <w:r w:rsidR="00E2039E" w:rsidRPr="00E2039E">
              <w:rPr>
                <w:rFonts w:ascii="Times New Roman" w:eastAsia="Times New Roman" w:hAnsi="Times New Roman" w:cs="Times New Roman"/>
                <w:bCs/>
                <w:sz w:val="24"/>
                <w:szCs w:val="24"/>
              </w:rPr>
              <w:t>preambalarea, în funcţie de masă sau volum, a anumitor preambalate</w:t>
            </w:r>
            <w:r w:rsidR="00E2039E">
              <w:rPr>
                <w:rFonts w:ascii="Times New Roman" w:eastAsia="Times New Roman" w:hAnsi="Times New Roman" w:cs="Times New Roman"/>
                <w:bCs/>
                <w:sz w:val="24"/>
                <w:szCs w:val="24"/>
              </w:rPr>
              <w:t xml:space="preserve">, </w:t>
            </w:r>
            <w:r w:rsidR="00E2039E" w:rsidRPr="00E2039E">
              <w:rPr>
                <w:rFonts w:ascii="Times New Roman" w:eastAsia="Times New Roman" w:hAnsi="Times New Roman" w:cs="Times New Roman"/>
                <w:bCs/>
                <w:sz w:val="24"/>
                <w:szCs w:val="24"/>
              </w:rPr>
              <w:t>aprobarea unităților de măsură legale</w:t>
            </w:r>
            <w:r w:rsidR="00E2039E">
              <w:rPr>
                <w:rFonts w:ascii="Times New Roman" w:eastAsia="Times New Roman" w:hAnsi="Times New Roman" w:cs="Times New Roman"/>
                <w:bCs/>
                <w:sz w:val="24"/>
                <w:szCs w:val="24"/>
              </w:rPr>
              <w:t>,</w:t>
            </w:r>
          </w:p>
          <w:p w:rsidR="006371E8" w:rsidRPr="006371E8" w:rsidRDefault="00857858" w:rsidP="00F975B0">
            <w:pPr>
              <w:spacing w:after="0" w:line="240" w:lineRule="auto"/>
              <w:ind w:right="50"/>
              <w:jc w:val="both"/>
              <w:rPr>
                <w:rFonts w:ascii="Times New Roman" w:eastAsia="Times New Roman" w:hAnsi="Times New Roman" w:cs="Times New Roman"/>
                <w:sz w:val="24"/>
                <w:szCs w:val="24"/>
              </w:rPr>
            </w:pPr>
            <w:r w:rsidRPr="006371E8">
              <w:rPr>
                <w:rFonts w:ascii="Times New Roman" w:eastAsia="Times New Roman" w:hAnsi="Times New Roman" w:cs="Times New Roman"/>
                <w:bCs/>
                <w:sz w:val="24"/>
                <w:szCs w:val="24"/>
              </w:rPr>
              <w:t xml:space="preserve">acoperite de Reglementările tehnice prenotate, </w:t>
            </w:r>
            <w:r w:rsidRPr="006371E8">
              <w:rPr>
                <w:rFonts w:ascii="Times New Roman" w:eastAsia="Times New Roman" w:hAnsi="Times New Roman" w:cs="Times New Roman"/>
                <w:sz w:val="24"/>
                <w:szCs w:val="24"/>
              </w:rPr>
              <w:t xml:space="preserve"> la actele juridice ale UE pertinente</w:t>
            </w:r>
            <w:r w:rsidR="006371E8" w:rsidRPr="006371E8">
              <w:rPr>
                <w:rFonts w:ascii="Times New Roman" w:eastAsia="Times New Roman" w:hAnsi="Times New Roman" w:cs="Times New Roman"/>
                <w:sz w:val="24"/>
                <w:szCs w:val="24"/>
              </w:rPr>
              <w:t>.</w:t>
            </w:r>
          </w:p>
          <w:p w:rsidR="00E2039E" w:rsidRDefault="00E2039E" w:rsidP="00F975B0">
            <w:pPr>
              <w:spacing w:before="120" w:after="0" w:line="240" w:lineRule="auto"/>
              <w:ind w:right="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etapa de evaluare a Reglementărilor tehnice în procesul de elaborare a prezentărilor de țară aferente Capitolului 1:Libera circulație a bunurilor, au fost observate </w:t>
            </w:r>
            <w:r w:rsidR="00773FE2">
              <w:rPr>
                <w:rFonts w:ascii="Times New Roman" w:eastAsia="Times New Roman" w:hAnsi="Times New Roman" w:cs="Times New Roman"/>
                <w:bCs/>
                <w:sz w:val="24"/>
                <w:szCs w:val="24"/>
              </w:rPr>
              <w:t>mai multe abateri de la legislația UE, având  caracter tehnic.</w:t>
            </w:r>
            <w:r>
              <w:rPr>
                <w:rFonts w:ascii="Times New Roman" w:eastAsia="Times New Roman" w:hAnsi="Times New Roman" w:cs="Times New Roman"/>
                <w:bCs/>
                <w:sz w:val="24"/>
                <w:szCs w:val="24"/>
              </w:rPr>
              <w:t xml:space="preserve"> </w:t>
            </w:r>
          </w:p>
          <w:p w:rsidR="00773FE2" w:rsidRDefault="00773FE2" w:rsidP="00F975B0">
            <w:pPr>
              <w:spacing w:before="120" w:after="0" w:line="240" w:lineRule="auto"/>
              <w:ind w:right="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Totodată, au fost corelate prevederile referitoare la terminologie. Astfel,  proiectul va asigura o identitate unică și o prezentare în volum deplin a noțiunilor din  Reglementările tehnice cu noțiunile din actele UE,  menționate la pct.2 din prezenta notă.</w:t>
            </w:r>
          </w:p>
          <w:p w:rsidR="00E2039E" w:rsidRDefault="00773FE2" w:rsidP="00F975B0">
            <w:pPr>
              <w:spacing w:before="120" w:after="0" w:line="240" w:lineRule="auto"/>
              <w:ind w:right="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 menționat, că </w:t>
            </w:r>
            <w:r w:rsidR="000D106A">
              <w:rPr>
                <w:rFonts w:ascii="Times New Roman" w:eastAsia="Times New Roman" w:hAnsi="Times New Roman" w:cs="Times New Roman"/>
                <w:bCs/>
                <w:sz w:val="24"/>
                <w:szCs w:val="24"/>
              </w:rPr>
              <w:t>proiectul concretizează obligațiile autorităților naționale în raport cu Comisia Europeană și statele membre.</w:t>
            </w:r>
          </w:p>
          <w:p w:rsidR="00857858" w:rsidRPr="00BC1740" w:rsidRDefault="000D106A" w:rsidP="00F975B0">
            <w:pPr>
              <w:spacing w:before="120" w:after="0" w:line="240" w:lineRule="auto"/>
              <w:ind w:right="50"/>
              <w:jc w:val="both"/>
              <w:rPr>
                <w:rFonts w:ascii="Times New Roman" w:eastAsia="Times New Roman" w:hAnsi="Times New Roman" w:cs="Times New Roman"/>
                <w:sz w:val="24"/>
                <w:szCs w:val="24"/>
                <w:lang w:val="ro-MD"/>
              </w:rPr>
            </w:pPr>
            <w:r>
              <w:rPr>
                <w:rFonts w:ascii="Times New Roman" w:eastAsia="Times New Roman" w:hAnsi="Times New Roman" w:cs="Times New Roman"/>
                <w:bCs/>
                <w:sz w:val="24"/>
                <w:szCs w:val="24"/>
              </w:rPr>
              <w:t xml:space="preserve">Suplimentar se remarcă, că proiectul ține cont de observațiile, care au fost expuse  de către experții proiectului </w:t>
            </w:r>
            <w:r w:rsidRPr="000D106A">
              <w:rPr>
                <w:rFonts w:ascii="Times New Roman" w:eastAsia="Times New Roman" w:hAnsi="Times New Roman" w:cs="Times New Roman"/>
                <w:bCs/>
                <w:sz w:val="24"/>
                <w:szCs w:val="24"/>
                <w:lang w:val="ro-MD"/>
              </w:rPr>
              <w:t xml:space="preserve"> </w:t>
            </w:r>
            <w:r w:rsidRPr="000D106A">
              <w:rPr>
                <w:rFonts w:ascii="Times New Roman" w:eastAsia="Times New Roman" w:hAnsi="Times New Roman" w:cs="Times New Roman"/>
                <w:bCs/>
                <w:i/>
                <w:sz w:val="24"/>
                <w:szCs w:val="24"/>
                <w:lang w:val="en-GB"/>
              </w:rPr>
              <w:t>„Legislative Pre-Assessment of the EU - Moldova Association Agreement -Provisions on Technical Barriers to Trade” (</w:t>
            </w:r>
            <w:r w:rsidR="006D7D63">
              <w:rPr>
                <w:rFonts w:ascii="Times New Roman" w:eastAsia="Times New Roman" w:hAnsi="Times New Roman" w:cs="Times New Roman"/>
                <w:bCs/>
                <w:i/>
                <w:sz w:val="24"/>
                <w:szCs w:val="24"/>
                <w:lang w:val="en-GB"/>
              </w:rPr>
              <w:t>project number SIEA-2018-19547).</w:t>
            </w:r>
            <w:r w:rsidR="006D7D63">
              <w:rPr>
                <w:rFonts w:ascii="Times New Roman" w:eastAsia="Times New Roman" w:hAnsi="Times New Roman" w:cs="Times New Roman"/>
                <w:bCs/>
                <w:sz w:val="24"/>
                <w:szCs w:val="24"/>
                <w:lang w:val="en-GB"/>
              </w:rPr>
              <w:t xml:space="preserve"> Ca </w:t>
            </w:r>
            <w:proofErr w:type="spellStart"/>
            <w:r w:rsidR="006D7D63">
              <w:rPr>
                <w:rFonts w:ascii="Times New Roman" w:eastAsia="Times New Roman" w:hAnsi="Times New Roman" w:cs="Times New Roman"/>
                <w:bCs/>
                <w:sz w:val="24"/>
                <w:szCs w:val="24"/>
                <w:lang w:val="en-GB"/>
              </w:rPr>
              <w:t>urmare</w:t>
            </w:r>
            <w:proofErr w:type="spellEnd"/>
            <w:r w:rsidR="006D7D63">
              <w:rPr>
                <w:rFonts w:ascii="Times New Roman" w:eastAsia="Times New Roman" w:hAnsi="Times New Roman" w:cs="Times New Roman"/>
                <w:bCs/>
                <w:sz w:val="24"/>
                <w:szCs w:val="24"/>
                <w:lang w:val="en-GB"/>
              </w:rPr>
              <w:t xml:space="preserve">, </w:t>
            </w:r>
            <w:proofErr w:type="spellStart"/>
            <w:r w:rsidR="006D7D63">
              <w:rPr>
                <w:rFonts w:ascii="Times New Roman" w:eastAsia="Times New Roman" w:hAnsi="Times New Roman" w:cs="Times New Roman"/>
                <w:bCs/>
                <w:sz w:val="24"/>
                <w:szCs w:val="24"/>
                <w:lang w:val="en-GB"/>
              </w:rPr>
              <w:t>proiectul</w:t>
            </w:r>
            <w:proofErr w:type="spellEnd"/>
            <w:r w:rsidR="006D7D63">
              <w:rPr>
                <w:rFonts w:ascii="Times New Roman" w:eastAsia="Times New Roman" w:hAnsi="Times New Roman" w:cs="Times New Roman"/>
                <w:bCs/>
                <w:sz w:val="24"/>
                <w:szCs w:val="24"/>
                <w:lang w:val="en-GB"/>
              </w:rPr>
              <w:t xml:space="preserve"> conţine </w:t>
            </w:r>
            <w:proofErr w:type="spellStart"/>
            <w:r w:rsidR="006D7D63">
              <w:rPr>
                <w:rFonts w:ascii="Times New Roman" w:eastAsia="Times New Roman" w:hAnsi="Times New Roman" w:cs="Times New Roman"/>
                <w:bCs/>
                <w:sz w:val="24"/>
                <w:szCs w:val="24"/>
                <w:lang w:val="en-GB"/>
              </w:rPr>
              <w:t>prevederi</w:t>
            </w:r>
            <w:proofErr w:type="spellEnd"/>
            <w:r w:rsidR="006D7D63">
              <w:rPr>
                <w:rFonts w:ascii="Times New Roman" w:eastAsia="Times New Roman" w:hAnsi="Times New Roman" w:cs="Times New Roman"/>
                <w:bCs/>
                <w:sz w:val="24"/>
                <w:szCs w:val="24"/>
                <w:lang w:val="en-GB"/>
              </w:rPr>
              <w:t xml:space="preserve"> care </w:t>
            </w:r>
            <w:proofErr w:type="spellStart"/>
            <w:r w:rsidR="006D7D63">
              <w:rPr>
                <w:rFonts w:ascii="Times New Roman" w:eastAsia="Times New Roman" w:hAnsi="Times New Roman" w:cs="Times New Roman"/>
                <w:bCs/>
                <w:sz w:val="24"/>
                <w:szCs w:val="24"/>
                <w:lang w:val="en-GB"/>
              </w:rPr>
              <w:t>exclud</w:t>
            </w:r>
            <w:proofErr w:type="spellEnd"/>
            <w:r w:rsidR="006D7D63">
              <w:rPr>
                <w:rFonts w:ascii="Times New Roman" w:eastAsia="Times New Roman" w:hAnsi="Times New Roman" w:cs="Times New Roman"/>
                <w:bCs/>
                <w:sz w:val="24"/>
                <w:szCs w:val="24"/>
                <w:lang w:val="en-GB"/>
              </w:rPr>
              <w:t xml:space="preserve"> </w:t>
            </w:r>
            <w:proofErr w:type="spellStart"/>
            <w:r w:rsidR="006D7D63">
              <w:rPr>
                <w:rFonts w:ascii="Times New Roman" w:eastAsia="Times New Roman" w:hAnsi="Times New Roman" w:cs="Times New Roman"/>
                <w:bCs/>
                <w:sz w:val="24"/>
                <w:szCs w:val="24"/>
                <w:lang w:val="en-GB"/>
              </w:rPr>
              <w:t>observațiile</w:t>
            </w:r>
            <w:proofErr w:type="spellEnd"/>
            <w:r w:rsidR="006D7D63">
              <w:rPr>
                <w:rFonts w:ascii="Times New Roman" w:eastAsia="Times New Roman" w:hAnsi="Times New Roman" w:cs="Times New Roman"/>
                <w:bCs/>
                <w:sz w:val="24"/>
                <w:szCs w:val="24"/>
                <w:lang w:val="en-GB"/>
              </w:rPr>
              <w:t xml:space="preserve"> </w:t>
            </w:r>
            <w:proofErr w:type="spellStart"/>
            <w:r w:rsidR="006D7D63">
              <w:rPr>
                <w:rFonts w:ascii="Times New Roman" w:eastAsia="Times New Roman" w:hAnsi="Times New Roman" w:cs="Times New Roman"/>
                <w:bCs/>
                <w:sz w:val="24"/>
                <w:szCs w:val="24"/>
                <w:lang w:val="en-GB"/>
              </w:rPr>
              <w:t>prezentate</w:t>
            </w:r>
            <w:proofErr w:type="spellEnd"/>
            <w:r w:rsidR="006D7D63">
              <w:rPr>
                <w:rFonts w:ascii="Times New Roman" w:eastAsia="Times New Roman" w:hAnsi="Times New Roman" w:cs="Times New Roman"/>
                <w:bCs/>
                <w:sz w:val="24"/>
                <w:szCs w:val="24"/>
                <w:lang w:val="en-GB"/>
              </w:rPr>
              <w:t xml:space="preserve"> în </w:t>
            </w:r>
            <w:r w:rsidR="006D7D63" w:rsidRPr="006D7D63">
              <w:rPr>
                <w:rFonts w:ascii="Times New Roman" w:eastAsia="Times New Roman" w:hAnsi="Times New Roman" w:cs="Times New Roman"/>
                <w:bCs/>
                <w:i/>
                <w:sz w:val="24"/>
                <w:szCs w:val="24"/>
                <w:lang w:val="ro-MD"/>
              </w:rPr>
              <w:t>Final Report Legislative Pre-</w:t>
            </w:r>
            <w:proofErr w:type="spellStart"/>
            <w:r w:rsidR="006D7D63" w:rsidRPr="006D7D63">
              <w:rPr>
                <w:rFonts w:ascii="Times New Roman" w:eastAsia="Times New Roman" w:hAnsi="Times New Roman" w:cs="Times New Roman"/>
                <w:bCs/>
                <w:i/>
                <w:sz w:val="24"/>
                <w:szCs w:val="24"/>
                <w:lang w:val="ro-MD"/>
              </w:rPr>
              <w:t>Assessment</w:t>
            </w:r>
            <w:proofErr w:type="spellEnd"/>
            <w:r w:rsidR="006D7D63" w:rsidRPr="006D7D63">
              <w:rPr>
                <w:rFonts w:ascii="Times New Roman" w:eastAsia="Times New Roman" w:hAnsi="Times New Roman" w:cs="Times New Roman"/>
                <w:bCs/>
                <w:i/>
                <w:sz w:val="24"/>
                <w:szCs w:val="24"/>
                <w:lang w:val="ro-MD"/>
              </w:rPr>
              <w:t xml:space="preserve"> of </w:t>
            </w:r>
            <w:proofErr w:type="spellStart"/>
            <w:r w:rsidR="006D7D63" w:rsidRPr="006D7D63">
              <w:rPr>
                <w:rFonts w:ascii="Times New Roman" w:eastAsia="Times New Roman" w:hAnsi="Times New Roman" w:cs="Times New Roman"/>
                <w:bCs/>
                <w:i/>
                <w:sz w:val="24"/>
                <w:szCs w:val="24"/>
                <w:lang w:val="ro-MD"/>
              </w:rPr>
              <w:t>the</w:t>
            </w:r>
            <w:proofErr w:type="spellEnd"/>
            <w:r w:rsidR="006D7D63" w:rsidRPr="006D7D63">
              <w:rPr>
                <w:rFonts w:ascii="Times New Roman" w:eastAsia="Times New Roman" w:hAnsi="Times New Roman" w:cs="Times New Roman"/>
                <w:bCs/>
                <w:i/>
                <w:sz w:val="24"/>
                <w:szCs w:val="24"/>
                <w:lang w:val="ro-MD"/>
              </w:rPr>
              <w:t xml:space="preserve"> EU - Moldova Association Agreement </w:t>
            </w:r>
            <w:proofErr w:type="spellStart"/>
            <w:r w:rsidR="006D7D63" w:rsidRPr="006D7D63">
              <w:rPr>
                <w:rFonts w:ascii="Times New Roman" w:eastAsia="Times New Roman" w:hAnsi="Times New Roman" w:cs="Times New Roman"/>
                <w:bCs/>
                <w:i/>
                <w:sz w:val="24"/>
                <w:szCs w:val="24"/>
                <w:lang w:val="ro-MD"/>
              </w:rPr>
              <w:t>Provisions</w:t>
            </w:r>
            <w:proofErr w:type="spellEnd"/>
            <w:r w:rsidR="006D7D63" w:rsidRPr="006D7D63">
              <w:rPr>
                <w:rFonts w:ascii="Times New Roman" w:eastAsia="Times New Roman" w:hAnsi="Times New Roman" w:cs="Times New Roman"/>
                <w:bCs/>
                <w:i/>
                <w:sz w:val="24"/>
                <w:szCs w:val="24"/>
                <w:lang w:val="ro-MD"/>
              </w:rPr>
              <w:t xml:space="preserve"> on </w:t>
            </w:r>
            <w:proofErr w:type="spellStart"/>
            <w:r w:rsidR="006D7D63" w:rsidRPr="006D7D63">
              <w:rPr>
                <w:rFonts w:ascii="Times New Roman" w:eastAsia="Times New Roman" w:hAnsi="Times New Roman" w:cs="Times New Roman"/>
                <w:bCs/>
                <w:i/>
                <w:sz w:val="24"/>
                <w:szCs w:val="24"/>
                <w:lang w:val="ro-MD"/>
              </w:rPr>
              <w:t>Technical</w:t>
            </w:r>
            <w:proofErr w:type="spellEnd"/>
            <w:r w:rsidR="006D7D63" w:rsidRPr="006D7D63">
              <w:rPr>
                <w:rFonts w:ascii="Times New Roman" w:eastAsia="Times New Roman" w:hAnsi="Times New Roman" w:cs="Times New Roman"/>
                <w:bCs/>
                <w:i/>
                <w:sz w:val="24"/>
                <w:szCs w:val="24"/>
                <w:lang w:val="ro-MD"/>
              </w:rPr>
              <w:t xml:space="preserve"> </w:t>
            </w:r>
            <w:proofErr w:type="spellStart"/>
            <w:r w:rsidR="006D7D63" w:rsidRPr="006D7D63">
              <w:rPr>
                <w:rFonts w:ascii="Times New Roman" w:eastAsia="Times New Roman" w:hAnsi="Times New Roman" w:cs="Times New Roman"/>
                <w:bCs/>
                <w:i/>
                <w:sz w:val="24"/>
                <w:szCs w:val="24"/>
                <w:lang w:val="ro-MD"/>
              </w:rPr>
              <w:t>Barriers</w:t>
            </w:r>
            <w:proofErr w:type="spellEnd"/>
            <w:r w:rsidR="006D7D63" w:rsidRPr="006D7D63">
              <w:rPr>
                <w:rFonts w:ascii="Times New Roman" w:eastAsia="Times New Roman" w:hAnsi="Times New Roman" w:cs="Times New Roman"/>
                <w:bCs/>
                <w:i/>
                <w:sz w:val="24"/>
                <w:szCs w:val="24"/>
                <w:lang w:val="ro-MD"/>
              </w:rPr>
              <w:t xml:space="preserve"> </w:t>
            </w:r>
            <w:proofErr w:type="spellStart"/>
            <w:r w:rsidR="006D7D63" w:rsidRPr="006D7D63">
              <w:rPr>
                <w:rFonts w:ascii="Times New Roman" w:eastAsia="Times New Roman" w:hAnsi="Times New Roman" w:cs="Times New Roman"/>
                <w:bCs/>
                <w:i/>
                <w:sz w:val="24"/>
                <w:szCs w:val="24"/>
                <w:lang w:val="ro-MD"/>
              </w:rPr>
              <w:t>to</w:t>
            </w:r>
            <w:proofErr w:type="spellEnd"/>
            <w:r w:rsidR="006D7D63" w:rsidRPr="006D7D63">
              <w:rPr>
                <w:rFonts w:ascii="Times New Roman" w:eastAsia="Times New Roman" w:hAnsi="Times New Roman" w:cs="Times New Roman"/>
                <w:bCs/>
                <w:i/>
                <w:sz w:val="24"/>
                <w:szCs w:val="24"/>
                <w:lang w:val="ro-MD"/>
              </w:rPr>
              <w:t xml:space="preserve"> Trade</w:t>
            </w:r>
            <w:r w:rsidR="006D7D63">
              <w:rPr>
                <w:rFonts w:ascii="Times New Roman" w:eastAsia="Times New Roman" w:hAnsi="Times New Roman" w:cs="Times New Roman"/>
                <w:bCs/>
                <w:i/>
                <w:sz w:val="24"/>
                <w:szCs w:val="24"/>
                <w:lang w:val="ro-MD"/>
              </w:rPr>
              <w:t>.</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3FD1" w:rsidRDefault="00E13FD1" w:rsidP="00F975B0">
            <w:pPr>
              <w:spacing w:after="0" w:line="240" w:lineRule="auto"/>
              <w:ind w:right="50"/>
              <w:jc w:val="both"/>
              <w:rPr>
                <w:rFonts w:ascii="Times New Roman" w:eastAsia="Times New Roman" w:hAnsi="Times New Roman" w:cs="Times New Roman"/>
                <w:sz w:val="24"/>
                <w:szCs w:val="24"/>
              </w:rPr>
            </w:pPr>
            <w:r w:rsidRPr="00E13FD1">
              <w:rPr>
                <w:rFonts w:ascii="Times New Roman" w:eastAsia="Times New Roman" w:hAnsi="Times New Roman" w:cs="Times New Roman"/>
                <w:b/>
                <w:sz w:val="24"/>
                <w:szCs w:val="24"/>
                <w:lang w:val="ro-MD"/>
              </w:rPr>
              <w:t>3.2. Opțiunile alternative analizate şi motivele pentru care acestea nu au fost luate în considerare</w:t>
            </w:r>
            <w:r w:rsidRPr="006D7D63">
              <w:rPr>
                <w:rFonts w:ascii="Times New Roman" w:eastAsia="Times New Roman" w:hAnsi="Times New Roman" w:cs="Times New Roman"/>
                <w:sz w:val="24"/>
                <w:szCs w:val="24"/>
              </w:rPr>
              <w:t xml:space="preserve"> </w:t>
            </w:r>
          </w:p>
          <w:p w:rsidR="006D7D63" w:rsidRPr="006D7D63" w:rsidRDefault="006D7D63" w:rsidP="00F975B0">
            <w:pPr>
              <w:spacing w:after="0" w:line="240" w:lineRule="auto"/>
              <w:ind w:right="50"/>
              <w:jc w:val="both"/>
              <w:rPr>
                <w:rFonts w:ascii="Times New Roman" w:eastAsia="Times New Roman" w:hAnsi="Times New Roman" w:cs="Times New Roman"/>
                <w:sz w:val="24"/>
                <w:szCs w:val="24"/>
              </w:rPr>
            </w:pPr>
            <w:r w:rsidRPr="006D7D63">
              <w:rPr>
                <w:rFonts w:ascii="Times New Roman" w:eastAsia="Times New Roman" w:hAnsi="Times New Roman" w:cs="Times New Roman"/>
                <w:sz w:val="24"/>
                <w:szCs w:val="24"/>
              </w:rPr>
              <w:t xml:space="preserve">Având în vedere </w:t>
            </w:r>
            <w:r w:rsidR="00920061">
              <w:rPr>
                <w:rFonts w:ascii="Times New Roman" w:eastAsia="Times New Roman" w:hAnsi="Times New Roman" w:cs="Times New Roman"/>
                <w:sz w:val="24"/>
                <w:szCs w:val="24"/>
              </w:rPr>
              <w:t>unele neconcordanțe ale Reglementărilor tehnice naționale cu actele UE</w:t>
            </w:r>
            <w:r w:rsidRPr="006D7D63">
              <w:rPr>
                <w:rFonts w:ascii="Times New Roman" w:eastAsia="Times New Roman" w:hAnsi="Times New Roman" w:cs="Times New Roman"/>
                <w:sz w:val="24"/>
                <w:szCs w:val="24"/>
              </w:rPr>
              <w:t xml:space="preserve">, se creează premise pentru apariția unor </w:t>
            </w:r>
            <w:r w:rsidR="002B489F">
              <w:rPr>
                <w:rFonts w:ascii="Times New Roman" w:eastAsia="Times New Roman" w:hAnsi="Times New Roman" w:cs="Times New Roman"/>
                <w:sz w:val="24"/>
                <w:szCs w:val="24"/>
              </w:rPr>
              <w:t>ambiguități</w:t>
            </w:r>
            <w:r w:rsidRPr="006D7D63">
              <w:rPr>
                <w:rFonts w:ascii="Times New Roman" w:eastAsia="Times New Roman" w:hAnsi="Times New Roman" w:cs="Times New Roman"/>
                <w:sz w:val="24"/>
                <w:szCs w:val="24"/>
              </w:rPr>
              <w:t xml:space="preserve"> în </w:t>
            </w:r>
            <w:r w:rsidR="00920061">
              <w:rPr>
                <w:rFonts w:ascii="Times New Roman" w:eastAsia="Times New Roman" w:hAnsi="Times New Roman" w:cs="Times New Roman"/>
                <w:sz w:val="24"/>
                <w:szCs w:val="24"/>
              </w:rPr>
              <w:t xml:space="preserve">procesul de definitivare a prezentărilor de țară pentru Capitolul 1:Libera circulație a bunurilor. </w:t>
            </w:r>
          </w:p>
          <w:p w:rsidR="00920061" w:rsidRDefault="002B489F" w:rsidP="00F975B0">
            <w:pPr>
              <w:spacing w:before="120" w:after="0" w:line="240" w:lineRule="auto"/>
              <w:ind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Concluzionând cele </w:t>
            </w:r>
            <w:r w:rsidR="006D7D63" w:rsidRPr="006D7D63">
              <w:rPr>
                <w:rFonts w:ascii="Times New Roman" w:eastAsia="Times New Roman" w:hAnsi="Times New Roman" w:cs="Times New Roman"/>
                <w:sz w:val="24"/>
                <w:szCs w:val="24"/>
              </w:rPr>
              <w:t xml:space="preserve">expuse supra, se constată, că în cazul neintervenției privind hotărârile de Guvern menționate, </w:t>
            </w:r>
            <w:r w:rsidR="00920061" w:rsidRPr="006D7D63">
              <w:rPr>
                <w:rFonts w:ascii="Times New Roman" w:eastAsia="Times New Roman" w:hAnsi="Times New Roman" w:cs="Times New Roman"/>
                <w:sz w:val="24"/>
                <w:szCs w:val="24"/>
              </w:rPr>
              <w:t xml:space="preserve">nu </w:t>
            </w:r>
            <w:r w:rsidR="00920061">
              <w:rPr>
                <w:rFonts w:ascii="Times New Roman" w:eastAsia="Times New Roman" w:hAnsi="Times New Roman" w:cs="Times New Roman"/>
                <w:sz w:val="24"/>
                <w:szCs w:val="24"/>
              </w:rPr>
              <w:t xml:space="preserve">va fi </w:t>
            </w:r>
            <w:r w:rsidR="00920061" w:rsidRPr="006D7D63">
              <w:rPr>
                <w:rFonts w:ascii="Times New Roman" w:eastAsia="Times New Roman" w:hAnsi="Times New Roman" w:cs="Times New Roman"/>
                <w:sz w:val="24"/>
                <w:szCs w:val="24"/>
              </w:rPr>
              <w:t xml:space="preserve"> asigurată </w:t>
            </w:r>
            <w:r w:rsidR="00920061">
              <w:rPr>
                <w:rFonts w:ascii="Times New Roman" w:eastAsia="Times New Roman" w:hAnsi="Times New Roman" w:cs="Times New Roman"/>
                <w:sz w:val="24"/>
                <w:szCs w:val="24"/>
              </w:rPr>
              <w:t xml:space="preserve">implementarea </w:t>
            </w:r>
            <w:r w:rsidR="00920061" w:rsidRPr="006D7D63">
              <w:rPr>
                <w:rFonts w:ascii="Times New Roman" w:eastAsia="Times New Roman" w:hAnsi="Times New Roman" w:cs="Times New Roman"/>
                <w:sz w:val="24"/>
                <w:szCs w:val="24"/>
              </w:rPr>
              <w:t xml:space="preserve"> ad-litteram a </w:t>
            </w:r>
            <w:r w:rsidR="00920061">
              <w:rPr>
                <w:rFonts w:ascii="Times New Roman" w:eastAsia="Times New Roman" w:hAnsi="Times New Roman" w:cs="Times New Roman"/>
                <w:sz w:val="24"/>
                <w:szCs w:val="24"/>
              </w:rPr>
              <w:t>acquis-ului european aferent domeniului metrologiei</w:t>
            </w:r>
            <w:r w:rsidR="00920061" w:rsidRPr="006D7D63">
              <w:rPr>
                <w:rFonts w:ascii="Times New Roman" w:eastAsia="Times New Roman" w:hAnsi="Times New Roman" w:cs="Times New Roman"/>
                <w:sz w:val="24"/>
                <w:szCs w:val="24"/>
              </w:rPr>
              <w:t>.</w:t>
            </w:r>
          </w:p>
          <w:p w:rsidR="006D7D63" w:rsidRPr="00BC1740" w:rsidRDefault="006D7D63" w:rsidP="00F975B0">
            <w:pPr>
              <w:spacing w:before="120" w:after="0" w:line="240" w:lineRule="auto"/>
              <w:ind w:right="50"/>
              <w:jc w:val="both"/>
              <w:rPr>
                <w:rFonts w:ascii="Times New Roman" w:eastAsia="Times New Roman" w:hAnsi="Times New Roman" w:cs="Times New Roman"/>
                <w:sz w:val="24"/>
                <w:szCs w:val="24"/>
                <w:lang w:val="ro-MD"/>
              </w:rPr>
            </w:pPr>
            <w:r w:rsidRPr="006D7D63">
              <w:rPr>
                <w:rFonts w:ascii="Times New Roman" w:eastAsia="Times New Roman" w:hAnsi="Times New Roman" w:cs="Times New Roman"/>
                <w:sz w:val="24"/>
                <w:szCs w:val="24"/>
              </w:rPr>
              <w:t xml:space="preserve">Astfel, se constată intervenția regulatorului pentru excluderea lacunelor legislative depistate în procesul de </w:t>
            </w:r>
            <w:r w:rsidR="00920061">
              <w:rPr>
                <w:rFonts w:ascii="Times New Roman" w:eastAsia="Times New Roman" w:hAnsi="Times New Roman" w:cs="Times New Roman"/>
                <w:sz w:val="24"/>
                <w:szCs w:val="24"/>
              </w:rPr>
              <w:t xml:space="preserve">screening </w:t>
            </w:r>
            <w:r w:rsidRPr="006D7D63">
              <w:rPr>
                <w:rFonts w:ascii="Times New Roman" w:eastAsia="Times New Roman" w:hAnsi="Times New Roman" w:cs="Times New Roman"/>
                <w:sz w:val="24"/>
                <w:szCs w:val="24"/>
              </w:rPr>
              <w:t>a actelor normative. De menționat, că modificările preconizate sunt de ordin tehnic, care nu afectează concepția generală ori caracterul unitar al actelor respectiv</w:t>
            </w:r>
            <w:r w:rsidR="00920061">
              <w:rPr>
                <w:rFonts w:ascii="Times New Roman" w:eastAsia="Times New Roman" w:hAnsi="Times New Roman" w:cs="Times New Roman"/>
                <w:sz w:val="24"/>
                <w:szCs w:val="24"/>
              </w:rPr>
              <w:t xml:space="preserve">e. În context, modificările nu conțin prevederi care ar influența activitatea agenților economici, care ar crea </w:t>
            </w:r>
            <w:r w:rsidR="00C40340">
              <w:rPr>
                <w:rFonts w:ascii="Times New Roman" w:eastAsia="Times New Roman" w:hAnsi="Times New Roman" w:cs="Times New Roman"/>
                <w:sz w:val="24"/>
                <w:szCs w:val="24"/>
                <w:lang w:val="ro-MD"/>
              </w:rPr>
              <w:t>bariere</w:t>
            </w:r>
            <w:r w:rsidR="00920061" w:rsidRPr="00C40340">
              <w:rPr>
                <w:rFonts w:ascii="Times New Roman" w:eastAsia="Times New Roman" w:hAnsi="Times New Roman" w:cs="Times New Roman"/>
                <w:sz w:val="24"/>
                <w:szCs w:val="24"/>
                <w:lang w:val="ro-MD"/>
              </w:rPr>
              <w:t xml:space="preserve"> </w:t>
            </w:r>
            <w:r w:rsidR="00920061">
              <w:rPr>
                <w:rFonts w:ascii="Times New Roman" w:eastAsia="Times New Roman" w:hAnsi="Times New Roman" w:cs="Times New Roman"/>
                <w:sz w:val="24"/>
                <w:szCs w:val="24"/>
              </w:rPr>
              <w:t xml:space="preserve">netarifare </w:t>
            </w:r>
            <w:r w:rsidR="00FC31B2">
              <w:rPr>
                <w:rFonts w:ascii="Times New Roman" w:eastAsia="Times New Roman" w:hAnsi="Times New Roman" w:cs="Times New Roman"/>
                <w:sz w:val="24"/>
                <w:szCs w:val="24"/>
              </w:rPr>
              <w:t xml:space="preserve">și </w:t>
            </w:r>
            <w:r w:rsidR="00920061">
              <w:rPr>
                <w:rFonts w:ascii="Times New Roman" w:eastAsia="Times New Roman" w:hAnsi="Times New Roman" w:cs="Times New Roman"/>
                <w:sz w:val="24"/>
                <w:szCs w:val="24"/>
              </w:rPr>
              <w:t xml:space="preserve">care </w:t>
            </w:r>
            <w:r w:rsidR="00C40340">
              <w:rPr>
                <w:rFonts w:ascii="Times New Roman" w:eastAsia="Times New Roman" w:hAnsi="Times New Roman" w:cs="Times New Roman"/>
                <w:sz w:val="24"/>
                <w:szCs w:val="24"/>
              </w:rPr>
              <w:t xml:space="preserve">ar </w:t>
            </w:r>
            <w:r w:rsidR="00FC31B2">
              <w:rPr>
                <w:rFonts w:ascii="Times New Roman" w:eastAsia="Times New Roman" w:hAnsi="Times New Roman" w:cs="Times New Roman"/>
                <w:sz w:val="24"/>
                <w:szCs w:val="24"/>
              </w:rPr>
              <w:t>impune careva cerințe suplimentare mediului de afaceri.</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t>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Default="00BC1740" w:rsidP="00F975B0">
            <w:pPr>
              <w:spacing w:after="0" w:line="240" w:lineRule="auto"/>
              <w:ind w:right="50"/>
              <w:rPr>
                <w:rFonts w:ascii="Times New Roman" w:eastAsia="Times New Roman" w:hAnsi="Times New Roman" w:cs="Times New Roman"/>
                <w:b/>
                <w:bCs/>
                <w:sz w:val="24"/>
                <w:szCs w:val="24"/>
                <w:lang w:val="ro-MD"/>
              </w:rPr>
            </w:pPr>
            <w:r w:rsidRPr="00BC1740">
              <w:rPr>
                <w:rFonts w:ascii="Times New Roman" w:eastAsia="Times New Roman" w:hAnsi="Times New Roman" w:cs="Times New Roman"/>
                <w:b/>
                <w:bCs/>
                <w:sz w:val="24"/>
                <w:szCs w:val="24"/>
                <w:lang w:val="ro-MD"/>
              </w:rPr>
              <w:t xml:space="preserve">4. Analiza impactului de reglementare </w:t>
            </w:r>
          </w:p>
          <w:p w:rsidR="002E4C62" w:rsidRDefault="002E4C62" w:rsidP="002E4C62">
            <w:pPr>
              <w:spacing w:after="0" w:line="240" w:lineRule="auto"/>
              <w:ind w:right="50"/>
              <w:jc w:val="both"/>
              <w:rPr>
                <w:rFonts w:ascii="Times New Roman" w:eastAsia="Times New Roman" w:hAnsi="Times New Roman" w:cs="Times New Roman"/>
                <w:bCs/>
                <w:sz w:val="24"/>
                <w:szCs w:val="24"/>
              </w:rPr>
            </w:pPr>
            <w:r w:rsidRPr="002E4C62">
              <w:rPr>
                <w:rFonts w:ascii="Times New Roman" w:eastAsia="Times New Roman" w:hAnsi="Times New Roman" w:cs="Times New Roman"/>
                <w:sz w:val="24"/>
                <w:szCs w:val="24"/>
              </w:rPr>
              <w:t>Beneficiile scontate ale opțiunii recomandate sunt</w:t>
            </w:r>
            <w:r w:rsidRPr="002E4C62">
              <w:rPr>
                <w:rFonts w:ascii="Times New Roman" w:eastAsia="Times New Roman" w:hAnsi="Times New Roman" w:cs="Times New Roman"/>
                <w:sz w:val="24"/>
                <w:szCs w:val="24"/>
                <w:lang w:val="en-GB"/>
              </w:rPr>
              <w:t xml:space="preserve"> </w:t>
            </w:r>
            <w:r w:rsidRPr="002E4C62">
              <w:rPr>
                <w:rFonts w:ascii="Times New Roman" w:eastAsia="Times New Roman" w:hAnsi="Times New Roman" w:cs="Times New Roman"/>
                <w:sz w:val="24"/>
                <w:szCs w:val="24"/>
              </w:rPr>
              <w:t xml:space="preserve">garantarea </w:t>
            </w:r>
            <w:r>
              <w:rPr>
                <w:rFonts w:ascii="Times New Roman" w:eastAsia="Times New Roman" w:hAnsi="Times New Roman" w:cs="Times New Roman"/>
                <w:sz w:val="24"/>
                <w:szCs w:val="24"/>
              </w:rPr>
              <w:t>realizării obiectivelor stabilite la pct.3</w:t>
            </w:r>
            <w:r w:rsidRPr="002E4C62">
              <w:rPr>
                <w:rFonts w:ascii="Times New Roman" w:eastAsia="Times New Roman" w:hAnsi="Times New Roman" w:cs="Times New Roman"/>
                <w:sz w:val="24"/>
                <w:szCs w:val="24"/>
              </w:rPr>
              <w:t xml:space="preserve">.  </w:t>
            </w:r>
            <w:r w:rsidRPr="002E4C62">
              <w:rPr>
                <w:rFonts w:ascii="Times New Roman" w:eastAsia="Times New Roman" w:hAnsi="Times New Roman" w:cs="Times New Roman"/>
                <w:bCs/>
                <w:sz w:val="24"/>
                <w:szCs w:val="24"/>
              </w:rPr>
              <w:t xml:space="preserve"> Propuner</w:t>
            </w:r>
            <w:r>
              <w:rPr>
                <w:rFonts w:ascii="Times New Roman" w:eastAsia="Times New Roman" w:hAnsi="Times New Roman" w:cs="Times New Roman"/>
                <w:bCs/>
                <w:sz w:val="24"/>
                <w:szCs w:val="24"/>
              </w:rPr>
              <w:t>ile</w:t>
            </w:r>
            <w:r w:rsidRPr="002E4C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de modificare </w:t>
            </w:r>
            <w:r w:rsidRPr="002E4C62">
              <w:rPr>
                <w:rFonts w:ascii="Times New Roman" w:eastAsia="Times New Roman" w:hAnsi="Times New Roman" w:cs="Times New Roman"/>
                <w:bCs/>
                <w:sz w:val="24"/>
                <w:szCs w:val="24"/>
              </w:rPr>
              <w:t>v</w:t>
            </w:r>
            <w:r>
              <w:rPr>
                <w:rFonts w:ascii="Times New Roman" w:eastAsia="Times New Roman" w:hAnsi="Times New Roman" w:cs="Times New Roman"/>
                <w:bCs/>
                <w:sz w:val="24"/>
                <w:szCs w:val="24"/>
              </w:rPr>
              <w:t>or</w:t>
            </w:r>
            <w:r w:rsidRPr="002E4C62">
              <w:rPr>
                <w:rFonts w:ascii="Times New Roman" w:eastAsia="Times New Roman" w:hAnsi="Times New Roman" w:cs="Times New Roman"/>
                <w:bCs/>
                <w:sz w:val="24"/>
                <w:szCs w:val="24"/>
              </w:rPr>
              <w:t xml:space="preserve"> contribui la oferirea unui cadru juridic </w:t>
            </w:r>
            <w:r>
              <w:rPr>
                <w:rFonts w:ascii="Times New Roman" w:eastAsia="Times New Roman" w:hAnsi="Times New Roman" w:cs="Times New Roman"/>
                <w:bCs/>
                <w:sz w:val="24"/>
                <w:szCs w:val="24"/>
              </w:rPr>
              <w:t>echivalent cu cadrul UE</w:t>
            </w:r>
            <w:r w:rsidRPr="002E4C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Totodată modificările</w:t>
            </w:r>
            <w:r w:rsidRPr="002E4C62">
              <w:rPr>
                <w:rFonts w:ascii="Times New Roman" w:eastAsia="Times New Roman" w:hAnsi="Times New Roman" w:cs="Times New Roman"/>
                <w:bCs/>
                <w:sz w:val="24"/>
                <w:szCs w:val="24"/>
              </w:rPr>
              <w:t xml:space="preserve">  nu prezintă riscuri majore sau evidente de a eșua. </w:t>
            </w:r>
          </w:p>
          <w:p w:rsidR="002E4C62" w:rsidRPr="00BC1740" w:rsidRDefault="002E4C62" w:rsidP="005A6BFB">
            <w:pPr>
              <w:spacing w:after="0" w:line="240" w:lineRule="auto"/>
              <w:ind w:right="50"/>
              <w:jc w:val="both"/>
              <w:rPr>
                <w:rFonts w:ascii="Times New Roman" w:eastAsia="Times New Roman" w:hAnsi="Times New Roman" w:cs="Times New Roman"/>
                <w:sz w:val="24"/>
                <w:szCs w:val="24"/>
                <w:lang w:val="ro-MD"/>
              </w:rPr>
            </w:pPr>
            <w:r>
              <w:rPr>
                <w:rFonts w:ascii="Times New Roman" w:eastAsia="Times New Roman" w:hAnsi="Times New Roman" w:cs="Times New Roman"/>
                <w:bCs/>
                <w:sz w:val="24"/>
                <w:szCs w:val="24"/>
              </w:rPr>
              <w:t xml:space="preserve">Cu referire la indicatorii de performanță pentru  monitorizarea actelor naționale, se constată, că indicatorii fundamentali sunt </w:t>
            </w:r>
            <w:r w:rsidR="005A6BFB">
              <w:rPr>
                <w:rFonts w:ascii="Times New Roman" w:eastAsia="Times New Roman" w:hAnsi="Times New Roman" w:cs="Times New Roman"/>
                <w:bCs/>
                <w:sz w:val="24"/>
                <w:szCs w:val="24"/>
              </w:rPr>
              <w:t>indicați în</w:t>
            </w:r>
            <w:r w:rsidR="005A6BFB" w:rsidRPr="005A6BFB">
              <w:rPr>
                <w:rFonts w:ascii="Times New Roman" w:hAnsi="Times New Roman" w:cs="Times New Roman"/>
                <w:bCs/>
                <w:sz w:val="24"/>
                <w:szCs w:val="24"/>
              </w:rPr>
              <w:t xml:space="preserve"> </w:t>
            </w:r>
            <w:r w:rsidR="005A6BFB" w:rsidRPr="005A6BFB">
              <w:rPr>
                <w:rFonts w:ascii="Times New Roman" w:eastAsia="Times New Roman" w:hAnsi="Times New Roman" w:cs="Times New Roman"/>
                <w:bCs/>
                <w:sz w:val="24"/>
                <w:szCs w:val="24"/>
              </w:rPr>
              <w:t>Rapo</w:t>
            </w:r>
            <w:r w:rsidR="005A6BFB">
              <w:rPr>
                <w:rFonts w:ascii="Times New Roman" w:eastAsia="Times New Roman" w:hAnsi="Times New Roman" w:cs="Times New Roman"/>
                <w:bCs/>
                <w:sz w:val="24"/>
                <w:szCs w:val="24"/>
              </w:rPr>
              <w:t>a</w:t>
            </w:r>
            <w:r w:rsidR="005A6BFB" w:rsidRPr="005A6BFB">
              <w:rPr>
                <w:rFonts w:ascii="Times New Roman" w:eastAsia="Times New Roman" w:hAnsi="Times New Roman" w:cs="Times New Roman"/>
                <w:bCs/>
                <w:sz w:val="24"/>
                <w:szCs w:val="24"/>
              </w:rPr>
              <w:t>rt</w:t>
            </w:r>
            <w:r w:rsidR="005A6BFB">
              <w:rPr>
                <w:rFonts w:ascii="Times New Roman" w:eastAsia="Times New Roman" w:hAnsi="Times New Roman" w:cs="Times New Roman"/>
                <w:bCs/>
                <w:sz w:val="24"/>
                <w:szCs w:val="24"/>
              </w:rPr>
              <w:t>e</w:t>
            </w:r>
            <w:r w:rsidR="005A6BFB" w:rsidRPr="005A6BFB">
              <w:rPr>
                <w:rFonts w:ascii="Times New Roman" w:eastAsia="Times New Roman" w:hAnsi="Times New Roman" w:cs="Times New Roman"/>
                <w:bCs/>
                <w:sz w:val="24"/>
                <w:szCs w:val="24"/>
              </w:rPr>
              <w:t>l</w:t>
            </w:r>
            <w:r w:rsidR="005A6BFB">
              <w:rPr>
                <w:rFonts w:ascii="Times New Roman" w:eastAsia="Times New Roman" w:hAnsi="Times New Roman" w:cs="Times New Roman"/>
                <w:bCs/>
                <w:sz w:val="24"/>
                <w:szCs w:val="24"/>
              </w:rPr>
              <w:t>e</w:t>
            </w:r>
            <w:r w:rsidR="005A6BFB" w:rsidRPr="005A6BFB">
              <w:rPr>
                <w:rFonts w:ascii="Times New Roman" w:eastAsia="Times New Roman" w:hAnsi="Times New Roman" w:cs="Times New Roman"/>
                <w:bCs/>
                <w:sz w:val="24"/>
                <w:szCs w:val="24"/>
              </w:rPr>
              <w:t xml:space="preserve"> </w:t>
            </w:r>
            <w:r w:rsidR="005A6BFB">
              <w:rPr>
                <w:rFonts w:ascii="Times New Roman" w:eastAsia="Times New Roman" w:hAnsi="Times New Roman" w:cs="Times New Roman"/>
                <w:bCs/>
                <w:sz w:val="24"/>
                <w:szCs w:val="24"/>
              </w:rPr>
              <w:t xml:space="preserve">anuale a </w:t>
            </w:r>
            <w:r w:rsidR="005A6BFB" w:rsidRPr="005A6BFB">
              <w:rPr>
                <w:rFonts w:ascii="Times New Roman" w:eastAsia="Times New Roman" w:hAnsi="Times New Roman" w:cs="Times New Roman"/>
                <w:bCs/>
                <w:sz w:val="24"/>
                <w:szCs w:val="24"/>
              </w:rPr>
              <w:t>Comisiei Europene prezentat</w:t>
            </w:r>
            <w:r w:rsidR="005A6BFB">
              <w:rPr>
                <w:rFonts w:ascii="Times New Roman" w:eastAsia="Times New Roman" w:hAnsi="Times New Roman" w:cs="Times New Roman"/>
                <w:bCs/>
                <w:sz w:val="24"/>
                <w:szCs w:val="24"/>
              </w:rPr>
              <w:t>e</w:t>
            </w:r>
            <w:r w:rsidR="005A6BFB" w:rsidRPr="005A6BFB">
              <w:rPr>
                <w:rFonts w:ascii="Times New Roman" w:eastAsia="Times New Roman" w:hAnsi="Times New Roman" w:cs="Times New Roman"/>
                <w:bCs/>
                <w:sz w:val="24"/>
                <w:szCs w:val="24"/>
              </w:rPr>
              <w:t xml:space="preserve"> către Parlamentul European, </w:t>
            </w:r>
            <w:r w:rsidR="005A6BFB" w:rsidRPr="005A6BFB">
              <w:rPr>
                <w:rFonts w:ascii="Times New Roman" w:eastAsia="Times New Roman" w:hAnsi="Times New Roman" w:cs="Times New Roman"/>
                <w:bCs/>
                <w:sz w:val="24"/>
                <w:szCs w:val="24"/>
              </w:rPr>
              <w:lastRenderedPageBreak/>
              <w:t>Consiliu, Comitetul Economic și Social European și Comitetul Regiunilor privind politica de extindere a UE</w:t>
            </w:r>
            <w:r w:rsidR="005A6BFB">
              <w:rPr>
                <w:rFonts w:ascii="Times New Roman" w:eastAsia="Times New Roman" w:hAnsi="Times New Roman" w:cs="Times New Roman"/>
                <w:bCs/>
                <w:sz w:val="24"/>
                <w:szCs w:val="24"/>
              </w:rPr>
              <w:t>. Iar monitorizarea acestora se va efectua prin documentele de politici ale Republicii Moldova, prin care se vor stabili acțiuni concrete de realizare a indicatorilor propriu-zis.</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3FD1" w:rsidRDefault="00E13FD1" w:rsidP="00F975B0">
            <w:pPr>
              <w:spacing w:after="0" w:line="240" w:lineRule="auto"/>
              <w:ind w:right="50"/>
              <w:jc w:val="both"/>
              <w:rPr>
                <w:rFonts w:ascii="Times New Roman" w:eastAsia="Times New Roman" w:hAnsi="Times New Roman" w:cs="Times New Roman"/>
                <w:sz w:val="24"/>
                <w:szCs w:val="24"/>
              </w:rPr>
            </w:pPr>
            <w:r w:rsidRPr="00E13FD1">
              <w:rPr>
                <w:rFonts w:ascii="Times New Roman" w:eastAsia="Times New Roman" w:hAnsi="Times New Roman" w:cs="Times New Roman"/>
                <w:b/>
                <w:sz w:val="24"/>
                <w:szCs w:val="24"/>
                <w:lang w:val="ro-MD"/>
              </w:rPr>
              <w:lastRenderedPageBreak/>
              <w:t>4.1. Impactul asupra sectorului public</w:t>
            </w:r>
            <w:r>
              <w:rPr>
                <w:rFonts w:ascii="Times New Roman" w:eastAsia="Times New Roman" w:hAnsi="Times New Roman" w:cs="Times New Roman"/>
                <w:sz w:val="24"/>
                <w:szCs w:val="24"/>
              </w:rPr>
              <w:t xml:space="preserve"> </w:t>
            </w:r>
          </w:p>
          <w:p w:rsidR="00FC31B2" w:rsidRPr="00BC1740" w:rsidRDefault="00F32460" w:rsidP="00F975B0">
            <w:pPr>
              <w:spacing w:after="120" w:line="240" w:lineRule="auto"/>
              <w:ind w:right="5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rPr>
              <w:t xml:space="preserve">Modificarea actelor normative nu implică </w:t>
            </w:r>
            <w:r w:rsidR="00FC31B2" w:rsidRPr="00FC31B2">
              <w:rPr>
                <w:rFonts w:ascii="Times New Roman" w:eastAsia="Times New Roman" w:hAnsi="Times New Roman" w:cs="Times New Roman"/>
                <w:sz w:val="24"/>
                <w:szCs w:val="24"/>
              </w:rPr>
              <w:t>costuri supl</w:t>
            </w:r>
            <w:r>
              <w:rPr>
                <w:rFonts w:ascii="Times New Roman" w:eastAsia="Times New Roman" w:hAnsi="Times New Roman" w:cs="Times New Roman"/>
                <w:sz w:val="24"/>
                <w:szCs w:val="24"/>
              </w:rPr>
              <w:t xml:space="preserve">imentare pentru sectorul public. Pentru implementarea proiectului nu sunt necesare </w:t>
            </w:r>
            <w:r w:rsidRPr="00F32460">
              <w:rPr>
                <w:rFonts w:ascii="Times New Roman" w:eastAsia="Times New Roman" w:hAnsi="Times New Roman" w:cs="Times New Roman"/>
                <w:sz w:val="24"/>
                <w:szCs w:val="24"/>
                <w:lang w:val="ro-MD"/>
              </w:rPr>
              <w:t>acţiuni de reformă</w:t>
            </w:r>
            <w:r>
              <w:rPr>
                <w:rFonts w:ascii="Times New Roman" w:eastAsia="Times New Roman" w:hAnsi="Times New Roman" w:cs="Times New Roman"/>
                <w:sz w:val="24"/>
                <w:szCs w:val="24"/>
                <w:lang w:val="ro-MD"/>
              </w:rPr>
              <w:t xml:space="preserve"> structurală sau instituțională, precum și </w:t>
            </w:r>
            <w:r>
              <w:rPr>
                <w:rFonts w:ascii="Times New Roman" w:eastAsia="Times New Roman" w:hAnsi="Times New Roman" w:cs="Times New Roman"/>
                <w:sz w:val="24"/>
                <w:szCs w:val="24"/>
              </w:rPr>
              <w:t xml:space="preserve"> nu necesită schimbări instituționale.</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D3B72" w:rsidRDefault="00BC1740" w:rsidP="00F975B0">
            <w:pPr>
              <w:spacing w:after="0" w:line="240" w:lineRule="auto"/>
              <w:ind w:right="50"/>
              <w:rPr>
                <w:rFonts w:ascii="Times New Roman" w:eastAsia="Times New Roman" w:hAnsi="Times New Roman" w:cs="Times New Roman"/>
                <w:b/>
                <w:sz w:val="24"/>
                <w:szCs w:val="24"/>
                <w:lang w:val="ro-MD"/>
              </w:rPr>
            </w:pPr>
            <w:r w:rsidRPr="00E13FD1">
              <w:rPr>
                <w:rFonts w:ascii="Times New Roman" w:eastAsia="Times New Roman" w:hAnsi="Times New Roman" w:cs="Times New Roman"/>
                <w:b/>
                <w:sz w:val="24"/>
                <w:szCs w:val="24"/>
                <w:lang w:val="ro-MD"/>
              </w:rPr>
              <w:t>4.2. Impactul financiar şi argumentarea costurilor estimative</w:t>
            </w:r>
          </w:p>
          <w:p w:rsidR="00E13FD1" w:rsidRPr="00E13FD1" w:rsidRDefault="00E13FD1" w:rsidP="00F975B0">
            <w:pPr>
              <w:spacing w:after="0" w:line="240" w:lineRule="auto"/>
              <w:ind w:right="50"/>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Proiectul nu are impact financiar</w:t>
            </w:r>
            <w:r w:rsidR="002E4C62">
              <w:rPr>
                <w:rFonts w:ascii="Times New Roman" w:eastAsia="Times New Roman" w:hAnsi="Times New Roman" w:cs="Times New Roman"/>
                <w:sz w:val="24"/>
                <w:szCs w:val="24"/>
                <w:lang w:val="ro-MD"/>
              </w:rPr>
              <w:t>. Costuri privind implementarea proiectului nu au fost identificate.</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3FD1" w:rsidRDefault="00BC1740" w:rsidP="00F975B0">
            <w:pPr>
              <w:spacing w:after="0" w:line="240" w:lineRule="auto"/>
              <w:ind w:right="50"/>
              <w:rPr>
                <w:rFonts w:ascii="Times New Roman" w:eastAsia="Times New Roman" w:hAnsi="Times New Roman" w:cs="Times New Roman"/>
                <w:sz w:val="24"/>
                <w:szCs w:val="24"/>
                <w:lang w:val="ro-MD"/>
              </w:rPr>
            </w:pPr>
            <w:r w:rsidRPr="00E13FD1">
              <w:rPr>
                <w:rFonts w:ascii="Times New Roman" w:eastAsia="Times New Roman" w:hAnsi="Times New Roman" w:cs="Times New Roman"/>
                <w:b/>
                <w:sz w:val="24"/>
                <w:szCs w:val="24"/>
                <w:lang w:val="ro-MD"/>
              </w:rPr>
              <w:t>4.3. Impactul asupra sectorului privat</w:t>
            </w:r>
            <w:r w:rsidR="00E13FD1">
              <w:rPr>
                <w:rFonts w:ascii="Times New Roman" w:eastAsia="Times New Roman" w:hAnsi="Times New Roman" w:cs="Times New Roman"/>
                <w:sz w:val="24"/>
                <w:szCs w:val="24"/>
                <w:lang w:val="ro-MD"/>
              </w:rPr>
              <w:t xml:space="preserve"> </w:t>
            </w:r>
          </w:p>
          <w:p w:rsidR="004D3B72" w:rsidRPr="00E13FD1" w:rsidRDefault="00E13FD1" w:rsidP="005A6BFB">
            <w:pPr>
              <w:spacing w:after="0" w:line="240" w:lineRule="auto"/>
              <w:ind w:right="50"/>
              <w:jc w:val="both"/>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Proiectul nu are impact asupra sectorului privat</w:t>
            </w:r>
            <w:r w:rsidR="002E4C62">
              <w:rPr>
                <w:rFonts w:ascii="Times New Roman" w:eastAsia="Times New Roman" w:hAnsi="Times New Roman" w:cs="Times New Roman"/>
                <w:sz w:val="24"/>
                <w:szCs w:val="24"/>
                <w:lang w:val="ro-MD"/>
              </w:rPr>
              <w:t xml:space="preserve">.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3FD1" w:rsidRDefault="00BC1740" w:rsidP="00F975B0">
            <w:pPr>
              <w:spacing w:after="0" w:line="240" w:lineRule="auto"/>
              <w:ind w:right="50"/>
              <w:rPr>
                <w:rFonts w:ascii="Times New Roman" w:eastAsia="Times New Roman" w:hAnsi="Times New Roman" w:cs="Times New Roman"/>
                <w:b/>
                <w:sz w:val="24"/>
                <w:szCs w:val="24"/>
                <w:lang w:val="ro-MD"/>
              </w:rPr>
            </w:pPr>
            <w:r w:rsidRPr="00E13FD1">
              <w:rPr>
                <w:rFonts w:ascii="Times New Roman" w:eastAsia="Times New Roman" w:hAnsi="Times New Roman" w:cs="Times New Roman"/>
                <w:b/>
                <w:sz w:val="24"/>
                <w:szCs w:val="24"/>
                <w:lang w:val="ro-MD"/>
              </w:rPr>
              <w:t>4.4. Impactul social</w:t>
            </w:r>
            <w:r w:rsidRPr="00E13FD1">
              <w:rPr>
                <w:rFonts w:ascii="Times New Roman" w:eastAsia="Times New Roman" w:hAnsi="Times New Roman" w:cs="Times New Roman"/>
                <w:b/>
                <w:sz w:val="24"/>
                <w:szCs w:val="24"/>
                <w:lang w:val="ro-MD"/>
              </w:rPr>
              <w:br/>
              <w:t>4.4.1. Impactul asupra datelor cu caracter persona</w:t>
            </w:r>
            <w:r w:rsidR="009B6D5A" w:rsidRPr="00E13FD1">
              <w:rPr>
                <w:rFonts w:ascii="Times New Roman" w:eastAsia="Times New Roman" w:hAnsi="Times New Roman" w:cs="Times New Roman"/>
                <w:b/>
                <w:sz w:val="24"/>
                <w:szCs w:val="24"/>
                <w:lang w:val="ro-MD"/>
              </w:rPr>
              <w:t>l</w:t>
            </w:r>
          </w:p>
          <w:p w:rsidR="004D3B72" w:rsidRDefault="00E13FD1" w:rsidP="00F975B0">
            <w:pPr>
              <w:spacing w:after="0" w:line="240" w:lineRule="auto"/>
              <w:ind w:right="50"/>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Nu este aplicabil</w:t>
            </w:r>
            <w:r w:rsidR="009B6D5A" w:rsidRPr="00E13FD1">
              <w:rPr>
                <w:rFonts w:ascii="Times New Roman" w:eastAsia="Times New Roman" w:hAnsi="Times New Roman" w:cs="Times New Roman"/>
                <w:b/>
                <w:sz w:val="24"/>
                <w:szCs w:val="24"/>
                <w:lang w:val="ro-MD"/>
              </w:rPr>
              <w:br/>
              <w:t>4.4.2. Impactul asupra echității şi egalităț</w:t>
            </w:r>
            <w:r w:rsidR="00BC1740" w:rsidRPr="00E13FD1">
              <w:rPr>
                <w:rFonts w:ascii="Times New Roman" w:eastAsia="Times New Roman" w:hAnsi="Times New Roman" w:cs="Times New Roman"/>
                <w:b/>
                <w:sz w:val="24"/>
                <w:szCs w:val="24"/>
                <w:lang w:val="ro-MD"/>
              </w:rPr>
              <w:t>ii de gen</w:t>
            </w:r>
          </w:p>
          <w:p w:rsidR="00E13FD1" w:rsidRPr="00E13FD1" w:rsidRDefault="00E13FD1" w:rsidP="00F975B0">
            <w:pPr>
              <w:spacing w:after="0" w:line="240" w:lineRule="auto"/>
              <w:ind w:right="50"/>
              <w:rPr>
                <w:rFonts w:ascii="Times New Roman" w:eastAsia="Times New Roman" w:hAnsi="Times New Roman" w:cs="Times New Roman"/>
                <w:sz w:val="24"/>
                <w:szCs w:val="24"/>
                <w:lang w:val="ro-MD"/>
              </w:rPr>
            </w:pPr>
            <w:r w:rsidRPr="00E13FD1">
              <w:rPr>
                <w:rFonts w:ascii="Times New Roman" w:eastAsia="Times New Roman" w:hAnsi="Times New Roman" w:cs="Times New Roman"/>
                <w:sz w:val="24"/>
                <w:szCs w:val="24"/>
                <w:lang w:val="ro-MD"/>
              </w:rPr>
              <w:t>Nu este aplicabil</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Default="00BC1740" w:rsidP="00F975B0">
            <w:pPr>
              <w:spacing w:after="0" w:line="240" w:lineRule="auto"/>
              <w:ind w:right="50"/>
              <w:rPr>
                <w:rFonts w:ascii="Times New Roman" w:eastAsia="Times New Roman" w:hAnsi="Times New Roman" w:cs="Times New Roman"/>
                <w:b/>
                <w:sz w:val="24"/>
                <w:szCs w:val="24"/>
                <w:lang w:val="ro-MD"/>
              </w:rPr>
            </w:pPr>
            <w:r w:rsidRPr="00E13FD1">
              <w:rPr>
                <w:rFonts w:ascii="Times New Roman" w:eastAsia="Times New Roman" w:hAnsi="Times New Roman" w:cs="Times New Roman"/>
                <w:b/>
                <w:sz w:val="24"/>
                <w:szCs w:val="24"/>
                <w:lang w:val="ro-MD"/>
              </w:rPr>
              <w:t>4.5. Impactul asupra mediului</w:t>
            </w:r>
          </w:p>
          <w:p w:rsidR="00E13FD1" w:rsidRPr="00E13FD1" w:rsidRDefault="00E13FD1" w:rsidP="00F975B0">
            <w:pPr>
              <w:spacing w:after="0" w:line="240" w:lineRule="auto"/>
              <w:ind w:right="50"/>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Nu este aplicabil</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Default="00BC1740" w:rsidP="00F975B0">
            <w:pPr>
              <w:spacing w:after="0" w:line="240" w:lineRule="auto"/>
              <w:ind w:right="50"/>
              <w:rPr>
                <w:rFonts w:ascii="Times New Roman" w:eastAsia="Times New Roman" w:hAnsi="Times New Roman" w:cs="Times New Roman"/>
                <w:b/>
                <w:sz w:val="24"/>
                <w:szCs w:val="24"/>
                <w:lang w:val="ro-MD"/>
              </w:rPr>
            </w:pPr>
            <w:r w:rsidRPr="00E13FD1">
              <w:rPr>
                <w:rFonts w:ascii="Times New Roman" w:eastAsia="Times New Roman" w:hAnsi="Times New Roman" w:cs="Times New Roman"/>
                <w:b/>
                <w:sz w:val="24"/>
                <w:szCs w:val="24"/>
                <w:lang w:val="ro-MD"/>
              </w:rPr>
              <w:t>4.6. Alte impacturi şi informaţii relevante</w:t>
            </w:r>
          </w:p>
          <w:p w:rsidR="00E13FD1" w:rsidRPr="00E13FD1" w:rsidRDefault="00E13FD1" w:rsidP="00F975B0">
            <w:pPr>
              <w:spacing w:after="0" w:line="240" w:lineRule="auto"/>
              <w:ind w:right="50"/>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Nu au fost identificate</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t>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b/>
                <w:bCs/>
                <w:sz w:val="24"/>
                <w:szCs w:val="24"/>
                <w:lang w:val="ro-MD"/>
              </w:rPr>
              <w:t xml:space="preserve">5. Compatibilitatea proiectului actului normativ cu legislaţia UE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E13FD1" w:rsidRDefault="00BC1740" w:rsidP="00F975B0">
            <w:pPr>
              <w:spacing w:after="0" w:line="240" w:lineRule="auto"/>
              <w:ind w:right="50"/>
              <w:rPr>
                <w:rFonts w:ascii="Times New Roman" w:eastAsia="Times New Roman" w:hAnsi="Times New Roman" w:cs="Times New Roman"/>
                <w:b/>
                <w:sz w:val="24"/>
                <w:szCs w:val="24"/>
                <w:lang w:val="ro-MD"/>
              </w:rPr>
            </w:pPr>
            <w:r w:rsidRPr="00E13FD1">
              <w:rPr>
                <w:rFonts w:ascii="Times New Roman" w:eastAsia="Times New Roman" w:hAnsi="Times New Roman" w:cs="Times New Roman"/>
                <w:b/>
                <w:sz w:val="24"/>
                <w:szCs w:val="24"/>
                <w:lang w:val="ro-MD"/>
              </w:rPr>
              <w:t>5.1. Măsuri normative necesare pentru transpunerea actelor juridice ale UE în legislaţia naţională</w:t>
            </w:r>
          </w:p>
          <w:p w:rsidR="00E13FD1" w:rsidRDefault="00E13FD1" w:rsidP="00F975B0">
            <w:pPr>
              <w:spacing w:after="0" w:line="240" w:lineRule="auto"/>
              <w:ind w:right="5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Reglementările tehnice naționale, aprobate prin hotărâri de Guvern transpun legislația </w:t>
            </w:r>
            <w:r w:rsidR="006D3118">
              <w:rPr>
                <w:rFonts w:ascii="Times New Roman" w:eastAsia="Times New Roman" w:hAnsi="Times New Roman" w:cs="Times New Roman"/>
                <w:sz w:val="24"/>
                <w:szCs w:val="24"/>
                <w:lang w:val="ro-MD"/>
              </w:rPr>
              <w:t>UE</w:t>
            </w:r>
            <w:r>
              <w:rPr>
                <w:rFonts w:ascii="Times New Roman" w:eastAsia="Times New Roman" w:hAnsi="Times New Roman" w:cs="Times New Roman"/>
                <w:sz w:val="24"/>
                <w:szCs w:val="24"/>
                <w:lang w:val="ro-MD"/>
              </w:rPr>
              <w:t xml:space="preserve"> de armonizare</w:t>
            </w:r>
            <w:r w:rsidR="006D3118">
              <w:rPr>
                <w:rFonts w:ascii="Times New Roman" w:eastAsia="Times New Roman" w:hAnsi="Times New Roman" w:cs="Times New Roman"/>
                <w:sz w:val="24"/>
                <w:szCs w:val="24"/>
                <w:lang w:val="ro-MD"/>
              </w:rPr>
              <w:t>, după cum urmează:</w:t>
            </w:r>
          </w:p>
          <w:p w:rsidR="006D3118" w:rsidRPr="006D3118" w:rsidRDefault="006D3118" w:rsidP="00F975B0">
            <w:pPr>
              <w:pStyle w:val="ListParagraph"/>
              <w:numPr>
                <w:ilvl w:val="0"/>
                <w:numId w:val="8"/>
              </w:numPr>
              <w:spacing w:after="0" w:line="240" w:lineRule="auto"/>
              <w:ind w:right="50"/>
              <w:jc w:val="both"/>
              <w:rPr>
                <w:rFonts w:ascii="Times New Roman" w:eastAsia="Times New Roman" w:hAnsi="Times New Roman" w:cs="Times New Roman"/>
                <w:bCs/>
                <w:sz w:val="24"/>
                <w:szCs w:val="24"/>
              </w:rPr>
            </w:pPr>
            <w:r w:rsidRPr="006D3118">
              <w:rPr>
                <w:rFonts w:ascii="Times New Roman" w:eastAsia="Times New Roman" w:hAnsi="Times New Roman" w:cs="Times New Roman"/>
                <w:bCs/>
                <w:sz w:val="24"/>
                <w:szCs w:val="24"/>
              </w:rPr>
              <w:t>Hotărârea Guvernului nr.267/2014 pentru aprobarea Reglementării tehnice privind aparatele de cântărit neautomate</w:t>
            </w:r>
            <w:r>
              <w:rPr>
                <w:rFonts w:ascii="Times New Roman" w:eastAsia="Times New Roman" w:hAnsi="Times New Roman" w:cs="Times New Roman"/>
                <w:bCs/>
                <w:sz w:val="24"/>
                <w:szCs w:val="24"/>
              </w:rPr>
              <w:t xml:space="preserve">, transpune </w:t>
            </w:r>
            <w:r w:rsidRPr="006D3118">
              <w:rPr>
                <w:rFonts w:ascii="Times New Roman" w:eastAsia="Times New Roman" w:hAnsi="Times New Roman" w:cs="Times New Roman"/>
                <w:bCs/>
                <w:sz w:val="24"/>
                <w:szCs w:val="24"/>
                <w:lang w:val="ro-MD"/>
              </w:rPr>
              <w:t xml:space="preserve">Directiva 2014/31/UE a Parlamentului European și a Consiliului din 26 februarie 2014 privind armonizarea legislației statelor membre referitoare la punerea la dispoziție pe piață a aparatelor de cântărit cu funcționare neautomată (reformare), </w:t>
            </w:r>
            <w:r w:rsidRPr="006D3118">
              <w:rPr>
                <w:rFonts w:ascii="Times New Roman" w:eastAsia="Times New Roman" w:hAnsi="Times New Roman" w:cs="Times New Roman"/>
                <w:bCs/>
                <w:sz w:val="24"/>
                <w:szCs w:val="24"/>
              </w:rPr>
              <w:t xml:space="preserve">Număr CELEX: </w:t>
            </w:r>
            <w:r w:rsidRPr="006D3118">
              <w:rPr>
                <w:rFonts w:ascii="Times New Roman" w:eastAsia="Times New Roman" w:hAnsi="Times New Roman" w:cs="Times New Roman"/>
                <w:bCs/>
                <w:sz w:val="24"/>
                <w:szCs w:val="24"/>
                <w:lang w:val="ro-MD"/>
              </w:rPr>
              <w:t> </w:t>
            </w:r>
            <w:hyperlink r:id="rId13" w:history="1">
              <w:r w:rsidRPr="006D3118">
                <w:rPr>
                  <w:rStyle w:val="Hyperlink"/>
                  <w:rFonts w:ascii="Times New Roman" w:eastAsia="Times New Roman" w:hAnsi="Times New Roman" w:cs="Times New Roman"/>
                  <w:bCs/>
                  <w:sz w:val="24"/>
                  <w:szCs w:val="24"/>
                  <w:lang w:val="ro-MD"/>
                </w:rPr>
                <w:t>02014L0031-20140329</w:t>
              </w:r>
            </w:hyperlink>
            <w:r w:rsidRPr="006D3118">
              <w:rPr>
                <w:rFonts w:ascii="Times New Roman" w:eastAsia="Times New Roman" w:hAnsi="Times New Roman" w:cs="Times New Roman"/>
                <w:bCs/>
                <w:sz w:val="24"/>
                <w:szCs w:val="24"/>
              </w:rPr>
              <w:t>;</w:t>
            </w:r>
          </w:p>
          <w:p w:rsidR="006D3118" w:rsidRPr="006D3118" w:rsidRDefault="006D3118" w:rsidP="00F975B0">
            <w:pPr>
              <w:pStyle w:val="ListParagraph"/>
              <w:numPr>
                <w:ilvl w:val="0"/>
                <w:numId w:val="8"/>
              </w:numPr>
              <w:spacing w:after="0" w:line="240" w:lineRule="auto"/>
              <w:ind w:right="50"/>
              <w:jc w:val="both"/>
              <w:rPr>
                <w:rFonts w:ascii="Times New Roman" w:eastAsia="Times New Roman" w:hAnsi="Times New Roman" w:cs="Times New Roman"/>
                <w:bCs/>
                <w:iCs/>
                <w:sz w:val="24"/>
                <w:szCs w:val="24"/>
              </w:rPr>
            </w:pPr>
            <w:r w:rsidRPr="006D3118">
              <w:rPr>
                <w:rFonts w:ascii="Times New Roman" w:eastAsia="Times New Roman" w:hAnsi="Times New Roman" w:cs="Times New Roman"/>
                <w:bCs/>
                <w:iCs/>
                <w:sz w:val="24"/>
                <w:szCs w:val="24"/>
              </w:rPr>
              <w:t>Hotărârea Guvernului nr.881/2014 cu privire la aprobarea Regulamentului general de metrologie legală de stabilire a cerinţelor privind sticlele utilizate ca recipiente de măsură</w:t>
            </w:r>
            <w:r>
              <w:rPr>
                <w:rFonts w:ascii="Times New Roman" w:eastAsia="Times New Roman" w:hAnsi="Times New Roman" w:cs="Times New Roman"/>
                <w:bCs/>
                <w:iCs/>
                <w:sz w:val="24"/>
                <w:szCs w:val="24"/>
              </w:rPr>
              <w:t xml:space="preserve">, transpune </w:t>
            </w:r>
            <w:r w:rsidRPr="006D3118">
              <w:rPr>
                <w:rFonts w:ascii="Times New Roman" w:eastAsia="Times New Roman" w:hAnsi="Times New Roman" w:cs="Times New Roman"/>
                <w:bCs/>
                <w:iCs/>
                <w:sz w:val="24"/>
                <w:szCs w:val="24"/>
                <w:lang w:val="it-IT"/>
              </w:rPr>
              <w:t xml:space="preserve">Directiva  75/107/CEE  a Consiliului din 19 decembrie 1974 privind apropierea legislațiilor statelor membre referitoare la sticlele utilizate ca recipiente de măsurare, Număr CELEX: </w:t>
            </w:r>
            <w:r w:rsidRPr="006D3118">
              <w:rPr>
                <w:rFonts w:ascii="Times New Roman" w:eastAsia="Times New Roman" w:hAnsi="Times New Roman" w:cs="Times New Roman"/>
                <w:bCs/>
                <w:iCs/>
                <w:sz w:val="24"/>
                <w:szCs w:val="24"/>
                <w:lang w:val="en-US"/>
              </w:rPr>
              <w:t xml:space="preserve"> </w:t>
            </w:r>
            <w:hyperlink r:id="rId14" w:history="1">
              <w:r w:rsidRPr="006D3118">
                <w:rPr>
                  <w:rStyle w:val="Hyperlink"/>
                  <w:rFonts w:ascii="Times New Roman" w:eastAsia="Times New Roman" w:hAnsi="Times New Roman" w:cs="Times New Roman"/>
                  <w:bCs/>
                  <w:iCs/>
                  <w:sz w:val="24"/>
                  <w:szCs w:val="24"/>
                  <w:lang w:val="en-US"/>
                </w:rPr>
                <w:t>31975L0107</w:t>
              </w:r>
            </w:hyperlink>
            <w:r w:rsidRPr="006D3118">
              <w:rPr>
                <w:rFonts w:ascii="Times New Roman" w:eastAsia="Times New Roman" w:hAnsi="Times New Roman" w:cs="Times New Roman"/>
                <w:bCs/>
                <w:iCs/>
                <w:sz w:val="24"/>
                <w:szCs w:val="24"/>
                <w:lang w:val="en-US"/>
              </w:rPr>
              <w:t>;</w:t>
            </w:r>
          </w:p>
          <w:p w:rsidR="006D3118" w:rsidRPr="006D3118" w:rsidRDefault="006D3118" w:rsidP="00F975B0">
            <w:pPr>
              <w:pStyle w:val="ListParagraph"/>
              <w:numPr>
                <w:ilvl w:val="0"/>
                <w:numId w:val="8"/>
              </w:numPr>
              <w:spacing w:after="0" w:line="240" w:lineRule="auto"/>
              <w:ind w:right="50"/>
              <w:jc w:val="both"/>
              <w:rPr>
                <w:rFonts w:ascii="Times New Roman" w:eastAsia="Times New Roman" w:hAnsi="Times New Roman" w:cs="Times New Roman"/>
                <w:sz w:val="24"/>
                <w:szCs w:val="24"/>
              </w:rPr>
            </w:pPr>
            <w:r w:rsidRPr="006D3118">
              <w:rPr>
                <w:rFonts w:ascii="Times New Roman" w:eastAsia="Times New Roman" w:hAnsi="Times New Roman" w:cs="Times New Roman"/>
                <w:sz w:val="24"/>
                <w:szCs w:val="24"/>
              </w:rPr>
              <w:t xml:space="preserve">Hotărârea Guvernului nr.907/2014 </w:t>
            </w:r>
            <w:r w:rsidRPr="006D3118">
              <w:rPr>
                <w:rFonts w:ascii="Times New Roman" w:eastAsia="Times New Roman" w:hAnsi="Times New Roman" w:cs="Times New Roman"/>
                <w:bCs/>
                <w:sz w:val="24"/>
                <w:szCs w:val="24"/>
              </w:rPr>
              <w:t xml:space="preserve">pentru aprobarea Regulamentului general de metrologie legală referitor </w:t>
            </w:r>
            <w:r w:rsidRPr="006D3118">
              <w:rPr>
                <w:rFonts w:ascii="Times New Roman" w:eastAsia="Times New Roman" w:hAnsi="Times New Roman" w:cs="Times New Roman"/>
                <w:sz w:val="24"/>
                <w:szCs w:val="24"/>
              </w:rPr>
              <w:t xml:space="preserve">la preambalarea, în funcţie de masă sau volum, a anumitor preambalate, transpune Directiva Consiliului din 20 ianuarie 1976 privind apropierea legislațiilor statelor membre referitoare la preambalarea, în funcție de masă sau volum, a anumitor produse preambalate(76/211/CEE), astfel cum a fost modificată ultima dată  prin </w:t>
            </w:r>
            <w:hyperlink r:id="rId15" w:tooltip="32019R1243" w:history="1">
              <w:r w:rsidRPr="006D3118">
                <w:rPr>
                  <w:rStyle w:val="Hyperlink"/>
                  <w:rFonts w:ascii="Times New Roman" w:eastAsia="Times New Roman" w:hAnsi="Times New Roman" w:cs="Times New Roman"/>
                  <w:sz w:val="24"/>
                  <w:szCs w:val="24"/>
                </w:rPr>
                <w:t>Regulamentul (UE) 2019/1243 al Parlamentului European și al Consiliului din 20 iunie 2019</w:t>
              </w:r>
            </w:hyperlink>
            <w:r w:rsidRPr="006D3118">
              <w:rPr>
                <w:rFonts w:ascii="Times New Roman" w:eastAsia="Times New Roman" w:hAnsi="Times New Roman" w:cs="Times New Roman"/>
                <w:sz w:val="24"/>
                <w:szCs w:val="24"/>
              </w:rPr>
              <w:t xml:space="preserve"> </w:t>
            </w:r>
            <w:r w:rsidRPr="006D3118">
              <w:rPr>
                <w:rFonts w:ascii="Times New Roman" w:eastAsia="Times New Roman" w:hAnsi="Times New Roman" w:cs="Times New Roman"/>
                <w:sz w:val="24"/>
                <w:szCs w:val="24"/>
                <w:lang w:val="ro-MD"/>
              </w:rPr>
              <w:t>de adaptare la articolele 290 și 291 din Tratatul privind funcționarea Uniunii Europene a unei serii de acte juridice care prevăd utilizarea procedurii de reglementare cu control</w:t>
            </w:r>
            <w:r w:rsidRPr="006D3118">
              <w:rPr>
                <w:rFonts w:ascii="Times New Roman" w:eastAsia="Times New Roman" w:hAnsi="Times New Roman" w:cs="Times New Roman"/>
                <w:sz w:val="24"/>
                <w:szCs w:val="24"/>
              </w:rPr>
              <w:t xml:space="preserve">, Număr CELEX </w:t>
            </w:r>
            <w:hyperlink r:id="rId16" w:history="1">
              <w:r w:rsidRPr="006D3118">
                <w:rPr>
                  <w:rStyle w:val="Hyperlink"/>
                  <w:rFonts w:ascii="Times New Roman" w:eastAsia="Times New Roman" w:hAnsi="Times New Roman" w:cs="Times New Roman"/>
                  <w:sz w:val="24"/>
                  <w:szCs w:val="24"/>
                </w:rPr>
                <w:t>01976L0211-20190726</w:t>
              </w:r>
            </w:hyperlink>
            <w:r w:rsidRPr="006D3118">
              <w:rPr>
                <w:rFonts w:ascii="Times New Roman" w:eastAsia="Times New Roman" w:hAnsi="Times New Roman" w:cs="Times New Roman"/>
                <w:sz w:val="24"/>
                <w:szCs w:val="24"/>
              </w:rPr>
              <w:t xml:space="preserve"> și </w:t>
            </w:r>
            <w:r w:rsidRPr="006D3118">
              <w:rPr>
                <w:rFonts w:ascii="Times New Roman" w:eastAsia="Times New Roman" w:hAnsi="Times New Roman" w:cs="Times New Roman"/>
                <w:sz w:val="24"/>
                <w:szCs w:val="24"/>
                <w:lang w:val="ro-MD"/>
              </w:rPr>
              <w:t xml:space="preserve">Directiva 2007/45/CE a Parlamentului European şi a Consiliului din 5 septembrie 2007 de stabilire a normelor privind cantitățile nominale ale produselor preambalate, de abrogare a Directivelor 75/106/CEE și 80/232/CEE ale Consiliului, și de modificare a Directivei 76/211/CEE a Consiliului, Număr CELEX </w:t>
            </w:r>
            <w:hyperlink r:id="rId17" w:history="1">
              <w:r w:rsidRPr="006D3118">
                <w:rPr>
                  <w:rStyle w:val="Hyperlink"/>
                  <w:rFonts w:ascii="Times New Roman" w:eastAsia="Times New Roman" w:hAnsi="Times New Roman" w:cs="Times New Roman"/>
                  <w:sz w:val="24"/>
                  <w:szCs w:val="24"/>
                  <w:lang w:val="ro-MD"/>
                </w:rPr>
                <w:t>32007L0045</w:t>
              </w:r>
            </w:hyperlink>
            <w:r w:rsidRPr="006D3118">
              <w:rPr>
                <w:rFonts w:ascii="Times New Roman" w:eastAsia="Times New Roman" w:hAnsi="Times New Roman" w:cs="Times New Roman"/>
                <w:sz w:val="24"/>
                <w:szCs w:val="24"/>
              </w:rPr>
              <w:t>;</w:t>
            </w:r>
          </w:p>
          <w:p w:rsidR="006D3118" w:rsidRPr="006D3118" w:rsidRDefault="00D26E24" w:rsidP="00F975B0">
            <w:pPr>
              <w:pStyle w:val="ListParagraph"/>
              <w:numPr>
                <w:ilvl w:val="0"/>
                <w:numId w:val="8"/>
              </w:numPr>
              <w:spacing w:after="0" w:line="240" w:lineRule="auto"/>
              <w:ind w:right="50"/>
              <w:jc w:val="both"/>
              <w:rPr>
                <w:rFonts w:ascii="Times New Roman" w:eastAsia="Times New Roman" w:hAnsi="Times New Roman" w:cs="Times New Roman"/>
                <w:bCs/>
                <w:sz w:val="24"/>
                <w:szCs w:val="24"/>
                <w:lang w:val="ro-MD"/>
              </w:rPr>
            </w:pPr>
            <w:hyperlink r:id="rId18" w:history="1">
              <w:r w:rsidR="006D3118" w:rsidRPr="006D3118">
                <w:rPr>
                  <w:rStyle w:val="Hyperlink"/>
                  <w:rFonts w:ascii="Times New Roman" w:eastAsia="Times New Roman" w:hAnsi="Times New Roman" w:cs="Times New Roman"/>
                  <w:bCs/>
                  <w:color w:val="auto"/>
                  <w:sz w:val="24"/>
                  <w:szCs w:val="24"/>
                  <w:u w:val="none"/>
                </w:rPr>
                <w:t>Hotărârea Guvernului nr.909/201</w:t>
              </w:r>
            </w:hyperlink>
            <w:r w:rsidR="006D3118" w:rsidRPr="006D3118">
              <w:rPr>
                <w:rFonts w:ascii="Times New Roman" w:eastAsia="Times New Roman" w:hAnsi="Times New Roman" w:cs="Times New Roman"/>
                <w:bCs/>
                <w:sz w:val="24"/>
                <w:szCs w:val="24"/>
              </w:rPr>
              <w:t>4 cu privire la aprobarea unităților de măsură legale</w:t>
            </w:r>
            <w:r w:rsidR="006D3118">
              <w:rPr>
                <w:rFonts w:ascii="Times New Roman" w:eastAsia="Times New Roman" w:hAnsi="Times New Roman" w:cs="Times New Roman"/>
                <w:bCs/>
                <w:sz w:val="24"/>
                <w:szCs w:val="24"/>
              </w:rPr>
              <w:t xml:space="preserve">, transpune </w:t>
            </w:r>
            <w:r w:rsidR="006D3118" w:rsidRPr="006D3118">
              <w:rPr>
                <w:rFonts w:ascii="Times New Roman" w:eastAsia="Times New Roman" w:hAnsi="Times New Roman" w:cs="Times New Roman"/>
                <w:bCs/>
                <w:sz w:val="24"/>
                <w:szCs w:val="24"/>
                <w:lang w:val="ro-MD"/>
              </w:rPr>
              <w:t xml:space="preserve">Directiva Consiliului din 20 decembrie 1979 privind apropierea legislațiilor statelor membre </w:t>
            </w:r>
            <w:r w:rsidR="006D3118" w:rsidRPr="006D3118">
              <w:rPr>
                <w:rFonts w:ascii="Times New Roman" w:eastAsia="Times New Roman" w:hAnsi="Times New Roman" w:cs="Times New Roman"/>
                <w:bCs/>
                <w:sz w:val="24"/>
                <w:szCs w:val="24"/>
                <w:lang w:val="ro-MD"/>
              </w:rPr>
              <w:lastRenderedPageBreak/>
              <w:t>referitoare la unitățile de măsură și de abrogare a Directivei 71/354/CEE (80/181/CEE), astfel cum a fost modificată ultima data prin Directiva 9UE) 2019/1258 a Comisiei din 23 iulie 2019, Număr CELEX: </w:t>
            </w:r>
            <w:hyperlink r:id="rId19" w:history="1">
              <w:r w:rsidR="006D3118" w:rsidRPr="006D3118">
                <w:rPr>
                  <w:rStyle w:val="Hyperlink"/>
                  <w:rFonts w:ascii="Times New Roman" w:eastAsia="Times New Roman" w:hAnsi="Times New Roman" w:cs="Times New Roman"/>
                  <w:bCs/>
                  <w:sz w:val="24"/>
                  <w:szCs w:val="24"/>
                  <w:lang w:val="ro-MD"/>
                </w:rPr>
                <w:t>01980L0181-20200613</w:t>
              </w:r>
            </w:hyperlink>
            <w:r w:rsidR="006D3118" w:rsidRPr="006D3118">
              <w:rPr>
                <w:rFonts w:ascii="Times New Roman" w:eastAsia="Times New Roman" w:hAnsi="Times New Roman" w:cs="Times New Roman"/>
                <w:bCs/>
                <w:sz w:val="24"/>
                <w:szCs w:val="24"/>
                <w:lang w:val="ro-MD"/>
              </w:rPr>
              <w:t>;</w:t>
            </w:r>
          </w:p>
          <w:p w:rsidR="006D3118" w:rsidRDefault="006D3118" w:rsidP="00F975B0">
            <w:pPr>
              <w:pStyle w:val="ListParagraph"/>
              <w:numPr>
                <w:ilvl w:val="0"/>
                <w:numId w:val="8"/>
              </w:numPr>
              <w:spacing w:after="0" w:line="240" w:lineRule="auto"/>
              <w:ind w:right="50"/>
              <w:jc w:val="both"/>
              <w:rPr>
                <w:rFonts w:ascii="Times New Roman" w:eastAsia="Times New Roman" w:hAnsi="Times New Roman" w:cs="Times New Roman"/>
                <w:bCs/>
                <w:sz w:val="24"/>
                <w:szCs w:val="24"/>
              </w:rPr>
            </w:pPr>
            <w:r w:rsidRPr="006D3118">
              <w:rPr>
                <w:rFonts w:ascii="Times New Roman" w:eastAsia="Times New Roman" w:hAnsi="Times New Roman" w:cs="Times New Roman"/>
                <w:bCs/>
                <w:sz w:val="24"/>
                <w:szCs w:val="24"/>
              </w:rPr>
              <w:t>Hotărârea Guvernului nr.408/2015 pentru aprobarea Reglementării tehnice privind punerea la dispoziţie pe piaţă a mijloacelor de măsurare</w:t>
            </w:r>
            <w:r>
              <w:rPr>
                <w:rFonts w:ascii="Times New Roman" w:eastAsia="Times New Roman" w:hAnsi="Times New Roman" w:cs="Times New Roman"/>
                <w:bCs/>
                <w:sz w:val="24"/>
                <w:szCs w:val="24"/>
              </w:rPr>
              <w:t xml:space="preserve">, transpune </w:t>
            </w:r>
            <w:r w:rsidRPr="006D3118">
              <w:rPr>
                <w:rFonts w:ascii="Times New Roman" w:eastAsia="Times New Roman" w:hAnsi="Times New Roman" w:cs="Times New Roman"/>
                <w:bCs/>
                <w:sz w:val="24"/>
                <w:szCs w:val="24"/>
              </w:rPr>
              <w:t>Directiva 2014/32/UE a Parlamentului European și a Consiliului din 26 februarie 2014 privind armonizarea legislației statelor membre referitoare la punerea la dispoziție pe piață a mijloacelor de măsurare (reformare)</w:t>
            </w:r>
            <w:r w:rsidRPr="006D3118">
              <w:rPr>
                <w:rFonts w:ascii="Times New Roman" w:eastAsia="Times New Roman" w:hAnsi="Times New Roman" w:cs="Times New Roman"/>
                <w:bCs/>
                <w:sz w:val="24"/>
                <w:szCs w:val="24"/>
                <w:lang w:val="ro-MD"/>
              </w:rPr>
              <w:t>, așa cum a fost modificată ultima dată  prin Directiva delegată (UE) 2015/13 a Comisiei din 31 octombrie 2014</w:t>
            </w:r>
            <w:r w:rsidRPr="006D3118">
              <w:rPr>
                <w:rFonts w:ascii="Times New Roman" w:eastAsia="Times New Roman" w:hAnsi="Times New Roman" w:cs="Times New Roman"/>
                <w:bCs/>
                <w:sz w:val="24"/>
                <w:szCs w:val="24"/>
              </w:rPr>
              <w:t>, Număr CELEX</w:t>
            </w:r>
            <w:r w:rsidRPr="006D3118">
              <w:rPr>
                <w:rFonts w:ascii="Times New Roman" w:eastAsia="Times New Roman" w:hAnsi="Times New Roman" w:cs="Times New Roman"/>
                <w:bCs/>
                <w:sz w:val="24"/>
                <w:szCs w:val="24"/>
                <w:lang w:val="ro-MD"/>
              </w:rPr>
              <w:t xml:space="preserve"> :  </w:t>
            </w:r>
            <w:hyperlink r:id="rId20" w:history="1">
              <w:r w:rsidRPr="006D3118">
                <w:rPr>
                  <w:rStyle w:val="Hyperlink"/>
                  <w:rFonts w:ascii="Times New Roman" w:eastAsia="Times New Roman" w:hAnsi="Times New Roman" w:cs="Times New Roman"/>
                  <w:bCs/>
                  <w:sz w:val="24"/>
                  <w:szCs w:val="24"/>
                  <w:lang w:val="ro-MD"/>
                </w:rPr>
                <w:t>02014L0032-20150127</w:t>
              </w:r>
            </w:hyperlink>
            <w:r w:rsidR="00B633B8">
              <w:rPr>
                <w:rFonts w:ascii="Times New Roman" w:eastAsia="Times New Roman" w:hAnsi="Times New Roman" w:cs="Times New Roman"/>
                <w:bCs/>
                <w:sz w:val="24"/>
                <w:szCs w:val="24"/>
              </w:rPr>
              <w:t>;</w:t>
            </w:r>
          </w:p>
          <w:p w:rsidR="006D3118" w:rsidRPr="00B633B8" w:rsidRDefault="00B633B8" w:rsidP="00F975B0">
            <w:pPr>
              <w:spacing w:after="0" w:line="240" w:lineRule="auto"/>
              <w:ind w:right="5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Pentru fiecare act UE menționat supra au fost elaborate tabele de concordanță, conform Hotărârii Guvernului nr. 1171/2018, cu modificările ulterioare.</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633B8" w:rsidRDefault="00BC1740" w:rsidP="00F2495C">
            <w:pPr>
              <w:spacing w:after="0" w:line="240" w:lineRule="auto"/>
              <w:ind w:right="50"/>
              <w:jc w:val="both"/>
              <w:rPr>
                <w:rFonts w:ascii="Times New Roman" w:eastAsia="Times New Roman" w:hAnsi="Times New Roman" w:cs="Times New Roman"/>
                <w:b/>
                <w:sz w:val="24"/>
                <w:szCs w:val="24"/>
                <w:lang w:val="ro-MD"/>
              </w:rPr>
            </w:pPr>
            <w:r w:rsidRPr="00BC1740">
              <w:rPr>
                <w:rFonts w:ascii="Times New Roman" w:eastAsia="Times New Roman" w:hAnsi="Times New Roman" w:cs="Times New Roman"/>
                <w:sz w:val="24"/>
                <w:szCs w:val="24"/>
                <w:lang w:val="ro-MD"/>
              </w:rPr>
              <w:lastRenderedPageBreak/>
              <w:t xml:space="preserve">5.2. </w:t>
            </w:r>
            <w:r w:rsidRPr="00B633B8">
              <w:rPr>
                <w:rFonts w:ascii="Times New Roman" w:eastAsia="Times New Roman" w:hAnsi="Times New Roman" w:cs="Times New Roman"/>
                <w:b/>
                <w:sz w:val="24"/>
                <w:szCs w:val="24"/>
                <w:lang w:val="ro-MD"/>
              </w:rPr>
              <w:t>Măsuri normative care urmăresc crearea cadrului juridic intern necesar pentru implementarea legislaţiei UE</w:t>
            </w:r>
          </w:p>
          <w:p w:rsidR="00B633B8" w:rsidRPr="00BC1740" w:rsidRDefault="00B633B8" w:rsidP="00F975B0">
            <w:pPr>
              <w:spacing w:after="0" w:line="240" w:lineRule="auto"/>
              <w:ind w:right="50"/>
              <w:rPr>
                <w:rFonts w:ascii="Times New Roman" w:eastAsia="Times New Roman" w:hAnsi="Times New Roman" w:cs="Times New Roman"/>
                <w:sz w:val="24"/>
                <w:szCs w:val="24"/>
                <w:lang w:val="ro-MD"/>
              </w:rPr>
            </w:pPr>
            <w:r w:rsidRPr="00B633B8">
              <w:rPr>
                <w:rFonts w:ascii="Times New Roman" w:eastAsia="Times New Roman" w:hAnsi="Times New Roman" w:cs="Times New Roman"/>
                <w:sz w:val="24"/>
                <w:szCs w:val="24"/>
                <w:lang w:val="ro-MD"/>
              </w:rPr>
              <w:t>Nu este aplicabil</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t>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Default="00BC1740" w:rsidP="00F975B0">
            <w:pPr>
              <w:spacing w:after="0" w:line="240" w:lineRule="auto"/>
              <w:ind w:right="50"/>
              <w:rPr>
                <w:rFonts w:ascii="Times New Roman" w:eastAsia="Times New Roman" w:hAnsi="Times New Roman" w:cs="Times New Roman"/>
                <w:b/>
                <w:bCs/>
                <w:sz w:val="24"/>
                <w:szCs w:val="24"/>
                <w:lang w:val="ro-MD"/>
              </w:rPr>
            </w:pPr>
            <w:r w:rsidRPr="00BC1740">
              <w:rPr>
                <w:rFonts w:ascii="Times New Roman" w:eastAsia="Times New Roman" w:hAnsi="Times New Roman" w:cs="Times New Roman"/>
                <w:b/>
                <w:bCs/>
                <w:sz w:val="24"/>
                <w:szCs w:val="24"/>
                <w:lang w:val="ro-MD"/>
              </w:rPr>
              <w:t>6. Avizarea şi consultarea publică a proiectului actului normativ</w:t>
            </w:r>
          </w:p>
          <w:p w:rsidR="00B633B8" w:rsidRDefault="00F91743" w:rsidP="00F975B0">
            <w:pPr>
              <w:spacing w:after="0" w:line="240" w:lineRule="auto"/>
              <w:ind w:right="50"/>
              <w:jc w:val="both"/>
              <w:rPr>
                <w:rFonts w:ascii="Times New Roman" w:eastAsia="Times New Roman" w:hAnsi="Times New Roman" w:cs="Times New Roman"/>
                <w:sz w:val="24"/>
                <w:szCs w:val="24"/>
                <w:lang w:val="ro-MD"/>
              </w:rPr>
            </w:pPr>
            <w:r w:rsidRPr="00F91743">
              <w:rPr>
                <w:rFonts w:ascii="Times New Roman" w:eastAsia="Times New Roman" w:hAnsi="Times New Roman" w:cs="Times New Roman"/>
                <w:sz w:val="24"/>
                <w:szCs w:val="24"/>
                <w:lang w:val="ro-MD"/>
              </w:rPr>
              <w:t>În scopul respectării prevederilor Legii nr. 239-XVI din 13 no</w:t>
            </w:r>
            <w:r>
              <w:rPr>
                <w:rFonts w:ascii="Times New Roman" w:eastAsia="Times New Roman" w:hAnsi="Times New Roman" w:cs="Times New Roman"/>
                <w:sz w:val="24"/>
                <w:szCs w:val="24"/>
                <w:lang w:val="ro-MD"/>
              </w:rPr>
              <w:t>iembrie 2008 privind transparenț</w:t>
            </w:r>
            <w:r w:rsidRPr="00F91743">
              <w:rPr>
                <w:rFonts w:ascii="Times New Roman" w:eastAsia="Times New Roman" w:hAnsi="Times New Roman" w:cs="Times New Roman"/>
                <w:sz w:val="24"/>
                <w:szCs w:val="24"/>
                <w:lang w:val="ro-MD"/>
              </w:rPr>
              <w:t>a în procesul decizional, a fost plasat anunțul privind inițierea elaborării proiectului pe pagina web a Ministerului Dezvoltării Economice și Digitalizării, la rubrica Transparența decizională, anunțuri de inițiere a politicii</w:t>
            </w:r>
            <w:r w:rsidR="003A669C">
              <w:rPr>
                <w:rFonts w:ascii="Times New Roman" w:eastAsia="Times New Roman" w:hAnsi="Times New Roman" w:cs="Times New Roman"/>
                <w:sz w:val="24"/>
                <w:szCs w:val="24"/>
                <w:lang w:val="ro-MD"/>
              </w:rPr>
              <w:t xml:space="preserve"> (</w:t>
            </w:r>
            <w:hyperlink r:id="rId21" w:history="1">
              <w:r w:rsidR="00781D91" w:rsidRPr="00DD326C">
                <w:rPr>
                  <w:rStyle w:val="Hyperlink"/>
                  <w:rFonts w:ascii="Times New Roman" w:eastAsia="Times New Roman" w:hAnsi="Times New Roman" w:cs="Times New Roman"/>
                  <w:sz w:val="24"/>
                  <w:szCs w:val="24"/>
                  <w:lang w:val="ro-MD"/>
                </w:rPr>
                <w:t>https://particip.gov.md/ro/document/stages/*/12757</w:t>
              </w:r>
            </w:hyperlink>
            <w:r w:rsidR="003A669C">
              <w:rPr>
                <w:rFonts w:ascii="Times New Roman" w:eastAsia="Times New Roman" w:hAnsi="Times New Roman" w:cs="Times New Roman"/>
                <w:sz w:val="24"/>
                <w:szCs w:val="24"/>
                <w:lang w:val="ro-MD"/>
              </w:rPr>
              <w:t xml:space="preserve">) </w:t>
            </w:r>
          </w:p>
          <w:p w:rsidR="00781D91" w:rsidRPr="00BC1740" w:rsidRDefault="00F369D9" w:rsidP="00F369D9">
            <w:pPr>
              <w:spacing w:before="120" w:after="0" w:line="240" w:lineRule="auto"/>
              <w:ind w:right="5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Prin demersul Cancelariei de Stat </w:t>
            </w:r>
            <w:r>
              <w:rPr>
                <w:rFonts w:ascii="Times New Roman" w:eastAsia="Times New Roman" w:hAnsi="Times New Roman" w:cs="Times New Roman"/>
                <w:sz w:val="24"/>
                <w:szCs w:val="24"/>
              </w:rPr>
              <w:t>n</w:t>
            </w:r>
            <w:r w:rsidRPr="00F369D9">
              <w:rPr>
                <w:rFonts w:ascii="Times New Roman" w:eastAsia="Times New Roman" w:hAnsi="Times New Roman" w:cs="Times New Roman"/>
                <w:sz w:val="24"/>
                <w:szCs w:val="24"/>
              </w:rPr>
              <w:t>r.18-69-10394</w:t>
            </w:r>
            <w:r>
              <w:rPr>
                <w:rFonts w:ascii="Times New Roman" w:eastAsia="Times New Roman" w:hAnsi="Times New Roman" w:cs="Times New Roman"/>
                <w:sz w:val="24"/>
                <w:szCs w:val="24"/>
              </w:rPr>
              <w:t xml:space="preserve"> din 17.09.2024 </w:t>
            </w:r>
            <w:r w:rsidR="002744CE">
              <w:rPr>
                <w:rFonts w:ascii="Times New Roman" w:eastAsia="Times New Roman" w:hAnsi="Times New Roman" w:cs="Times New Roman"/>
                <w:sz w:val="24"/>
                <w:szCs w:val="24"/>
              </w:rPr>
              <w:t>proiectul a fost remis spre avizare autorităților. Urmare avizelor recepționate a fost întocmită sinteza obiecțiilor la proiect.</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t>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75B0" w:rsidRDefault="00BC1740" w:rsidP="00F975B0">
            <w:pPr>
              <w:spacing w:after="0" w:line="240" w:lineRule="auto"/>
              <w:ind w:right="50"/>
              <w:rPr>
                <w:rFonts w:ascii="Times New Roman" w:eastAsia="Times New Roman" w:hAnsi="Times New Roman" w:cs="Times New Roman"/>
                <w:sz w:val="24"/>
                <w:szCs w:val="24"/>
              </w:rPr>
            </w:pPr>
            <w:r w:rsidRPr="00BC1740">
              <w:rPr>
                <w:rFonts w:ascii="Times New Roman" w:eastAsia="Times New Roman" w:hAnsi="Times New Roman" w:cs="Times New Roman"/>
                <w:b/>
                <w:bCs/>
                <w:sz w:val="24"/>
                <w:szCs w:val="24"/>
                <w:lang w:val="ro-MD"/>
              </w:rPr>
              <w:t>7. Concluziile expertizelor</w:t>
            </w:r>
            <w:r w:rsidR="00F975B0" w:rsidRPr="003A669C">
              <w:rPr>
                <w:rFonts w:ascii="Times New Roman" w:eastAsia="Times New Roman" w:hAnsi="Times New Roman" w:cs="Times New Roman"/>
                <w:sz w:val="24"/>
                <w:szCs w:val="24"/>
              </w:rPr>
              <w:t xml:space="preserve"> </w:t>
            </w:r>
          </w:p>
          <w:p w:rsidR="000B48E4" w:rsidRPr="000B48E4" w:rsidRDefault="00F975B0" w:rsidP="000B48E4">
            <w:pPr>
              <w:spacing w:after="120" w:line="240" w:lineRule="auto"/>
              <w:ind w:right="50"/>
              <w:jc w:val="both"/>
              <w:rPr>
                <w:rFonts w:ascii="Times New Roman" w:eastAsia="Times New Roman" w:hAnsi="Times New Roman" w:cs="Times New Roman"/>
                <w:sz w:val="24"/>
                <w:szCs w:val="24"/>
                <w:lang w:val="en-GB"/>
              </w:rPr>
            </w:pPr>
            <w:r w:rsidRPr="000B48E4">
              <w:rPr>
                <w:rFonts w:ascii="Times New Roman" w:eastAsia="Times New Roman" w:hAnsi="Times New Roman" w:cs="Times New Roman"/>
                <w:sz w:val="24"/>
                <w:szCs w:val="24"/>
              </w:rPr>
              <w:t xml:space="preserve">Proiectul </w:t>
            </w:r>
            <w:r w:rsidR="000B48E4" w:rsidRPr="000B48E4">
              <w:rPr>
                <w:rFonts w:ascii="Times New Roman" w:eastAsia="Times New Roman" w:hAnsi="Times New Roman" w:cs="Times New Roman"/>
                <w:sz w:val="24"/>
                <w:szCs w:val="24"/>
              </w:rPr>
              <w:t xml:space="preserve">a fost </w:t>
            </w:r>
            <w:r w:rsidRPr="000B48E4">
              <w:rPr>
                <w:rFonts w:ascii="Times New Roman" w:eastAsia="Times New Roman" w:hAnsi="Times New Roman" w:cs="Times New Roman"/>
                <w:sz w:val="24"/>
                <w:szCs w:val="24"/>
              </w:rPr>
              <w:t xml:space="preserve"> supus expertizei anticorupție, conform art.25 și art.28 din Legea  integrității  nr. 82/2017 și art.36 din Legea nr.100/2017 cu privire la actele normativ</w:t>
            </w:r>
            <w:r w:rsidR="000B48E4" w:rsidRPr="000B48E4">
              <w:rPr>
                <w:rFonts w:ascii="Times New Roman" w:eastAsia="Times New Roman" w:hAnsi="Times New Roman" w:cs="Times New Roman"/>
                <w:sz w:val="24"/>
                <w:szCs w:val="24"/>
              </w:rPr>
              <w:t xml:space="preserve">e. </w:t>
            </w:r>
            <w:r w:rsidR="000B48E4" w:rsidRPr="000B48E4">
              <w:rPr>
                <w:rFonts w:ascii="Times New Roman" w:eastAsia="Times New Roman" w:hAnsi="Times New Roman" w:cs="Times New Roman"/>
                <w:bCs/>
                <w:sz w:val="24"/>
                <w:szCs w:val="24"/>
              </w:rPr>
              <w:t>Concluziile au fost  expuse în demersul Centrului Național Anticorupție nr.  06/2/17979 din 24.10.2024 și care sunt prezentate în sinteza obiecţiilor.</w:t>
            </w:r>
          </w:p>
          <w:p w:rsidR="000B48E4" w:rsidRDefault="000B48E4" w:rsidP="000B48E4">
            <w:pPr>
              <w:spacing w:after="120" w:line="240" w:lineRule="auto"/>
              <w:ind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Proiectul a fost supus </w:t>
            </w:r>
            <w:r w:rsidR="00F975B0">
              <w:rPr>
                <w:rFonts w:ascii="Times New Roman" w:eastAsia="Times New Roman" w:hAnsi="Times New Roman" w:cs="Times New Roman"/>
                <w:sz w:val="24"/>
                <w:szCs w:val="24"/>
              </w:rPr>
              <w:t>expertizei juridice, conform art.37 din Legea nr.100/2017</w:t>
            </w:r>
            <w:r>
              <w:rPr>
                <w:rFonts w:ascii="Times New Roman" w:eastAsia="Times New Roman" w:hAnsi="Times New Roman" w:cs="Times New Roman"/>
                <w:sz w:val="24"/>
                <w:szCs w:val="24"/>
              </w:rPr>
              <w:t>.</w:t>
            </w:r>
            <w:r w:rsidR="00F975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Concluziile au fost expuse în demersul Ministerului Justiției nr. </w:t>
            </w:r>
            <w:r w:rsidRPr="000B48E4">
              <w:rPr>
                <w:rFonts w:ascii="Times New Roman" w:eastAsia="Times New Roman" w:hAnsi="Times New Roman" w:cs="Times New Roman"/>
                <w:sz w:val="24"/>
                <w:szCs w:val="24"/>
                <w:lang w:val="en-GB"/>
              </w:rPr>
              <w:t xml:space="preserve"> 04/2-9465 din 24.10.2024</w:t>
            </w:r>
            <w:r>
              <w:rPr>
                <w:rFonts w:ascii="Times New Roman" w:eastAsia="Times New Roman" w:hAnsi="Times New Roman" w:cs="Times New Roman"/>
                <w:sz w:val="24"/>
                <w:szCs w:val="24"/>
                <w:lang w:val="en-GB"/>
              </w:rPr>
              <w:t>, care</w:t>
            </w:r>
            <w:r w:rsidR="00F975B0" w:rsidRPr="003A66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sunt incluse în s</w:t>
            </w:r>
            <w:r w:rsidR="00F975B0" w:rsidRPr="003A669C">
              <w:rPr>
                <w:rFonts w:ascii="Times New Roman" w:eastAsia="Times New Roman" w:hAnsi="Times New Roman" w:cs="Times New Roman"/>
                <w:sz w:val="24"/>
                <w:szCs w:val="24"/>
              </w:rPr>
              <w:t>inteza obiecțiilor la proiect.</w:t>
            </w:r>
          </w:p>
          <w:p w:rsidR="000B48E4" w:rsidRDefault="000B48E4" w:rsidP="000B48E4">
            <w:pPr>
              <w:spacing w:after="0" w:line="240" w:lineRule="auto"/>
              <w:ind w:right="50"/>
              <w:jc w:val="both"/>
              <w:rPr>
                <w:rFonts w:ascii="Times New Roman" w:eastAsia="Times New Roman" w:hAnsi="Times New Roman" w:cs="Times New Roman"/>
                <w:sz w:val="24"/>
                <w:szCs w:val="24"/>
              </w:rPr>
            </w:pPr>
            <w:r w:rsidRPr="000B48E4">
              <w:rPr>
                <w:rFonts w:ascii="Times New Roman" w:eastAsia="Times New Roman" w:hAnsi="Times New Roman" w:cs="Times New Roman"/>
                <w:sz w:val="24"/>
                <w:szCs w:val="24"/>
              </w:rPr>
              <w:t>Proiectul a fost supus expertizei de compatibilitate, conform art.13 din Hotărârea Guvernului nr. 1171/2018.</w:t>
            </w:r>
            <w:r>
              <w:rPr>
                <w:rFonts w:ascii="Times New Roman" w:eastAsia="Times New Roman" w:hAnsi="Times New Roman" w:cs="Times New Roman"/>
                <w:sz w:val="24"/>
                <w:szCs w:val="24"/>
              </w:rPr>
              <w:t xml:space="preserve"> </w:t>
            </w:r>
          </w:p>
          <w:p w:rsidR="000B48E4" w:rsidRPr="00BC1740" w:rsidRDefault="000B48E4" w:rsidP="000B48E4">
            <w:pPr>
              <w:spacing w:after="120" w:line="240" w:lineRule="auto"/>
              <w:ind w:right="5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rPr>
              <w:t xml:space="preserve">Concluziile au fost expuse în demersul Centrului de Armonizare a </w:t>
            </w:r>
            <w:r w:rsidR="007863B2">
              <w:rPr>
                <w:rFonts w:ascii="Times New Roman" w:eastAsia="Times New Roman" w:hAnsi="Times New Roman" w:cs="Times New Roman"/>
                <w:sz w:val="24"/>
                <w:szCs w:val="24"/>
              </w:rPr>
              <w:t xml:space="preserve">Legislației </w:t>
            </w:r>
            <w:r>
              <w:rPr>
                <w:rFonts w:ascii="Times New Roman" w:eastAsia="Times New Roman" w:hAnsi="Times New Roman" w:cs="Times New Roman"/>
                <w:sz w:val="24"/>
                <w:szCs w:val="24"/>
              </w:rPr>
              <w:t xml:space="preserve"> nr. </w:t>
            </w:r>
            <w:r w:rsidRPr="000B48E4">
              <w:rPr>
                <w:rFonts w:ascii="Times New Roman" w:eastAsia="Times New Roman" w:hAnsi="Times New Roman" w:cs="Times New Roman"/>
                <w:sz w:val="24"/>
                <w:szCs w:val="24"/>
                <w:lang w:val="en-GB"/>
              </w:rPr>
              <w:t xml:space="preserve"> </w:t>
            </w:r>
            <w:r w:rsidR="007863B2" w:rsidRPr="007863B2">
              <w:rPr>
                <w:rFonts w:ascii="Times New Roman" w:eastAsia="Times New Roman" w:hAnsi="Times New Roman" w:cs="Times New Roman"/>
                <w:sz w:val="24"/>
                <w:szCs w:val="24"/>
                <w:lang w:val="en-GB"/>
              </w:rPr>
              <w:t>06/2/17979 din 24.10.2024</w:t>
            </w:r>
            <w:r>
              <w:rPr>
                <w:rFonts w:ascii="Times New Roman" w:eastAsia="Times New Roman" w:hAnsi="Times New Roman" w:cs="Times New Roman"/>
                <w:sz w:val="24"/>
                <w:szCs w:val="24"/>
                <w:lang w:val="en-GB"/>
              </w:rPr>
              <w:t>, care</w:t>
            </w:r>
            <w:r w:rsidRPr="003A66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sunt incluse în s</w:t>
            </w:r>
            <w:r w:rsidRPr="003A669C">
              <w:rPr>
                <w:rFonts w:ascii="Times New Roman" w:eastAsia="Times New Roman" w:hAnsi="Times New Roman" w:cs="Times New Roman"/>
                <w:sz w:val="24"/>
                <w:szCs w:val="24"/>
              </w:rPr>
              <w:t>inteza obiecțiilor la proiect.</w:t>
            </w:r>
          </w:p>
        </w:tc>
      </w:tr>
      <w:tr w:rsidR="00BC1740" w:rsidRPr="00BC1740" w:rsidTr="00F975B0">
        <w:trPr>
          <w:trHeight w:val="27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jc w:val="both"/>
              <w:rPr>
                <w:rFonts w:ascii="Times New Roman" w:eastAsia="Times New Roman" w:hAnsi="Times New Roman" w:cs="Times New Roman"/>
                <w:sz w:val="24"/>
                <w:szCs w:val="24"/>
                <w:lang w:val="ro-MD"/>
              </w:rPr>
            </w:pP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Default="00BC1740" w:rsidP="00F975B0">
            <w:pPr>
              <w:spacing w:after="0" w:line="240" w:lineRule="auto"/>
              <w:ind w:right="50"/>
              <w:rPr>
                <w:rFonts w:ascii="Times New Roman" w:eastAsia="Times New Roman" w:hAnsi="Times New Roman" w:cs="Times New Roman"/>
                <w:b/>
                <w:bCs/>
                <w:sz w:val="24"/>
                <w:szCs w:val="24"/>
                <w:lang w:val="ro-MD"/>
              </w:rPr>
            </w:pPr>
            <w:r w:rsidRPr="00BC1740">
              <w:rPr>
                <w:rFonts w:ascii="Times New Roman" w:eastAsia="Times New Roman" w:hAnsi="Times New Roman" w:cs="Times New Roman"/>
                <w:b/>
                <w:bCs/>
                <w:sz w:val="24"/>
                <w:szCs w:val="24"/>
                <w:lang w:val="ro-MD"/>
              </w:rPr>
              <w:t>8. Modul de încorporare a actului în cadrul normativ existent</w:t>
            </w:r>
          </w:p>
          <w:p w:rsidR="003A669C" w:rsidRDefault="003A669C" w:rsidP="00F975B0">
            <w:pPr>
              <w:spacing w:after="0" w:line="240" w:lineRule="auto"/>
              <w:ind w:right="50"/>
              <w:jc w:val="both"/>
              <w:rPr>
                <w:rFonts w:ascii="Times New Roman" w:eastAsia="Times New Roman" w:hAnsi="Times New Roman" w:cs="Times New Roman"/>
                <w:bCs/>
                <w:sz w:val="24"/>
                <w:szCs w:val="24"/>
                <w:lang w:val="ro-MD"/>
              </w:rPr>
            </w:pPr>
            <w:r w:rsidRPr="003A669C">
              <w:rPr>
                <w:rFonts w:ascii="Times New Roman" w:eastAsia="Times New Roman" w:hAnsi="Times New Roman" w:cs="Times New Roman"/>
                <w:bCs/>
                <w:sz w:val="24"/>
                <w:szCs w:val="24"/>
                <w:lang w:val="ro-MD"/>
              </w:rPr>
              <w:t>Proiectul hotărârii se încadrează în prevederile cadrului normativ în vigoare, ca urmare adoptarea acestuia nu implică necesitatea modificării altor acte normative</w:t>
            </w:r>
            <w:r w:rsidR="000B48E4">
              <w:rPr>
                <w:rFonts w:ascii="Times New Roman" w:eastAsia="Times New Roman" w:hAnsi="Times New Roman" w:cs="Times New Roman"/>
                <w:bCs/>
                <w:sz w:val="24"/>
                <w:szCs w:val="24"/>
                <w:lang w:val="ro-MD"/>
              </w:rPr>
              <w:t>.</w:t>
            </w:r>
          </w:p>
          <w:p w:rsidR="000B48E4" w:rsidRPr="000B48E4" w:rsidRDefault="000B48E4" w:rsidP="000B48E4">
            <w:pPr>
              <w:autoSpaceDE w:val="0"/>
              <w:autoSpaceDN w:val="0"/>
              <w:adjustRightInd w:val="0"/>
              <w:spacing w:after="0" w:line="240" w:lineRule="auto"/>
              <w:ind w:right="85"/>
              <w:jc w:val="both"/>
              <w:rPr>
                <w:rFonts w:ascii="Times New Roman" w:eastAsiaTheme="minorEastAsia" w:hAnsi="Times New Roman" w:cs="Times New Roman"/>
                <w:color w:val="0D0D0D"/>
                <w:sz w:val="24"/>
                <w:szCs w:val="24"/>
                <w:lang w:eastAsia="en-GB"/>
              </w:rPr>
            </w:pPr>
            <w:r w:rsidRPr="000B48E4">
              <w:rPr>
                <w:rFonts w:ascii="Times New Roman" w:eastAsiaTheme="minorEastAsia" w:hAnsi="Times New Roman" w:cs="Times New Roman"/>
                <w:color w:val="0D0D0D"/>
                <w:sz w:val="24"/>
                <w:szCs w:val="24"/>
                <w:lang w:eastAsia="en-GB"/>
              </w:rPr>
              <w:t xml:space="preserve">Hotărîrea Guvernului </w:t>
            </w:r>
            <w:r w:rsidRPr="000B48E4">
              <w:rPr>
                <w:rFonts w:ascii="Times New Roman" w:eastAsiaTheme="minorEastAsia" w:hAnsi="Times New Roman" w:cs="Times New Roman"/>
                <w:bCs/>
                <w:color w:val="0D0D0D"/>
                <w:sz w:val="24"/>
                <w:szCs w:val="24"/>
                <w:lang w:val="ro-MD" w:eastAsia="en-GB"/>
              </w:rPr>
              <w:t>cu privire la modificarea unor  hotărâri ale Guvernului în domeniul metrologiei</w:t>
            </w:r>
            <w:r w:rsidRPr="000B48E4">
              <w:rPr>
                <w:rFonts w:ascii="Times New Roman" w:eastAsiaTheme="minorEastAsia" w:hAnsi="Times New Roman" w:cs="Times New Roman"/>
                <w:color w:val="0D0D0D"/>
                <w:sz w:val="24"/>
                <w:szCs w:val="24"/>
                <w:lang w:eastAsia="en-GB"/>
              </w:rPr>
              <w:t xml:space="preserve"> va intra în vigoare la data publicării în Monitorul Oficial.</w:t>
            </w:r>
          </w:p>
          <w:p w:rsidR="000B48E4" w:rsidRPr="000B48E4" w:rsidRDefault="000B48E4" w:rsidP="00F975B0">
            <w:pPr>
              <w:spacing w:after="0" w:line="240" w:lineRule="auto"/>
              <w:ind w:right="50"/>
              <w:jc w:val="both"/>
              <w:rPr>
                <w:rFonts w:ascii="Times New Roman" w:eastAsia="Times New Roman" w:hAnsi="Times New Roman" w:cs="Times New Roman"/>
                <w:sz w:val="24"/>
                <w:szCs w:val="24"/>
              </w:rPr>
            </w:pP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Pr="00BC1740" w:rsidRDefault="00BC1740" w:rsidP="00F975B0">
            <w:pPr>
              <w:spacing w:after="0" w:line="240" w:lineRule="auto"/>
              <w:ind w:right="50"/>
              <w:rPr>
                <w:rFonts w:ascii="Times New Roman" w:eastAsia="Times New Roman" w:hAnsi="Times New Roman" w:cs="Times New Roman"/>
                <w:sz w:val="24"/>
                <w:szCs w:val="24"/>
                <w:lang w:val="ro-MD"/>
              </w:rPr>
            </w:pPr>
            <w:r w:rsidRPr="00BC1740">
              <w:rPr>
                <w:rFonts w:ascii="Times New Roman" w:eastAsia="Times New Roman" w:hAnsi="Times New Roman" w:cs="Times New Roman"/>
                <w:sz w:val="24"/>
                <w:szCs w:val="24"/>
                <w:lang w:val="ro-MD"/>
              </w:rPr>
              <w:t> </w:t>
            </w:r>
          </w:p>
        </w:tc>
      </w:tr>
      <w:tr w:rsidR="00BC1740" w:rsidRPr="00BC1740" w:rsidTr="0005077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740" w:rsidRDefault="00BC1740" w:rsidP="00F975B0">
            <w:pPr>
              <w:spacing w:after="0" w:line="240" w:lineRule="auto"/>
              <w:ind w:right="50"/>
              <w:rPr>
                <w:rFonts w:ascii="Times New Roman" w:eastAsia="Times New Roman" w:hAnsi="Times New Roman" w:cs="Times New Roman"/>
                <w:b/>
                <w:bCs/>
                <w:sz w:val="24"/>
                <w:szCs w:val="24"/>
                <w:lang w:val="ro-MD"/>
              </w:rPr>
            </w:pPr>
            <w:r w:rsidRPr="00BC1740">
              <w:rPr>
                <w:rFonts w:ascii="Times New Roman" w:eastAsia="Times New Roman" w:hAnsi="Times New Roman" w:cs="Times New Roman"/>
                <w:b/>
                <w:bCs/>
                <w:sz w:val="24"/>
                <w:szCs w:val="24"/>
                <w:lang w:val="ro-MD"/>
              </w:rPr>
              <w:t>9. Măsurile necesare pentru implementarea prevederilor proiectului actului normativ</w:t>
            </w:r>
          </w:p>
          <w:p w:rsidR="003A669C" w:rsidRPr="00BC1740" w:rsidRDefault="003A669C" w:rsidP="00F975B0">
            <w:pPr>
              <w:spacing w:after="0" w:line="240" w:lineRule="auto"/>
              <w:ind w:right="50"/>
              <w:rPr>
                <w:rFonts w:ascii="Times New Roman" w:eastAsia="Times New Roman" w:hAnsi="Times New Roman" w:cs="Times New Roman"/>
                <w:sz w:val="24"/>
                <w:szCs w:val="24"/>
                <w:lang w:val="ro-MD"/>
              </w:rPr>
            </w:pPr>
            <w:r w:rsidRPr="003A669C">
              <w:rPr>
                <w:rFonts w:ascii="Times New Roman" w:eastAsia="Times New Roman" w:hAnsi="Times New Roman" w:cs="Times New Roman"/>
                <w:sz w:val="24"/>
                <w:szCs w:val="24"/>
                <w:lang w:val="ro-MD"/>
              </w:rPr>
              <w:t>Nu au fost identificate</w:t>
            </w:r>
          </w:p>
        </w:tc>
      </w:tr>
    </w:tbl>
    <w:p w:rsidR="00126CA2" w:rsidRDefault="00126CA2" w:rsidP="00F975B0">
      <w:pPr>
        <w:ind w:right="50"/>
        <w:rPr>
          <w:lang w:val="en-US"/>
        </w:rPr>
      </w:pPr>
    </w:p>
    <w:p w:rsidR="00B90328" w:rsidRPr="00B90328" w:rsidRDefault="00D26E24" w:rsidP="00F975B0">
      <w:pPr>
        <w:ind w:right="50"/>
        <w:rPr>
          <w:rFonts w:ascii="Times New Roman" w:hAnsi="Times New Roman" w:cs="Times New Roman"/>
          <w:sz w:val="24"/>
          <w:szCs w:val="24"/>
          <w:lang w:val="en-US"/>
        </w:rPr>
      </w:pPr>
      <w:proofErr w:type="spellStart"/>
      <w:r>
        <w:rPr>
          <w:rFonts w:ascii="Times New Roman" w:hAnsi="Times New Roman" w:cs="Times New Roman"/>
          <w:sz w:val="24"/>
          <w:szCs w:val="24"/>
          <w:lang w:val="en-US"/>
        </w:rPr>
        <w:t>S</w:t>
      </w:r>
      <w:bookmarkStart w:id="0" w:name="_GoBack"/>
      <w:bookmarkEnd w:id="0"/>
      <w:r w:rsidR="00B90328" w:rsidRPr="00B90328">
        <w:rPr>
          <w:rFonts w:ascii="Times New Roman" w:hAnsi="Times New Roman" w:cs="Times New Roman"/>
          <w:sz w:val="24"/>
          <w:szCs w:val="24"/>
          <w:lang w:val="en-US"/>
        </w:rPr>
        <w:t>ecretar</w:t>
      </w:r>
      <w:proofErr w:type="spellEnd"/>
      <w:r w:rsidR="00B90328" w:rsidRPr="00B90328">
        <w:rPr>
          <w:rFonts w:ascii="Times New Roman" w:hAnsi="Times New Roman" w:cs="Times New Roman"/>
          <w:sz w:val="24"/>
          <w:szCs w:val="24"/>
          <w:lang w:val="en-US"/>
        </w:rPr>
        <w:t xml:space="preserve"> de stat                     </w:t>
      </w:r>
      <w:r w:rsidR="00B90328">
        <w:rPr>
          <w:rFonts w:ascii="Times New Roman" w:hAnsi="Times New Roman" w:cs="Times New Roman"/>
          <w:sz w:val="24"/>
          <w:szCs w:val="24"/>
          <w:lang w:val="en-US"/>
        </w:rPr>
        <w:t xml:space="preserve">               </w:t>
      </w:r>
      <w:r w:rsidR="00B90328" w:rsidRPr="00B90328">
        <w:rPr>
          <w:rFonts w:ascii="Times New Roman" w:hAnsi="Times New Roman" w:cs="Times New Roman"/>
          <w:sz w:val="24"/>
          <w:szCs w:val="24"/>
          <w:lang w:val="en-US"/>
        </w:rPr>
        <w:t xml:space="preserve">                                                                Cristina CEBAN</w:t>
      </w:r>
    </w:p>
    <w:sectPr w:rsidR="00B90328" w:rsidRPr="00B9032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F72C7"/>
    <w:multiLevelType w:val="hybridMultilevel"/>
    <w:tmpl w:val="83664FB0"/>
    <w:lvl w:ilvl="0" w:tplc="3BA23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A28C0"/>
    <w:multiLevelType w:val="hybridMultilevel"/>
    <w:tmpl w:val="6B3EC6AE"/>
    <w:lvl w:ilvl="0" w:tplc="9B7C7268">
      <w:start w:val="2"/>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F9E7C21"/>
    <w:multiLevelType w:val="hybridMultilevel"/>
    <w:tmpl w:val="7B446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1423C"/>
    <w:multiLevelType w:val="hybridMultilevel"/>
    <w:tmpl w:val="618A8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A78EE"/>
    <w:multiLevelType w:val="hybridMultilevel"/>
    <w:tmpl w:val="ACA49558"/>
    <w:lvl w:ilvl="0" w:tplc="C80299C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A7B61AA"/>
    <w:multiLevelType w:val="hybridMultilevel"/>
    <w:tmpl w:val="E51E6A52"/>
    <w:lvl w:ilvl="0" w:tplc="12DCF53C">
      <w:start w:val="1"/>
      <w:numFmt w:val="bullet"/>
      <w:lvlText w:val=""/>
      <w:lvlJc w:val="left"/>
      <w:pPr>
        <w:ind w:left="457" w:hanging="360"/>
      </w:pPr>
      <w:rPr>
        <w:rFonts w:ascii="Symbol" w:hAnsi="Symbol" w:hint="default"/>
      </w:rPr>
    </w:lvl>
    <w:lvl w:ilvl="1" w:tplc="08090003" w:tentative="1">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6" w15:restartNumberingAfterBreak="0">
    <w:nsid w:val="65246376"/>
    <w:multiLevelType w:val="hybridMultilevel"/>
    <w:tmpl w:val="76A88EEA"/>
    <w:lvl w:ilvl="0" w:tplc="5BBE25D2">
      <w:start w:val="2"/>
      <w:numFmt w:val="bullet"/>
      <w:lvlText w:val="-"/>
      <w:lvlJc w:val="left"/>
      <w:pPr>
        <w:ind w:left="457" w:hanging="360"/>
      </w:pPr>
      <w:rPr>
        <w:rFonts w:ascii="Times New Roman" w:eastAsia="Times New Roman" w:hAnsi="Times New Roman" w:cs="Times New Roman" w:hint="default"/>
      </w:rPr>
    </w:lvl>
    <w:lvl w:ilvl="1" w:tplc="08090003" w:tentative="1">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7" w15:restartNumberingAfterBreak="0">
    <w:nsid w:val="78367189"/>
    <w:multiLevelType w:val="hybridMultilevel"/>
    <w:tmpl w:val="1B90A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1F"/>
    <w:rsid w:val="000134F2"/>
    <w:rsid w:val="00050778"/>
    <w:rsid w:val="000B48E4"/>
    <w:rsid w:val="000D106A"/>
    <w:rsid w:val="000F1B8D"/>
    <w:rsid w:val="001173CE"/>
    <w:rsid w:val="00126CA2"/>
    <w:rsid w:val="0013436C"/>
    <w:rsid w:val="001D2FE1"/>
    <w:rsid w:val="001E7F64"/>
    <w:rsid w:val="0021632F"/>
    <w:rsid w:val="0026330D"/>
    <w:rsid w:val="002744CE"/>
    <w:rsid w:val="002B489F"/>
    <w:rsid w:val="002E4C62"/>
    <w:rsid w:val="003078F1"/>
    <w:rsid w:val="003A669C"/>
    <w:rsid w:val="003A73BD"/>
    <w:rsid w:val="0047405E"/>
    <w:rsid w:val="004D3B72"/>
    <w:rsid w:val="005A6BFB"/>
    <w:rsid w:val="006371E8"/>
    <w:rsid w:val="006748E6"/>
    <w:rsid w:val="006D064C"/>
    <w:rsid w:val="006D3118"/>
    <w:rsid w:val="006D7D63"/>
    <w:rsid w:val="006E40B1"/>
    <w:rsid w:val="00732C87"/>
    <w:rsid w:val="00773FE2"/>
    <w:rsid w:val="00781D91"/>
    <w:rsid w:val="007863B2"/>
    <w:rsid w:val="007B3C1F"/>
    <w:rsid w:val="00857858"/>
    <w:rsid w:val="00890B9B"/>
    <w:rsid w:val="008A080B"/>
    <w:rsid w:val="00920061"/>
    <w:rsid w:val="009B6D5A"/>
    <w:rsid w:val="00A659E1"/>
    <w:rsid w:val="00A92E8F"/>
    <w:rsid w:val="00AB3EE5"/>
    <w:rsid w:val="00B42582"/>
    <w:rsid w:val="00B633B8"/>
    <w:rsid w:val="00B90328"/>
    <w:rsid w:val="00B97B66"/>
    <w:rsid w:val="00BC1740"/>
    <w:rsid w:val="00BF4D9F"/>
    <w:rsid w:val="00C173EF"/>
    <w:rsid w:val="00C40340"/>
    <w:rsid w:val="00D00EC2"/>
    <w:rsid w:val="00D26E24"/>
    <w:rsid w:val="00D47D06"/>
    <w:rsid w:val="00D824DC"/>
    <w:rsid w:val="00E13FD1"/>
    <w:rsid w:val="00E2039E"/>
    <w:rsid w:val="00F05324"/>
    <w:rsid w:val="00F2495C"/>
    <w:rsid w:val="00F32460"/>
    <w:rsid w:val="00F369D9"/>
    <w:rsid w:val="00F91743"/>
    <w:rsid w:val="00F975B0"/>
    <w:rsid w:val="00FC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A1DA5-3BA7-4ACA-A7F7-8992215D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8E4"/>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05E"/>
    <w:pPr>
      <w:ind w:left="720"/>
      <w:contextualSpacing/>
    </w:pPr>
  </w:style>
  <w:style w:type="character" w:styleId="Hyperlink">
    <w:name w:val="Hyperlink"/>
    <w:basedOn w:val="DefaultParagraphFont"/>
    <w:uiPriority w:val="99"/>
    <w:unhideWhenUsed/>
    <w:rsid w:val="00C17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9R1243" TargetMode="External"/><Relationship Id="rId13" Type="http://schemas.openxmlformats.org/officeDocument/2006/relationships/hyperlink" Target="https://eur-lex.europa.eu/legal-content/EN/TXT/?uri=CELEX%3A02014L0031-20140329&amp;qid=1724064300418" TargetMode="External"/><Relationship Id="rId18" Type="http://schemas.openxmlformats.org/officeDocument/2006/relationships/hyperlink" Target="lex:HGHG20150616408" TargetMode="External"/><Relationship Id="rId3" Type="http://schemas.openxmlformats.org/officeDocument/2006/relationships/settings" Target="settings.xml"/><Relationship Id="rId21" Type="http://schemas.openxmlformats.org/officeDocument/2006/relationships/hyperlink" Target="https://particip.gov.md/ro/document/stages/*/12757" TargetMode="External"/><Relationship Id="rId7" Type="http://schemas.openxmlformats.org/officeDocument/2006/relationships/hyperlink" Target="https://eur-lex.europa.eu/legal-content/EN/TXT/?uri=CELEX%3A31975L0107&amp;qid=1720426714985" TargetMode="External"/><Relationship Id="rId12" Type="http://schemas.openxmlformats.org/officeDocument/2006/relationships/hyperlink" Target="https://eur-lex.europa.eu/legal-content/EN/TXT/?uri=CELEX%3A02014L0032-20150127&amp;qid=1724834751156" TargetMode="External"/><Relationship Id="rId17" Type="http://schemas.openxmlformats.org/officeDocument/2006/relationships/hyperlink" Target="https://eur-lex.europa.eu/legal-content/EN/TXT/?uri=CELEX%3A32007L0045&amp;qid=1707747068195" TargetMode="External"/><Relationship Id="rId2" Type="http://schemas.openxmlformats.org/officeDocument/2006/relationships/styles" Target="styles.xml"/><Relationship Id="rId16" Type="http://schemas.openxmlformats.org/officeDocument/2006/relationships/hyperlink" Target="https://eur-lex.europa.eu/legal-content/RO/ALL/?uri=CELEX:01976L0211-20190726" TargetMode="External"/><Relationship Id="rId20" Type="http://schemas.openxmlformats.org/officeDocument/2006/relationships/hyperlink" Target="https://eur-lex.europa.eu/legal-content/EN/TXT/?uri=CELEX%3A02014L0032-20150127&amp;qid=1724834751156" TargetMode="External"/><Relationship Id="rId1" Type="http://schemas.openxmlformats.org/officeDocument/2006/relationships/numbering" Target="numbering.xml"/><Relationship Id="rId6" Type="http://schemas.openxmlformats.org/officeDocument/2006/relationships/hyperlink" Target="https://eur-lex.europa.eu/legal-content/EN/TXT/?uri=CELEX%3A02014L0031-20140329&amp;qid=1724064300418" TargetMode="External"/><Relationship Id="rId11" Type="http://schemas.openxmlformats.org/officeDocument/2006/relationships/hyperlink" Target="https://eur-lex.europa.eu/legal-content/EN/TXT/?uri=CELEX%3A01980L0181-20200613&amp;qid=1720156431089" TargetMode="External"/><Relationship Id="rId5" Type="http://schemas.openxmlformats.org/officeDocument/2006/relationships/hyperlink" Target="lex:HGHG20150616408" TargetMode="External"/><Relationship Id="rId15" Type="http://schemas.openxmlformats.org/officeDocument/2006/relationships/hyperlink" Target="https://eur-lex.europa.eu/legal-content/RO/AUTO/?uri=celex:32019R1243" TargetMode="External"/><Relationship Id="rId23" Type="http://schemas.openxmlformats.org/officeDocument/2006/relationships/theme" Target="theme/theme1.xml"/><Relationship Id="rId10" Type="http://schemas.openxmlformats.org/officeDocument/2006/relationships/hyperlink" Target="https://eur-lex.europa.eu/legal-content/EN/TXT/?uri=CELEX%3A32007L0045&amp;qid=1707747068195" TargetMode="External"/><Relationship Id="rId19" Type="http://schemas.openxmlformats.org/officeDocument/2006/relationships/hyperlink" Target="https://eur-lex.europa.eu/legal-content/EN/TXT/?uri=CELEX%3A01980L0181-20200613&amp;qid=1720156431089" TargetMode="External"/><Relationship Id="rId4" Type="http://schemas.openxmlformats.org/officeDocument/2006/relationships/webSettings" Target="webSettings.xml"/><Relationship Id="rId9" Type="http://schemas.openxmlformats.org/officeDocument/2006/relationships/hyperlink" Target="https://eur-lex.europa.eu/legal-content/RO/ALL/?uri=CELEX:01976L0211-20190726" TargetMode="External"/><Relationship Id="rId14" Type="http://schemas.openxmlformats.org/officeDocument/2006/relationships/hyperlink" Target="https://eur-lex.europa.eu/legal-content/EN/TXT/?uri=CELEX%3A31975L0107&amp;qid=17204267149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5</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Bejan</dc:creator>
  <cp:keywords/>
  <dc:description/>
  <cp:lastModifiedBy>Viorica Bejan</cp:lastModifiedBy>
  <cp:revision>37</cp:revision>
  <dcterms:created xsi:type="dcterms:W3CDTF">2024-08-26T10:08:00Z</dcterms:created>
  <dcterms:modified xsi:type="dcterms:W3CDTF">2024-10-30T13:38:00Z</dcterms:modified>
</cp:coreProperties>
</file>