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E53B4" w14:textId="4DB0DC8C" w:rsidR="00B92A21" w:rsidRPr="00DA5230" w:rsidRDefault="00B92A21" w:rsidP="00E46833">
      <w:pPr>
        <w:tabs>
          <w:tab w:val="left" w:pos="884"/>
          <w:tab w:val="left" w:pos="1196"/>
        </w:tabs>
        <w:spacing w:after="0" w:line="240" w:lineRule="auto"/>
        <w:ind w:firstLine="702"/>
        <w:jc w:val="right"/>
        <w:rPr>
          <w:rFonts w:ascii="Times New Roman" w:hAnsi="Times New Roman"/>
          <w:sz w:val="24"/>
          <w:szCs w:val="24"/>
          <w:lang w:val="ro-RO"/>
        </w:rPr>
      </w:pPr>
      <w:r w:rsidRPr="00DA5230">
        <w:rPr>
          <w:rFonts w:ascii="Times New Roman" w:hAnsi="Times New Roman"/>
          <w:sz w:val="24"/>
          <w:szCs w:val="24"/>
          <w:lang w:val="ro-RO"/>
        </w:rPr>
        <w:t>Anexa nr. 2</w:t>
      </w:r>
    </w:p>
    <w:p w14:paraId="15CDDFDC" w14:textId="77777777" w:rsidR="00B92A21" w:rsidRPr="00DA5230" w:rsidRDefault="00B92A21" w:rsidP="005B496E">
      <w:pPr>
        <w:tabs>
          <w:tab w:val="left" w:pos="884"/>
          <w:tab w:val="left" w:pos="1196"/>
        </w:tabs>
        <w:spacing w:after="0"/>
        <w:jc w:val="center"/>
        <w:rPr>
          <w:rFonts w:ascii="Times New Roman" w:hAnsi="Times New Roman"/>
          <w:b/>
          <w:sz w:val="24"/>
          <w:szCs w:val="24"/>
          <w:lang w:val="ro-RO"/>
        </w:rPr>
      </w:pPr>
      <w:r w:rsidRPr="00DA5230">
        <w:rPr>
          <w:rFonts w:ascii="Times New Roman" w:hAnsi="Times New Roman"/>
          <w:b/>
          <w:sz w:val="24"/>
          <w:szCs w:val="24"/>
          <w:lang w:val="ro-RO"/>
        </w:rPr>
        <w:t xml:space="preserve">SINTEZA </w:t>
      </w:r>
    </w:p>
    <w:p w14:paraId="1611A8A2" w14:textId="5DA9B571" w:rsidR="00B92A21" w:rsidRPr="00DA5230" w:rsidRDefault="00720FB1" w:rsidP="00BF0C7C">
      <w:pPr>
        <w:tabs>
          <w:tab w:val="left" w:pos="884"/>
          <w:tab w:val="left" w:pos="1196"/>
        </w:tabs>
        <w:spacing w:after="0"/>
        <w:jc w:val="center"/>
        <w:rPr>
          <w:rFonts w:ascii="Times New Roman" w:hAnsi="Times New Roman"/>
          <w:b/>
          <w:sz w:val="24"/>
          <w:szCs w:val="24"/>
          <w:lang w:val="ro-RO"/>
        </w:rPr>
      </w:pPr>
      <w:r w:rsidRPr="00DA5230">
        <w:rPr>
          <w:rFonts w:ascii="Times New Roman" w:hAnsi="Times New Roman"/>
          <w:b/>
          <w:sz w:val="24"/>
          <w:szCs w:val="24"/>
          <w:lang w:val="ro-RO"/>
        </w:rPr>
        <w:t>obiecțiilor</w:t>
      </w:r>
      <w:r w:rsidR="005B496E" w:rsidRPr="00DA5230">
        <w:rPr>
          <w:rFonts w:ascii="Times New Roman" w:hAnsi="Times New Roman"/>
          <w:b/>
          <w:sz w:val="24"/>
          <w:szCs w:val="24"/>
          <w:lang w:val="ro-RO"/>
        </w:rPr>
        <w:t xml:space="preserve"> </w:t>
      </w:r>
      <w:r w:rsidRPr="00DA5230">
        <w:rPr>
          <w:rFonts w:ascii="Times New Roman" w:hAnsi="Times New Roman"/>
          <w:b/>
          <w:sz w:val="24"/>
          <w:szCs w:val="24"/>
          <w:lang w:val="ro-RO"/>
        </w:rPr>
        <w:t>și</w:t>
      </w:r>
      <w:r w:rsidR="005B496E" w:rsidRPr="00DA5230">
        <w:rPr>
          <w:rFonts w:ascii="Times New Roman" w:hAnsi="Times New Roman"/>
          <w:b/>
          <w:sz w:val="24"/>
          <w:szCs w:val="24"/>
          <w:lang w:val="ro-RO"/>
        </w:rPr>
        <w:t xml:space="preserve"> propunerilor/recomandărilor</w:t>
      </w:r>
    </w:p>
    <w:p w14:paraId="2863EF61" w14:textId="3D0C0506" w:rsidR="00B92A21" w:rsidRPr="002455E7" w:rsidRDefault="00E46833" w:rsidP="00BF0C7C">
      <w:pPr>
        <w:tabs>
          <w:tab w:val="left" w:pos="884"/>
          <w:tab w:val="left" w:pos="1196"/>
        </w:tabs>
        <w:spacing w:after="0" w:line="240" w:lineRule="auto"/>
        <w:ind w:firstLine="702"/>
        <w:jc w:val="center"/>
        <w:rPr>
          <w:rFonts w:ascii="Times New Roman" w:hAnsi="Times New Roman"/>
          <w:b/>
          <w:bCs/>
          <w:sz w:val="24"/>
          <w:szCs w:val="24"/>
          <w:lang w:val="pt-BR"/>
        </w:rPr>
      </w:pPr>
      <w:r w:rsidRPr="00F94567">
        <w:rPr>
          <w:rFonts w:ascii="Times New Roman" w:hAnsi="Times New Roman"/>
          <w:b/>
          <w:bCs/>
          <w:sz w:val="24"/>
          <w:szCs w:val="24"/>
          <w:lang w:val="ro-RO"/>
        </w:rPr>
        <w:t>la</w:t>
      </w:r>
      <w:r w:rsidR="00BF0C7C" w:rsidRPr="00F94567">
        <w:rPr>
          <w:rFonts w:ascii="Times New Roman" w:hAnsi="Times New Roman"/>
          <w:b/>
          <w:bCs/>
          <w:sz w:val="24"/>
          <w:szCs w:val="24"/>
          <w:lang w:val="ro-RO"/>
        </w:rPr>
        <w:t xml:space="preserve"> proiectul </w:t>
      </w:r>
      <w:r w:rsidR="00F94567" w:rsidRPr="002455E7">
        <w:rPr>
          <w:rFonts w:ascii="Times New Roman" w:hAnsi="Times New Roman"/>
          <w:b/>
          <w:sz w:val="24"/>
          <w:szCs w:val="24"/>
          <w:lang w:val="pt-BR"/>
        </w:rPr>
        <w:t>de hotărâre cu privire la modificarea Hotărârii Guvernului nr. 1003/2014 pentru aprobarea regulamentelor privind cerințele de etichetare energetică a unor produse cu impact energetic</w:t>
      </w:r>
      <w:r w:rsidR="00F94567" w:rsidRPr="002455E7">
        <w:rPr>
          <w:rFonts w:ascii="Times New Roman" w:hAnsi="Times New Roman"/>
          <w:sz w:val="28"/>
          <w:szCs w:val="28"/>
          <w:lang w:val="pt-BR"/>
        </w:rPr>
        <w:t xml:space="preserve"> </w:t>
      </w:r>
      <w:r w:rsidR="00F94567" w:rsidRPr="002455E7">
        <w:rPr>
          <w:rFonts w:ascii="Times New Roman" w:hAnsi="Times New Roman"/>
          <w:b/>
          <w:sz w:val="28"/>
          <w:szCs w:val="28"/>
          <w:lang w:val="pt-BR"/>
        </w:rPr>
        <w:t>(număr unic 814/MEn/2024)</w:t>
      </w:r>
    </w:p>
    <w:p w14:paraId="3BB94EA4" w14:textId="77777777" w:rsidR="00BF0C7C" w:rsidRPr="00DA5230" w:rsidRDefault="00BF0C7C" w:rsidP="00BF0C7C">
      <w:pPr>
        <w:tabs>
          <w:tab w:val="left" w:pos="884"/>
          <w:tab w:val="left" w:pos="1196"/>
        </w:tabs>
        <w:spacing w:after="0" w:line="240" w:lineRule="auto"/>
        <w:ind w:firstLine="702"/>
        <w:jc w:val="center"/>
        <w:rPr>
          <w:rFonts w:ascii="Times New Roman" w:hAnsi="Times New Roman"/>
          <w:b/>
          <w:sz w:val="28"/>
          <w:szCs w:val="28"/>
          <w:lang w:val="ro-RO"/>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5"/>
        <w:gridCol w:w="6602"/>
        <w:gridCol w:w="4581"/>
      </w:tblGrid>
      <w:tr w:rsidR="0069342A" w:rsidRPr="00DA5230" w14:paraId="61D46423" w14:textId="77777777" w:rsidTr="00DC7290">
        <w:tc>
          <w:tcPr>
            <w:tcW w:w="3145" w:type="dxa"/>
            <w:shd w:val="clear" w:color="auto" w:fill="FFFFFF"/>
          </w:tcPr>
          <w:p w14:paraId="1CE333FB" w14:textId="77777777" w:rsidR="00B92A21" w:rsidRPr="00DA5230" w:rsidRDefault="00B92A21" w:rsidP="00FC0891">
            <w:pPr>
              <w:tabs>
                <w:tab w:val="left" w:pos="884"/>
                <w:tab w:val="left" w:pos="1196"/>
              </w:tabs>
              <w:spacing w:after="0" w:line="240" w:lineRule="auto"/>
              <w:jc w:val="center"/>
              <w:rPr>
                <w:rFonts w:ascii="Times New Roman" w:hAnsi="Times New Roman"/>
                <w:b/>
                <w:sz w:val="24"/>
                <w:szCs w:val="24"/>
                <w:lang w:val="ro-RO"/>
              </w:rPr>
            </w:pPr>
            <w:r w:rsidRPr="00DA5230">
              <w:rPr>
                <w:rFonts w:ascii="Times New Roman" w:hAnsi="Times New Roman"/>
                <w:b/>
                <w:sz w:val="24"/>
                <w:szCs w:val="24"/>
                <w:lang w:val="ro-RO"/>
              </w:rPr>
              <w:t xml:space="preserve">Participantul la avizare (expertizare)/consultare publică </w:t>
            </w:r>
          </w:p>
        </w:tc>
        <w:tc>
          <w:tcPr>
            <w:tcW w:w="6602" w:type="dxa"/>
            <w:shd w:val="clear" w:color="auto" w:fill="FFFFFF"/>
          </w:tcPr>
          <w:p w14:paraId="534DF28F" w14:textId="77777777" w:rsidR="00B92A21" w:rsidRPr="00DA5230" w:rsidRDefault="00B92A21" w:rsidP="00FC0891">
            <w:pPr>
              <w:tabs>
                <w:tab w:val="left" w:pos="884"/>
                <w:tab w:val="left" w:pos="1196"/>
              </w:tabs>
              <w:spacing w:after="0" w:line="240" w:lineRule="auto"/>
              <w:jc w:val="center"/>
              <w:rPr>
                <w:rFonts w:ascii="Times New Roman" w:hAnsi="Times New Roman"/>
                <w:b/>
                <w:sz w:val="24"/>
                <w:szCs w:val="24"/>
                <w:lang w:val="ro-RO"/>
              </w:rPr>
            </w:pPr>
            <w:proofErr w:type="spellStart"/>
            <w:r w:rsidRPr="00DA5230">
              <w:rPr>
                <w:rFonts w:ascii="Times New Roman" w:hAnsi="Times New Roman"/>
                <w:b/>
                <w:sz w:val="24"/>
                <w:szCs w:val="24"/>
                <w:lang w:val="ro-RO"/>
              </w:rPr>
              <w:t>Conţinutul</w:t>
            </w:r>
            <w:proofErr w:type="spellEnd"/>
            <w:r w:rsidRPr="00DA5230">
              <w:rPr>
                <w:rFonts w:ascii="Times New Roman" w:hAnsi="Times New Roman"/>
                <w:b/>
                <w:sz w:val="24"/>
                <w:szCs w:val="24"/>
                <w:lang w:val="ro-RO"/>
              </w:rPr>
              <w:t xml:space="preserve"> </w:t>
            </w:r>
            <w:proofErr w:type="spellStart"/>
            <w:r w:rsidRPr="00DA5230">
              <w:rPr>
                <w:rFonts w:ascii="Times New Roman" w:hAnsi="Times New Roman"/>
                <w:b/>
                <w:sz w:val="24"/>
                <w:szCs w:val="24"/>
                <w:lang w:val="ro-RO"/>
              </w:rPr>
              <w:t>obiecţiei</w:t>
            </w:r>
            <w:proofErr w:type="spellEnd"/>
            <w:r w:rsidRPr="00DA5230">
              <w:rPr>
                <w:rFonts w:ascii="Times New Roman" w:hAnsi="Times New Roman"/>
                <w:b/>
                <w:sz w:val="24"/>
                <w:szCs w:val="24"/>
                <w:lang w:val="ro-RO"/>
              </w:rPr>
              <w:t>/</w:t>
            </w:r>
          </w:p>
          <w:p w14:paraId="705F31A3" w14:textId="77777777" w:rsidR="00B92A21" w:rsidRPr="00DA5230" w:rsidRDefault="005B496E" w:rsidP="005B496E">
            <w:pPr>
              <w:tabs>
                <w:tab w:val="left" w:pos="884"/>
                <w:tab w:val="left" w:pos="1196"/>
              </w:tabs>
              <w:spacing w:after="0" w:line="240" w:lineRule="auto"/>
              <w:jc w:val="center"/>
              <w:rPr>
                <w:rFonts w:ascii="Times New Roman" w:hAnsi="Times New Roman"/>
                <w:b/>
                <w:sz w:val="24"/>
                <w:szCs w:val="24"/>
                <w:lang w:val="ro-RO"/>
              </w:rPr>
            </w:pPr>
            <w:r w:rsidRPr="00DA5230">
              <w:rPr>
                <w:rFonts w:ascii="Times New Roman" w:hAnsi="Times New Roman"/>
                <w:b/>
                <w:sz w:val="24"/>
                <w:szCs w:val="24"/>
                <w:lang w:val="ro-RO"/>
              </w:rPr>
              <w:t>propunerii/recomandării</w:t>
            </w:r>
          </w:p>
        </w:tc>
        <w:tc>
          <w:tcPr>
            <w:tcW w:w="4581" w:type="dxa"/>
            <w:shd w:val="clear" w:color="auto" w:fill="FFFFFF"/>
          </w:tcPr>
          <w:p w14:paraId="0F002451" w14:textId="77777777" w:rsidR="00B92A21" w:rsidRPr="00DA5230" w:rsidRDefault="00B92A21" w:rsidP="00FC0891">
            <w:pPr>
              <w:tabs>
                <w:tab w:val="left" w:pos="884"/>
                <w:tab w:val="left" w:pos="1196"/>
              </w:tabs>
              <w:spacing w:after="0" w:line="240" w:lineRule="auto"/>
              <w:jc w:val="center"/>
              <w:rPr>
                <w:rFonts w:ascii="Times New Roman" w:hAnsi="Times New Roman"/>
                <w:b/>
                <w:sz w:val="24"/>
                <w:szCs w:val="24"/>
                <w:lang w:val="ro-RO"/>
              </w:rPr>
            </w:pPr>
            <w:r w:rsidRPr="00DA5230">
              <w:rPr>
                <w:rFonts w:ascii="Times New Roman" w:hAnsi="Times New Roman"/>
                <w:b/>
                <w:sz w:val="24"/>
                <w:szCs w:val="24"/>
                <w:lang w:val="ro-RO"/>
              </w:rPr>
              <w:t xml:space="preserve">Argumentarea </w:t>
            </w:r>
          </w:p>
          <w:p w14:paraId="137DF2B2" w14:textId="77777777" w:rsidR="00B92A21" w:rsidRPr="00DA5230" w:rsidRDefault="00B92A21" w:rsidP="00FC0891">
            <w:pPr>
              <w:tabs>
                <w:tab w:val="left" w:pos="884"/>
                <w:tab w:val="left" w:pos="1196"/>
              </w:tabs>
              <w:spacing w:after="0" w:line="240" w:lineRule="auto"/>
              <w:jc w:val="center"/>
              <w:rPr>
                <w:rFonts w:ascii="Times New Roman" w:hAnsi="Times New Roman"/>
                <w:b/>
                <w:sz w:val="24"/>
                <w:szCs w:val="24"/>
                <w:lang w:val="ro-RO"/>
              </w:rPr>
            </w:pPr>
            <w:r w:rsidRPr="00DA5230">
              <w:rPr>
                <w:rFonts w:ascii="Times New Roman" w:hAnsi="Times New Roman"/>
                <w:b/>
                <w:sz w:val="24"/>
                <w:szCs w:val="24"/>
                <w:lang w:val="ro-RO"/>
              </w:rPr>
              <w:t>autorului proiectului</w:t>
            </w:r>
          </w:p>
        </w:tc>
      </w:tr>
      <w:tr w:rsidR="0069342A" w:rsidRPr="00DA5230" w14:paraId="5E8CDF33" w14:textId="77777777" w:rsidTr="005677E9">
        <w:tc>
          <w:tcPr>
            <w:tcW w:w="14328" w:type="dxa"/>
            <w:gridSpan w:val="3"/>
          </w:tcPr>
          <w:p w14:paraId="2C128BE0" w14:textId="77777777" w:rsidR="00B02933" w:rsidRPr="00DA5230" w:rsidRDefault="00B02933" w:rsidP="00B02933">
            <w:pPr>
              <w:pStyle w:val="Listparagraf"/>
              <w:tabs>
                <w:tab w:val="left" w:pos="884"/>
                <w:tab w:val="left" w:pos="1196"/>
              </w:tabs>
              <w:spacing w:after="0" w:line="240" w:lineRule="auto"/>
              <w:ind w:left="1422"/>
              <w:jc w:val="center"/>
              <w:rPr>
                <w:sz w:val="24"/>
                <w:szCs w:val="24"/>
                <w:lang w:val="ro-RO"/>
              </w:rPr>
            </w:pPr>
            <w:r w:rsidRPr="00DA5230">
              <w:rPr>
                <w:sz w:val="24"/>
                <w:szCs w:val="24"/>
                <w:lang w:val="ro-RO"/>
              </w:rPr>
              <w:t xml:space="preserve">I. </w:t>
            </w:r>
            <w:proofErr w:type="spellStart"/>
            <w:r w:rsidRPr="00DA5230">
              <w:rPr>
                <w:sz w:val="24"/>
                <w:szCs w:val="24"/>
                <w:lang w:val="ro-RO"/>
              </w:rPr>
              <w:t>Obiecţiile</w:t>
            </w:r>
            <w:proofErr w:type="spellEnd"/>
            <w:r w:rsidRPr="00DA5230">
              <w:rPr>
                <w:sz w:val="24"/>
                <w:szCs w:val="24"/>
                <w:lang w:val="ro-RO"/>
              </w:rPr>
              <w:t>, propunerile/recomandările</w:t>
            </w:r>
          </w:p>
        </w:tc>
      </w:tr>
      <w:tr w:rsidR="0069342A" w:rsidRPr="001319A5" w14:paraId="69FDDD82" w14:textId="77777777" w:rsidTr="00022AFB">
        <w:trPr>
          <w:trHeight w:val="841"/>
        </w:trPr>
        <w:tc>
          <w:tcPr>
            <w:tcW w:w="3145" w:type="dxa"/>
          </w:tcPr>
          <w:p w14:paraId="43E1C8F9" w14:textId="77777777" w:rsidR="00A931CD" w:rsidRPr="002455E7" w:rsidRDefault="00A931CD" w:rsidP="00A931CD">
            <w:pPr>
              <w:tabs>
                <w:tab w:val="left" w:pos="884"/>
                <w:tab w:val="left" w:pos="1196"/>
              </w:tabs>
              <w:spacing w:after="0" w:line="240" w:lineRule="auto"/>
              <w:rPr>
                <w:rFonts w:ascii="Times New Roman" w:hAnsi="Times New Roman"/>
                <w:b/>
                <w:sz w:val="24"/>
                <w:szCs w:val="24"/>
                <w:lang w:val="pt-BR"/>
              </w:rPr>
            </w:pPr>
            <w:r w:rsidRPr="002455E7">
              <w:rPr>
                <w:rFonts w:ascii="Times New Roman" w:hAnsi="Times New Roman"/>
                <w:b/>
                <w:sz w:val="24"/>
                <w:szCs w:val="24"/>
                <w:lang w:val="pt-BR"/>
              </w:rPr>
              <w:t>Grupul de lucru al Comisiei de Stat pentru Reglementarea Activității de  Întreprinzător</w:t>
            </w:r>
          </w:p>
          <w:p w14:paraId="5D5B84A9" w14:textId="01CCF5E7" w:rsidR="00065B7F" w:rsidRPr="00A931CD" w:rsidRDefault="003B6399" w:rsidP="00A931CD">
            <w:pPr>
              <w:tabs>
                <w:tab w:val="left" w:pos="884"/>
                <w:tab w:val="left" w:pos="1196"/>
              </w:tabs>
              <w:spacing w:after="0" w:line="240" w:lineRule="auto"/>
              <w:rPr>
                <w:rFonts w:ascii="Times New Roman" w:hAnsi="Times New Roman"/>
                <w:lang w:val="ro-RO"/>
              </w:rPr>
            </w:pPr>
            <w:r w:rsidRPr="00A931CD">
              <w:rPr>
                <w:rFonts w:ascii="Times New Roman" w:hAnsi="Times New Roman"/>
                <w:lang w:val="ro-RO"/>
              </w:rPr>
              <w:t xml:space="preserve">nr. </w:t>
            </w:r>
            <w:r w:rsidR="00A931CD" w:rsidRPr="00A931CD">
              <w:rPr>
                <w:rFonts w:ascii="Times New Roman" w:hAnsi="Times New Roman"/>
                <w:lang w:val="ro-RO"/>
              </w:rPr>
              <w:t>38-78-11047</w:t>
            </w:r>
            <w:r w:rsidRPr="00A931CD">
              <w:rPr>
                <w:rFonts w:ascii="Times New Roman" w:hAnsi="Times New Roman"/>
                <w:lang w:val="ro-RO"/>
              </w:rPr>
              <w:t xml:space="preserve"> din </w:t>
            </w:r>
            <w:r w:rsidR="00BF0C7C" w:rsidRPr="00A931CD">
              <w:rPr>
                <w:rFonts w:ascii="Times New Roman" w:hAnsi="Times New Roman"/>
                <w:lang w:val="ro-RO"/>
              </w:rPr>
              <w:t>03.</w:t>
            </w:r>
            <w:r w:rsidR="00A931CD" w:rsidRPr="00A931CD">
              <w:rPr>
                <w:rFonts w:ascii="Times New Roman" w:hAnsi="Times New Roman"/>
                <w:lang w:val="ro-RO"/>
              </w:rPr>
              <w:t>10.</w:t>
            </w:r>
            <w:r w:rsidR="00BF0C7C" w:rsidRPr="00A931CD">
              <w:rPr>
                <w:rFonts w:ascii="Times New Roman" w:hAnsi="Times New Roman"/>
                <w:lang w:val="ro-RO"/>
              </w:rPr>
              <w:t>2024</w:t>
            </w:r>
          </w:p>
        </w:tc>
        <w:tc>
          <w:tcPr>
            <w:tcW w:w="6602" w:type="dxa"/>
          </w:tcPr>
          <w:p w14:paraId="6A5B63FC" w14:textId="77777777" w:rsidR="00A931CD" w:rsidRPr="00A931CD" w:rsidRDefault="00BF0C7C" w:rsidP="00A931CD">
            <w:pPr>
              <w:spacing w:line="240" w:lineRule="auto"/>
              <w:jc w:val="both"/>
              <w:rPr>
                <w:rFonts w:ascii="Times New Roman" w:hAnsi="Times New Roman"/>
                <w:b/>
                <w:i/>
                <w:lang w:val="en-GB"/>
              </w:rPr>
            </w:pPr>
            <w:r w:rsidRPr="00DA5230">
              <w:rPr>
                <w:rFonts w:ascii="Times New Roman" w:hAnsi="Times New Roman"/>
                <w:lang w:val="ro-RO"/>
              </w:rPr>
              <w:t xml:space="preserve">  </w:t>
            </w:r>
            <w:r w:rsidR="00A931CD" w:rsidRPr="00A931CD">
              <w:rPr>
                <w:rFonts w:ascii="Times New Roman" w:hAnsi="Times New Roman"/>
                <w:i/>
                <w:lang w:val="en-GB"/>
              </w:rPr>
              <w:t xml:space="preserve">Ref.: </w:t>
            </w:r>
            <w:proofErr w:type="spellStart"/>
            <w:r w:rsidR="00A931CD" w:rsidRPr="00A931CD">
              <w:rPr>
                <w:rFonts w:ascii="Times New Roman" w:hAnsi="Times New Roman"/>
                <w:i/>
                <w:lang w:val="en-GB"/>
              </w:rPr>
              <w:t>scrisoarea</w:t>
            </w:r>
            <w:proofErr w:type="spellEnd"/>
            <w:r w:rsidR="00A931CD" w:rsidRPr="00A931CD">
              <w:rPr>
                <w:rFonts w:ascii="Times New Roman" w:hAnsi="Times New Roman"/>
                <w:i/>
                <w:lang w:val="en-GB"/>
              </w:rPr>
              <w:t xml:space="preserve"> nr. 18-69-10408 din 17 </w:t>
            </w:r>
            <w:proofErr w:type="spellStart"/>
            <w:r w:rsidR="00A931CD" w:rsidRPr="00A931CD">
              <w:rPr>
                <w:rFonts w:ascii="Times New Roman" w:hAnsi="Times New Roman"/>
                <w:i/>
                <w:lang w:val="en-GB"/>
              </w:rPr>
              <w:t>septembrie</w:t>
            </w:r>
            <w:proofErr w:type="spellEnd"/>
            <w:r w:rsidR="00A931CD" w:rsidRPr="00A931CD">
              <w:rPr>
                <w:rFonts w:ascii="Times New Roman" w:hAnsi="Times New Roman"/>
                <w:i/>
                <w:lang w:val="en-GB"/>
              </w:rPr>
              <w:t xml:space="preserve"> 2024/</w:t>
            </w:r>
            <w:proofErr w:type="spellStart"/>
            <w:r w:rsidR="00A931CD" w:rsidRPr="00A931CD">
              <w:rPr>
                <w:rFonts w:ascii="Times New Roman" w:hAnsi="Times New Roman"/>
                <w:b/>
                <w:i/>
                <w:lang w:val="en-GB"/>
              </w:rPr>
              <w:t>număr</w:t>
            </w:r>
            <w:proofErr w:type="spellEnd"/>
            <w:r w:rsidR="00A931CD" w:rsidRPr="00A931CD">
              <w:rPr>
                <w:rFonts w:ascii="Times New Roman" w:hAnsi="Times New Roman"/>
                <w:b/>
                <w:i/>
                <w:lang w:val="en-GB"/>
              </w:rPr>
              <w:t xml:space="preserve"> </w:t>
            </w:r>
            <w:proofErr w:type="spellStart"/>
            <w:r w:rsidR="00A931CD" w:rsidRPr="00A931CD">
              <w:rPr>
                <w:rFonts w:ascii="Times New Roman" w:hAnsi="Times New Roman"/>
                <w:b/>
                <w:i/>
                <w:lang w:val="en-GB"/>
              </w:rPr>
              <w:t>unic</w:t>
            </w:r>
            <w:proofErr w:type="spellEnd"/>
            <w:r w:rsidR="00A931CD" w:rsidRPr="00A931CD">
              <w:rPr>
                <w:rFonts w:ascii="Times New Roman" w:hAnsi="Times New Roman"/>
                <w:b/>
                <w:i/>
                <w:lang w:val="en-GB"/>
              </w:rPr>
              <w:t xml:space="preserve"> 814/</w:t>
            </w:r>
            <w:proofErr w:type="spellStart"/>
            <w:r w:rsidR="00A931CD" w:rsidRPr="00A931CD">
              <w:rPr>
                <w:rFonts w:ascii="Times New Roman" w:hAnsi="Times New Roman"/>
                <w:b/>
                <w:i/>
                <w:lang w:val="en-GB"/>
              </w:rPr>
              <w:t>MEn</w:t>
            </w:r>
            <w:proofErr w:type="spellEnd"/>
            <w:r w:rsidR="00A931CD" w:rsidRPr="00A931CD">
              <w:rPr>
                <w:rFonts w:ascii="Times New Roman" w:hAnsi="Times New Roman"/>
                <w:b/>
                <w:i/>
                <w:lang w:val="en-GB"/>
              </w:rPr>
              <w:t xml:space="preserve">/2024 </w:t>
            </w:r>
          </w:p>
          <w:p w14:paraId="7A624D00" w14:textId="77777777" w:rsidR="00A931CD" w:rsidRDefault="00A931CD" w:rsidP="00A931CD">
            <w:pPr>
              <w:spacing w:line="240" w:lineRule="auto"/>
              <w:jc w:val="both"/>
              <w:rPr>
                <w:rFonts w:ascii="Times New Roman" w:hAnsi="Times New Roman"/>
                <w:lang w:val="ro-RO"/>
              </w:rPr>
            </w:pPr>
            <w:r>
              <w:rPr>
                <w:rFonts w:ascii="Times New Roman" w:hAnsi="Times New Roman"/>
                <w:lang w:val="en-GB"/>
              </w:rPr>
              <w:t xml:space="preserve">   </w:t>
            </w:r>
            <w:r w:rsidRPr="002455E7">
              <w:rPr>
                <w:rFonts w:ascii="Times New Roman" w:hAnsi="Times New Roman"/>
                <w:lang w:val="pt-BR"/>
              </w:rPr>
              <w:t xml:space="preserve">În temeiul prevederilor în temeiul art.3 alin.(2), art.271 , anexa nr.1 și art.32 alin.(22 ) din Legea nr.100/2017 cu privire la actele normative, în conformitate cu prevederile Legii nr.235/2006 cu privire la principiile de bază de reglementare a activității de întreprinzător, Hotărârii Guvernului nr.1429/2008 privind revizuirea şi optimizarea cadrului normativ de reglementare a activității de întreprinzător și Hotărârii Guvernului nr.574/2024 cu privire la aprobarea Metodologiei de analiză a impactului de reglementare, se remite </w:t>
            </w:r>
            <w:r w:rsidRPr="002455E7">
              <w:rPr>
                <w:rFonts w:ascii="Times New Roman" w:hAnsi="Times New Roman"/>
                <w:i/>
                <w:lang w:val="pt-BR"/>
              </w:rPr>
              <w:t xml:space="preserve">Avizul Grupului de lucru al Comisiei de stat pentru reglementarea activității de întreprinzător la </w:t>
            </w:r>
            <w:r w:rsidRPr="002455E7">
              <w:rPr>
                <w:rFonts w:ascii="Times New Roman" w:hAnsi="Times New Roman"/>
                <w:b/>
                <w:i/>
                <w:lang w:val="pt-BR"/>
              </w:rPr>
              <w:t xml:space="preserve">Nota de fundamentare </w:t>
            </w:r>
            <w:r w:rsidRPr="002455E7">
              <w:rPr>
                <w:rFonts w:ascii="Times New Roman" w:hAnsi="Times New Roman"/>
                <w:i/>
                <w:lang w:val="pt-BR"/>
              </w:rPr>
              <w:t xml:space="preserve">(analiza impactului de reglementare) și </w:t>
            </w:r>
            <w:r w:rsidRPr="002455E7">
              <w:rPr>
                <w:rFonts w:ascii="Times New Roman" w:hAnsi="Times New Roman"/>
                <w:b/>
                <w:i/>
                <w:lang w:val="pt-BR"/>
              </w:rPr>
              <w:t>proiectul Hotărârii Guvernului</w:t>
            </w:r>
            <w:r w:rsidRPr="002455E7">
              <w:rPr>
                <w:rFonts w:ascii="Times New Roman" w:hAnsi="Times New Roman"/>
                <w:lang w:val="pt-BR"/>
              </w:rPr>
              <w:t xml:space="preserve"> cu privire la modificarea Hotărârii Guvernului nr. 1003/2014 pentru aprobarea Regulamentelor privind cerințele de etichetare energetică a unor produse cu impact energetic. </w:t>
            </w:r>
            <w:r w:rsidR="00BF0C7C" w:rsidRPr="00A931CD">
              <w:rPr>
                <w:rFonts w:ascii="Times New Roman" w:hAnsi="Times New Roman"/>
                <w:lang w:val="ro-RO"/>
              </w:rPr>
              <w:t xml:space="preserve"> </w:t>
            </w:r>
          </w:p>
          <w:p w14:paraId="45985A69" w14:textId="50188792" w:rsidR="00A931CD" w:rsidRPr="002455E7" w:rsidRDefault="00A931CD" w:rsidP="00A931CD">
            <w:pPr>
              <w:spacing w:line="240" w:lineRule="auto"/>
              <w:jc w:val="center"/>
              <w:rPr>
                <w:rFonts w:ascii="Times New Roman" w:hAnsi="Times New Roman"/>
                <w:lang w:val="pt-BR"/>
              </w:rPr>
            </w:pPr>
            <w:r w:rsidRPr="002455E7">
              <w:rPr>
                <w:rFonts w:ascii="Times New Roman" w:hAnsi="Times New Roman"/>
                <w:b/>
                <w:lang w:val="pt-BR"/>
              </w:rPr>
              <w:t>AVIZ al Grupului de lucru al Comisiei de stat pentru reglementarea activității de întreprinzător</w:t>
            </w:r>
          </w:p>
          <w:p w14:paraId="26B84AD3" w14:textId="7AC61460" w:rsidR="00A931CD" w:rsidRPr="002455E7" w:rsidRDefault="00A931CD" w:rsidP="00A931CD">
            <w:pPr>
              <w:spacing w:line="240" w:lineRule="auto"/>
              <w:jc w:val="both"/>
              <w:rPr>
                <w:rFonts w:ascii="Times New Roman" w:hAnsi="Times New Roman"/>
                <w:lang w:val="pt-BR"/>
              </w:rPr>
            </w:pPr>
            <w:r w:rsidRPr="002455E7">
              <w:rPr>
                <w:rFonts w:ascii="Times New Roman" w:hAnsi="Times New Roman"/>
                <w:lang w:val="pt-BR"/>
              </w:rPr>
              <w:t xml:space="preserve">     Prezentul aviz este emis în temeiul art.32 alin.(22) din Legea nr.100/2017 cu privire la actele normative, în conformitate cu prevederile Legii nr.235/2006 cu privire la principiile de bază de reglementare a activității de întreprinzător, art.3 alin.(2), art.271 , anexa nr.1 din Legea </w:t>
            </w:r>
            <w:r w:rsidRPr="002455E7">
              <w:rPr>
                <w:rFonts w:ascii="Times New Roman" w:hAnsi="Times New Roman"/>
                <w:lang w:val="pt-BR"/>
              </w:rPr>
              <w:lastRenderedPageBreak/>
              <w:t xml:space="preserve">nr.100/2017 cu privire la actele normative, Hotărârii Guvernului nr.1429/2008 privind revizuirea şi optimizarea cadrului normativ de reglementare a activității de întreprinzător și Hotărârii Guvernului nr.574/2024 cu privire la aprobarea Metodologiei de analiză a impactului de reglementare. </w:t>
            </w:r>
          </w:p>
          <w:p w14:paraId="3A2FE1B6" w14:textId="77777777" w:rsidR="00A931CD" w:rsidRPr="002455E7" w:rsidRDefault="00A931CD" w:rsidP="00A931CD">
            <w:pPr>
              <w:spacing w:line="240" w:lineRule="auto"/>
              <w:jc w:val="both"/>
              <w:rPr>
                <w:rFonts w:ascii="Times New Roman" w:hAnsi="Times New Roman"/>
                <w:lang w:val="pt-BR"/>
              </w:rPr>
            </w:pPr>
            <w:r w:rsidRPr="002455E7">
              <w:rPr>
                <w:rFonts w:ascii="Times New Roman" w:hAnsi="Times New Roman"/>
                <w:b/>
                <w:i/>
                <w:lang w:val="pt-BR"/>
              </w:rPr>
              <w:t>Actul examinat:</w:t>
            </w:r>
            <w:r w:rsidRPr="002455E7">
              <w:rPr>
                <w:rFonts w:ascii="Times New Roman" w:hAnsi="Times New Roman"/>
                <w:lang w:val="pt-BR"/>
              </w:rPr>
              <w:t xml:space="preserve"> Proiectul Hotărârii Guvernului pentru modificarea Hotărârii Guvernului nr. 1003/2014 pentru aprobarea regulamentelor privind cerințele de etichetare energetică a unor produse cu impact energetic și Nota de fundamentare </w:t>
            </w:r>
            <w:r w:rsidRPr="002455E7">
              <w:rPr>
                <w:rFonts w:ascii="Times New Roman" w:hAnsi="Times New Roman"/>
                <w:i/>
                <w:lang w:val="pt-BR"/>
              </w:rPr>
              <w:t>(analiza impactului de reglementare)</w:t>
            </w:r>
            <w:r w:rsidRPr="002455E7">
              <w:rPr>
                <w:rFonts w:ascii="Times New Roman" w:hAnsi="Times New Roman"/>
                <w:lang w:val="pt-BR"/>
              </w:rPr>
              <w:t xml:space="preserve"> </w:t>
            </w:r>
            <w:r w:rsidRPr="002455E7">
              <w:rPr>
                <w:rFonts w:ascii="Times New Roman" w:hAnsi="Times New Roman"/>
                <w:b/>
                <w:i/>
                <w:lang w:val="pt-BR"/>
              </w:rPr>
              <w:t>Autoritatea responsabilă:</w:t>
            </w:r>
            <w:r w:rsidRPr="002455E7">
              <w:rPr>
                <w:rFonts w:ascii="Times New Roman" w:hAnsi="Times New Roman"/>
                <w:lang w:val="pt-BR"/>
              </w:rPr>
              <w:t xml:space="preserve"> Ministerul Energiei </w:t>
            </w:r>
          </w:p>
          <w:p w14:paraId="55587192" w14:textId="77777777" w:rsidR="00A931CD" w:rsidRPr="002455E7" w:rsidRDefault="00A931CD" w:rsidP="00A931CD">
            <w:pPr>
              <w:spacing w:line="240" w:lineRule="auto"/>
              <w:jc w:val="both"/>
              <w:rPr>
                <w:rFonts w:ascii="Times New Roman" w:hAnsi="Times New Roman"/>
                <w:lang w:val="pt-BR"/>
              </w:rPr>
            </w:pPr>
            <w:r w:rsidRPr="002455E7">
              <w:rPr>
                <w:rFonts w:ascii="Times New Roman" w:hAnsi="Times New Roman"/>
                <w:b/>
                <w:i/>
                <w:lang w:val="pt-BR"/>
              </w:rPr>
              <w:t>Examinat în ședința Grupului de lucru la data:</w:t>
            </w:r>
            <w:r w:rsidRPr="002455E7">
              <w:rPr>
                <w:rFonts w:ascii="Times New Roman" w:hAnsi="Times New Roman"/>
                <w:lang w:val="pt-BR"/>
              </w:rPr>
              <w:t xml:space="preserve"> 24.09.2024 </w:t>
            </w:r>
          </w:p>
          <w:p w14:paraId="6E09DE66" w14:textId="77777777" w:rsidR="00A931CD" w:rsidRPr="002455E7" w:rsidRDefault="00A931CD" w:rsidP="00A931CD">
            <w:pPr>
              <w:spacing w:line="240" w:lineRule="auto"/>
              <w:jc w:val="both"/>
              <w:rPr>
                <w:rFonts w:ascii="Times New Roman" w:hAnsi="Times New Roman"/>
                <w:lang w:val="pt-BR"/>
              </w:rPr>
            </w:pPr>
            <w:r w:rsidRPr="002455E7">
              <w:rPr>
                <w:rFonts w:ascii="Times New Roman" w:hAnsi="Times New Roman"/>
                <w:b/>
                <w:i/>
                <w:lang w:val="pt-BR"/>
              </w:rPr>
              <w:t>Decizia Grupului de lucru în privința proiectului de act normativ și notei de fundamentare:</w:t>
            </w:r>
            <w:r w:rsidRPr="002455E7">
              <w:rPr>
                <w:rFonts w:ascii="Times New Roman" w:hAnsi="Times New Roman"/>
                <w:lang w:val="pt-BR"/>
              </w:rPr>
              <w:t xml:space="preserve"> </w:t>
            </w:r>
            <w:r w:rsidRPr="002455E7">
              <w:rPr>
                <w:rFonts w:ascii="Times New Roman" w:hAnsi="Times New Roman"/>
                <w:u w:val="single"/>
                <w:lang w:val="pt-BR"/>
              </w:rPr>
              <w:t>Se susțin proiectul de act normativ și Nota de fundamentare cu obiecții și recomandări.</w:t>
            </w:r>
            <w:r w:rsidRPr="002455E7">
              <w:rPr>
                <w:rFonts w:ascii="Times New Roman" w:hAnsi="Times New Roman"/>
                <w:lang w:val="pt-BR"/>
              </w:rPr>
              <w:t xml:space="preserve"> </w:t>
            </w:r>
          </w:p>
          <w:p w14:paraId="548DACEC" w14:textId="7F181493" w:rsidR="00A931CD" w:rsidRPr="002455E7" w:rsidRDefault="00A931CD" w:rsidP="00A931CD">
            <w:pPr>
              <w:spacing w:line="240" w:lineRule="auto"/>
              <w:jc w:val="center"/>
              <w:rPr>
                <w:rFonts w:ascii="Times New Roman" w:hAnsi="Times New Roman"/>
                <w:b/>
                <w:lang w:val="pt-BR"/>
              </w:rPr>
            </w:pPr>
            <w:r w:rsidRPr="002455E7">
              <w:rPr>
                <w:rFonts w:ascii="Times New Roman" w:hAnsi="Times New Roman"/>
                <w:b/>
                <w:lang w:val="pt-BR"/>
              </w:rPr>
              <w:t>Evaluarea proiectului de act normative</w:t>
            </w:r>
          </w:p>
          <w:p w14:paraId="2831386F" w14:textId="77777777" w:rsidR="00A931CD" w:rsidRPr="002455E7" w:rsidRDefault="00A931CD" w:rsidP="00A931CD">
            <w:pPr>
              <w:spacing w:line="240" w:lineRule="auto"/>
              <w:rPr>
                <w:rFonts w:ascii="Times New Roman" w:hAnsi="Times New Roman"/>
                <w:lang w:val="pt-BR"/>
              </w:rPr>
            </w:pPr>
            <w:r w:rsidRPr="002455E7">
              <w:rPr>
                <w:rFonts w:ascii="Times New Roman" w:hAnsi="Times New Roman"/>
                <w:b/>
                <w:lang w:val="pt-BR"/>
              </w:rPr>
              <w:t xml:space="preserve"> </w:t>
            </w:r>
            <w:r w:rsidRPr="002455E7">
              <w:rPr>
                <w:rFonts w:ascii="Times New Roman" w:hAnsi="Times New Roman"/>
                <w:b/>
                <w:i/>
                <w:lang w:val="pt-BR"/>
              </w:rPr>
              <w:t>Concluzia:</w:t>
            </w:r>
            <w:r w:rsidRPr="002455E7">
              <w:rPr>
                <w:rFonts w:ascii="Times New Roman" w:hAnsi="Times New Roman"/>
                <w:lang w:val="pt-BR"/>
              </w:rPr>
              <w:t xml:space="preserve">Proiectul corespunde în mare parte cu principiile de reglementare a activității de întreprinzător. </w:t>
            </w:r>
          </w:p>
          <w:p w14:paraId="007654B9" w14:textId="77777777" w:rsidR="00A931CD" w:rsidRPr="002455E7" w:rsidRDefault="00A931CD" w:rsidP="001911A4">
            <w:pPr>
              <w:spacing w:after="0" w:line="240" w:lineRule="auto"/>
              <w:jc w:val="both"/>
              <w:rPr>
                <w:rFonts w:ascii="Times New Roman" w:hAnsi="Times New Roman"/>
                <w:lang w:val="pt-BR"/>
              </w:rPr>
            </w:pPr>
            <w:r w:rsidRPr="002455E7">
              <w:rPr>
                <w:rFonts w:ascii="Times New Roman" w:hAnsi="Times New Roman"/>
                <w:b/>
                <w:i/>
                <w:lang w:val="pt-BR"/>
              </w:rPr>
              <w:t>Comentarii, recomandări:</w:t>
            </w:r>
            <w:r w:rsidRPr="002455E7">
              <w:rPr>
                <w:rFonts w:ascii="Times New Roman" w:hAnsi="Times New Roman"/>
                <w:lang w:val="pt-BR"/>
              </w:rPr>
              <w:t xml:space="preserve"> În proiectele date de regulamente se fac referințe la standarde moldovenești și se stabilesc norme cu următorul conținut: ”măsurările și calculele se efectuează utilizându-se standarde moldovenești care adoptă standardele europene armonizate, ale căror referințe au fost publicate în Jurnalul Oficial al Uniunii Europene și/sau pe pagina web a Secretariatului Comunității Energetice…”; </w:t>
            </w:r>
          </w:p>
          <w:p w14:paraId="682FD3D0" w14:textId="77777777" w:rsidR="00A931CD" w:rsidRPr="002455E7" w:rsidRDefault="00A931CD" w:rsidP="001911A4">
            <w:pPr>
              <w:spacing w:after="0" w:line="240" w:lineRule="auto"/>
              <w:jc w:val="both"/>
              <w:rPr>
                <w:rFonts w:ascii="Times New Roman" w:hAnsi="Times New Roman"/>
                <w:lang w:val="pt-BR"/>
              </w:rPr>
            </w:pPr>
            <w:r w:rsidRPr="002455E7">
              <w:rPr>
                <w:rFonts w:ascii="Times New Roman" w:hAnsi="Times New Roman"/>
                <w:lang w:val="pt-BR"/>
              </w:rPr>
              <w:t xml:space="preserve"> În acest context trebuie de ținut cont că, conform Legii cu privire la standardizarea națională nr.20/2016 ca acestea să fie obligatorii (să poată a fi impuse agenților economici), trebuie să se facă trimitere directă la standard concret (adică să se indice concret ex: SM 1111). Astfel conform art.14 din lege menționată supra - aplicarea unui standard moldovenesc poate deveni obligatorie, în totalitate sau în parte, pe întreg teritoriul ţării sau pe plan local, numai printr-un act normativ în care se face referință </w:t>
            </w:r>
            <w:r w:rsidRPr="002455E7">
              <w:rPr>
                <w:rFonts w:ascii="Times New Roman" w:hAnsi="Times New Roman"/>
                <w:lang w:val="pt-BR"/>
              </w:rPr>
              <w:lastRenderedPageBreak/>
              <w:t xml:space="preserve">directă la acest standard, în cazul în care considerentele de ordin public, de protecţie a vieţii, a sănătăţii şi a securităţii oamenilor, a mediului şi a intereselor consumatorilor fac necesară o astfel de măsură. </w:t>
            </w:r>
          </w:p>
          <w:p w14:paraId="247068E3" w14:textId="77777777" w:rsidR="004C044B" w:rsidRPr="002455E7" w:rsidRDefault="004C044B" w:rsidP="001911A4">
            <w:pPr>
              <w:spacing w:after="0" w:line="240" w:lineRule="auto"/>
              <w:jc w:val="both"/>
              <w:rPr>
                <w:rFonts w:ascii="Times New Roman" w:hAnsi="Times New Roman"/>
                <w:lang w:val="pt-BR"/>
              </w:rPr>
            </w:pPr>
          </w:p>
          <w:p w14:paraId="0B94C498" w14:textId="77777777" w:rsidR="0029795A" w:rsidRPr="002455E7" w:rsidRDefault="0029795A" w:rsidP="001911A4">
            <w:pPr>
              <w:spacing w:after="0" w:line="240" w:lineRule="auto"/>
              <w:jc w:val="both"/>
              <w:rPr>
                <w:rFonts w:ascii="Times New Roman" w:hAnsi="Times New Roman"/>
                <w:lang w:val="pt-BR"/>
              </w:rPr>
            </w:pPr>
          </w:p>
          <w:p w14:paraId="62F95C39" w14:textId="77777777" w:rsidR="0029795A" w:rsidRPr="002455E7" w:rsidRDefault="0029795A" w:rsidP="001911A4">
            <w:pPr>
              <w:spacing w:after="0" w:line="240" w:lineRule="auto"/>
              <w:jc w:val="both"/>
              <w:rPr>
                <w:rFonts w:ascii="Times New Roman" w:hAnsi="Times New Roman"/>
                <w:lang w:val="pt-BR"/>
              </w:rPr>
            </w:pPr>
          </w:p>
          <w:p w14:paraId="149098B6" w14:textId="77777777" w:rsidR="0029795A" w:rsidRPr="002455E7" w:rsidRDefault="0029795A" w:rsidP="001911A4">
            <w:pPr>
              <w:spacing w:after="0" w:line="240" w:lineRule="auto"/>
              <w:jc w:val="both"/>
              <w:rPr>
                <w:rFonts w:ascii="Times New Roman" w:hAnsi="Times New Roman"/>
                <w:lang w:val="pt-BR"/>
              </w:rPr>
            </w:pPr>
          </w:p>
          <w:p w14:paraId="36B47680" w14:textId="77777777" w:rsidR="0029795A" w:rsidRPr="002455E7" w:rsidRDefault="0029795A" w:rsidP="001911A4">
            <w:pPr>
              <w:spacing w:after="0" w:line="240" w:lineRule="auto"/>
              <w:jc w:val="both"/>
              <w:rPr>
                <w:rFonts w:ascii="Times New Roman" w:hAnsi="Times New Roman"/>
                <w:lang w:val="pt-BR"/>
              </w:rPr>
            </w:pPr>
          </w:p>
          <w:p w14:paraId="70E93BB2" w14:textId="77777777" w:rsidR="0029795A" w:rsidRPr="002455E7" w:rsidRDefault="0029795A" w:rsidP="001911A4">
            <w:pPr>
              <w:spacing w:after="0" w:line="240" w:lineRule="auto"/>
              <w:jc w:val="both"/>
              <w:rPr>
                <w:rFonts w:ascii="Times New Roman" w:hAnsi="Times New Roman"/>
                <w:lang w:val="pt-BR"/>
              </w:rPr>
            </w:pPr>
          </w:p>
          <w:p w14:paraId="372198BE" w14:textId="77777777" w:rsidR="0029795A" w:rsidRPr="002455E7" w:rsidRDefault="0029795A" w:rsidP="001911A4">
            <w:pPr>
              <w:spacing w:after="0" w:line="240" w:lineRule="auto"/>
              <w:jc w:val="both"/>
              <w:rPr>
                <w:rFonts w:ascii="Times New Roman" w:hAnsi="Times New Roman"/>
                <w:lang w:val="pt-BR"/>
              </w:rPr>
            </w:pPr>
          </w:p>
          <w:p w14:paraId="16435C82" w14:textId="77777777" w:rsidR="0029795A" w:rsidRPr="002455E7" w:rsidRDefault="0029795A" w:rsidP="001911A4">
            <w:pPr>
              <w:spacing w:after="0" w:line="240" w:lineRule="auto"/>
              <w:jc w:val="both"/>
              <w:rPr>
                <w:rFonts w:ascii="Times New Roman" w:hAnsi="Times New Roman"/>
                <w:lang w:val="pt-BR"/>
              </w:rPr>
            </w:pPr>
          </w:p>
          <w:p w14:paraId="18618736" w14:textId="77777777" w:rsidR="0029795A" w:rsidRPr="002455E7" w:rsidRDefault="0029795A" w:rsidP="001911A4">
            <w:pPr>
              <w:spacing w:after="0" w:line="240" w:lineRule="auto"/>
              <w:jc w:val="both"/>
              <w:rPr>
                <w:rFonts w:ascii="Times New Roman" w:hAnsi="Times New Roman"/>
                <w:lang w:val="pt-BR"/>
              </w:rPr>
            </w:pPr>
          </w:p>
          <w:p w14:paraId="6509D362" w14:textId="77777777" w:rsidR="0029795A" w:rsidRPr="002455E7" w:rsidRDefault="0029795A" w:rsidP="001911A4">
            <w:pPr>
              <w:spacing w:after="0" w:line="240" w:lineRule="auto"/>
              <w:jc w:val="both"/>
              <w:rPr>
                <w:rFonts w:ascii="Times New Roman" w:hAnsi="Times New Roman"/>
                <w:lang w:val="pt-BR"/>
              </w:rPr>
            </w:pPr>
          </w:p>
          <w:p w14:paraId="0DA468B5" w14:textId="77777777" w:rsidR="0029795A" w:rsidRPr="002455E7" w:rsidRDefault="0029795A" w:rsidP="001911A4">
            <w:pPr>
              <w:spacing w:after="0" w:line="240" w:lineRule="auto"/>
              <w:jc w:val="both"/>
              <w:rPr>
                <w:rFonts w:ascii="Times New Roman" w:hAnsi="Times New Roman"/>
                <w:lang w:val="pt-BR"/>
              </w:rPr>
            </w:pPr>
          </w:p>
          <w:p w14:paraId="129FE262" w14:textId="77777777" w:rsidR="0029795A" w:rsidRPr="002455E7" w:rsidRDefault="0029795A" w:rsidP="001911A4">
            <w:pPr>
              <w:spacing w:after="0" w:line="240" w:lineRule="auto"/>
              <w:jc w:val="both"/>
              <w:rPr>
                <w:rFonts w:ascii="Times New Roman" w:hAnsi="Times New Roman"/>
                <w:lang w:val="pt-BR"/>
              </w:rPr>
            </w:pPr>
          </w:p>
          <w:p w14:paraId="4BC6BD8F" w14:textId="77777777" w:rsidR="0029795A" w:rsidRPr="002455E7" w:rsidRDefault="0029795A" w:rsidP="001911A4">
            <w:pPr>
              <w:spacing w:after="0" w:line="240" w:lineRule="auto"/>
              <w:jc w:val="both"/>
              <w:rPr>
                <w:rFonts w:ascii="Times New Roman" w:hAnsi="Times New Roman"/>
                <w:lang w:val="pt-BR"/>
              </w:rPr>
            </w:pPr>
          </w:p>
          <w:p w14:paraId="48B68750" w14:textId="77777777" w:rsidR="0029795A" w:rsidRPr="002455E7" w:rsidRDefault="0029795A" w:rsidP="001911A4">
            <w:pPr>
              <w:spacing w:after="0" w:line="240" w:lineRule="auto"/>
              <w:jc w:val="both"/>
              <w:rPr>
                <w:rFonts w:ascii="Times New Roman" w:hAnsi="Times New Roman"/>
                <w:lang w:val="pt-BR"/>
              </w:rPr>
            </w:pPr>
          </w:p>
          <w:p w14:paraId="361F1F24" w14:textId="77777777" w:rsidR="0029795A" w:rsidRPr="002455E7" w:rsidRDefault="0029795A" w:rsidP="001911A4">
            <w:pPr>
              <w:spacing w:after="0" w:line="240" w:lineRule="auto"/>
              <w:jc w:val="both"/>
              <w:rPr>
                <w:rFonts w:ascii="Times New Roman" w:hAnsi="Times New Roman"/>
                <w:lang w:val="pt-BR"/>
              </w:rPr>
            </w:pPr>
          </w:p>
          <w:p w14:paraId="3E48B233" w14:textId="77777777" w:rsidR="0029795A" w:rsidRPr="002455E7" w:rsidRDefault="0029795A" w:rsidP="001911A4">
            <w:pPr>
              <w:spacing w:after="0" w:line="240" w:lineRule="auto"/>
              <w:jc w:val="both"/>
              <w:rPr>
                <w:rFonts w:ascii="Times New Roman" w:hAnsi="Times New Roman"/>
                <w:lang w:val="pt-BR"/>
              </w:rPr>
            </w:pPr>
          </w:p>
          <w:p w14:paraId="5D3CEA21" w14:textId="77777777" w:rsidR="0029795A" w:rsidRPr="002455E7" w:rsidRDefault="0029795A" w:rsidP="001911A4">
            <w:pPr>
              <w:spacing w:after="0" w:line="240" w:lineRule="auto"/>
              <w:jc w:val="both"/>
              <w:rPr>
                <w:rFonts w:ascii="Times New Roman" w:hAnsi="Times New Roman"/>
                <w:lang w:val="pt-BR"/>
              </w:rPr>
            </w:pPr>
          </w:p>
          <w:p w14:paraId="59DC3E5B" w14:textId="77777777" w:rsidR="0029795A" w:rsidRPr="002455E7" w:rsidRDefault="0029795A" w:rsidP="001911A4">
            <w:pPr>
              <w:spacing w:after="0" w:line="240" w:lineRule="auto"/>
              <w:jc w:val="both"/>
              <w:rPr>
                <w:rFonts w:ascii="Times New Roman" w:hAnsi="Times New Roman"/>
                <w:lang w:val="pt-BR"/>
              </w:rPr>
            </w:pPr>
          </w:p>
          <w:p w14:paraId="57E47600" w14:textId="715119AC" w:rsidR="00A931CD" w:rsidRPr="002455E7" w:rsidRDefault="00A931CD" w:rsidP="001911A4">
            <w:pPr>
              <w:spacing w:after="0" w:line="240" w:lineRule="auto"/>
              <w:jc w:val="both"/>
              <w:rPr>
                <w:rFonts w:ascii="Times New Roman" w:hAnsi="Times New Roman"/>
                <w:lang w:val="pt-BR"/>
              </w:rPr>
            </w:pPr>
            <w:r w:rsidRPr="002455E7">
              <w:rPr>
                <w:rFonts w:ascii="Times New Roman" w:hAnsi="Times New Roman"/>
                <w:lang w:val="pt-BR"/>
              </w:rPr>
              <w:t>În proiectele date de regulamente în compartimentele: ”Procedura de verificare”, ”Metode de măsurare”, ”Măsurători” se utilizează o sintagmă neclară și imprevizibilă. Astfel se menționează că în scopul respectării și verificării respectării cerințelor prezentului regulament, se aplică ”metode fiabile, exacte și reproductibile care țin seama de metodele de ultimă generație general recunoscute” sau ”metode credibile, exacte și reproductibile care țin seama de tehnologiile de ultimă generație general recunoscute”.</w:t>
            </w:r>
          </w:p>
          <w:p w14:paraId="52370A15" w14:textId="77777777" w:rsidR="00C627DA" w:rsidRPr="002455E7" w:rsidRDefault="00C627DA" w:rsidP="001911A4">
            <w:pPr>
              <w:spacing w:after="0" w:line="240" w:lineRule="auto"/>
              <w:jc w:val="both"/>
              <w:rPr>
                <w:rFonts w:ascii="Times New Roman" w:hAnsi="Times New Roman"/>
                <w:lang w:val="pt-BR"/>
              </w:rPr>
            </w:pPr>
          </w:p>
          <w:p w14:paraId="4F69EBA4" w14:textId="77777777" w:rsidR="00152C2E" w:rsidRPr="002455E7" w:rsidRDefault="00152C2E" w:rsidP="001911A4">
            <w:pPr>
              <w:spacing w:after="0" w:line="240" w:lineRule="auto"/>
              <w:jc w:val="both"/>
              <w:rPr>
                <w:rFonts w:ascii="Times New Roman" w:hAnsi="Times New Roman"/>
                <w:lang w:val="pt-BR"/>
              </w:rPr>
            </w:pPr>
          </w:p>
          <w:p w14:paraId="54C29036" w14:textId="4D46655E" w:rsidR="005C2061" w:rsidRPr="002455E7" w:rsidRDefault="00A931CD" w:rsidP="00A931CD">
            <w:pPr>
              <w:spacing w:line="240" w:lineRule="auto"/>
              <w:jc w:val="both"/>
              <w:rPr>
                <w:rFonts w:ascii="Times New Roman" w:hAnsi="Times New Roman"/>
                <w:lang w:val="pt-BR"/>
              </w:rPr>
            </w:pPr>
            <w:r w:rsidRPr="002455E7">
              <w:rPr>
                <w:rFonts w:ascii="Times New Roman" w:hAnsi="Times New Roman"/>
                <w:lang w:val="pt-BR"/>
              </w:rPr>
              <w:t xml:space="preserve">În capitolul cu obligațiile furnizorilor/comercianților se stabilește obligația ca conținutul documentației tehnice, astfel cum este stabilit în anexa nr. …, să fie pus la dispoziția Inspectoratului de Stat pentru Supravegherea Produselor Nealimentare și Protecția Consumatorilor. </w:t>
            </w:r>
            <w:r w:rsidRPr="002455E7">
              <w:rPr>
                <w:rFonts w:ascii="Times New Roman" w:hAnsi="Times New Roman"/>
                <w:lang w:val="pt-BR"/>
              </w:rPr>
              <w:lastRenderedPageBreak/>
              <w:t xml:space="preserve">Însă, reieșind din prevederile Legii nr.7/2016 sau Legii nr.162/2023 agentul economic nu este obligat „să pună la dispoziție” dar este obligat să asigure că documentația tehnică poate fi pusă la dispoziția autorităților de supraveghere a pieței, la cererea acestora. </w:t>
            </w:r>
          </w:p>
          <w:p w14:paraId="147DC99C" w14:textId="77777777" w:rsidR="00C64F21" w:rsidRPr="002455E7" w:rsidRDefault="00A931CD" w:rsidP="00A931CD">
            <w:pPr>
              <w:spacing w:line="240" w:lineRule="auto"/>
              <w:jc w:val="both"/>
              <w:rPr>
                <w:rFonts w:ascii="Times New Roman" w:hAnsi="Times New Roman"/>
                <w:lang w:val="pt-BR"/>
              </w:rPr>
            </w:pPr>
            <w:r w:rsidRPr="002455E7">
              <w:rPr>
                <w:rFonts w:ascii="Times New Roman" w:hAnsi="Times New Roman"/>
                <w:lang w:val="pt-BR"/>
              </w:rPr>
              <w:t>În textul regulamentelor este menționat Compartimentul ”Procedura de verificare în scopul supravegherii pieței” în care se stabilește că Inspectoratul de Stat pentru Supravegherea Produselor Nealimentare și Protecția Consumatorilor aplică procedura prevăzută în anexa nr. 9 atunci când verifică conformitatea clasei de eficiență energetică, a consumului anual de energie și a volumelor declarate. În acest context autorii urmează țină cont și să facă referință în proiect la două acte legislative ce țin de procedurile controlului de stat în scopul supravegherii pieței de care trebuie să se conducă organul de control inclusiv în cazurile supravegherii pieței produselor cu impact energetic sub aspectul respectării cerințelor în materie de proiectare ecologică. Aceste acte legislative sunt: Lege privind controlul de stat nr.131 din 08.06.2012 și Legea privind supravegherea pieței și conformitatea produselor Nr. 162 din 22.06.2023. Prin urmare autorii urmează a face legătură între prevederile proiectului cu actele normative în vigoare în vederea acordării unei transparențe și previzibilități mărite pentru părțile cointeresate în ceea ce ține de procedura de control sub aspectul supravegherii pieței.</w:t>
            </w:r>
            <w:r w:rsidR="001911A4" w:rsidRPr="002455E7">
              <w:rPr>
                <w:rFonts w:ascii="Times New Roman" w:hAnsi="Times New Roman"/>
                <w:lang w:val="pt-BR"/>
              </w:rPr>
              <w:t xml:space="preserve"> </w:t>
            </w:r>
          </w:p>
          <w:p w14:paraId="50CEFC90" w14:textId="38AC1327" w:rsidR="00025CE6" w:rsidRDefault="00A931CD" w:rsidP="00A931CD">
            <w:pPr>
              <w:spacing w:line="240" w:lineRule="auto"/>
              <w:jc w:val="both"/>
              <w:rPr>
                <w:rFonts w:ascii="Times New Roman" w:hAnsi="Times New Roman"/>
                <w:lang w:val="ro-MD"/>
              </w:rPr>
            </w:pPr>
            <w:r w:rsidRPr="002455E7">
              <w:rPr>
                <w:rFonts w:ascii="Times New Roman" w:hAnsi="Times New Roman"/>
                <w:lang w:val="pt-BR"/>
              </w:rPr>
              <w:t>Este discutabilă norma de la Capitolul VIII întitulat ”TRIMITEREA CĂTRE ALTE REGULAMENTE” care prevede trimitere expresă la Regulamentele nr. 117, 54, 30 (în Regulamentul CEE-ONU nr. 117, 54 și respectiv 30 cu modificările ulterioare) ale Comisiei Economice a Organizaţiei Naţiunilor Unite pentru Europa, precum și indicarea în acest proiect de act național, anexa nr.6 sintagme ce se referă la alte state: ”…statele membre pot utiliza datele măsurătorilor obținute în urma testelor de conformitate a producției efectuate asupra pneurilor care au fost întreprinse în temeiul procedurii de omologare de tip stabilite prin Regulamentul (UE) 2018/858”</w:t>
            </w:r>
            <w:r w:rsidRPr="00F24BFD">
              <w:rPr>
                <w:rFonts w:ascii="Times New Roman" w:hAnsi="Times New Roman"/>
                <w:lang w:val="ro-MD"/>
              </w:rPr>
              <w:t>.</w:t>
            </w:r>
          </w:p>
          <w:p w14:paraId="4D485FFD" w14:textId="77777777" w:rsidR="009B4B79" w:rsidRPr="002455E7" w:rsidRDefault="009B4B79" w:rsidP="00A931CD">
            <w:pPr>
              <w:spacing w:line="240" w:lineRule="auto"/>
              <w:jc w:val="both"/>
              <w:rPr>
                <w:rFonts w:ascii="Times New Roman" w:hAnsi="Times New Roman"/>
                <w:b/>
                <w:highlight w:val="yellow"/>
                <w:lang w:val="pt-BR"/>
              </w:rPr>
            </w:pPr>
          </w:p>
          <w:p w14:paraId="02038B1E" w14:textId="77777777" w:rsidR="009B4B79" w:rsidRPr="002455E7" w:rsidRDefault="009B4B79" w:rsidP="00A931CD">
            <w:pPr>
              <w:spacing w:line="240" w:lineRule="auto"/>
              <w:jc w:val="both"/>
              <w:rPr>
                <w:rFonts w:ascii="Times New Roman" w:hAnsi="Times New Roman"/>
                <w:b/>
                <w:highlight w:val="yellow"/>
                <w:lang w:val="pt-BR"/>
              </w:rPr>
            </w:pPr>
          </w:p>
          <w:p w14:paraId="69654F1F" w14:textId="77777777" w:rsidR="008B67AC" w:rsidRPr="002455E7" w:rsidRDefault="008B67AC" w:rsidP="00A931CD">
            <w:pPr>
              <w:spacing w:line="240" w:lineRule="auto"/>
              <w:jc w:val="both"/>
              <w:rPr>
                <w:rFonts w:ascii="Times New Roman" w:hAnsi="Times New Roman"/>
                <w:b/>
                <w:highlight w:val="yellow"/>
                <w:lang w:val="pt-BR"/>
              </w:rPr>
            </w:pPr>
          </w:p>
          <w:p w14:paraId="0A0F13FC" w14:textId="77777777" w:rsidR="008B67AC" w:rsidRPr="002455E7" w:rsidRDefault="008B67AC" w:rsidP="00A931CD">
            <w:pPr>
              <w:spacing w:line="240" w:lineRule="auto"/>
              <w:jc w:val="both"/>
              <w:rPr>
                <w:rFonts w:ascii="Times New Roman" w:hAnsi="Times New Roman"/>
                <w:b/>
                <w:highlight w:val="yellow"/>
                <w:lang w:val="pt-BR"/>
              </w:rPr>
            </w:pPr>
          </w:p>
          <w:p w14:paraId="638F942C" w14:textId="77777777" w:rsidR="009B4B79" w:rsidRPr="002455E7" w:rsidRDefault="009B4B79" w:rsidP="00A931CD">
            <w:pPr>
              <w:spacing w:line="240" w:lineRule="auto"/>
              <w:jc w:val="both"/>
              <w:rPr>
                <w:rFonts w:ascii="Times New Roman" w:hAnsi="Times New Roman"/>
                <w:b/>
                <w:highlight w:val="yellow"/>
                <w:lang w:val="pt-BR"/>
              </w:rPr>
            </w:pPr>
          </w:p>
          <w:p w14:paraId="34E2ADC2" w14:textId="5CFCA695" w:rsidR="005C2061" w:rsidRPr="002455E7" w:rsidRDefault="005C2061" w:rsidP="00A931CD">
            <w:pPr>
              <w:spacing w:line="240" w:lineRule="auto"/>
              <w:jc w:val="both"/>
              <w:rPr>
                <w:rFonts w:ascii="Times New Roman" w:hAnsi="Times New Roman"/>
                <w:b/>
                <w:lang w:val="pt-BR"/>
              </w:rPr>
            </w:pPr>
            <w:r w:rsidRPr="002455E7">
              <w:rPr>
                <w:rFonts w:ascii="Times New Roman" w:hAnsi="Times New Roman"/>
                <w:b/>
                <w:lang w:val="pt-BR"/>
              </w:rPr>
              <w:t xml:space="preserve">Evaluarea Notei de fundamentare (analizei impactului de reglementare) </w:t>
            </w:r>
          </w:p>
          <w:p w14:paraId="23063D82" w14:textId="77777777" w:rsidR="005C2061" w:rsidRPr="002455E7" w:rsidRDefault="005C2061" w:rsidP="00A931CD">
            <w:pPr>
              <w:spacing w:line="240" w:lineRule="auto"/>
              <w:jc w:val="both"/>
              <w:rPr>
                <w:rFonts w:ascii="Times New Roman" w:hAnsi="Times New Roman"/>
                <w:lang w:val="pt-BR"/>
              </w:rPr>
            </w:pPr>
            <w:r w:rsidRPr="002455E7">
              <w:rPr>
                <w:rFonts w:ascii="Times New Roman" w:hAnsi="Times New Roman"/>
                <w:b/>
                <w:i/>
                <w:lang w:val="pt-BR"/>
              </w:rPr>
              <w:t>Concluzia:</w:t>
            </w:r>
            <w:r w:rsidRPr="002455E7">
              <w:rPr>
                <w:rFonts w:ascii="Times New Roman" w:hAnsi="Times New Roman"/>
                <w:b/>
                <w:lang w:val="pt-BR"/>
              </w:rPr>
              <w:t xml:space="preserve"> </w:t>
            </w:r>
            <w:r w:rsidRPr="002455E7">
              <w:rPr>
                <w:rFonts w:ascii="Times New Roman" w:hAnsi="Times New Roman"/>
                <w:lang w:val="pt-BR"/>
              </w:rPr>
              <w:t xml:space="preserve">Nota de fundamentare conține suficiente informații pentru a stabili necesitatea intervenției propuse, cu toate că nu conține toată informația necesară, astfel corespunde parțial cu cerințele metodologice prevăzute de Legea nr.100/2017 cu privire la actele normative. </w:t>
            </w:r>
            <w:r w:rsidRPr="002455E7">
              <w:rPr>
                <w:rFonts w:ascii="Times New Roman" w:hAnsi="Times New Roman"/>
                <w:b/>
                <w:i/>
                <w:lang w:val="pt-BR"/>
              </w:rPr>
              <w:t>Comentarii, recomandări:</w:t>
            </w:r>
            <w:r w:rsidRPr="002455E7">
              <w:rPr>
                <w:rFonts w:ascii="Times New Roman" w:hAnsi="Times New Roman"/>
                <w:lang w:val="pt-BR"/>
              </w:rPr>
              <w:t xml:space="preserve"> </w:t>
            </w:r>
          </w:p>
          <w:p w14:paraId="07771F22" w14:textId="35A02CBC" w:rsidR="005C2061" w:rsidRPr="002455E7" w:rsidRDefault="005C2061" w:rsidP="00A931CD">
            <w:pPr>
              <w:spacing w:line="240" w:lineRule="auto"/>
              <w:jc w:val="both"/>
              <w:rPr>
                <w:rFonts w:ascii="Times New Roman" w:hAnsi="Times New Roman"/>
                <w:highlight w:val="yellow"/>
                <w:lang w:val="pt-BR"/>
              </w:rPr>
            </w:pPr>
            <w:r w:rsidRPr="002455E7">
              <w:rPr>
                <w:rFonts w:ascii="Times New Roman" w:hAnsi="Times New Roman"/>
                <w:lang w:val="pt-BR"/>
              </w:rPr>
              <w:t xml:space="preserve"> În p.2.2. deși autorii au încercat să identifice și să descrie destul de clar mai multe probleme se recomandă de a îmbunătăți acest compartiment pentru a fi în concordanță cu cerințele Metodologiei AIR. Astfel ca problemă se menționează ”Lipsa reglementărilor sau deficiența acestora” însă trebuie de ținut cont de Metodologia AIR care prevede că lipsa cadrului normativ sau insuficiența reglementării nu poate fi definită ca o problemă în sine sau o cauză a acesteia, deoarece sunt potențiale intervenții pentru soluționarea acesteia. Iar alte probleme identificate sunt mai mult cauze le problemei. Problema care trebuie s-o identifice autorii ține de descrierea situației nedorite, care deranjează și face inadmisibilă</w:t>
            </w:r>
            <w:r w:rsidRPr="002455E7">
              <w:rPr>
                <w:rFonts w:ascii="Times New Roman" w:hAnsi="Times New Roman"/>
                <w:b/>
                <w:lang w:val="pt-BR"/>
              </w:rPr>
              <w:t xml:space="preserve"> </w:t>
            </w:r>
            <w:r w:rsidRPr="002455E7">
              <w:rPr>
                <w:rFonts w:ascii="Times New Roman" w:hAnsi="Times New Roman"/>
                <w:lang w:val="pt-BR"/>
              </w:rPr>
              <w:t xml:space="preserve">admiterea ei de mai departe, adică ce anume nu e bine astăzi în lipsa acestor noi regulamente. La fel aici este necesar de identificat părțile interesate, pentru care se prezintă următoarele informații, după caz: descrierea părților interesate/grupurilor; numărul entităților/persoanelor din această categorie, precum și ponderea sau numărul celor afectați sau care contribuie, alte informații identificate și considerate relevante pentru analiză. </w:t>
            </w:r>
          </w:p>
          <w:p w14:paraId="05A55BE1" w14:textId="77777777" w:rsidR="005C2061" w:rsidRPr="002455E7" w:rsidRDefault="005C2061" w:rsidP="00A931CD">
            <w:pPr>
              <w:spacing w:line="240" w:lineRule="auto"/>
              <w:jc w:val="both"/>
              <w:rPr>
                <w:rFonts w:ascii="Times New Roman" w:hAnsi="Times New Roman"/>
                <w:highlight w:val="yellow"/>
                <w:lang w:val="pt-BR"/>
              </w:rPr>
            </w:pPr>
            <w:proofErr w:type="spellStart"/>
            <w:r w:rsidRPr="00363FD3">
              <w:rPr>
                <w:rFonts w:ascii="Times New Roman" w:hAnsi="Times New Roman"/>
                <w:lang w:val="en-GB"/>
              </w:rPr>
              <w:lastRenderedPageBreak/>
              <w:t>În</w:t>
            </w:r>
            <w:proofErr w:type="spellEnd"/>
            <w:r w:rsidRPr="00363FD3">
              <w:rPr>
                <w:rFonts w:ascii="Times New Roman" w:hAnsi="Times New Roman"/>
                <w:lang w:val="en-GB"/>
              </w:rPr>
              <w:t xml:space="preserve"> p.3.1. nu sunt </w:t>
            </w:r>
            <w:proofErr w:type="spellStart"/>
            <w:r w:rsidRPr="00363FD3">
              <w:rPr>
                <w:rFonts w:ascii="Times New Roman" w:hAnsi="Times New Roman"/>
                <w:lang w:val="en-GB"/>
              </w:rPr>
              <w:t>identificate</w:t>
            </w:r>
            <w:proofErr w:type="spellEnd"/>
            <w:r w:rsidRPr="00363FD3">
              <w:rPr>
                <w:rFonts w:ascii="Times New Roman" w:hAnsi="Times New Roman"/>
                <w:lang w:val="en-GB"/>
              </w:rPr>
              <w:t xml:space="preserve"> </w:t>
            </w:r>
            <w:proofErr w:type="spellStart"/>
            <w:r w:rsidRPr="00363FD3">
              <w:rPr>
                <w:rFonts w:ascii="Times New Roman" w:hAnsi="Times New Roman"/>
                <w:lang w:val="en-GB"/>
              </w:rPr>
              <w:t>obiectivele</w:t>
            </w:r>
            <w:proofErr w:type="spellEnd"/>
            <w:r w:rsidRPr="00363FD3">
              <w:rPr>
                <w:rFonts w:ascii="Times New Roman" w:hAnsi="Times New Roman"/>
                <w:lang w:val="en-GB"/>
              </w:rPr>
              <w:t xml:space="preserve">. </w:t>
            </w:r>
            <w:proofErr w:type="spellStart"/>
            <w:r w:rsidRPr="00363FD3">
              <w:rPr>
                <w:rFonts w:ascii="Times New Roman" w:hAnsi="Times New Roman"/>
                <w:lang w:val="en-GB"/>
              </w:rPr>
              <w:t>Potrivit</w:t>
            </w:r>
            <w:proofErr w:type="spellEnd"/>
            <w:r w:rsidRPr="00363FD3">
              <w:rPr>
                <w:rFonts w:ascii="Times New Roman" w:hAnsi="Times New Roman"/>
                <w:lang w:val="en-GB"/>
              </w:rPr>
              <w:t xml:space="preserve"> </w:t>
            </w:r>
            <w:proofErr w:type="spellStart"/>
            <w:r w:rsidRPr="00363FD3">
              <w:rPr>
                <w:rFonts w:ascii="Times New Roman" w:hAnsi="Times New Roman"/>
                <w:lang w:val="en-GB"/>
              </w:rPr>
              <w:t>Metodologiei</w:t>
            </w:r>
            <w:proofErr w:type="spellEnd"/>
            <w:r w:rsidRPr="00363FD3">
              <w:rPr>
                <w:rFonts w:ascii="Times New Roman" w:hAnsi="Times New Roman"/>
                <w:lang w:val="en-GB"/>
              </w:rPr>
              <w:t xml:space="preserve"> </w:t>
            </w:r>
            <w:proofErr w:type="spellStart"/>
            <w:r w:rsidRPr="00363FD3">
              <w:rPr>
                <w:rFonts w:ascii="Times New Roman" w:hAnsi="Times New Roman"/>
                <w:lang w:val="en-GB"/>
              </w:rPr>
              <w:t>în</w:t>
            </w:r>
            <w:proofErr w:type="spellEnd"/>
            <w:r w:rsidRPr="00363FD3">
              <w:rPr>
                <w:rFonts w:ascii="Times New Roman" w:hAnsi="Times New Roman"/>
                <w:lang w:val="en-GB"/>
              </w:rPr>
              <w:t xml:space="preserve"> </w:t>
            </w:r>
            <w:proofErr w:type="spellStart"/>
            <w:r w:rsidRPr="00363FD3">
              <w:rPr>
                <w:rFonts w:ascii="Times New Roman" w:hAnsi="Times New Roman"/>
                <w:lang w:val="en-GB"/>
              </w:rPr>
              <w:t>cazul</w:t>
            </w:r>
            <w:proofErr w:type="spellEnd"/>
            <w:r w:rsidRPr="00363FD3">
              <w:rPr>
                <w:rFonts w:ascii="Times New Roman" w:hAnsi="Times New Roman"/>
                <w:lang w:val="en-GB"/>
              </w:rPr>
              <w:t xml:space="preserve"> </w:t>
            </w:r>
            <w:proofErr w:type="spellStart"/>
            <w:r w:rsidRPr="00363FD3">
              <w:rPr>
                <w:rFonts w:ascii="Times New Roman" w:hAnsi="Times New Roman"/>
                <w:lang w:val="en-GB"/>
              </w:rPr>
              <w:t>actelor</w:t>
            </w:r>
            <w:proofErr w:type="spellEnd"/>
            <w:r w:rsidRPr="00363FD3">
              <w:rPr>
                <w:rFonts w:ascii="Times New Roman" w:hAnsi="Times New Roman"/>
                <w:lang w:val="en-GB"/>
              </w:rPr>
              <w:t xml:space="preserve"> normative cu </w:t>
            </w:r>
            <w:proofErr w:type="spellStart"/>
            <w:r w:rsidRPr="00363FD3">
              <w:rPr>
                <w:rFonts w:ascii="Times New Roman" w:hAnsi="Times New Roman"/>
                <w:lang w:val="en-GB"/>
              </w:rPr>
              <w:t>relevanță</w:t>
            </w:r>
            <w:proofErr w:type="spellEnd"/>
            <w:r w:rsidRPr="00363FD3">
              <w:rPr>
                <w:rFonts w:ascii="Times New Roman" w:hAnsi="Times New Roman"/>
                <w:lang w:val="en-GB"/>
              </w:rPr>
              <w:t xml:space="preserve"> UE, </w:t>
            </w:r>
            <w:proofErr w:type="spellStart"/>
            <w:r w:rsidRPr="00363FD3">
              <w:rPr>
                <w:rFonts w:ascii="Times New Roman" w:hAnsi="Times New Roman"/>
                <w:lang w:val="en-GB"/>
              </w:rPr>
              <w:t>pentru</w:t>
            </w:r>
            <w:proofErr w:type="spellEnd"/>
            <w:r w:rsidRPr="00363FD3">
              <w:rPr>
                <w:rFonts w:ascii="Times New Roman" w:hAnsi="Times New Roman"/>
                <w:lang w:val="en-GB"/>
              </w:rPr>
              <w:t xml:space="preserve"> </w:t>
            </w:r>
            <w:proofErr w:type="spellStart"/>
            <w:r w:rsidRPr="00363FD3">
              <w:rPr>
                <w:rFonts w:ascii="Times New Roman" w:hAnsi="Times New Roman"/>
                <w:lang w:val="en-GB"/>
              </w:rPr>
              <w:t>prevederile</w:t>
            </w:r>
            <w:proofErr w:type="spellEnd"/>
            <w:r w:rsidRPr="00363FD3">
              <w:rPr>
                <w:rFonts w:ascii="Times New Roman" w:hAnsi="Times New Roman"/>
                <w:lang w:val="en-GB"/>
              </w:rPr>
              <w:t xml:space="preserve"> care sunt </w:t>
            </w:r>
            <w:proofErr w:type="spellStart"/>
            <w:r w:rsidRPr="00363FD3">
              <w:rPr>
                <w:rFonts w:ascii="Times New Roman" w:hAnsi="Times New Roman"/>
                <w:lang w:val="en-GB"/>
              </w:rPr>
              <w:t>expres</w:t>
            </w:r>
            <w:proofErr w:type="spellEnd"/>
            <w:r w:rsidRPr="00363FD3">
              <w:rPr>
                <w:rFonts w:ascii="Times New Roman" w:hAnsi="Times New Roman"/>
                <w:lang w:val="en-GB"/>
              </w:rPr>
              <w:t xml:space="preserve"> </w:t>
            </w:r>
            <w:proofErr w:type="spellStart"/>
            <w:r w:rsidRPr="00363FD3">
              <w:rPr>
                <w:rFonts w:ascii="Times New Roman" w:hAnsi="Times New Roman"/>
                <w:lang w:val="en-GB"/>
              </w:rPr>
              <w:t>reglementate</w:t>
            </w:r>
            <w:proofErr w:type="spellEnd"/>
            <w:r w:rsidRPr="00363FD3">
              <w:rPr>
                <w:rFonts w:ascii="Times New Roman" w:hAnsi="Times New Roman"/>
                <w:lang w:val="en-GB"/>
              </w:rPr>
              <w:t xml:space="preserve"> </w:t>
            </w:r>
            <w:proofErr w:type="spellStart"/>
            <w:r w:rsidRPr="00363FD3">
              <w:rPr>
                <w:rFonts w:ascii="Times New Roman" w:hAnsi="Times New Roman"/>
                <w:lang w:val="en-GB"/>
              </w:rPr>
              <w:t>în</w:t>
            </w:r>
            <w:proofErr w:type="spellEnd"/>
            <w:r w:rsidRPr="00363FD3">
              <w:rPr>
                <w:rFonts w:ascii="Times New Roman" w:hAnsi="Times New Roman"/>
                <w:lang w:val="en-GB"/>
              </w:rPr>
              <w:t xml:space="preserve"> </w:t>
            </w:r>
            <w:proofErr w:type="spellStart"/>
            <w:r w:rsidRPr="00363FD3">
              <w:rPr>
                <w:rFonts w:ascii="Times New Roman" w:hAnsi="Times New Roman"/>
                <w:lang w:val="en-GB"/>
              </w:rPr>
              <w:t>actul</w:t>
            </w:r>
            <w:proofErr w:type="spellEnd"/>
            <w:r w:rsidRPr="00363FD3">
              <w:rPr>
                <w:rFonts w:ascii="Times New Roman" w:hAnsi="Times New Roman"/>
                <w:lang w:val="en-GB"/>
              </w:rPr>
              <w:t xml:space="preserve"> juridic </w:t>
            </w:r>
            <w:proofErr w:type="spellStart"/>
            <w:r w:rsidRPr="00363FD3">
              <w:rPr>
                <w:rFonts w:ascii="Times New Roman" w:hAnsi="Times New Roman"/>
                <w:lang w:val="en-GB"/>
              </w:rPr>
              <w:t>european</w:t>
            </w:r>
            <w:proofErr w:type="spellEnd"/>
            <w:r w:rsidRPr="00363FD3">
              <w:rPr>
                <w:rFonts w:ascii="Times New Roman" w:hAnsi="Times New Roman"/>
                <w:lang w:val="en-GB"/>
              </w:rPr>
              <w:t xml:space="preserve">, la </w:t>
            </w:r>
            <w:proofErr w:type="spellStart"/>
            <w:r w:rsidRPr="00363FD3">
              <w:rPr>
                <w:rFonts w:ascii="Times New Roman" w:hAnsi="Times New Roman"/>
                <w:lang w:val="en-GB"/>
              </w:rPr>
              <w:t>obiective</w:t>
            </w:r>
            <w:proofErr w:type="spellEnd"/>
            <w:r w:rsidRPr="00363FD3">
              <w:rPr>
                <w:rFonts w:ascii="Times New Roman" w:hAnsi="Times New Roman"/>
                <w:lang w:val="en-GB"/>
              </w:rPr>
              <w:t xml:space="preserve"> se </w:t>
            </w:r>
            <w:proofErr w:type="spellStart"/>
            <w:r w:rsidRPr="00363FD3">
              <w:rPr>
                <w:rFonts w:ascii="Times New Roman" w:hAnsi="Times New Roman"/>
                <w:lang w:val="en-GB"/>
              </w:rPr>
              <w:t>indică</w:t>
            </w:r>
            <w:proofErr w:type="spellEnd"/>
            <w:r w:rsidRPr="00363FD3">
              <w:rPr>
                <w:rFonts w:ascii="Times New Roman" w:hAnsi="Times New Roman"/>
                <w:lang w:val="en-GB"/>
              </w:rPr>
              <w:t xml:space="preserve"> </w:t>
            </w:r>
            <w:proofErr w:type="spellStart"/>
            <w:r w:rsidRPr="00363FD3">
              <w:rPr>
                <w:rFonts w:ascii="Times New Roman" w:hAnsi="Times New Roman"/>
                <w:lang w:val="en-GB"/>
              </w:rPr>
              <w:t>succint</w:t>
            </w:r>
            <w:proofErr w:type="spellEnd"/>
            <w:r w:rsidRPr="00363FD3">
              <w:rPr>
                <w:rFonts w:ascii="Times New Roman" w:hAnsi="Times New Roman"/>
                <w:lang w:val="en-GB"/>
              </w:rPr>
              <w:t xml:space="preserve"> </w:t>
            </w:r>
            <w:proofErr w:type="spellStart"/>
            <w:r w:rsidRPr="00363FD3">
              <w:rPr>
                <w:rFonts w:ascii="Times New Roman" w:hAnsi="Times New Roman"/>
                <w:lang w:val="en-GB"/>
              </w:rPr>
              <w:t>doar</w:t>
            </w:r>
            <w:proofErr w:type="spellEnd"/>
            <w:r w:rsidRPr="00363FD3">
              <w:rPr>
                <w:rFonts w:ascii="Times New Roman" w:hAnsi="Times New Roman"/>
                <w:lang w:val="en-GB"/>
              </w:rPr>
              <w:t xml:space="preserve"> </w:t>
            </w:r>
            <w:proofErr w:type="spellStart"/>
            <w:r w:rsidRPr="00363FD3">
              <w:rPr>
                <w:rFonts w:ascii="Times New Roman" w:hAnsi="Times New Roman"/>
                <w:lang w:val="en-GB"/>
              </w:rPr>
              <w:t>schimbarea</w:t>
            </w:r>
            <w:proofErr w:type="spellEnd"/>
            <w:r w:rsidRPr="00363FD3">
              <w:rPr>
                <w:rFonts w:ascii="Times New Roman" w:hAnsi="Times New Roman"/>
                <w:lang w:val="en-GB"/>
              </w:rPr>
              <w:t xml:space="preserve"> </w:t>
            </w:r>
            <w:proofErr w:type="spellStart"/>
            <w:r w:rsidRPr="00363FD3">
              <w:rPr>
                <w:rFonts w:ascii="Times New Roman" w:hAnsi="Times New Roman"/>
                <w:lang w:val="en-GB"/>
              </w:rPr>
              <w:t>ce</w:t>
            </w:r>
            <w:proofErr w:type="spellEnd"/>
            <w:r w:rsidRPr="00363FD3">
              <w:rPr>
                <w:rFonts w:ascii="Times New Roman" w:hAnsi="Times New Roman"/>
                <w:lang w:val="en-GB"/>
              </w:rPr>
              <w:t xml:space="preserve"> se </w:t>
            </w:r>
            <w:proofErr w:type="spellStart"/>
            <w:r w:rsidRPr="00363FD3">
              <w:rPr>
                <w:rFonts w:ascii="Times New Roman" w:hAnsi="Times New Roman"/>
                <w:lang w:val="en-GB"/>
              </w:rPr>
              <w:t>urmărește</w:t>
            </w:r>
            <w:proofErr w:type="spellEnd"/>
            <w:r w:rsidRPr="00363FD3">
              <w:rPr>
                <w:rFonts w:ascii="Times New Roman" w:hAnsi="Times New Roman"/>
                <w:lang w:val="en-GB"/>
              </w:rPr>
              <w:t xml:space="preserve"> </w:t>
            </w:r>
            <w:proofErr w:type="spellStart"/>
            <w:r w:rsidRPr="00363FD3">
              <w:rPr>
                <w:rFonts w:ascii="Times New Roman" w:hAnsi="Times New Roman"/>
                <w:lang w:val="en-GB"/>
              </w:rPr>
              <w:t>în</w:t>
            </w:r>
            <w:proofErr w:type="spellEnd"/>
            <w:r w:rsidRPr="00363FD3">
              <w:rPr>
                <w:rFonts w:ascii="Times New Roman" w:hAnsi="Times New Roman"/>
                <w:lang w:val="en-GB"/>
              </w:rPr>
              <w:t xml:space="preserve"> </w:t>
            </w:r>
            <w:proofErr w:type="spellStart"/>
            <w:r w:rsidRPr="00363FD3">
              <w:rPr>
                <w:rFonts w:ascii="Times New Roman" w:hAnsi="Times New Roman"/>
                <w:lang w:val="en-GB"/>
              </w:rPr>
              <w:t>evoluția</w:t>
            </w:r>
            <w:proofErr w:type="spellEnd"/>
            <w:r w:rsidRPr="00363FD3">
              <w:rPr>
                <w:rFonts w:ascii="Times New Roman" w:hAnsi="Times New Roman"/>
                <w:lang w:val="en-GB"/>
              </w:rPr>
              <w:t xml:space="preserve"> </w:t>
            </w:r>
            <w:proofErr w:type="spellStart"/>
            <w:r w:rsidRPr="00363FD3">
              <w:rPr>
                <w:rFonts w:ascii="Times New Roman" w:hAnsi="Times New Roman"/>
                <w:lang w:val="en-GB"/>
              </w:rPr>
              <w:t>situației</w:t>
            </w:r>
            <w:proofErr w:type="spellEnd"/>
            <w:r w:rsidRPr="00363FD3">
              <w:rPr>
                <w:rFonts w:ascii="Times New Roman" w:hAnsi="Times New Roman"/>
                <w:lang w:val="en-GB"/>
              </w:rPr>
              <w:t>/</w:t>
            </w:r>
            <w:proofErr w:type="spellStart"/>
            <w:r w:rsidRPr="00363FD3">
              <w:rPr>
                <w:rFonts w:ascii="Times New Roman" w:hAnsi="Times New Roman"/>
                <w:lang w:val="en-GB"/>
              </w:rPr>
              <w:t>problemei</w:t>
            </w:r>
            <w:proofErr w:type="spellEnd"/>
            <w:r w:rsidRPr="00363FD3">
              <w:rPr>
                <w:rFonts w:ascii="Times New Roman" w:hAnsi="Times New Roman"/>
                <w:lang w:val="en-GB"/>
              </w:rPr>
              <w:t xml:space="preserve"> </w:t>
            </w:r>
            <w:proofErr w:type="spellStart"/>
            <w:r w:rsidRPr="00363FD3">
              <w:rPr>
                <w:rFonts w:ascii="Times New Roman" w:hAnsi="Times New Roman"/>
                <w:lang w:val="en-GB"/>
              </w:rPr>
              <w:t>în</w:t>
            </w:r>
            <w:proofErr w:type="spellEnd"/>
            <w:r w:rsidRPr="00363FD3">
              <w:rPr>
                <w:rFonts w:ascii="Times New Roman" w:hAnsi="Times New Roman"/>
                <w:lang w:val="en-GB"/>
              </w:rPr>
              <w:t xml:space="preserve"> </w:t>
            </w:r>
            <w:proofErr w:type="spellStart"/>
            <w:r w:rsidRPr="00363FD3">
              <w:rPr>
                <w:rFonts w:ascii="Times New Roman" w:hAnsi="Times New Roman"/>
                <w:lang w:val="en-GB"/>
              </w:rPr>
              <w:t>viitor</w:t>
            </w:r>
            <w:proofErr w:type="spellEnd"/>
            <w:r w:rsidRPr="00363FD3">
              <w:rPr>
                <w:rFonts w:ascii="Times New Roman" w:hAnsi="Times New Roman"/>
                <w:lang w:val="en-GB"/>
              </w:rPr>
              <w:t xml:space="preserve"> la </w:t>
            </w:r>
            <w:proofErr w:type="spellStart"/>
            <w:r w:rsidRPr="00363FD3">
              <w:rPr>
                <w:rFonts w:ascii="Times New Roman" w:hAnsi="Times New Roman"/>
                <w:lang w:val="en-GB"/>
              </w:rPr>
              <w:t>nivel</w:t>
            </w:r>
            <w:proofErr w:type="spellEnd"/>
            <w:r w:rsidRPr="00363FD3">
              <w:rPr>
                <w:rFonts w:ascii="Times New Roman" w:hAnsi="Times New Roman"/>
                <w:lang w:val="en-GB"/>
              </w:rPr>
              <w:t xml:space="preserve"> </w:t>
            </w:r>
            <w:proofErr w:type="spellStart"/>
            <w:r w:rsidRPr="00363FD3">
              <w:rPr>
                <w:rFonts w:ascii="Times New Roman" w:hAnsi="Times New Roman"/>
                <w:lang w:val="en-GB"/>
              </w:rPr>
              <w:t>național</w:t>
            </w:r>
            <w:proofErr w:type="spellEnd"/>
            <w:r w:rsidRPr="00363FD3">
              <w:rPr>
                <w:rFonts w:ascii="Times New Roman" w:hAnsi="Times New Roman"/>
                <w:lang w:val="en-GB"/>
              </w:rPr>
              <w:t xml:space="preserve">, </w:t>
            </w:r>
            <w:proofErr w:type="spellStart"/>
            <w:r w:rsidRPr="00363FD3">
              <w:rPr>
                <w:rFonts w:ascii="Times New Roman" w:hAnsi="Times New Roman"/>
                <w:lang w:val="en-GB"/>
              </w:rPr>
              <w:t>odată</w:t>
            </w:r>
            <w:proofErr w:type="spellEnd"/>
            <w:r w:rsidRPr="00363FD3">
              <w:rPr>
                <w:rFonts w:ascii="Times New Roman" w:hAnsi="Times New Roman"/>
                <w:lang w:val="en-GB"/>
              </w:rPr>
              <w:t xml:space="preserve"> cu </w:t>
            </w:r>
            <w:proofErr w:type="spellStart"/>
            <w:r w:rsidRPr="00363FD3">
              <w:rPr>
                <w:rFonts w:ascii="Times New Roman" w:hAnsi="Times New Roman"/>
                <w:lang w:val="en-GB"/>
              </w:rPr>
              <w:t>transpunerea</w:t>
            </w:r>
            <w:proofErr w:type="spellEnd"/>
            <w:r w:rsidRPr="00363FD3">
              <w:rPr>
                <w:rFonts w:ascii="Times New Roman" w:hAnsi="Times New Roman"/>
                <w:lang w:val="en-GB"/>
              </w:rPr>
              <w:t xml:space="preserve"> </w:t>
            </w:r>
            <w:proofErr w:type="spellStart"/>
            <w:r w:rsidRPr="00363FD3">
              <w:rPr>
                <w:rFonts w:ascii="Times New Roman" w:hAnsi="Times New Roman"/>
                <w:lang w:val="en-GB"/>
              </w:rPr>
              <w:t>și</w:t>
            </w:r>
            <w:proofErr w:type="spellEnd"/>
            <w:r w:rsidRPr="00363FD3">
              <w:rPr>
                <w:rFonts w:ascii="Times New Roman" w:hAnsi="Times New Roman"/>
                <w:lang w:val="en-GB"/>
              </w:rPr>
              <w:t xml:space="preserve"> </w:t>
            </w:r>
            <w:proofErr w:type="spellStart"/>
            <w:r w:rsidRPr="00363FD3">
              <w:rPr>
                <w:rFonts w:ascii="Times New Roman" w:hAnsi="Times New Roman"/>
                <w:lang w:val="en-GB"/>
              </w:rPr>
              <w:t>implementarea</w:t>
            </w:r>
            <w:proofErr w:type="spellEnd"/>
            <w:r w:rsidRPr="00363FD3">
              <w:rPr>
                <w:rFonts w:ascii="Times New Roman" w:hAnsi="Times New Roman"/>
                <w:lang w:val="en-GB"/>
              </w:rPr>
              <w:t xml:space="preserve"> </w:t>
            </w:r>
            <w:proofErr w:type="spellStart"/>
            <w:r w:rsidRPr="00363FD3">
              <w:rPr>
                <w:rFonts w:ascii="Times New Roman" w:hAnsi="Times New Roman"/>
                <w:lang w:val="en-GB"/>
              </w:rPr>
              <w:t>legislației</w:t>
            </w:r>
            <w:proofErr w:type="spellEnd"/>
            <w:r w:rsidRPr="00363FD3">
              <w:rPr>
                <w:rFonts w:ascii="Times New Roman" w:hAnsi="Times New Roman"/>
                <w:lang w:val="en-GB"/>
              </w:rPr>
              <w:t xml:space="preserve"> UE, </w:t>
            </w:r>
            <w:proofErr w:type="spellStart"/>
            <w:r w:rsidRPr="00363FD3">
              <w:rPr>
                <w:rFonts w:ascii="Times New Roman" w:hAnsi="Times New Roman"/>
                <w:lang w:val="en-GB"/>
              </w:rPr>
              <w:t>fără</w:t>
            </w:r>
            <w:proofErr w:type="spellEnd"/>
            <w:r w:rsidRPr="00363FD3">
              <w:rPr>
                <w:rFonts w:ascii="Times New Roman" w:hAnsi="Times New Roman"/>
                <w:lang w:val="en-GB"/>
              </w:rPr>
              <w:t xml:space="preserve"> a fi </w:t>
            </w:r>
            <w:proofErr w:type="spellStart"/>
            <w:r w:rsidRPr="00363FD3">
              <w:rPr>
                <w:rFonts w:ascii="Times New Roman" w:hAnsi="Times New Roman"/>
                <w:lang w:val="en-GB"/>
              </w:rPr>
              <w:t>obligatoriu</w:t>
            </w:r>
            <w:proofErr w:type="spellEnd"/>
            <w:r w:rsidRPr="00363FD3">
              <w:rPr>
                <w:rFonts w:ascii="Times New Roman" w:hAnsi="Times New Roman"/>
                <w:lang w:val="en-GB"/>
              </w:rPr>
              <w:t xml:space="preserve"> ca </w:t>
            </w:r>
            <w:proofErr w:type="spellStart"/>
            <w:r w:rsidRPr="00363FD3">
              <w:rPr>
                <w:rFonts w:ascii="Times New Roman" w:hAnsi="Times New Roman"/>
                <w:lang w:val="en-GB"/>
              </w:rPr>
              <w:t>aceste</w:t>
            </w:r>
            <w:proofErr w:type="spellEnd"/>
            <w:r w:rsidRPr="00363FD3">
              <w:rPr>
                <w:rFonts w:ascii="Times New Roman" w:hAnsi="Times New Roman"/>
                <w:lang w:val="en-GB"/>
              </w:rPr>
              <w:t xml:space="preserve"> </w:t>
            </w:r>
            <w:proofErr w:type="spellStart"/>
            <w:r w:rsidRPr="00363FD3">
              <w:rPr>
                <w:rFonts w:ascii="Times New Roman" w:hAnsi="Times New Roman"/>
                <w:lang w:val="en-GB"/>
              </w:rPr>
              <w:t>obiective</w:t>
            </w:r>
            <w:proofErr w:type="spellEnd"/>
            <w:r w:rsidRPr="00363FD3">
              <w:rPr>
                <w:rFonts w:ascii="Times New Roman" w:hAnsi="Times New Roman"/>
                <w:lang w:val="en-GB"/>
              </w:rPr>
              <w:t xml:space="preserve"> </w:t>
            </w:r>
            <w:proofErr w:type="spellStart"/>
            <w:r w:rsidRPr="00363FD3">
              <w:rPr>
                <w:rFonts w:ascii="Times New Roman" w:hAnsi="Times New Roman"/>
                <w:lang w:val="en-GB"/>
              </w:rPr>
              <w:t>să</w:t>
            </w:r>
            <w:proofErr w:type="spellEnd"/>
            <w:r w:rsidRPr="00363FD3">
              <w:rPr>
                <w:rFonts w:ascii="Times New Roman" w:hAnsi="Times New Roman"/>
                <w:lang w:val="en-GB"/>
              </w:rPr>
              <w:t xml:space="preserve"> fie </w:t>
            </w:r>
            <w:proofErr w:type="spellStart"/>
            <w:r w:rsidRPr="00363FD3">
              <w:rPr>
                <w:rFonts w:ascii="Times New Roman" w:hAnsi="Times New Roman"/>
                <w:lang w:val="en-GB"/>
              </w:rPr>
              <w:t>prezentate</w:t>
            </w:r>
            <w:proofErr w:type="spellEnd"/>
            <w:r w:rsidRPr="00363FD3">
              <w:rPr>
                <w:rFonts w:ascii="Times New Roman" w:hAnsi="Times New Roman"/>
                <w:lang w:val="en-GB"/>
              </w:rPr>
              <w:t xml:space="preserve"> </w:t>
            </w:r>
            <w:proofErr w:type="spellStart"/>
            <w:r w:rsidRPr="00363FD3">
              <w:rPr>
                <w:rFonts w:ascii="Times New Roman" w:hAnsi="Times New Roman"/>
                <w:lang w:val="en-GB"/>
              </w:rPr>
              <w:t>în</w:t>
            </w:r>
            <w:proofErr w:type="spellEnd"/>
            <w:r w:rsidRPr="00363FD3">
              <w:rPr>
                <w:rFonts w:ascii="Times New Roman" w:hAnsi="Times New Roman"/>
                <w:lang w:val="en-GB"/>
              </w:rPr>
              <w:t xml:space="preserve"> mod </w:t>
            </w:r>
            <w:proofErr w:type="spellStart"/>
            <w:r w:rsidRPr="00363FD3">
              <w:rPr>
                <w:rFonts w:ascii="Times New Roman" w:hAnsi="Times New Roman"/>
                <w:lang w:val="en-GB"/>
              </w:rPr>
              <w:t>măsurabil</w:t>
            </w:r>
            <w:proofErr w:type="spellEnd"/>
            <w:r w:rsidRPr="00363FD3">
              <w:rPr>
                <w:rFonts w:ascii="Times New Roman" w:hAnsi="Times New Roman"/>
                <w:lang w:val="en-GB"/>
              </w:rPr>
              <w:t xml:space="preserve"> </w:t>
            </w:r>
            <w:proofErr w:type="spellStart"/>
            <w:r w:rsidRPr="00363FD3">
              <w:rPr>
                <w:rFonts w:ascii="Times New Roman" w:hAnsi="Times New Roman"/>
                <w:lang w:val="en-GB"/>
              </w:rPr>
              <w:t>și</w:t>
            </w:r>
            <w:proofErr w:type="spellEnd"/>
            <w:r w:rsidRPr="00363FD3">
              <w:rPr>
                <w:rFonts w:ascii="Times New Roman" w:hAnsi="Times New Roman"/>
                <w:lang w:val="en-GB"/>
              </w:rPr>
              <w:t xml:space="preserve"> </w:t>
            </w:r>
            <w:proofErr w:type="spellStart"/>
            <w:r w:rsidRPr="00363FD3">
              <w:rPr>
                <w:rFonts w:ascii="Times New Roman" w:hAnsi="Times New Roman"/>
                <w:lang w:val="en-GB"/>
              </w:rPr>
              <w:t>cuantificat</w:t>
            </w:r>
            <w:proofErr w:type="spellEnd"/>
            <w:r w:rsidRPr="00363FD3">
              <w:rPr>
                <w:rFonts w:ascii="Times New Roman" w:hAnsi="Times New Roman"/>
                <w:lang w:val="en-GB"/>
              </w:rPr>
              <w:t xml:space="preserve">. </w:t>
            </w:r>
            <w:r w:rsidRPr="002455E7">
              <w:rPr>
                <w:rFonts w:ascii="Times New Roman" w:hAnsi="Times New Roman"/>
                <w:lang w:val="pt-BR"/>
              </w:rPr>
              <w:t>În cee ace ține de evidențierea prevederilor proiectului, în cazul actelor normative cu relevanță UE, pentru prevederile proiectelor care sunt expres reglementate în actul juridic european, se descriu cele mai importante prevederi noi, cu explicarea succintă a diferențelor față de cadrul normativ în vigoare, dacă acestea există. Totodată, se descriu separat prevederile care nu sunt incluse în actul juridic european.</w:t>
            </w:r>
          </w:p>
          <w:p w14:paraId="46F9E01A" w14:textId="686CD266" w:rsidR="005C2061" w:rsidRPr="002455E7" w:rsidRDefault="005C2061" w:rsidP="00A931CD">
            <w:pPr>
              <w:spacing w:line="240" w:lineRule="auto"/>
              <w:jc w:val="both"/>
              <w:rPr>
                <w:rFonts w:ascii="Times New Roman" w:hAnsi="Times New Roman"/>
                <w:lang w:val="pt-BR"/>
              </w:rPr>
            </w:pPr>
            <w:r w:rsidRPr="002455E7">
              <w:rPr>
                <w:rFonts w:ascii="Times New Roman" w:hAnsi="Times New Roman"/>
                <w:lang w:val="pt-BR"/>
              </w:rPr>
              <w:t>În p.4.3. se menționează că producători nu sunt, respectiv impact va fi pentru importatori și comercianții de aceste produse. Se recomandă de a încerca a evalua/cuantifica și a le expune în AIR acele ”costuri neglijabile” de conformare în executarea obligațiilor de a deține documentația tehnică aferentă echipamentelor, de a plasa etichetele în locurile indicate în regulamente, atât în condițiile comercializării acestora în magazine, cât și în mediul online, precum și de a prezenta, la solicitare, detalii și documentație tehnică consumatorilor sau autorităților de supraveghere.</w:t>
            </w:r>
          </w:p>
          <w:p w14:paraId="79E8064C" w14:textId="77777777" w:rsidR="00750878" w:rsidRPr="002455E7" w:rsidRDefault="00750878" w:rsidP="00A931CD">
            <w:pPr>
              <w:spacing w:line="240" w:lineRule="auto"/>
              <w:jc w:val="both"/>
              <w:rPr>
                <w:rFonts w:ascii="Times New Roman" w:hAnsi="Times New Roman"/>
                <w:highlight w:val="yellow"/>
                <w:lang w:val="pt-BR"/>
              </w:rPr>
            </w:pPr>
          </w:p>
          <w:p w14:paraId="1100F6F8" w14:textId="77777777" w:rsidR="00750878" w:rsidRPr="002455E7" w:rsidRDefault="00750878" w:rsidP="00A931CD">
            <w:pPr>
              <w:spacing w:line="240" w:lineRule="auto"/>
              <w:jc w:val="both"/>
              <w:rPr>
                <w:rFonts w:ascii="Times New Roman" w:hAnsi="Times New Roman"/>
                <w:highlight w:val="yellow"/>
                <w:lang w:val="pt-BR"/>
              </w:rPr>
            </w:pPr>
          </w:p>
          <w:p w14:paraId="7C5342DF" w14:textId="77777777" w:rsidR="00750878" w:rsidRPr="002455E7" w:rsidRDefault="00750878" w:rsidP="00A931CD">
            <w:pPr>
              <w:spacing w:line="240" w:lineRule="auto"/>
              <w:jc w:val="both"/>
              <w:rPr>
                <w:rFonts w:ascii="Times New Roman" w:hAnsi="Times New Roman"/>
                <w:highlight w:val="yellow"/>
                <w:lang w:val="pt-BR"/>
              </w:rPr>
            </w:pPr>
          </w:p>
          <w:p w14:paraId="1D0FDF13" w14:textId="77777777" w:rsidR="00A06470" w:rsidRPr="002455E7" w:rsidRDefault="00A06470" w:rsidP="00A931CD">
            <w:pPr>
              <w:spacing w:line="240" w:lineRule="auto"/>
              <w:jc w:val="both"/>
              <w:rPr>
                <w:rFonts w:ascii="Times New Roman" w:hAnsi="Times New Roman"/>
                <w:highlight w:val="yellow"/>
                <w:lang w:val="pt-BR"/>
              </w:rPr>
            </w:pPr>
          </w:p>
          <w:p w14:paraId="777AC2AD" w14:textId="04EDA317" w:rsidR="00423B51" w:rsidRPr="002455E7" w:rsidRDefault="005C2061" w:rsidP="005C2061">
            <w:pPr>
              <w:spacing w:line="240" w:lineRule="auto"/>
              <w:jc w:val="both"/>
              <w:rPr>
                <w:rFonts w:ascii="Times New Roman" w:hAnsi="Times New Roman"/>
                <w:b/>
                <w:lang w:val="pt-BR"/>
              </w:rPr>
            </w:pPr>
            <w:r w:rsidRPr="002455E7">
              <w:rPr>
                <w:rFonts w:ascii="Times New Roman" w:hAnsi="Times New Roman"/>
                <w:lang w:val="pt-BR"/>
              </w:rPr>
              <w:t xml:space="preserve">În partea ce ține de consultările publice un aspect important în cazul reglementărilor care se impun în procesul de armonizare sunt consultările cu mediul de afaceri. Din informația prezentată în AIR rezultă că consultările nu au avut loc. Potrivit Metodologiei este obligatorie prezentarea poziției reprezentanților fiecărui grup de interese majore. Se </w:t>
            </w:r>
            <w:r w:rsidRPr="002455E7">
              <w:rPr>
                <w:rFonts w:ascii="Times New Roman" w:hAnsi="Times New Roman"/>
                <w:lang w:val="pt-BR"/>
              </w:rPr>
              <w:lastRenderedPageBreak/>
              <w:t>indică separat consultările efectuate în legătură cu analiza impactului de reglementare.</w:t>
            </w:r>
          </w:p>
        </w:tc>
        <w:tc>
          <w:tcPr>
            <w:tcW w:w="4581" w:type="dxa"/>
          </w:tcPr>
          <w:p w14:paraId="696A78C5" w14:textId="77777777" w:rsidR="005C1D7C" w:rsidRPr="00F24BFD" w:rsidRDefault="005C1D7C" w:rsidP="00330D32">
            <w:pPr>
              <w:tabs>
                <w:tab w:val="left" w:pos="884"/>
                <w:tab w:val="left" w:pos="1196"/>
              </w:tabs>
              <w:spacing w:after="0" w:line="240" w:lineRule="auto"/>
              <w:jc w:val="both"/>
              <w:rPr>
                <w:rFonts w:ascii="Times New Roman" w:hAnsi="Times New Roman"/>
                <w:lang w:val="ro-RO"/>
              </w:rPr>
            </w:pPr>
          </w:p>
          <w:p w14:paraId="2F1AF0CB"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53EE9E7E"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20A0BC5D"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7493F368"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40329917"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449B10F9"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39956AD5"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37746BB2"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258AFCC8"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6E98C4B8"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59AB6473"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7A560FE4"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448A9B65"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630DF392"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026BD0BE"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472C1125"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45B3DCC6"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73B050A9"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58DDD688"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1EB9392B"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324CF17B"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35DD6358"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68E9CD80"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2A5E2429"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6186DBE2"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74F23A0B"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07B91D8A"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47881E8F"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19E8F0A2"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550F11D1"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21D93348"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6AB3694A"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149AB7D6"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111F9F84"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3517BFFA"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2B010292"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1CD5429F"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3A0AEABE"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50E488A6"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463C6B79"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25F50093"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4EE742D6"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11AC4841" w14:textId="77777777" w:rsidR="00DB492F" w:rsidRPr="00F24BFD" w:rsidRDefault="00DB492F" w:rsidP="00330D32">
            <w:pPr>
              <w:tabs>
                <w:tab w:val="left" w:pos="884"/>
                <w:tab w:val="left" w:pos="1196"/>
              </w:tabs>
              <w:spacing w:after="0" w:line="240" w:lineRule="auto"/>
              <w:jc w:val="both"/>
              <w:rPr>
                <w:rFonts w:ascii="Times New Roman" w:hAnsi="Times New Roman"/>
                <w:lang w:val="ro-RO"/>
              </w:rPr>
            </w:pPr>
          </w:p>
          <w:p w14:paraId="1418AE9D" w14:textId="77777777" w:rsidR="00AF2480" w:rsidRPr="00F24BFD" w:rsidRDefault="00AF2480" w:rsidP="00330D32">
            <w:pPr>
              <w:tabs>
                <w:tab w:val="left" w:pos="884"/>
                <w:tab w:val="left" w:pos="1196"/>
              </w:tabs>
              <w:spacing w:after="0" w:line="240" w:lineRule="auto"/>
              <w:jc w:val="both"/>
              <w:rPr>
                <w:rFonts w:ascii="Times New Roman" w:hAnsi="Times New Roman"/>
                <w:lang w:val="ro-RO"/>
              </w:rPr>
            </w:pPr>
          </w:p>
          <w:p w14:paraId="2851F38F" w14:textId="77777777" w:rsidR="00AF2480" w:rsidRPr="00F24BFD" w:rsidRDefault="00AF2480" w:rsidP="00330D32">
            <w:pPr>
              <w:tabs>
                <w:tab w:val="left" w:pos="884"/>
                <w:tab w:val="left" w:pos="1196"/>
              </w:tabs>
              <w:spacing w:after="0" w:line="240" w:lineRule="auto"/>
              <w:jc w:val="both"/>
              <w:rPr>
                <w:rFonts w:ascii="Times New Roman" w:hAnsi="Times New Roman"/>
                <w:lang w:val="ro-RO"/>
              </w:rPr>
            </w:pPr>
          </w:p>
          <w:p w14:paraId="002A4C9D" w14:textId="77777777" w:rsidR="00AF2480" w:rsidRPr="00F24BFD" w:rsidRDefault="00AF2480" w:rsidP="00330D32">
            <w:pPr>
              <w:tabs>
                <w:tab w:val="left" w:pos="884"/>
                <w:tab w:val="left" w:pos="1196"/>
              </w:tabs>
              <w:spacing w:after="0" w:line="240" w:lineRule="auto"/>
              <w:jc w:val="both"/>
              <w:rPr>
                <w:rFonts w:ascii="Times New Roman" w:hAnsi="Times New Roman"/>
                <w:lang w:val="ro-RO"/>
              </w:rPr>
            </w:pPr>
          </w:p>
          <w:p w14:paraId="686223D0" w14:textId="77777777" w:rsidR="00AF2480" w:rsidRPr="00F24BFD" w:rsidRDefault="00AF2480" w:rsidP="00330D32">
            <w:pPr>
              <w:tabs>
                <w:tab w:val="left" w:pos="884"/>
                <w:tab w:val="left" w:pos="1196"/>
              </w:tabs>
              <w:spacing w:after="0" w:line="240" w:lineRule="auto"/>
              <w:jc w:val="both"/>
              <w:rPr>
                <w:rFonts w:ascii="Times New Roman" w:hAnsi="Times New Roman"/>
                <w:lang w:val="ro-RO"/>
              </w:rPr>
            </w:pPr>
          </w:p>
          <w:p w14:paraId="09D6406B" w14:textId="77777777" w:rsidR="00AF2480" w:rsidRPr="00F24BFD" w:rsidRDefault="00AF2480" w:rsidP="00330D32">
            <w:pPr>
              <w:tabs>
                <w:tab w:val="left" w:pos="884"/>
                <w:tab w:val="left" w:pos="1196"/>
              </w:tabs>
              <w:spacing w:after="0" w:line="240" w:lineRule="auto"/>
              <w:jc w:val="both"/>
              <w:rPr>
                <w:rFonts w:ascii="Times New Roman" w:hAnsi="Times New Roman"/>
                <w:lang w:val="ro-RO"/>
              </w:rPr>
            </w:pPr>
          </w:p>
          <w:p w14:paraId="6191157B" w14:textId="77777777" w:rsidR="00AF2480" w:rsidRPr="00F24BFD" w:rsidRDefault="00AF2480" w:rsidP="00330D32">
            <w:pPr>
              <w:tabs>
                <w:tab w:val="left" w:pos="884"/>
                <w:tab w:val="left" w:pos="1196"/>
              </w:tabs>
              <w:spacing w:after="0" w:line="240" w:lineRule="auto"/>
              <w:jc w:val="both"/>
              <w:rPr>
                <w:rFonts w:ascii="Times New Roman" w:hAnsi="Times New Roman"/>
                <w:lang w:val="ro-RO"/>
              </w:rPr>
            </w:pPr>
          </w:p>
          <w:p w14:paraId="77A0879A" w14:textId="77777777" w:rsidR="00AF2480" w:rsidRPr="00F24BFD" w:rsidRDefault="00AF2480" w:rsidP="00330D32">
            <w:pPr>
              <w:tabs>
                <w:tab w:val="left" w:pos="884"/>
                <w:tab w:val="left" w:pos="1196"/>
              </w:tabs>
              <w:spacing w:after="0" w:line="240" w:lineRule="auto"/>
              <w:jc w:val="both"/>
              <w:rPr>
                <w:rFonts w:ascii="Times New Roman" w:hAnsi="Times New Roman"/>
                <w:b/>
                <w:lang w:val="ro-RO"/>
              </w:rPr>
            </w:pPr>
            <w:r w:rsidRPr="00F24BFD">
              <w:rPr>
                <w:rFonts w:ascii="Times New Roman" w:hAnsi="Times New Roman"/>
                <w:b/>
                <w:lang w:val="ro-RO"/>
              </w:rPr>
              <w:t>Se acceptă.</w:t>
            </w:r>
          </w:p>
          <w:p w14:paraId="79346512" w14:textId="77777777" w:rsidR="00AF2480" w:rsidRPr="00F24BFD" w:rsidRDefault="00AF2480" w:rsidP="00330D32">
            <w:pPr>
              <w:tabs>
                <w:tab w:val="left" w:pos="884"/>
                <w:tab w:val="left" w:pos="1196"/>
              </w:tabs>
              <w:spacing w:after="0" w:line="240" w:lineRule="auto"/>
              <w:jc w:val="both"/>
              <w:rPr>
                <w:rFonts w:ascii="Times New Roman" w:hAnsi="Times New Roman"/>
                <w:lang w:val="ro-RO"/>
              </w:rPr>
            </w:pPr>
          </w:p>
          <w:p w14:paraId="2C0D3AC3" w14:textId="55C6561C" w:rsidR="00917B47" w:rsidRDefault="00AF2480" w:rsidP="00AF2480">
            <w:pPr>
              <w:tabs>
                <w:tab w:val="left" w:pos="884"/>
                <w:tab w:val="left" w:pos="1196"/>
              </w:tabs>
              <w:spacing w:after="0" w:line="240" w:lineRule="auto"/>
              <w:jc w:val="both"/>
              <w:rPr>
                <w:rFonts w:ascii="Times New Roman" w:hAnsi="Times New Roman"/>
                <w:lang w:val="ro-MD"/>
              </w:rPr>
            </w:pPr>
            <w:r w:rsidRPr="00F24BFD">
              <w:rPr>
                <w:rFonts w:ascii="Times New Roman" w:hAnsi="Times New Roman"/>
                <w:lang w:val="ro-RO"/>
              </w:rPr>
              <w:t>Textul a fost redactat conform propunerilor din avizul MDED</w:t>
            </w:r>
            <w:r w:rsidR="00DF26FA">
              <w:rPr>
                <w:rFonts w:ascii="Times New Roman" w:hAnsi="Times New Roman"/>
                <w:lang w:val="ro-RO"/>
              </w:rPr>
              <w:t>, fiind integrat</w:t>
            </w:r>
            <w:r w:rsidR="00917B47">
              <w:rPr>
                <w:rFonts w:ascii="Times New Roman" w:hAnsi="Times New Roman"/>
                <w:lang w:val="ro-MD"/>
              </w:rPr>
              <w:t xml:space="preserve"> în proiecte următorul text – </w:t>
            </w:r>
          </w:p>
          <w:p w14:paraId="045434FE" w14:textId="48D8C1EF" w:rsidR="00AF2480" w:rsidRPr="00917B47" w:rsidRDefault="00917B47" w:rsidP="00AF2480">
            <w:pPr>
              <w:tabs>
                <w:tab w:val="left" w:pos="884"/>
                <w:tab w:val="left" w:pos="1196"/>
              </w:tabs>
              <w:spacing w:after="0" w:line="240" w:lineRule="auto"/>
              <w:jc w:val="both"/>
              <w:rPr>
                <w:rFonts w:ascii="Times New Roman" w:hAnsi="Times New Roman"/>
                <w:i/>
                <w:iCs/>
                <w:lang w:val="ro-MD"/>
              </w:rPr>
            </w:pPr>
            <w:r w:rsidRPr="00917B47">
              <w:rPr>
                <w:rFonts w:ascii="Times New Roman" w:hAnsi="Times New Roman"/>
                <w:i/>
                <w:iCs/>
                <w:lang w:val="ro-MD"/>
              </w:rPr>
              <w:t xml:space="preserve"> „În scopul conformității și al verificării conformității cu cerințele prezentului regulament, măsurările și calculele se efectuează utilizându-</w:t>
            </w:r>
            <w:r w:rsidRPr="00917B47">
              <w:rPr>
                <w:rFonts w:ascii="Times New Roman" w:hAnsi="Times New Roman"/>
                <w:i/>
                <w:iCs/>
                <w:lang w:val="ro-MD"/>
              </w:rPr>
              <w:lastRenderedPageBreak/>
              <w:t>se standarde moldovenești care adoptă standarde europene armonizate, ale căror referințe au fost publicate în Jurnalul Oficial al Uniunii Europene, sau alte metode fiabile, exacte și reproductibile, care iau în considerare metodele de măsurare de ultimă generație general recunoscute și care sunt în conformitate cu dispozițiile stabilite la punctele 2-3. Lista standardelor moldovenești care adoptă standardele armonizate ale căror referințe au fost publicate în Jurnalul Oficial al Uniunii Europene, se elaborează și se aprobă prin ordin al ministrului energiei, se actualizează periodic și se publică în Monitorul Oficial al Republicii Moldova”.</w:t>
            </w:r>
          </w:p>
          <w:p w14:paraId="0288BA83" w14:textId="77777777" w:rsidR="00917B47" w:rsidRPr="00917B47" w:rsidRDefault="00917B47" w:rsidP="00AF2480">
            <w:pPr>
              <w:tabs>
                <w:tab w:val="left" w:pos="884"/>
                <w:tab w:val="left" w:pos="1196"/>
              </w:tabs>
              <w:spacing w:after="0" w:line="240" w:lineRule="auto"/>
              <w:jc w:val="both"/>
              <w:rPr>
                <w:rFonts w:ascii="Times New Roman" w:hAnsi="Times New Roman"/>
                <w:lang w:val="ro-MD"/>
              </w:rPr>
            </w:pPr>
          </w:p>
          <w:p w14:paraId="274AFD87" w14:textId="3B97E559" w:rsidR="00390BDE" w:rsidRPr="00F24BFD" w:rsidRDefault="006809E4" w:rsidP="00EC18E2">
            <w:pPr>
              <w:tabs>
                <w:tab w:val="left" w:pos="884"/>
                <w:tab w:val="left" w:pos="1196"/>
              </w:tabs>
              <w:spacing w:after="0" w:line="240" w:lineRule="auto"/>
              <w:jc w:val="both"/>
              <w:rPr>
                <w:rFonts w:ascii="Times New Roman" w:hAnsi="Times New Roman"/>
                <w:lang w:val="ro-RO"/>
              </w:rPr>
            </w:pPr>
            <w:r>
              <w:rPr>
                <w:rFonts w:ascii="Times New Roman" w:hAnsi="Times New Roman"/>
                <w:lang w:val="ro-RO"/>
              </w:rPr>
              <w:t>În același timp, menționăm că t</w:t>
            </w:r>
            <w:r w:rsidR="00390BDE" w:rsidRPr="00F24BFD">
              <w:rPr>
                <w:rFonts w:ascii="Times New Roman" w:hAnsi="Times New Roman"/>
                <w:lang w:val="ro-RO"/>
              </w:rPr>
              <w:t>rimiteri</w:t>
            </w:r>
            <w:r>
              <w:rPr>
                <w:rFonts w:ascii="Times New Roman" w:hAnsi="Times New Roman"/>
                <w:lang w:val="ro-RO"/>
              </w:rPr>
              <w:t xml:space="preserve"> </w:t>
            </w:r>
            <w:r w:rsidR="00390BDE" w:rsidRPr="00F24BFD">
              <w:rPr>
                <w:rFonts w:ascii="Times New Roman" w:hAnsi="Times New Roman"/>
                <w:lang w:val="ro-RO"/>
              </w:rPr>
              <w:t>la Legea</w:t>
            </w:r>
            <w:r w:rsidR="00EC18E2" w:rsidRPr="00F24BFD">
              <w:rPr>
                <w:rFonts w:ascii="Times New Roman" w:hAnsi="Times New Roman"/>
                <w:lang w:val="ro-RO"/>
              </w:rPr>
              <w:t xml:space="preserve"> </w:t>
            </w:r>
            <w:r w:rsidR="00390BDE" w:rsidRPr="00F24BFD">
              <w:rPr>
                <w:rFonts w:ascii="Times New Roman" w:hAnsi="Times New Roman"/>
                <w:lang w:val="ro-RO"/>
              </w:rPr>
              <w:t xml:space="preserve">nr. 7/2016, precum și Legea </w:t>
            </w:r>
            <w:r w:rsidR="00EC18E2" w:rsidRPr="00F24BFD">
              <w:rPr>
                <w:rFonts w:ascii="Times New Roman" w:hAnsi="Times New Roman"/>
                <w:lang w:val="ro-RO"/>
              </w:rPr>
              <w:t xml:space="preserve">nr. 131/2012 sunt stabilite în Legea </w:t>
            </w:r>
            <w:r w:rsidR="00F24BFD" w:rsidRPr="00F24BFD">
              <w:rPr>
                <w:rFonts w:ascii="Times New Roman" w:hAnsi="Times New Roman"/>
                <w:lang w:val="ro-RO"/>
              </w:rPr>
              <w:t>n</w:t>
            </w:r>
            <w:r w:rsidR="00EC18E2" w:rsidRPr="00F24BFD">
              <w:rPr>
                <w:rFonts w:ascii="Times New Roman" w:hAnsi="Times New Roman"/>
                <w:lang w:val="ro-RO"/>
              </w:rPr>
              <w:t>r. 306/2023 privind etichetarea produselor cu impact energetic</w:t>
            </w:r>
            <w:r>
              <w:rPr>
                <w:rFonts w:ascii="Times New Roman" w:hAnsi="Times New Roman"/>
                <w:lang w:val="ro-RO"/>
              </w:rPr>
              <w:t xml:space="preserve">, i/e/ în cadrul </w:t>
            </w:r>
            <w:r w:rsidR="0061375B">
              <w:rPr>
                <w:rFonts w:ascii="Times New Roman" w:hAnsi="Times New Roman"/>
                <w:lang w:val="ro-RO"/>
              </w:rPr>
              <w:t>juridic primar.</w:t>
            </w:r>
          </w:p>
          <w:p w14:paraId="57D1E469" w14:textId="77777777" w:rsidR="00390BDE" w:rsidRDefault="00390BDE" w:rsidP="00AF2480">
            <w:pPr>
              <w:tabs>
                <w:tab w:val="left" w:pos="884"/>
                <w:tab w:val="left" w:pos="1196"/>
              </w:tabs>
              <w:spacing w:after="0" w:line="240" w:lineRule="auto"/>
              <w:jc w:val="both"/>
              <w:rPr>
                <w:rFonts w:ascii="Times New Roman" w:hAnsi="Times New Roman"/>
                <w:lang w:val="ro-RO"/>
              </w:rPr>
            </w:pPr>
          </w:p>
          <w:p w14:paraId="3AE03D9F" w14:textId="02093E67" w:rsidR="0029795A" w:rsidRPr="00F24BFD" w:rsidRDefault="0029795A" w:rsidP="00AF2480">
            <w:pPr>
              <w:tabs>
                <w:tab w:val="left" w:pos="884"/>
                <w:tab w:val="left" w:pos="1196"/>
              </w:tabs>
              <w:spacing w:after="0" w:line="240" w:lineRule="auto"/>
              <w:jc w:val="both"/>
              <w:rPr>
                <w:rFonts w:ascii="Times New Roman" w:hAnsi="Times New Roman"/>
                <w:lang w:val="ro-RO"/>
              </w:rPr>
            </w:pPr>
            <w:r>
              <w:rPr>
                <w:rFonts w:ascii="Times New Roman" w:hAnsi="Times New Roman"/>
                <w:lang w:val="ro-RO"/>
              </w:rPr>
              <w:t xml:space="preserve">Cu referire la </w:t>
            </w:r>
            <w:r w:rsidR="007D7E2C">
              <w:rPr>
                <w:rFonts w:ascii="Times New Roman" w:hAnsi="Times New Roman"/>
                <w:lang w:val="ro-RO"/>
              </w:rPr>
              <w:t xml:space="preserve">sintagmele utilizate în proiect, menționăm că, întrucât acestea au fost transpuse din regulamente UE, textul respectiv a fost preluat </w:t>
            </w:r>
            <w:r w:rsidR="0062459A">
              <w:rPr>
                <w:rFonts w:ascii="Times New Roman" w:hAnsi="Times New Roman"/>
                <w:lang w:val="ro-RO"/>
              </w:rPr>
              <w:t xml:space="preserve">fără careva modificări sau ajustări. În același timp vom sublinia ca standardele și procedurile de verificare pe care le va pune </w:t>
            </w:r>
            <w:r w:rsidR="00EA56F9">
              <w:rPr>
                <w:rFonts w:ascii="Times New Roman" w:hAnsi="Times New Roman"/>
                <w:lang w:val="ro-RO"/>
              </w:rPr>
              <w:t xml:space="preserve">Inspectoratul în aplicare, deja țin cont de </w:t>
            </w:r>
            <w:r w:rsidR="00152C2E">
              <w:rPr>
                <w:rFonts w:ascii="Times New Roman" w:hAnsi="Times New Roman"/>
                <w:lang w:val="ro-RO"/>
              </w:rPr>
              <w:t>cele mai fiabile, exacte și reproductibile metode.</w:t>
            </w:r>
          </w:p>
          <w:p w14:paraId="3B98A5C5" w14:textId="77777777" w:rsidR="00390BDE" w:rsidRPr="00F24BFD" w:rsidRDefault="00390BDE" w:rsidP="00AF2480">
            <w:pPr>
              <w:tabs>
                <w:tab w:val="left" w:pos="884"/>
                <w:tab w:val="left" w:pos="1196"/>
              </w:tabs>
              <w:spacing w:after="0" w:line="240" w:lineRule="auto"/>
              <w:jc w:val="both"/>
              <w:rPr>
                <w:rFonts w:ascii="Times New Roman" w:hAnsi="Times New Roman"/>
                <w:lang w:val="ro-RO"/>
              </w:rPr>
            </w:pPr>
          </w:p>
          <w:p w14:paraId="4D36C599" w14:textId="77777777" w:rsidR="00390BDE" w:rsidRDefault="00390BDE" w:rsidP="00AF2480">
            <w:pPr>
              <w:tabs>
                <w:tab w:val="left" w:pos="884"/>
                <w:tab w:val="left" w:pos="1196"/>
              </w:tabs>
              <w:spacing w:after="0" w:line="240" w:lineRule="auto"/>
              <w:jc w:val="both"/>
              <w:rPr>
                <w:rFonts w:ascii="Times New Roman" w:hAnsi="Times New Roman"/>
                <w:lang w:val="ro-RO"/>
              </w:rPr>
            </w:pPr>
          </w:p>
          <w:p w14:paraId="4108A228" w14:textId="77777777" w:rsidR="006A4950" w:rsidRPr="006A4950" w:rsidRDefault="006A4950" w:rsidP="00AF2480">
            <w:pPr>
              <w:tabs>
                <w:tab w:val="left" w:pos="884"/>
                <w:tab w:val="left" w:pos="1196"/>
              </w:tabs>
              <w:spacing w:after="0" w:line="240" w:lineRule="auto"/>
              <w:jc w:val="both"/>
              <w:rPr>
                <w:rFonts w:ascii="Times New Roman" w:hAnsi="Times New Roman"/>
                <w:b/>
                <w:bCs/>
                <w:lang w:val="ro-MD"/>
              </w:rPr>
            </w:pPr>
            <w:r w:rsidRPr="006A4950">
              <w:rPr>
                <w:rFonts w:ascii="Times New Roman" w:hAnsi="Times New Roman"/>
                <w:b/>
                <w:bCs/>
                <w:lang w:val="ro-RO"/>
              </w:rPr>
              <w:t>Se accept</w:t>
            </w:r>
            <w:r w:rsidRPr="006A4950">
              <w:rPr>
                <w:rFonts w:ascii="Times New Roman" w:hAnsi="Times New Roman"/>
                <w:b/>
                <w:bCs/>
                <w:lang w:val="ro-MD"/>
              </w:rPr>
              <w:t>ă.</w:t>
            </w:r>
          </w:p>
          <w:p w14:paraId="43F73851" w14:textId="77777777" w:rsidR="006A4950" w:rsidRDefault="006A4950" w:rsidP="00AF2480">
            <w:pPr>
              <w:tabs>
                <w:tab w:val="left" w:pos="884"/>
                <w:tab w:val="left" w:pos="1196"/>
              </w:tabs>
              <w:spacing w:after="0" w:line="240" w:lineRule="auto"/>
              <w:jc w:val="both"/>
              <w:rPr>
                <w:rFonts w:ascii="Times New Roman" w:hAnsi="Times New Roman"/>
                <w:lang w:val="ro-MD"/>
              </w:rPr>
            </w:pPr>
            <w:r>
              <w:rPr>
                <w:rFonts w:ascii="Times New Roman" w:hAnsi="Times New Roman"/>
                <w:lang w:val="ro-MD"/>
              </w:rPr>
              <w:t>Au fost operate modificările respective.</w:t>
            </w:r>
          </w:p>
          <w:p w14:paraId="54D524B9" w14:textId="77777777" w:rsidR="00061D59" w:rsidRDefault="00061D59" w:rsidP="00AF2480">
            <w:pPr>
              <w:tabs>
                <w:tab w:val="left" w:pos="884"/>
                <w:tab w:val="left" w:pos="1196"/>
              </w:tabs>
              <w:spacing w:after="0" w:line="240" w:lineRule="auto"/>
              <w:jc w:val="both"/>
              <w:rPr>
                <w:rFonts w:ascii="Times New Roman" w:hAnsi="Times New Roman"/>
                <w:lang w:val="ro-MD"/>
              </w:rPr>
            </w:pPr>
          </w:p>
          <w:p w14:paraId="549925DB" w14:textId="77777777" w:rsidR="00061D59" w:rsidRDefault="00061D59" w:rsidP="00AF2480">
            <w:pPr>
              <w:tabs>
                <w:tab w:val="left" w:pos="884"/>
                <w:tab w:val="left" w:pos="1196"/>
              </w:tabs>
              <w:spacing w:after="0" w:line="240" w:lineRule="auto"/>
              <w:jc w:val="both"/>
              <w:rPr>
                <w:rFonts w:ascii="Times New Roman" w:hAnsi="Times New Roman"/>
                <w:lang w:val="ro-MD"/>
              </w:rPr>
            </w:pPr>
          </w:p>
          <w:p w14:paraId="585115FC" w14:textId="77777777" w:rsidR="00061D59" w:rsidRDefault="00061D59" w:rsidP="00AF2480">
            <w:pPr>
              <w:tabs>
                <w:tab w:val="left" w:pos="884"/>
                <w:tab w:val="left" w:pos="1196"/>
              </w:tabs>
              <w:spacing w:after="0" w:line="240" w:lineRule="auto"/>
              <w:jc w:val="both"/>
              <w:rPr>
                <w:rFonts w:ascii="Times New Roman" w:hAnsi="Times New Roman"/>
                <w:lang w:val="ro-MD"/>
              </w:rPr>
            </w:pPr>
          </w:p>
          <w:p w14:paraId="62C881AA" w14:textId="77777777" w:rsidR="00061D59" w:rsidRDefault="00061D59" w:rsidP="00AF2480">
            <w:pPr>
              <w:tabs>
                <w:tab w:val="left" w:pos="884"/>
                <w:tab w:val="left" w:pos="1196"/>
              </w:tabs>
              <w:spacing w:after="0" w:line="240" w:lineRule="auto"/>
              <w:jc w:val="both"/>
              <w:rPr>
                <w:rFonts w:ascii="Times New Roman" w:hAnsi="Times New Roman"/>
                <w:lang w:val="ro-MD"/>
              </w:rPr>
            </w:pPr>
          </w:p>
          <w:p w14:paraId="00B8507A" w14:textId="77777777" w:rsidR="00061D59" w:rsidRDefault="00061D59" w:rsidP="00AF2480">
            <w:pPr>
              <w:tabs>
                <w:tab w:val="left" w:pos="884"/>
                <w:tab w:val="left" w:pos="1196"/>
              </w:tabs>
              <w:spacing w:after="0" w:line="240" w:lineRule="auto"/>
              <w:jc w:val="both"/>
              <w:rPr>
                <w:rFonts w:ascii="Times New Roman" w:hAnsi="Times New Roman"/>
                <w:lang w:val="ro-MD"/>
              </w:rPr>
            </w:pPr>
          </w:p>
          <w:p w14:paraId="64E246D9" w14:textId="77777777" w:rsidR="00061D59" w:rsidRDefault="00061D59" w:rsidP="00AF2480">
            <w:pPr>
              <w:tabs>
                <w:tab w:val="left" w:pos="884"/>
                <w:tab w:val="left" w:pos="1196"/>
              </w:tabs>
              <w:spacing w:after="0" w:line="240" w:lineRule="auto"/>
              <w:jc w:val="both"/>
              <w:rPr>
                <w:rFonts w:ascii="Times New Roman" w:hAnsi="Times New Roman"/>
                <w:lang w:val="ro-MD"/>
              </w:rPr>
            </w:pPr>
          </w:p>
          <w:p w14:paraId="34684E99" w14:textId="77777777" w:rsidR="00061D59" w:rsidRDefault="00061D59" w:rsidP="00AF2480">
            <w:pPr>
              <w:tabs>
                <w:tab w:val="left" w:pos="884"/>
                <w:tab w:val="left" w:pos="1196"/>
              </w:tabs>
              <w:spacing w:after="0" w:line="240" w:lineRule="auto"/>
              <w:jc w:val="both"/>
              <w:rPr>
                <w:rFonts w:ascii="Times New Roman" w:hAnsi="Times New Roman"/>
                <w:lang w:val="ro-MD"/>
              </w:rPr>
            </w:pPr>
          </w:p>
          <w:p w14:paraId="2B6FF182" w14:textId="77777777" w:rsidR="006F5341" w:rsidRDefault="006F5341" w:rsidP="00AF2480">
            <w:pPr>
              <w:tabs>
                <w:tab w:val="left" w:pos="884"/>
                <w:tab w:val="left" w:pos="1196"/>
              </w:tabs>
              <w:spacing w:after="0" w:line="240" w:lineRule="auto"/>
              <w:jc w:val="both"/>
              <w:rPr>
                <w:rFonts w:ascii="Times New Roman" w:hAnsi="Times New Roman"/>
                <w:lang w:val="ro-MD"/>
              </w:rPr>
            </w:pPr>
            <w:r w:rsidRPr="006F5341">
              <w:rPr>
                <w:rFonts w:ascii="Times New Roman" w:hAnsi="Times New Roman"/>
                <w:b/>
                <w:bCs/>
                <w:lang w:val="ro-MD"/>
              </w:rPr>
              <w:t>Se acceptă</w:t>
            </w:r>
            <w:r>
              <w:rPr>
                <w:rFonts w:ascii="Times New Roman" w:hAnsi="Times New Roman"/>
                <w:lang w:val="ro-MD"/>
              </w:rPr>
              <w:t>.</w:t>
            </w:r>
          </w:p>
          <w:p w14:paraId="6F90FA05" w14:textId="77777777" w:rsidR="006F5341" w:rsidRDefault="006F5341" w:rsidP="00AF2480">
            <w:pPr>
              <w:tabs>
                <w:tab w:val="left" w:pos="884"/>
                <w:tab w:val="left" w:pos="1196"/>
              </w:tabs>
              <w:spacing w:after="0" w:line="240" w:lineRule="auto"/>
              <w:jc w:val="both"/>
              <w:rPr>
                <w:rFonts w:ascii="Times New Roman" w:hAnsi="Times New Roman"/>
                <w:lang w:val="ro-MD"/>
              </w:rPr>
            </w:pPr>
            <w:r>
              <w:rPr>
                <w:rFonts w:ascii="Times New Roman" w:hAnsi="Times New Roman"/>
                <w:lang w:val="ro-MD"/>
              </w:rPr>
              <w:t xml:space="preserve">Au fost operate </w:t>
            </w:r>
            <w:proofErr w:type="spellStart"/>
            <w:r>
              <w:rPr>
                <w:rFonts w:ascii="Times New Roman" w:hAnsi="Times New Roman"/>
                <w:lang w:val="ro-MD"/>
              </w:rPr>
              <w:t>modificarile</w:t>
            </w:r>
            <w:proofErr w:type="spellEnd"/>
            <w:r>
              <w:rPr>
                <w:rFonts w:ascii="Times New Roman" w:hAnsi="Times New Roman"/>
                <w:lang w:val="ro-MD"/>
              </w:rPr>
              <w:t xml:space="preserve"> respective.</w:t>
            </w:r>
          </w:p>
          <w:p w14:paraId="55063CAB"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4FEAEDAD"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3B874633"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4FD49577"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4D69BC19"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05B43F96"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3F08BC3F"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767AA884"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3C91C7DA"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63F21839"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3FC1E809"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58A0A65F"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05193489"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4A30070E"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1453EB51"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64B4758F" w14:textId="77777777" w:rsidR="00C64F21" w:rsidRDefault="00C64F21" w:rsidP="00AF2480">
            <w:pPr>
              <w:tabs>
                <w:tab w:val="left" w:pos="884"/>
                <w:tab w:val="left" w:pos="1196"/>
              </w:tabs>
              <w:spacing w:after="0" w:line="240" w:lineRule="auto"/>
              <w:jc w:val="both"/>
              <w:rPr>
                <w:rFonts w:ascii="Times New Roman" w:hAnsi="Times New Roman"/>
                <w:lang w:val="ro-MD"/>
              </w:rPr>
            </w:pPr>
          </w:p>
          <w:p w14:paraId="27531B5D" w14:textId="07701F00" w:rsidR="00C64F21" w:rsidRPr="00BB3E37" w:rsidRDefault="00BB3E37" w:rsidP="00AF2480">
            <w:pPr>
              <w:tabs>
                <w:tab w:val="left" w:pos="884"/>
                <w:tab w:val="left" w:pos="1196"/>
              </w:tabs>
              <w:spacing w:after="0" w:line="240" w:lineRule="auto"/>
              <w:jc w:val="both"/>
              <w:rPr>
                <w:rFonts w:ascii="Times New Roman" w:hAnsi="Times New Roman"/>
                <w:b/>
                <w:bCs/>
                <w:lang w:val="ro-MD"/>
              </w:rPr>
            </w:pPr>
            <w:r w:rsidRPr="00BB3E37">
              <w:rPr>
                <w:rFonts w:ascii="Times New Roman" w:hAnsi="Times New Roman"/>
                <w:b/>
                <w:bCs/>
                <w:lang w:val="ro-MD"/>
              </w:rPr>
              <w:t>Se acceptă parțial.</w:t>
            </w:r>
          </w:p>
          <w:p w14:paraId="79E6344C" w14:textId="77777777" w:rsidR="00323930" w:rsidRDefault="00E056B9" w:rsidP="00AF2480">
            <w:pPr>
              <w:tabs>
                <w:tab w:val="left" w:pos="884"/>
                <w:tab w:val="left" w:pos="1196"/>
              </w:tabs>
              <w:spacing w:after="0" w:line="240" w:lineRule="auto"/>
              <w:jc w:val="both"/>
              <w:rPr>
                <w:rFonts w:ascii="Times New Roman" w:hAnsi="Times New Roman"/>
                <w:lang w:val="ro-MD"/>
              </w:rPr>
            </w:pPr>
            <w:r>
              <w:rPr>
                <w:rFonts w:ascii="Times New Roman" w:hAnsi="Times New Roman"/>
                <w:lang w:val="ro-MD"/>
              </w:rPr>
              <w:t xml:space="preserve">Republica Moldova deocamdată nu a transpus reglementările UE menționate în obiecție și, prin urmare, având în vedere că implementarea Regulamentului respectiv nu este posibilă fără </w:t>
            </w:r>
            <w:r w:rsidR="00F85DBB">
              <w:rPr>
                <w:rFonts w:ascii="Times New Roman" w:hAnsi="Times New Roman"/>
                <w:lang w:val="ro-MD"/>
              </w:rPr>
              <w:t>trimiterile respective, a fost decisă păstrarea</w:t>
            </w:r>
            <w:r w:rsidR="00234CF7">
              <w:rPr>
                <w:rFonts w:ascii="Times New Roman" w:hAnsi="Times New Roman"/>
                <w:lang w:val="ro-MD"/>
              </w:rPr>
              <w:t xml:space="preserve"> acestora. Mai mult, păstrarea respectivelor trimiteri este în linie cu recomandările Centrului pentru Armonizarea Legislației </w:t>
            </w:r>
            <w:r w:rsidR="00F5357B">
              <w:rPr>
                <w:rFonts w:ascii="Times New Roman" w:hAnsi="Times New Roman"/>
                <w:lang w:val="ro-MD"/>
              </w:rPr>
              <w:t>și, este una judicioasă, în special în contextul statutul de țară-</w:t>
            </w:r>
            <w:proofErr w:type="spellStart"/>
            <w:r w:rsidR="00F5357B">
              <w:rPr>
                <w:rFonts w:ascii="Times New Roman" w:hAnsi="Times New Roman"/>
                <w:lang w:val="ro-MD"/>
              </w:rPr>
              <w:t>dandidat</w:t>
            </w:r>
            <w:proofErr w:type="spellEnd"/>
            <w:r w:rsidR="00F5357B">
              <w:rPr>
                <w:rFonts w:ascii="Times New Roman" w:hAnsi="Times New Roman"/>
                <w:lang w:val="ro-MD"/>
              </w:rPr>
              <w:t xml:space="preserve"> la aderare la UE.</w:t>
            </w:r>
          </w:p>
          <w:p w14:paraId="638D5871" w14:textId="77777777" w:rsidR="00E73235" w:rsidRDefault="009B4B79" w:rsidP="003A32E9">
            <w:pPr>
              <w:tabs>
                <w:tab w:val="left" w:pos="884"/>
                <w:tab w:val="left" w:pos="1196"/>
              </w:tabs>
              <w:spacing w:after="0" w:line="240" w:lineRule="auto"/>
              <w:jc w:val="both"/>
              <w:rPr>
                <w:rFonts w:ascii="Times New Roman" w:hAnsi="Times New Roman"/>
                <w:lang w:val="ro-MD"/>
              </w:rPr>
            </w:pPr>
            <w:r>
              <w:rPr>
                <w:rFonts w:ascii="Times New Roman" w:hAnsi="Times New Roman"/>
                <w:lang w:val="ro-MD"/>
              </w:rPr>
              <w:lastRenderedPageBreak/>
              <w:t xml:space="preserve">Aducem drept exemplu și decizia recentă a Guvernului – HG 693/2014 </w:t>
            </w:r>
            <w:r w:rsidR="003A32E9" w:rsidRPr="003A32E9">
              <w:rPr>
                <w:rFonts w:ascii="Times New Roman" w:hAnsi="Times New Roman"/>
                <w:lang w:val="ro-MD"/>
              </w:rPr>
              <w:t>pentru aprobarea Reglementării tehnice</w:t>
            </w:r>
            <w:r w:rsidR="003A32E9">
              <w:rPr>
                <w:rFonts w:ascii="Times New Roman" w:hAnsi="Times New Roman"/>
                <w:lang w:val="ro-MD"/>
              </w:rPr>
              <w:t xml:space="preserve"> </w:t>
            </w:r>
            <w:r w:rsidR="003A32E9" w:rsidRPr="003A32E9">
              <w:rPr>
                <w:rFonts w:ascii="Times New Roman" w:hAnsi="Times New Roman"/>
                <w:lang w:val="ro-MD"/>
              </w:rPr>
              <w:t>cu privire la etichetarea pneurilor</w:t>
            </w:r>
            <w:r w:rsidR="003A32E9">
              <w:rPr>
                <w:rFonts w:ascii="Times New Roman" w:hAnsi="Times New Roman"/>
                <w:lang w:val="ro-MD"/>
              </w:rPr>
              <w:t xml:space="preserve">, care </w:t>
            </w:r>
            <w:r w:rsidR="008B67AC">
              <w:rPr>
                <w:rFonts w:ascii="Times New Roman" w:hAnsi="Times New Roman"/>
                <w:lang w:val="ro-MD"/>
              </w:rPr>
              <w:t xml:space="preserve">a inclus o trimitere la </w:t>
            </w:r>
            <w:r w:rsidR="008B67AC" w:rsidRPr="008B67AC">
              <w:rPr>
                <w:rFonts w:ascii="Times New Roman" w:hAnsi="Times New Roman"/>
                <w:lang w:val="ro-MD"/>
              </w:rPr>
              <w:t xml:space="preserve">Regulamentele nr. 117, 54, 30 ale Comisiei Economice a </w:t>
            </w:r>
            <w:proofErr w:type="spellStart"/>
            <w:r w:rsidR="008B67AC" w:rsidRPr="008B67AC">
              <w:rPr>
                <w:rFonts w:ascii="Times New Roman" w:hAnsi="Times New Roman"/>
                <w:lang w:val="ro-MD"/>
              </w:rPr>
              <w:t>Organizaţiei</w:t>
            </w:r>
            <w:proofErr w:type="spellEnd"/>
            <w:r w:rsidR="008B67AC" w:rsidRPr="008B67AC">
              <w:rPr>
                <w:rFonts w:ascii="Times New Roman" w:hAnsi="Times New Roman"/>
                <w:lang w:val="ro-MD"/>
              </w:rPr>
              <w:t xml:space="preserve"> </w:t>
            </w:r>
            <w:proofErr w:type="spellStart"/>
            <w:r w:rsidR="008B67AC" w:rsidRPr="008B67AC">
              <w:rPr>
                <w:rFonts w:ascii="Times New Roman" w:hAnsi="Times New Roman"/>
                <w:lang w:val="ro-MD"/>
              </w:rPr>
              <w:t>Naţiunilor</w:t>
            </w:r>
            <w:proofErr w:type="spellEnd"/>
            <w:r w:rsidR="008B67AC" w:rsidRPr="008B67AC">
              <w:rPr>
                <w:rFonts w:ascii="Times New Roman" w:hAnsi="Times New Roman"/>
                <w:lang w:val="ro-MD"/>
              </w:rPr>
              <w:t xml:space="preserve"> Unite pentru Europa, cu modificările ulterioare</w:t>
            </w:r>
            <w:r w:rsidR="008B67AC">
              <w:rPr>
                <w:rFonts w:ascii="Times New Roman" w:hAnsi="Times New Roman"/>
                <w:lang w:val="ro-MD"/>
              </w:rPr>
              <w:t>.</w:t>
            </w:r>
          </w:p>
          <w:p w14:paraId="47F0495A" w14:textId="77777777" w:rsidR="00E73235" w:rsidRDefault="00E73235" w:rsidP="003A32E9">
            <w:pPr>
              <w:tabs>
                <w:tab w:val="left" w:pos="884"/>
                <w:tab w:val="left" w:pos="1196"/>
              </w:tabs>
              <w:spacing w:after="0" w:line="240" w:lineRule="auto"/>
              <w:jc w:val="both"/>
              <w:rPr>
                <w:rFonts w:ascii="Times New Roman" w:hAnsi="Times New Roman"/>
                <w:lang w:val="ro-MD"/>
              </w:rPr>
            </w:pPr>
          </w:p>
          <w:p w14:paraId="58EBA98D" w14:textId="0F90FAC0" w:rsidR="00F5357B" w:rsidRDefault="00323930" w:rsidP="003A32E9">
            <w:pPr>
              <w:tabs>
                <w:tab w:val="left" w:pos="884"/>
                <w:tab w:val="left" w:pos="1196"/>
              </w:tabs>
              <w:spacing w:after="0" w:line="240" w:lineRule="auto"/>
              <w:jc w:val="both"/>
              <w:rPr>
                <w:rFonts w:ascii="Times New Roman" w:hAnsi="Times New Roman"/>
                <w:lang w:val="ro-MD"/>
              </w:rPr>
            </w:pPr>
            <w:r>
              <w:rPr>
                <w:rFonts w:ascii="Times New Roman" w:hAnsi="Times New Roman"/>
                <w:lang w:val="ro-MD"/>
              </w:rPr>
              <w:br/>
            </w:r>
          </w:p>
          <w:p w14:paraId="4C7D0541" w14:textId="77777777" w:rsidR="00D340C3" w:rsidRDefault="00D340C3" w:rsidP="00AF2480">
            <w:pPr>
              <w:tabs>
                <w:tab w:val="left" w:pos="884"/>
                <w:tab w:val="left" w:pos="1196"/>
              </w:tabs>
              <w:spacing w:after="0" w:line="240" w:lineRule="auto"/>
              <w:jc w:val="both"/>
              <w:rPr>
                <w:rFonts w:ascii="Times New Roman" w:hAnsi="Times New Roman"/>
                <w:lang w:val="ro-MD"/>
              </w:rPr>
            </w:pPr>
          </w:p>
          <w:p w14:paraId="26CE0EB3" w14:textId="77777777" w:rsidR="0059539B" w:rsidRDefault="00234CF7" w:rsidP="00AF2480">
            <w:pPr>
              <w:tabs>
                <w:tab w:val="left" w:pos="884"/>
                <w:tab w:val="left" w:pos="1196"/>
              </w:tabs>
              <w:spacing w:after="0" w:line="240" w:lineRule="auto"/>
              <w:jc w:val="both"/>
              <w:rPr>
                <w:rFonts w:ascii="Times New Roman" w:hAnsi="Times New Roman"/>
                <w:lang w:val="ro-MD"/>
              </w:rPr>
            </w:pPr>
            <w:r>
              <w:rPr>
                <w:rFonts w:ascii="Times New Roman" w:hAnsi="Times New Roman"/>
                <w:lang w:val="ro-MD"/>
              </w:rPr>
              <w:t xml:space="preserve"> </w:t>
            </w:r>
            <w:r w:rsidR="00F85DBB">
              <w:rPr>
                <w:rFonts w:ascii="Times New Roman" w:hAnsi="Times New Roman"/>
                <w:lang w:val="ro-MD"/>
              </w:rPr>
              <w:t xml:space="preserve"> </w:t>
            </w:r>
          </w:p>
          <w:p w14:paraId="60A150FB" w14:textId="77777777" w:rsidR="0059539B" w:rsidRDefault="0059539B" w:rsidP="00AF2480">
            <w:pPr>
              <w:tabs>
                <w:tab w:val="left" w:pos="884"/>
                <w:tab w:val="left" w:pos="1196"/>
              </w:tabs>
              <w:spacing w:after="0" w:line="240" w:lineRule="auto"/>
              <w:jc w:val="both"/>
              <w:rPr>
                <w:rFonts w:ascii="Times New Roman" w:hAnsi="Times New Roman"/>
                <w:lang w:val="ro-MD"/>
              </w:rPr>
            </w:pPr>
          </w:p>
          <w:p w14:paraId="24C9D48E" w14:textId="77777777" w:rsidR="0059539B" w:rsidRDefault="0059539B" w:rsidP="00AF2480">
            <w:pPr>
              <w:tabs>
                <w:tab w:val="left" w:pos="884"/>
                <w:tab w:val="left" w:pos="1196"/>
              </w:tabs>
              <w:spacing w:after="0" w:line="240" w:lineRule="auto"/>
              <w:jc w:val="both"/>
              <w:rPr>
                <w:rFonts w:ascii="Times New Roman" w:hAnsi="Times New Roman"/>
                <w:lang w:val="ro-MD"/>
              </w:rPr>
            </w:pPr>
          </w:p>
          <w:p w14:paraId="14B2B750" w14:textId="77777777" w:rsidR="0059539B" w:rsidRDefault="0059539B" w:rsidP="00AF2480">
            <w:pPr>
              <w:tabs>
                <w:tab w:val="left" w:pos="884"/>
                <w:tab w:val="left" w:pos="1196"/>
              </w:tabs>
              <w:spacing w:after="0" w:line="240" w:lineRule="auto"/>
              <w:jc w:val="both"/>
              <w:rPr>
                <w:rFonts w:ascii="Times New Roman" w:hAnsi="Times New Roman"/>
                <w:lang w:val="ro-MD"/>
              </w:rPr>
            </w:pPr>
          </w:p>
          <w:p w14:paraId="5658ADCE" w14:textId="77777777" w:rsidR="0059539B" w:rsidRDefault="0059539B" w:rsidP="00AF2480">
            <w:pPr>
              <w:tabs>
                <w:tab w:val="left" w:pos="884"/>
                <w:tab w:val="left" w:pos="1196"/>
              </w:tabs>
              <w:spacing w:after="0" w:line="240" w:lineRule="auto"/>
              <w:jc w:val="both"/>
              <w:rPr>
                <w:rFonts w:ascii="Times New Roman" w:hAnsi="Times New Roman"/>
                <w:lang w:val="ro-MD"/>
              </w:rPr>
            </w:pPr>
          </w:p>
          <w:p w14:paraId="50468DC6" w14:textId="77777777" w:rsidR="0059539B" w:rsidRDefault="0059539B" w:rsidP="00AF2480">
            <w:pPr>
              <w:tabs>
                <w:tab w:val="left" w:pos="884"/>
                <w:tab w:val="left" w:pos="1196"/>
              </w:tabs>
              <w:spacing w:after="0" w:line="240" w:lineRule="auto"/>
              <w:jc w:val="both"/>
              <w:rPr>
                <w:rFonts w:ascii="Times New Roman" w:hAnsi="Times New Roman"/>
                <w:lang w:val="ro-MD"/>
              </w:rPr>
            </w:pPr>
          </w:p>
          <w:p w14:paraId="5DB6E999" w14:textId="77777777" w:rsidR="0059539B" w:rsidRPr="0059539B" w:rsidRDefault="0059539B" w:rsidP="00AF2480">
            <w:pPr>
              <w:tabs>
                <w:tab w:val="left" w:pos="884"/>
                <w:tab w:val="left" w:pos="1196"/>
              </w:tabs>
              <w:spacing w:after="0" w:line="240" w:lineRule="auto"/>
              <w:jc w:val="both"/>
              <w:rPr>
                <w:rFonts w:ascii="Times New Roman" w:hAnsi="Times New Roman"/>
                <w:b/>
                <w:bCs/>
                <w:lang w:val="ro-MD"/>
              </w:rPr>
            </w:pPr>
            <w:r w:rsidRPr="0059539B">
              <w:rPr>
                <w:rFonts w:ascii="Times New Roman" w:hAnsi="Times New Roman"/>
                <w:b/>
                <w:bCs/>
                <w:lang w:val="ro-MD"/>
              </w:rPr>
              <w:t>Se acceptă.</w:t>
            </w:r>
          </w:p>
          <w:p w14:paraId="26C8A7B4" w14:textId="20C2439C" w:rsidR="001A4B40" w:rsidRDefault="0059539B" w:rsidP="001A4B40">
            <w:pPr>
              <w:tabs>
                <w:tab w:val="left" w:pos="884"/>
                <w:tab w:val="left" w:pos="1196"/>
              </w:tabs>
              <w:spacing w:after="0" w:line="240" w:lineRule="auto"/>
              <w:jc w:val="both"/>
              <w:rPr>
                <w:rFonts w:ascii="Times New Roman" w:hAnsi="Times New Roman"/>
                <w:lang w:val="ro-MD"/>
              </w:rPr>
            </w:pPr>
            <w:r>
              <w:rPr>
                <w:rFonts w:ascii="Times New Roman" w:hAnsi="Times New Roman"/>
                <w:lang w:val="ro-MD"/>
              </w:rPr>
              <w:t>A fost modificat</w:t>
            </w:r>
            <w:r w:rsidR="00FA0341">
              <w:rPr>
                <w:rFonts w:ascii="Times New Roman" w:hAnsi="Times New Roman"/>
                <w:lang w:val="ro-MD"/>
              </w:rPr>
              <w:t xml:space="preserve"> subcapitolul 2.2, astfel ca accent</w:t>
            </w:r>
            <w:r w:rsidR="00FB70E3">
              <w:rPr>
                <w:rFonts w:ascii="Times New Roman" w:hAnsi="Times New Roman"/>
                <w:lang w:val="ro-MD"/>
              </w:rPr>
              <w:t>ul</w:t>
            </w:r>
            <w:r w:rsidR="00FA0341">
              <w:rPr>
                <w:rFonts w:ascii="Times New Roman" w:hAnsi="Times New Roman"/>
                <w:lang w:val="ro-MD"/>
              </w:rPr>
              <w:t xml:space="preserve">, în primă instanță, </w:t>
            </w:r>
            <w:r w:rsidR="002D522F">
              <w:rPr>
                <w:rFonts w:ascii="Times New Roman" w:hAnsi="Times New Roman"/>
                <w:lang w:val="ro-MD"/>
              </w:rPr>
              <w:t xml:space="preserve">a fost </w:t>
            </w:r>
            <w:r w:rsidR="00FA0341">
              <w:rPr>
                <w:rFonts w:ascii="Times New Roman" w:hAnsi="Times New Roman"/>
                <w:lang w:val="ro-MD"/>
              </w:rPr>
              <w:t>pus pe prob</w:t>
            </w:r>
            <w:r w:rsidR="0078001B">
              <w:rPr>
                <w:rFonts w:ascii="Times New Roman" w:hAnsi="Times New Roman"/>
                <w:lang w:val="ro-MD"/>
              </w:rPr>
              <w:t>le</w:t>
            </w:r>
            <w:r w:rsidR="00FA0341">
              <w:rPr>
                <w:rFonts w:ascii="Times New Roman" w:hAnsi="Times New Roman"/>
                <w:lang w:val="ro-MD"/>
              </w:rPr>
              <w:t>ma informării corect</w:t>
            </w:r>
            <w:r w:rsidR="0078001B">
              <w:rPr>
                <w:rFonts w:ascii="Times New Roman" w:hAnsi="Times New Roman"/>
                <w:lang w:val="ro-MD"/>
              </w:rPr>
              <w:t>e</w:t>
            </w:r>
            <w:r w:rsidR="00FA0341">
              <w:rPr>
                <w:rFonts w:ascii="Times New Roman" w:hAnsi="Times New Roman"/>
                <w:lang w:val="ro-MD"/>
              </w:rPr>
              <w:t xml:space="preserve"> și la zi a consumatorului din Republica Moldova, și </w:t>
            </w:r>
            <w:r w:rsidR="0078001B">
              <w:rPr>
                <w:rFonts w:ascii="Times New Roman" w:hAnsi="Times New Roman"/>
                <w:lang w:val="ro-MD"/>
              </w:rPr>
              <w:t>abia pe plan secund au fost p</w:t>
            </w:r>
            <w:r w:rsidR="002D522F">
              <w:rPr>
                <w:rFonts w:ascii="Times New Roman" w:hAnsi="Times New Roman"/>
                <w:lang w:val="ro-MD"/>
              </w:rPr>
              <w:t xml:space="preserve">lasate </w:t>
            </w:r>
            <w:r w:rsidR="0078001B">
              <w:rPr>
                <w:rFonts w:ascii="Times New Roman" w:hAnsi="Times New Roman"/>
                <w:lang w:val="ro-MD"/>
              </w:rPr>
              <w:t xml:space="preserve">obligațiile și angajamentele </w:t>
            </w:r>
            <w:r w:rsidR="00964228">
              <w:rPr>
                <w:rFonts w:ascii="Times New Roman" w:hAnsi="Times New Roman"/>
                <w:lang w:val="ro-MD"/>
              </w:rPr>
              <w:t>statului asumate în cadrul unor tratate internaționale.</w:t>
            </w:r>
          </w:p>
          <w:p w14:paraId="09BFCB0D" w14:textId="77777777" w:rsidR="00002339" w:rsidRDefault="001A4B40" w:rsidP="001A4B40">
            <w:pPr>
              <w:tabs>
                <w:tab w:val="left" w:pos="884"/>
                <w:tab w:val="left" w:pos="1196"/>
              </w:tabs>
              <w:spacing w:after="0" w:line="240" w:lineRule="auto"/>
              <w:jc w:val="both"/>
              <w:rPr>
                <w:rFonts w:ascii="Times New Roman" w:hAnsi="Times New Roman"/>
                <w:lang w:val="ro-MD"/>
              </w:rPr>
            </w:pPr>
            <w:r>
              <w:rPr>
                <w:rFonts w:ascii="Times New Roman" w:hAnsi="Times New Roman"/>
                <w:lang w:val="ro-MD"/>
              </w:rPr>
              <w:t xml:space="preserve">Analiza precizează că </w:t>
            </w:r>
            <w:proofErr w:type="spellStart"/>
            <w:r>
              <w:rPr>
                <w:rFonts w:ascii="Times New Roman" w:hAnsi="Times New Roman"/>
                <w:lang w:val="ro-MD"/>
              </w:rPr>
              <w:t>toși</w:t>
            </w:r>
            <w:proofErr w:type="spellEnd"/>
            <w:r>
              <w:rPr>
                <w:rFonts w:ascii="Times New Roman" w:hAnsi="Times New Roman"/>
                <w:lang w:val="ro-MD"/>
              </w:rPr>
              <w:t xml:space="preserve"> consumatorii din Republica Moldova, i.e. toți </w:t>
            </w:r>
            <w:r w:rsidR="00002339">
              <w:rPr>
                <w:rFonts w:ascii="Times New Roman" w:hAnsi="Times New Roman"/>
                <w:lang w:val="ro-MD"/>
              </w:rPr>
              <w:t>cetățenii, sunt vizați de respectivele politici.</w:t>
            </w:r>
          </w:p>
          <w:p w14:paraId="1B764A9E" w14:textId="09407B1D" w:rsidR="0059539B" w:rsidRDefault="001A4B40" w:rsidP="001A4B40">
            <w:pPr>
              <w:tabs>
                <w:tab w:val="left" w:pos="884"/>
                <w:tab w:val="left" w:pos="1196"/>
              </w:tabs>
              <w:spacing w:after="0" w:line="240" w:lineRule="auto"/>
              <w:jc w:val="both"/>
              <w:rPr>
                <w:rFonts w:ascii="Times New Roman" w:hAnsi="Times New Roman"/>
                <w:lang w:val="ro-MD"/>
              </w:rPr>
            </w:pPr>
            <w:r>
              <w:rPr>
                <w:rFonts w:ascii="Times New Roman" w:hAnsi="Times New Roman"/>
                <w:lang w:val="ro-MD"/>
              </w:rPr>
              <w:t xml:space="preserve"> </w:t>
            </w:r>
            <w:r w:rsidR="0059539B">
              <w:rPr>
                <w:rFonts w:ascii="Times New Roman" w:hAnsi="Times New Roman"/>
                <w:lang w:val="ro-MD"/>
              </w:rPr>
              <w:br/>
            </w:r>
          </w:p>
          <w:p w14:paraId="75317A5E" w14:textId="77777777" w:rsidR="00061D59" w:rsidRDefault="006F5341" w:rsidP="00AF2480">
            <w:pPr>
              <w:tabs>
                <w:tab w:val="left" w:pos="884"/>
                <w:tab w:val="left" w:pos="1196"/>
              </w:tabs>
              <w:spacing w:after="0" w:line="240" w:lineRule="auto"/>
              <w:jc w:val="both"/>
              <w:rPr>
                <w:rFonts w:ascii="Times New Roman" w:hAnsi="Times New Roman"/>
                <w:lang w:val="ro-MD"/>
              </w:rPr>
            </w:pPr>
            <w:r>
              <w:rPr>
                <w:rFonts w:ascii="Times New Roman" w:hAnsi="Times New Roman"/>
                <w:lang w:val="ro-MD"/>
              </w:rPr>
              <w:br/>
            </w:r>
          </w:p>
          <w:p w14:paraId="0B22CACE" w14:textId="77777777" w:rsidR="001A7A96" w:rsidRDefault="001A7A96" w:rsidP="00AF2480">
            <w:pPr>
              <w:tabs>
                <w:tab w:val="left" w:pos="884"/>
                <w:tab w:val="left" w:pos="1196"/>
              </w:tabs>
              <w:spacing w:after="0" w:line="240" w:lineRule="auto"/>
              <w:jc w:val="both"/>
              <w:rPr>
                <w:rFonts w:ascii="Times New Roman" w:hAnsi="Times New Roman"/>
                <w:lang w:val="ro-MD"/>
              </w:rPr>
            </w:pPr>
          </w:p>
          <w:p w14:paraId="17EE3180" w14:textId="77777777" w:rsidR="001A7A96" w:rsidRDefault="001A7A96" w:rsidP="00AF2480">
            <w:pPr>
              <w:tabs>
                <w:tab w:val="left" w:pos="884"/>
                <w:tab w:val="left" w:pos="1196"/>
              </w:tabs>
              <w:spacing w:after="0" w:line="240" w:lineRule="auto"/>
              <w:jc w:val="both"/>
              <w:rPr>
                <w:rFonts w:ascii="Times New Roman" w:hAnsi="Times New Roman"/>
                <w:lang w:val="ro-MD"/>
              </w:rPr>
            </w:pPr>
          </w:p>
          <w:p w14:paraId="668F0546" w14:textId="77777777" w:rsidR="001A7A96" w:rsidRDefault="001A7A96" w:rsidP="00AF2480">
            <w:pPr>
              <w:tabs>
                <w:tab w:val="left" w:pos="884"/>
                <w:tab w:val="left" w:pos="1196"/>
              </w:tabs>
              <w:spacing w:after="0" w:line="240" w:lineRule="auto"/>
              <w:jc w:val="both"/>
              <w:rPr>
                <w:rFonts w:ascii="Times New Roman" w:hAnsi="Times New Roman"/>
                <w:lang w:val="ro-MD"/>
              </w:rPr>
            </w:pPr>
          </w:p>
          <w:p w14:paraId="41B40E06" w14:textId="77777777" w:rsidR="001A7A96" w:rsidRDefault="001A7A96" w:rsidP="00AF2480">
            <w:pPr>
              <w:tabs>
                <w:tab w:val="left" w:pos="884"/>
                <w:tab w:val="left" w:pos="1196"/>
              </w:tabs>
              <w:spacing w:after="0" w:line="240" w:lineRule="auto"/>
              <w:jc w:val="both"/>
              <w:rPr>
                <w:rFonts w:ascii="Times New Roman" w:hAnsi="Times New Roman"/>
                <w:lang w:val="ro-MD"/>
              </w:rPr>
            </w:pPr>
          </w:p>
          <w:p w14:paraId="6EB78134" w14:textId="45D04003" w:rsidR="001A7A96" w:rsidRPr="00363FD3" w:rsidRDefault="001A7A96" w:rsidP="00AF2480">
            <w:pPr>
              <w:tabs>
                <w:tab w:val="left" w:pos="884"/>
                <w:tab w:val="left" w:pos="1196"/>
              </w:tabs>
              <w:spacing w:after="0" w:line="240" w:lineRule="auto"/>
              <w:jc w:val="both"/>
              <w:rPr>
                <w:rFonts w:ascii="Times New Roman" w:hAnsi="Times New Roman"/>
                <w:b/>
                <w:bCs/>
                <w:lang w:val="ro-MD"/>
              </w:rPr>
            </w:pPr>
            <w:r w:rsidRPr="00363FD3">
              <w:rPr>
                <w:rFonts w:ascii="Times New Roman" w:hAnsi="Times New Roman"/>
                <w:b/>
                <w:bCs/>
                <w:lang w:val="ro-MD"/>
              </w:rPr>
              <w:lastRenderedPageBreak/>
              <w:t>Se acceptă.</w:t>
            </w:r>
          </w:p>
          <w:p w14:paraId="1CB646DD" w14:textId="77777777" w:rsidR="001A7A96" w:rsidRDefault="00363FD3" w:rsidP="00AF2480">
            <w:pPr>
              <w:tabs>
                <w:tab w:val="left" w:pos="884"/>
                <w:tab w:val="left" w:pos="1196"/>
              </w:tabs>
              <w:spacing w:after="0" w:line="240" w:lineRule="auto"/>
              <w:jc w:val="both"/>
              <w:rPr>
                <w:rFonts w:ascii="Times New Roman" w:hAnsi="Times New Roman"/>
                <w:lang w:val="ro-MD"/>
              </w:rPr>
            </w:pPr>
            <w:r>
              <w:rPr>
                <w:rFonts w:ascii="Times New Roman" w:hAnsi="Times New Roman"/>
                <w:lang w:val="ro-MD"/>
              </w:rPr>
              <w:t>Au fost operate modificările necesare la pct. 3.1</w:t>
            </w:r>
            <w:r w:rsidR="009F5DB5">
              <w:rPr>
                <w:rFonts w:ascii="Times New Roman" w:hAnsi="Times New Roman"/>
                <w:lang w:val="ro-MD"/>
              </w:rPr>
              <w:t>.</w:t>
            </w:r>
          </w:p>
          <w:p w14:paraId="201E3C50" w14:textId="77777777" w:rsidR="009F5DB5" w:rsidRDefault="009F5DB5" w:rsidP="00AF2480">
            <w:pPr>
              <w:tabs>
                <w:tab w:val="left" w:pos="884"/>
                <w:tab w:val="left" w:pos="1196"/>
              </w:tabs>
              <w:spacing w:after="0" w:line="240" w:lineRule="auto"/>
              <w:jc w:val="both"/>
              <w:rPr>
                <w:rFonts w:ascii="Times New Roman" w:hAnsi="Times New Roman"/>
                <w:lang w:val="ro-MD"/>
              </w:rPr>
            </w:pPr>
          </w:p>
          <w:p w14:paraId="6F4A7D60" w14:textId="77777777" w:rsidR="009F5DB5" w:rsidRDefault="009F5DB5" w:rsidP="00AF2480">
            <w:pPr>
              <w:tabs>
                <w:tab w:val="left" w:pos="884"/>
                <w:tab w:val="left" w:pos="1196"/>
              </w:tabs>
              <w:spacing w:after="0" w:line="240" w:lineRule="auto"/>
              <w:jc w:val="both"/>
              <w:rPr>
                <w:rFonts w:ascii="Times New Roman" w:hAnsi="Times New Roman"/>
                <w:lang w:val="ro-MD"/>
              </w:rPr>
            </w:pPr>
          </w:p>
          <w:p w14:paraId="2429F317" w14:textId="77777777" w:rsidR="009F5DB5" w:rsidRDefault="009F5DB5" w:rsidP="00AF2480">
            <w:pPr>
              <w:tabs>
                <w:tab w:val="left" w:pos="884"/>
                <w:tab w:val="left" w:pos="1196"/>
              </w:tabs>
              <w:spacing w:after="0" w:line="240" w:lineRule="auto"/>
              <w:jc w:val="both"/>
              <w:rPr>
                <w:rFonts w:ascii="Times New Roman" w:hAnsi="Times New Roman"/>
                <w:lang w:val="ro-MD"/>
              </w:rPr>
            </w:pPr>
          </w:p>
          <w:p w14:paraId="03C46C2E" w14:textId="77777777" w:rsidR="009F5DB5" w:rsidRDefault="009F5DB5" w:rsidP="00AF2480">
            <w:pPr>
              <w:tabs>
                <w:tab w:val="left" w:pos="884"/>
                <w:tab w:val="left" w:pos="1196"/>
              </w:tabs>
              <w:spacing w:after="0" w:line="240" w:lineRule="auto"/>
              <w:jc w:val="both"/>
              <w:rPr>
                <w:rFonts w:ascii="Times New Roman" w:hAnsi="Times New Roman"/>
                <w:lang w:val="ro-MD"/>
              </w:rPr>
            </w:pPr>
          </w:p>
          <w:p w14:paraId="651359FD" w14:textId="77777777" w:rsidR="009F5DB5" w:rsidRDefault="009F5DB5" w:rsidP="00AF2480">
            <w:pPr>
              <w:tabs>
                <w:tab w:val="left" w:pos="884"/>
                <w:tab w:val="left" w:pos="1196"/>
              </w:tabs>
              <w:spacing w:after="0" w:line="240" w:lineRule="auto"/>
              <w:jc w:val="both"/>
              <w:rPr>
                <w:rFonts w:ascii="Times New Roman" w:hAnsi="Times New Roman"/>
                <w:lang w:val="ro-MD"/>
              </w:rPr>
            </w:pPr>
          </w:p>
          <w:p w14:paraId="154F22F0" w14:textId="77777777" w:rsidR="009F5DB5" w:rsidRDefault="009F5DB5" w:rsidP="00AF2480">
            <w:pPr>
              <w:tabs>
                <w:tab w:val="left" w:pos="884"/>
                <w:tab w:val="left" w:pos="1196"/>
              </w:tabs>
              <w:spacing w:after="0" w:line="240" w:lineRule="auto"/>
              <w:jc w:val="both"/>
              <w:rPr>
                <w:rFonts w:ascii="Times New Roman" w:hAnsi="Times New Roman"/>
                <w:lang w:val="ro-MD"/>
              </w:rPr>
            </w:pPr>
          </w:p>
          <w:p w14:paraId="3A7F7D1A" w14:textId="77777777" w:rsidR="009F5DB5" w:rsidRDefault="009F5DB5" w:rsidP="00AF2480">
            <w:pPr>
              <w:tabs>
                <w:tab w:val="left" w:pos="884"/>
                <w:tab w:val="left" w:pos="1196"/>
              </w:tabs>
              <w:spacing w:after="0" w:line="240" w:lineRule="auto"/>
              <w:jc w:val="both"/>
              <w:rPr>
                <w:rFonts w:ascii="Times New Roman" w:hAnsi="Times New Roman"/>
                <w:lang w:val="ro-MD"/>
              </w:rPr>
            </w:pPr>
          </w:p>
          <w:p w14:paraId="3D39C692" w14:textId="77777777" w:rsidR="009F5DB5" w:rsidRDefault="009F5DB5" w:rsidP="00AF2480">
            <w:pPr>
              <w:tabs>
                <w:tab w:val="left" w:pos="884"/>
                <w:tab w:val="left" w:pos="1196"/>
              </w:tabs>
              <w:spacing w:after="0" w:line="240" w:lineRule="auto"/>
              <w:jc w:val="both"/>
              <w:rPr>
                <w:rFonts w:ascii="Times New Roman" w:hAnsi="Times New Roman"/>
                <w:lang w:val="ro-MD"/>
              </w:rPr>
            </w:pPr>
          </w:p>
          <w:p w14:paraId="11D5D2B5" w14:textId="77777777" w:rsidR="009F5DB5" w:rsidRDefault="009F5DB5" w:rsidP="00AF2480">
            <w:pPr>
              <w:tabs>
                <w:tab w:val="left" w:pos="884"/>
                <w:tab w:val="left" w:pos="1196"/>
              </w:tabs>
              <w:spacing w:after="0" w:line="240" w:lineRule="auto"/>
              <w:jc w:val="both"/>
              <w:rPr>
                <w:rFonts w:ascii="Times New Roman" w:hAnsi="Times New Roman"/>
                <w:lang w:val="ro-MD"/>
              </w:rPr>
            </w:pPr>
          </w:p>
          <w:p w14:paraId="6D272DF7" w14:textId="77777777" w:rsidR="009F5DB5" w:rsidRDefault="009F5DB5" w:rsidP="00AF2480">
            <w:pPr>
              <w:tabs>
                <w:tab w:val="left" w:pos="884"/>
                <w:tab w:val="left" w:pos="1196"/>
              </w:tabs>
              <w:spacing w:after="0" w:line="240" w:lineRule="auto"/>
              <w:jc w:val="both"/>
              <w:rPr>
                <w:rFonts w:ascii="Times New Roman" w:hAnsi="Times New Roman"/>
                <w:lang w:val="ro-MD"/>
              </w:rPr>
            </w:pPr>
          </w:p>
          <w:p w14:paraId="1933EC52" w14:textId="77777777" w:rsidR="009F5DB5" w:rsidRDefault="009F5DB5" w:rsidP="00AF2480">
            <w:pPr>
              <w:tabs>
                <w:tab w:val="left" w:pos="884"/>
                <w:tab w:val="left" w:pos="1196"/>
              </w:tabs>
              <w:spacing w:after="0" w:line="240" w:lineRule="auto"/>
              <w:jc w:val="both"/>
              <w:rPr>
                <w:rFonts w:ascii="Times New Roman" w:hAnsi="Times New Roman"/>
                <w:lang w:val="ro-MD"/>
              </w:rPr>
            </w:pPr>
          </w:p>
          <w:p w14:paraId="77FDB48B" w14:textId="77777777" w:rsidR="009F5DB5" w:rsidRPr="00363FD3" w:rsidRDefault="009F5DB5" w:rsidP="009F5DB5">
            <w:pPr>
              <w:tabs>
                <w:tab w:val="left" w:pos="884"/>
                <w:tab w:val="left" w:pos="1196"/>
              </w:tabs>
              <w:spacing w:after="0" w:line="240" w:lineRule="auto"/>
              <w:jc w:val="both"/>
              <w:rPr>
                <w:rFonts w:ascii="Times New Roman" w:hAnsi="Times New Roman"/>
                <w:b/>
                <w:bCs/>
                <w:lang w:val="ro-MD"/>
              </w:rPr>
            </w:pPr>
            <w:r w:rsidRPr="00363FD3">
              <w:rPr>
                <w:rFonts w:ascii="Times New Roman" w:hAnsi="Times New Roman"/>
                <w:b/>
                <w:bCs/>
                <w:lang w:val="ro-MD"/>
              </w:rPr>
              <w:t>Se acceptă.</w:t>
            </w:r>
          </w:p>
          <w:p w14:paraId="3FEA8647" w14:textId="77777777" w:rsidR="009F5DB5" w:rsidRDefault="009F5DB5" w:rsidP="009F5DB5">
            <w:pPr>
              <w:tabs>
                <w:tab w:val="left" w:pos="884"/>
                <w:tab w:val="left" w:pos="1196"/>
              </w:tabs>
              <w:spacing w:after="0" w:line="240" w:lineRule="auto"/>
              <w:jc w:val="both"/>
              <w:rPr>
                <w:rFonts w:ascii="Times New Roman" w:hAnsi="Times New Roman"/>
                <w:lang w:val="ro-MD"/>
              </w:rPr>
            </w:pPr>
            <w:r>
              <w:rPr>
                <w:rFonts w:ascii="Times New Roman" w:hAnsi="Times New Roman"/>
                <w:lang w:val="ro-MD"/>
              </w:rPr>
              <w:t xml:space="preserve">Au fost operate modificările necesare la pct. </w:t>
            </w:r>
            <w:r w:rsidR="00E572FF">
              <w:rPr>
                <w:rFonts w:ascii="Times New Roman" w:hAnsi="Times New Roman"/>
                <w:lang w:val="ro-MD"/>
              </w:rPr>
              <w:t>4.3. Unicul tip de lucrări care ar</w:t>
            </w:r>
            <w:r w:rsidR="00022923">
              <w:rPr>
                <w:rFonts w:ascii="Times New Roman" w:hAnsi="Times New Roman"/>
                <w:lang w:val="ro-MD"/>
              </w:rPr>
              <w:t xml:space="preserve"> putea fi </w:t>
            </w:r>
            <w:r w:rsidR="00E572FF">
              <w:rPr>
                <w:rFonts w:ascii="Times New Roman" w:hAnsi="Times New Roman"/>
                <w:lang w:val="ro-MD"/>
              </w:rPr>
              <w:t>ne</w:t>
            </w:r>
            <w:r w:rsidR="00022923">
              <w:rPr>
                <w:rFonts w:ascii="Times New Roman" w:hAnsi="Times New Roman"/>
                <w:lang w:val="ro-MD"/>
              </w:rPr>
              <w:t>cesar</w:t>
            </w:r>
            <w:r w:rsidR="00E37743">
              <w:rPr>
                <w:rFonts w:ascii="Times New Roman" w:hAnsi="Times New Roman"/>
                <w:lang w:val="ro-MD"/>
              </w:rPr>
              <w:t xml:space="preserve"> de realizat de către fiecare comerciant, suplimentar la cele de bază, ar fi </w:t>
            </w:r>
            <w:r w:rsidR="009C284B" w:rsidRPr="009C284B">
              <w:rPr>
                <w:rFonts w:ascii="Times New Roman" w:hAnsi="Times New Roman"/>
                <w:lang w:val="ro-MD"/>
              </w:rPr>
              <w:t>completarea informațiilor de pe paginile sale web cu detalii despre clasa de performanță energetică a produsului, inclusiv plasarea versiunii electronice a etichetei</w:t>
            </w:r>
            <w:r w:rsidR="009C284B">
              <w:rPr>
                <w:rFonts w:ascii="Times New Roman" w:hAnsi="Times New Roman"/>
                <w:lang w:val="ro-MD"/>
              </w:rPr>
              <w:t>, după cum este solicitat de HG 1003/2014.</w:t>
            </w:r>
            <w:r w:rsidR="002247A6">
              <w:rPr>
                <w:rFonts w:ascii="Times New Roman" w:hAnsi="Times New Roman"/>
                <w:lang w:val="ro-MD"/>
              </w:rPr>
              <w:t xml:space="preserve"> P</w:t>
            </w:r>
            <w:r w:rsidR="002247A6" w:rsidRPr="002247A6">
              <w:rPr>
                <w:rFonts w:ascii="Times New Roman" w:hAnsi="Times New Roman"/>
                <w:lang w:val="ro-MD"/>
              </w:rPr>
              <w:t>ornind de la ipoteza că respectivele activități ar putea fi executate de un specialist-începător</w:t>
            </w:r>
            <w:r w:rsidR="002247A6">
              <w:rPr>
                <w:rFonts w:ascii="Times New Roman" w:hAnsi="Times New Roman"/>
                <w:lang w:val="ro-MD"/>
              </w:rPr>
              <w:t xml:space="preserve"> (nefiind nevoie specialiști IT cu </w:t>
            </w:r>
            <w:r w:rsidR="00750878">
              <w:rPr>
                <w:rFonts w:ascii="Times New Roman" w:hAnsi="Times New Roman"/>
                <w:lang w:val="ro-MD"/>
              </w:rPr>
              <w:t>expertiză complexă</w:t>
            </w:r>
            <w:r w:rsidR="002247A6">
              <w:rPr>
                <w:rFonts w:ascii="Times New Roman" w:hAnsi="Times New Roman"/>
                <w:lang w:val="ro-MD"/>
              </w:rPr>
              <w:t>)</w:t>
            </w:r>
            <w:r w:rsidR="002247A6" w:rsidRPr="002247A6">
              <w:rPr>
                <w:rFonts w:ascii="Times New Roman" w:hAnsi="Times New Roman"/>
                <w:lang w:val="ro-MD"/>
              </w:rPr>
              <w:t>, costurile ar fi de cuprinse în intervalul 15-20 MDL/produs</w:t>
            </w:r>
            <w:r w:rsidR="00750878">
              <w:rPr>
                <w:rFonts w:ascii="Times New Roman" w:hAnsi="Times New Roman"/>
                <w:lang w:val="ro-MD"/>
              </w:rPr>
              <w:t>.</w:t>
            </w:r>
          </w:p>
          <w:p w14:paraId="3ED3A5EF" w14:textId="77777777" w:rsidR="00A06470" w:rsidRDefault="00A06470" w:rsidP="009F5DB5">
            <w:pPr>
              <w:tabs>
                <w:tab w:val="left" w:pos="884"/>
                <w:tab w:val="left" w:pos="1196"/>
              </w:tabs>
              <w:spacing w:after="0" w:line="240" w:lineRule="auto"/>
              <w:jc w:val="both"/>
              <w:rPr>
                <w:rFonts w:ascii="Times New Roman" w:hAnsi="Times New Roman"/>
                <w:lang w:val="ro-MD"/>
              </w:rPr>
            </w:pPr>
          </w:p>
          <w:p w14:paraId="673B4157" w14:textId="77777777" w:rsidR="00A06470" w:rsidRDefault="00A06470" w:rsidP="009F5DB5">
            <w:pPr>
              <w:tabs>
                <w:tab w:val="left" w:pos="884"/>
                <w:tab w:val="left" w:pos="1196"/>
              </w:tabs>
              <w:spacing w:after="0" w:line="240" w:lineRule="auto"/>
              <w:jc w:val="both"/>
              <w:rPr>
                <w:rFonts w:ascii="Times New Roman" w:hAnsi="Times New Roman"/>
                <w:lang w:val="ro-MD"/>
              </w:rPr>
            </w:pPr>
          </w:p>
          <w:p w14:paraId="1794DD43" w14:textId="77777777" w:rsidR="00A06470" w:rsidRDefault="00A06470" w:rsidP="009F5DB5">
            <w:pPr>
              <w:tabs>
                <w:tab w:val="left" w:pos="884"/>
                <w:tab w:val="left" w:pos="1196"/>
              </w:tabs>
              <w:spacing w:after="0" w:line="240" w:lineRule="auto"/>
              <w:jc w:val="both"/>
              <w:rPr>
                <w:rFonts w:ascii="Times New Roman" w:hAnsi="Times New Roman"/>
                <w:lang w:val="ro-MD"/>
              </w:rPr>
            </w:pPr>
          </w:p>
          <w:p w14:paraId="3B8B4C60" w14:textId="7BB071E9" w:rsidR="00A06470" w:rsidRPr="00A06470" w:rsidRDefault="00A06470" w:rsidP="009F5DB5">
            <w:pPr>
              <w:tabs>
                <w:tab w:val="left" w:pos="884"/>
                <w:tab w:val="left" w:pos="1196"/>
              </w:tabs>
              <w:spacing w:after="0" w:line="240" w:lineRule="auto"/>
              <w:jc w:val="both"/>
              <w:rPr>
                <w:rFonts w:ascii="Times New Roman" w:hAnsi="Times New Roman"/>
                <w:b/>
                <w:bCs/>
                <w:lang w:val="ro-MD"/>
              </w:rPr>
            </w:pPr>
            <w:r w:rsidRPr="002455E7">
              <w:rPr>
                <w:rFonts w:ascii="Times New Roman" w:hAnsi="Times New Roman"/>
                <w:b/>
                <w:bCs/>
                <w:lang w:val="ro-MD"/>
              </w:rPr>
              <w:t>Se acceptă.</w:t>
            </w:r>
          </w:p>
        </w:tc>
      </w:tr>
      <w:tr w:rsidR="00DE4CC6" w:rsidRPr="001319A5" w14:paraId="6CAEB7A0" w14:textId="77777777" w:rsidTr="00DC7290">
        <w:trPr>
          <w:trHeight w:val="440"/>
        </w:trPr>
        <w:tc>
          <w:tcPr>
            <w:tcW w:w="3145" w:type="dxa"/>
          </w:tcPr>
          <w:p w14:paraId="3A8A6902" w14:textId="1D29CCC8" w:rsidR="00DE4CC6" w:rsidRPr="00DA5230" w:rsidRDefault="00DE4CC6" w:rsidP="002D3296">
            <w:pPr>
              <w:tabs>
                <w:tab w:val="left" w:pos="884"/>
                <w:tab w:val="left" w:pos="1196"/>
              </w:tabs>
              <w:spacing w:after="0" w:line="240" w:lineRule="auto"/>
              <w:rPr>
                <w:rFonts w:ascii="Times New Roman" w:hAnsi="Times New Roman"/>
                <w:b/>
                <w:sz w:val="24"/>
                <w:szCs w:val="24"/>
                <w:lang w:val="ro-RO"/>
              </w:rPr>
            </w:pPr>
            <w:r w:rsidRPr="00336C04">
              <w:rPr>
                <w:rFonts w:ascii="Times New Roman" w:hAnsi="Times New Roman"/>
                <w:b/>
                <w:sz w:val="24"/>
                <w:szCs w:val="24"/>
                <w:lang w:val="ro-RO"/>
              </w:rPr>
              <w:lastRenderedPageBreak/>
              <w:t xml:space="preserve">Ministerul </w:t>
            </w:r>
            <w:r w:rsidR="00BF0C7C" w:rsidRPr="00336C04">
              <w:rPr>
                <w:rFonts w:ascii="Times New Roman" w:hAnsi="Times New Roman"/>
                <w:b/>
                <w:sz w:val="24"/>
                <w:szCs w:val="24"/>
                <w:lang w:val="ro-RO"/>
              </w:rPr>
              <w:t>Dezvoltării Economice și D</w:t>
            </w:r>
            <w:r w:rsidR="00E5426D" w:rsidRPr="00336C04">
              <w:rPr>
                <w:rFonts w:ascii="Times New Roman" w:hAnsi="Times New Roman"/>
                <w:b/>
                <w:sz w:val="24"/>
                <w:szCs w:val="24"/>
                <w:lang w:val="ro-RO"/>
              </w:rPr>
              <w:t>i</w:t>
            </w:r>
            <w:r w:rsidR="00BF0C7C" w:rsidRPr="00336C04">
              <w:rPr>
                <w:rFonts w:ascii="Times New Roman" w:hAnsi="Times New Roman"/>
                <w:b/>
                <w:sz w:val="24"/>
                <w:szCs w:val="24"/>
                <w:lang w:val="ro-RO"/>
              </w:rPr>
              <w:t>gitalizării</w:t>
            </w:r>
            <w:r w:rsidRPr="00336C04">
              <w:rPr>
                <w:rFonts w:ascii="Times New Roman" w:hAnsi="Times New Roman"/>
                <w:b/>
                <w:sz w:val="24"/>
                <w:szCs w:val="24"/>
                <w:lang w:val="ro-RO"/>
              </w:rPr>
              <w:t xml:space="preserve">         </w:t>
            </w:r>
            <w:r w:rsidRPr="00336C04">
              <w:rPr>
                <w:rFonts w:ascii="Times New Roman" w:hAnsi="Times New Roman"/>
                <w:sz w:val="24"/>
                <w:szCs w:val="24"/>
                <w:lang w:val="ro-RO"/>
              </w:rPr>
              <w:t xml:space="preserve">nr. </w:t>
            </w:r>
            <w:r w:rsidR="00BF0C7C" w:rsidRPr="00336C04">
              <w:rPr>
                <w:rFonts w:ascii="Times New Roman" w:hAnsi="Times New Roman"/>
                <w:sz w:val="24"/>
                <w:szCs w:val="24"/>
                <w:lang w:val="ro-RO"/>
              </w:rPr>
              <w:t>16/</w:t>
            </w:r>
            <w:r w:rsidR="002D3296">
              <w:rPr>
                <w:rFonts w:ascii="Times New Roman" w:hAnsi="Times New Roman"/>
                <w:sz w:val="24"/>
                <w:szCs w:val="24"/>
                <w:lang w:val="ro-RO"/>
              </w:rPr>
              <w:t>2</w:t>
            </w:r>
            <w:r w:rsidR="00BF0C7C" w:rsidRPr="00336C04">
              <w:rPr>
                <w:rFonts w:ascii="Times New Roman" w:hAnsi="Times New Roman"/>
                <w:sz w:val="24"/>
                <w:szCs w:val="24"/>
                <w:lang w:val="ro-RO"/>
              </w:rPr>
              <w:t>-</w:t>
            </w:r>
            <w:r w:rsidR="002D3296">
              <w:rPr>
                <w:rFonts w:ascii="Times New Roman" w:hAnsi="Times New Roman"/>
                <w:sz w:val="24"/>
                <w:szCs w:val="24"/>
                <w:lang w:val="ro-RO"/>
              </w:rPr>
              <w:t>3028</w:t>
            </w:r>
            <w:r w:rsidRPr="00336C04">
              <w:rPr>
                <w:rFonts w:ascii="Times New Roman" w:hAnsi="Times New Roman"/>
                <w:sz w:val="24"/>
                <w:szCs w:val="24"/>
                <w:lang w:val="ro-RO"/>
              </w:rPr>
              <w:t xml:space="preserve"> din </w:t>
            </w:r>
            <w:r w:rsidR="002D3296">
              <w:rPr>
                <w:rFonts w:ascii="Times New Roman" w:hAnsi="Times New Roman"/>
                <w:sz w:val="24"/>
                <w:szCs w:val="24"/>
                <w:lang w:val="ro-RO"/>
              </w:rPr>
              <w:t>01</w:t>
            </w:r>
            <w:r w:rsidR="00BF0C7C" w:rsidRPr="00DA5230">
              <w:rPr>
                <w:rFonts w:ascii="Times New Roman" w:hAnsi="Times New Roman"/>
                <w:sz w:val="24"/>
                <w:szCs w:val="24"/>
                <w:lang w:val="ro-RO"/>
              </w:rPr>
              <w:t>.</w:t>
            </w:r>
            <w:r w:rsidR="002D3296">
              <w:rPr>
                <w:rFonts w:ascii="Times New Roman" w:hAnsi="Times New Roman"/>
                <w:sz w:val="24"/>
                <w:szCs w:val="24"/>
                <w:lang w:val="ro-RO"/>
              </w:rPr>
              <w:t>10</w:t>
            </w:r>
            <w:r w:rsidR="00BF0C7C" w:rsidRPr="00DA5230">
              <w:rPr>
                <w:rFonts w:ascii="Times New Roman" w:hAnsi="Times New Roman"/>
                <w:sz w:val="24"/>
                <w:szCs w:val="24"/>
                <w:lang w:val="ro-RO"/>
              </w:rPr>
              <w:t>.2024</w:t>
            </w:r>
          </w:p>
        </w:tc>
        <w:tc>
          <w:tcPr>
            <w:tcW w:w="6602" w:type="dxa"/>
          </w:tcPr>
          <w:p w14:paraId="267FA1F6" w14:textId="33BDCEB3" w:rsidR="002D3296" w:rsidRPr="002455E7" w:rsidRDefault="002D3296" w:rsidP="00DE4CC6">
            <w:pPr>
              <w:jc w:val="both"/>
              <w:rPr>
                <w:rFonts w:ascii="Times New Roman" w:hAnsi="Times New Roman"/>
                <w:lang w:val="pt-BR"/>
              </w:rPr>
            </w:pPr>
            <w:r w:rsidRPr="002455E7">
              <w:rPr>
                <w:rFonts w:ascii="Times New Roman" w:hAnsi="Times New Roman"/>
                <w:lang w:val="pt-BR"/>
              </w:rPr>
              <w:t xml:space="preserve">   Ministerul Dezvoltării Economice și Digitalizării a examinat proiectul de hotărâre </w:t>
            </w:r>
            <w:r w:rsidRPr="002455E7">
              <w:rPr>
                <w:rFonts w:ascii="Times New Roman" w:hAnsi="Times New Roman"/>
                <w:i/>
                <w:lang w:val="pt-BR"/>
              </w:rPr>
              <w:t>cu privire la modificarea Hotărârii Guvernului nr. 1003/2014 pentru aprobarea regulamentelor privind cerințele de etichetare energetică a unor produse cu impact energetic</w:t>
            </w:r>
            <w:r w:rsidRPr="002455E7">
              <w:rPr>
                <w:rFonts w:ascii="Times New Roman" w:hAnsi="Times New Roman"/>
                <w:lang w:val="pt-BR"/>
              </w:rPr>
              <w:t xml:space="preserve"> </w:t>
            </w:r>
            <w:r w:rsidRPr="002455E7">
              <w:rPr>
                <w:rFonts w:ascii="Times New Roman" w:hAnsi="Times New Roman"/>
                <w:b/>
                <w:lang w:val="pt-BR"/>
              </w:rPr>
              <w:t>(număr unic 814/MEn/2024),</w:t>
            </w:r>
            <w:r w:rsidRPr="002455E7">
              <w:rPr>
                <w:rFonts w:ascii="Times New Roman" w:hAnsi="Times New Roman"/>
                <w:lang w:val="pt-BR"/>
              </w:rPr>
              <w:t xml:space="preserve"> și în limita competențelor sale funcționale, comunică următoarele. </w:t>
            </w:r>
          </w:p>
          <w:p w14:paraId="13AF7682" w14:textId="0C86E00F" w:rsidR="002D3296" w:rsidRPr="002455E7" w:rsidRDefault="002D3296" w:rsidP="00DE4CC6">
            <w:pPr>
              <w:jc w:val="both"/>
              <w:rPr>
                <w:rFonts w:ascii="Times New Roman" w:hAnsi="Times New Roman"/>
                <w:lang w:val="pt-BR"/>
              </w:rPr>
            </w:pPr>
            <w:r w:rsidRPr="002455E7">
              <w:rPr>
                <w:rFonts w:ascii="Times New Roman" w:hAnsi="Times New Roman"/>
                <w:lang w:val="pt-BR"/>
              </w:rPr>
              <w:t xml:space="preserve">  </w:t>
            </w:r>
            <w:r w:rsidRPr="002455E7">
              <w:rPr>
                <w:rFonts w:ascii="Times New Roman" w:hAnsi="Times New Roman"/>
                <w:b/>
                <w:lang w:val="pt-BR"/>
              </w:rPr>
              <w:t>La anexa nr. 17 - Regulamentul cu privire la etichetarea energetică a dulapurilor frigorifice de depozitare profesionale</w:t>
            </w:r>
            <w:r w:rsidRPr="002455E7">
              <w:rPr>
                <w:rFonts w:ascii="Times New Roman" w:hAnsi="Times New Roman"/>
                <w:lang w:val="pt-BR"/>
              </w:rPr>
              <w:t xml:space="preserve">: </w:t>
            </w:r>
            <w:r w:rsidR="00850D46" w:rsidRPr="002455E7">
              <w:rPr>
                <w:rFonts w:ascii="Times New Roman" w:hAnsi="Times New Roman"/>
                <w:lang w:val="pt-BR"/>
              </w:rPr>
              <w:t xml:space="preserve"> </w:t>
            </w:r>
          </w:p>
          <w:p w14:paraId="21EE051E" w14:textId="192ACB17" w:rsidR="002D3296" w:rsidRPr="002455E7" w:rsidRDefault="002D3296" w:rsidP="002D3296">
            <w:pPr>
              <w:pStyle w:val="Listparagraf"/>
              <w:numPr>
                <w:ilvl w:val="0"/>
                <w:numId w:val="7"/>
              </w:numPr>
              <w:ind w:left="3" w:firstLine="141"/>
              <w:jc w:val="both"/>
              <w:rPr>
                <w:i/>
                <w:lang w:val="pt-BR"/>
              </w:rPr>
            </w:pPr>
            <w:r w:rsidRPr="002455E7">
              <w:rPr>
                <w:lang w:val="pt-BR"/>
              </w:rPr>
              <w:t xml:space="preserve">În scopul uniformizării anexelor cu privire la „Metode de măsurare/Măsurători și calcule” din H.G. 1003/2014, în temeiul art. 7 din Legea nr. 420/2006 privind activitatea de reglementare tehnică se propune următoarea redacție pentru pct. 1 din Anexa nr. 8 la Regulamentul cu privire la etichetarea energetică a dulapurilor frigorifice de depozitare profesionale: </w:t>
            </w:r>
            <w:r w:rsidRPr="002455E7">
              <w:rPr>
                <w:i/>
                <w:lang w:val="pt-BR"/>
              </w:rPr>
              <w:t>„În scopul conformității și al verificării conformității cu cerințele prezentului regulament, măsurările și calculele se efectuează utilizându-se standarde moldovenești care adoptă standarde europene armonizate, ale căror referințe au fost publicate în Jurnalul Oficial al Uniunii Europene, sau alte metode fiabile, exacte și reproductibile, care iau în considerare metodele de măsurare de ultimă generație general recunoscute și care sunt în conformitate cu dispozițiile stabilite la punctele 2-3. Lista standardelor moldovenești care adoptă standardele armonizate ale căror referințe au fost publicate în Jurnalul Oficial al Uniunii Europene, se elaborează și se aprobă prin ordin al ministrului energiei, se actualizează periodic și se publică în Monitorul Oficial al Republicii Moldova”.</w:t>
            </w:r>
          </w:p>
          <w:p w14:paraId="71E72B6E" w14:textId="741BA701" w:rsidR="002D3296" w:rsidRPr="002455E7" w:rsidRDefault="002D3296" w:rsidP="002D3296">
            <w:pPr>
              <w:ind w:left="3" w:firstLine="162"/>
              <w:jc w:val="both"/>
              <w:rPr>
                <w:rFonts w:ascii="Times New Roman" w:hAnsi="Times New Roman"/>
                <w:lang w:val="pt-BR"/>
              </w:rPr>
            </w:pPr>
            <w:r w:rsidRPr="002455E7">
              <w:rPr>
                <w:lang w:val="pt-BR"/>
              </w:rPr>
              <w:lastRenderedPageBreak/>
              <w:t xml:space="preserve">     </w:t>
            </w:r>
            <w:r w:rsidRPr="002455E7">
              <w:rPr>
                <w:rFonts w:ascii="Times New Roman" w:hAnsi="Times New Roman"/>
                <w:lang w:val="pt-BR"/>
              </w:rPr>
              <w:t xml:space="preserve">Obiecția este valabilă și pentru pct. 1 din Anexa nr. 7 la Regulamentul cu privire la etichetarea energetică a aparatelor pentru încălzire locală (anexa nr. 18), precum și pentru pct. 1 din Anexa nr. 7 la Regulamentul cu privire la etichetarea energetică a cazanelor cu combustibil solid și a pachetelor de cazan cu combustibil solid, instalații de încălzire suplimentare, regulatoare de temperatură și dispozitive solare (anexa nr. 20). </w:t>
            </w:r>
          </w:p>
          <w:p w14:paraId="63E2CD25" w14:textId="77777777" w:rsidR="002D3296" w:rsidRPr="002455E7" w:rsidRDefault="002D3296" w:rsidP="002D3296">
            <w:pPr>
              <w:ind w:left="165"/>
              <w:jc w:val="both"/>
              <w:rPr>
                <w:rFonts w:ascii="Times New Roman" w:hAnsi="Times New Roman"/>
                <w:color w:val="000000" w:themeColor="text1"/>
                <w:lang w:val="pt-BR"/>
              </w:rPr>
            </w:pPr>
            <w:r w:rsidRPr="002455E7">
              <w:rPr>
                <w:rFonts w:ascii="Times New Roman" w:hAnsi="Times New Roman"/>
                <w:b/>
                <w:color w:val="000000" w:themeColor="text1"/>
                <w:lang w:val="pt-BR"/>
              </w:rPr>
              <w:t>2.</w:t>
            </w:r>
            <w:r w:rsidRPr="002455E7">
              <w:rPr>
                <w:rFonts w:ascii="Times New Roman" w:hAnsi="Times New Roman"/>
                <w:color w:val="000000" w:themeColor="text1"/>
                <w:lang w:val="pt-BR"/>
              </w:rPr>
              <w:t xml:space="preserve"> La Anexa nr. 9 Verificarea conformității produselor de către autoritățile de supraveghere a pieței: </w:t>
            </w:r>
          </w:p>
          <w:p w14:paraId="7D97BD2B" w14:textId="2E199053" w:rsidR="002D3296" w:rsidRPr="002455E7" w:rsidRDefault="002D3296" w:rsidP="002D3296">
            <w:pPr>
              <w:ind w:left="3" w:firstLine="162"/>
              <w:jc w:val="both"/>
              <w:rPr>
                <w:rFonts w:ascii="Times New Roman" w:hAnsi="Times New Roman"/>
                <w:color w:val="000000" w:themeColor="text1"/>
                <w:lang w:val="pt-BR"/>
              </w:rPr>
            </w:pPr>
            <w:r w:rsidRPr="002455E7">
              <w:rPr>
                <w:rFonts w:ascii="Times New Roman" w:hAnsi="Times New Roman"/>
                <w:color w:val="000000" w:themeColor="text1"/>
                <w:lang w:val="pt-BR"/>
              </w:rPr>
              <w:t xml:space="preserve">- la pct. 2, subpct. 7), textul </w:t>
            </w:r>
            <w:r w:rsidRPr="002455E7">
              <w:rPr>
                <w:rFonts w:ascii="Times New Roman" w:hAnsi="Times New Roman"/>
                <w:i/>
                <w:color w:val="000000" w:themeColor="text1"/>
                <w:lang w:val="pt-BR"/>
              </w:rPr>
              <w:t>„autorităților celorlalte Părți Contractante și Secretariatului Comunității Energetice”</w:t>
            </w:r>
            <w:r w:rsidRPr="002455E7">
              <w:rPr>
                <w:rFonts w:ascii="Times New Roman" w:hAnsi="Times New Roman"/>
                <w:color w:val="000000" w:themeColor="text1"/>
                <w:lang w:val="pt-BR"/>
              </w:rPr>
              <w:t xml:space="preserve"> urmează a fi revizuit corespunzător prevederilor cadrului legal, or lipsește un mecanism pentru astfel de comunicare din partea Inspectoratului cu aceste autorități din Comunitatea Europeană. Observație valabilă în tot textul proiectului. </w:t>
            </w:r>
          </w:p>
          <w:p w14:paraId="25C288E9" w14:textId="330B146F" w:rsidR="007D593B" w:rsidRPr="002455E7" w:rsidRDefault="007D593B" w:rsidP="002D3296">
            <w:pPr>
              <w:ind w:left="3" w:firstLine="162"/>
              <w:jc w:val="both"/>
              <w:rPr>
                <w:rFonts w:ascii="Times New Roman" w:hAnsi="Times New Roman"/>
                <w:color w:val="FF0000"/>
                <w:lang w:val="pt-BR"/>
              </w:rPr>
            </w:pPr>
          </w:p>
          <w:p w14:paraId="4B1BAC3B" w14:textId="77777777" w:rsidR="007D593B" w:rsidRPr="002455E7" w:rsidRDefault="007D593B" w:rsidP="002D3296">
            <w:pPr>
              <w:ind w:left="3" w:firstLine="162"/>
              <w:jc w:val="both"/>
              <w:rPr>
                <w:rFonts w:ascii="Times New Roman" w:hAnsi="Times New Roman"/>
                <w:color w:val="FF0000"/>
                <w:lang w:val="pt-BR"/>
              </w:rPr>
            </w:pPr>
          </w:p>
          <w:p w14:paraId="562BCD5B" w14:textId="77777777" w:rsidR="0079243B" w:rsidRPr="002455E7" w:rsidRDefault="0079243B" w:rsidP="002D3296">
            <w:pPr>
              <w:ind w:left="3" w:firstLine="162"/>
              <w:jc w:val="both"/>
              <w:rPr>
                <w:rFonts w:ascii="Times New Roman" w:hAnsi="Times New Roman"/>
                <w:color w:val="FF0000"/>
                <w:lang w:val="pt-BR"/>
              </w:rPr>
            </w:pPr>
          </w:p>
          <w:p w14:paraId="57434413" w14:textId="77777777" w:rsidR="0079243B" w:rsidRPr="002455E7" w:rsidRDefault="0079243B" w:rsidP="002D3296">
            <w:pPr>
              <w:ind w:left="3" w:firstLine="162"/>
              <w:jc w:val="both"/>
              <w:rPr>
                <w:rFonts w:ascii="Times New Roman" w:hAnsi="Times New Roman"/>
                <w:color w:val="FF0000"/>
                <w:lang w:val="pt-BR"/>
              </w:rPr>
            </w:pPr>
          </w:p>
          <w:p w14:paraId="2F0524E9" w14:textId="77777777" w:rsidR="0079243B" w:rsidRPr="002455E7" w:rsidRDefault="0079243B" w:rsidP="002D3296">
            <w:pPr>
              <w:ind w:left="3" w:firstLine="162"/>
              <w:jc w:val="both"/>
              <w:rPr>
                <w:rFonts w:ascii="Times New Roman" w:hAnsi="Times New Roman"/>
                <w:color w:val="FF0000"/>
                <w:lang w:val="pt-BR"/>
              </w:rPr>
            </w:pPr>
          </w:p>
          <w:p w14:paraId="7D1E6E48" w14:textId="77777777" w:rsidR="00D0406A" w:rsidRPr="002455E7" w:rsidRDefault="00D0406A" w:rsidP="002D3296">
            <w:pPr>
              <w:ind w:left="3" w:firstLine="162"/>
              <w:jc w:val="both"/>
              <w:rPr>
                <w:rFonts w:ascii="Times New Roman" w:hAnsi="Times New Roman"/>
                <w:color w:val="FF0000"/>
                <w:lang w:val="pt-BR"/>
              </w:rPr>
            </w:pPr>
          </w:p>
          <w:p w14:paraId="7A611A61" w14:textId="77777777" w:rsidR="002D3296" w:rsidRPr="002455E7" w:rsidRDefault="002D3296" w:rsidP="002D3296">
            <w:pPr>
              <w:ind w:left="3" w:firstLine="162"/>
              <w:jc w:val="both"/>
              <w:rPr>
                <w:rFonts w:ascii="Times New Roman" w:hAnsi="Times New Roman"/>
                <w:b/>
                <w:lang w:val="pt-BR"/>
              </w:rPr>
            </w:pPr>
            <w:r w:rsidRPr="002455E7">
              <w:rPr>
                <w:rFonts w:ascii="Times New Roman" w:hAnsi="Times New Roman"/>
                <w:b/>
                <w:lang w:val="pt-BR"/>
              </w:rPr>
              <w:t xml:space="preserve">La anexa nr. 19 - Regulamentul cu privire la etichetarea energetică a unităților de ventilație rezidențiale: </w:t>
            </w:r>
          </w:p>
          <w:p w14:paraId="3412702F" w14:textId="7426A9C8" w:rsidR="002D3296" w:rsidRPr="00112088" w:rsidRDefault="002D3296" w:rsidP="002D3296">
            <w:pPr>
              <w:pStyle w:val="Listparagraf"/>
              <w:numPr>
                <w:ilvl w:val="0"/>
                <w:numId w:val="8"/>
              </w:numPr>
              <w:ind w:left="3" w:firstLine="162"/>
              <w:jc w:val="both"/>
              <w:rPr>
                <w:lang w:val="en-GB"/>
              </w:rPr>
            </w:pPr>
            <w:r w:rsidRPr="002455E7">
              <w:rPr>
                <w:lang w:val="pt-BR"/>
              </w:rPr>
              <w:t xml:space="preserve">La pct. 1 din Regulamentul cu privire la etichetarea energetică a unităților de ventilație rezidențiale, textul „aparatelor pentru încălzire </w:t>
            </w:r>
            <w:r w:rsidRPr="002455E7">
              <w:rPr>
                <w:lang w:val="pt-BR"/>
              </w:rPr>
              <w:lastRenderedPageBreak/>
              <w:t xml:space="preserve">locală” se va substitui cu textul „unităților de ventilație rezidențiale”. Observația este valabilă și pentru pct. 7 subpct. 1); denumirea anexei nr. 8 precum și pct. 2 subpct. </w:t>
            </w:r>
            <w:r w:rsidRPr="00112088">
              <w:rPr>
                <w:lang w:val="en-GB"/>
              </w:rPr>
              <w:t xml:space="preserve">3) </w:t>
            </w:r>
            <w:proofErr w:type="spellStart"/>
            <w:r w:rsidRPr="00112088">
              <w:rPr>
                <w:lang w:val="en-GB"/>
              </w:rPr>
              <w:t>și</w:t>
            </w:r>
            <w:proofErr w:type="spellEnd"/>
            <w:r w:rsidRPr="00112088">
              <w:rPr>
                <w:lang w:val="en-GB"/>
              </w:rPr>
              <w:t xml:space="preserve"> 6) din </w:t>
            </w:r>
            <w:proofErr w:type="spellStart"/>
            <w:r w:rsidRPr="00112088">
              <w:rPr>
                <w:lang w:val="en-GB"/>
              </w:rPr>
              <w:t>anexa</w:t>
            </w:r>
            <w:proofErr w:type="spellEnd"/>
            <w:r w:rsidRPr="00112088">
              <w:rPr>
                <w:lang w:val="en-GB"/>
              </w:rPr>
              <w:t xml:space="preserve"> nr. 8. </w:t>
            </w:r>
          </w:p>
          <w:p w14:paraId="055C8136" w14:textId="77777777" w:rsidR="002D3296" w:rsidRPr="002455E7" w:rsidRDefault="002D3296" w:rsidP="002D3296">
            <w:pPr>
              <w:ind w:left="165"/>
              <w:jc w:val="both"/>
              <w:rPr>
                <w:rFonts w:ascii="Times New Roman" w:hAnsi="Times New Roman"/>
                <w:b/>
                <w:lang w:val="pt-BR"/>
              </w:rPr>
            </w:pPr>
            <w:r w:rsidRPr="002455E7">
              <w:rPr>
                <w:rFonts w:ascii="Times New Roman" w:hAnsi="Times New Roman"/>
                <w:b/>
                <w:lang w:val="pt-BR"/>
              </w:rPr>
              <w:t xml:space="preserve">La anexa nr. 20 - Regulamentul cu privire la etichetarea energetică a cazanelor cu combustibil solid și a pachetelor de cazan cu combustibil solid, instalații de încălzire suplimentare, regulatoare de temperatură și dispozitive solare: </w:t>
            </w:r>
          </w:p>
          <w:p w14:paraId="6AEB4199" w14:textId="32A5B07B" w:rsidR="00DE4CC6" w:rsidRPr="002455E7" w:rsidRDefault="002D3296" w:rsidP="002D3296">
            <w:pPr>
              <w:ind w:left="3" w:firstLine="162"/>
              <w:jc w:val="both"/>
              <w:rPr>
                <w:lang w:val="pt-BR"/>
              </w:rPr>
            </w:pPr>
            <w:r w:rsidRPr="002455E7">
              <w:rPr>
                <w:rFonts w:ascii="Times New Roman" w:hAnsi="Times New Roman"/>
                <w:b/>
                <w:lang w:val="pt-BR"/>
              </w:rPr>
              <w:t xml:space="preserve">    1.</w:t>
            </w:r>
            <w:r w:rsidRPr="002455E7">
              <w:rPr>
                <w:rFonts w:ascii="Times New Roman" w:hAnsi="Times New Roman"/>
                <w:lang w:val="pt-BR"/>
              </w:rPr>
              <w:t xml:space="preserve"> La pct. 3 din Regulamentul cu privire la etichetarea energetică a cazanelor cu combustibil solid și a pachetelor de cazan cu combustibil solid, instalații de încălzire suplimentare, regulatoare de temperatură și dispozitive solare, textul „unităților de ventilație rezidențiale care” urmează a fi exclus.</w:t>
            </w:r>
          </w:p>
        </w:tc>
        <w:tc>
          <w:tcPr>
            <w:tcW w:w="4581" w:type="dxa"/>
          </w:tcPr>
          <w:p w14:paraId="31B4BB2C" w14:textId="77777777" w:rsidR="00DE4CC6" w:rsidRDefault="00DE4CC6" w:rsidP="00DE4CC6">
            <w:pPr>
              <w:tabs>
                <w:tab w:val="left" w:pos="884"/>
                <w:tab w:val="left" w:pos="1196"/>
              </w:tabs>
              <w:spacing w:after="0" w:line="240" w:lineRule="auto"/>
              <w:jc w:val="both"/>
              <w:rPr>
                <w:rFonts w:ascii="Times New Roman" w:hAnsi="Times New Roman"/>
                <w:b/>
                <w:bCs/>
                <w:sz w:val="24"/>
                <w:szCs w:val="24"/>
                <w:lang w:val="ro-RO"/>
              </w:rPr>
            </w:pPr>
          </w:p>
          <w:p w14:paraId="4EDE45FA"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770CC7AE"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26811558"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7E933543"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7994FB19"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240BC110"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29BC0721"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62EB1C30"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0E8861FC"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71849E6F"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3EDE0F73" w14:textId="2BF07374" w:rsidR="001F67D9" w:rsidRPr="002455E7" w:rsidRDefault="00731AF9" w:rsidP="00DE4CC6">
            <w:pPr>
              <w:tabs>
                <w:tab w:val="left" w:pos="884"/>
                <w:tab w:val="left" w:pos="1196"/>
              </w:tabs>
              <w:spacing w:after="0" w:line="240" w:lineRule="auto"/>
              <w:jc w:val="both"/>
              <w:rPr>
                <w:rFonts w:ascii="Times New Roman" w:hAnsi="Times New Roman"/>
                <w:b/>
                <w:bCs/>
                <w:iCs/>
                <w:sz w:val="24"/>
                <w:szCs w:val="24"/>
                <w:lang w:val="ro-RO"/>
              </w:rPr>
            </w:pPr>
            <w:r w:rsidRPr="002455E7">
              <w:rPr>
                <w:rFonts w:ascii="Times New Roman" w:hAnsi="Times New Roman"/>
                <w:b/>
                <w:bCs/>
                <w:iCs/>
                <w:sz w:val="24"/>
                <w:szCs w:val="24"/>
                <w:lang w:val="ro-RO"/>
              </w:rPr>
              <w:t>Se accepta parțial.</w:t>
            </w:r>
          </w:p>
          <w:p w14:paraId="428A0647" w14:textId="69EF03AC" w:rsidR="00623ABA" w:rsidRPr="00EF5FBA" w:rsidRDefault="00EF5FBA" w:rsidP="00DE4CC6">
            <w:pPr>
              <w:tabs>
                <w:tab w:val="left" w:pos="884"/>
                <w:tab w:val="left" w:pos="1196"/>
              </w:tabs>
              <w:spacing w:after="0" w:line="240" w:lineRule="auto"/>
              <w:jc w:val="both"/>
              <w:rPr>
                <w:rFonts w:ascii="Times New Roman" w:hAnsi="Times New Roman"/>
                <w:iCs/>
                <w:szCs w:val="24"/>
                <w:lang w:val="ro-RO"/>
              </w:rPr>
            </w:pPr>
            <w:r>
              <w:rPr>
                <w:rFonts w:ascii="Times New Roman" w:hAnsi="Times New Roman"/>
                <w:iCs/>
                <w:szCs w:val="24"/>
                <w:lang w:val="ro-RO"/>
              </w:rPr>
              <w:t xml:space="preserve">Regulamentul a fost completat cu următorul text - </w:t>
            </w:r>
          </w:p>
          <w:p w14:paraId="6BFB3652" w14:textId="608D07C1" w:rsidR="00A950F2" w:rsidRPr="001F67D9" w:rsidRDefault="001F67D9" w:rsidP="00DE4CC6">
            <w:pPr>
              <w:tabs>
                <w:tab w:val="left" w:pos="884"/>
                <w:tab w:val="left" w:pos="1196"/>
              </w:tabs>
              <w:spacing w:after="0" w:line="240" w:lineRule="auto"/>
              <w:jc w:val="both"/>
              <w:rPr>
                <w:rFonts w:ascii="Times New Roman" w:hAnsi="Times New Roman"/>
                <w:bCs/>
                <w:i/>
                <w:sz w:val="18"/>
                <w:szCs w:val="24"/>
                <w:lang w:val="ro-RO"/>
              </w:rPr>
            </w:pPr>
            <w:r w:rsidRPr="001F67D9">
              <w:rPr>
                <w:rFonts w:ascii="Times New Roman" w:hAnsi="Times New Roman"/>
                <w:bCs/>
                <w:i/>
                <w:sz w:val="18"/>
                <w:szCs w:val="24"/>
                <w:lang w:val="ro-RO"/>
              </w:rPr>
              <w:t>În scopul conformității și al verificării conformității cu cerințele prezentului Regulament, măsurările și calculele se efectuează utilizându-se standarde moldovenești care adoptă standardele europene armonizate, ale căror referințe au fost publicate în Jurnalul Oficial al Uniunii Europene și/sau pe pagina web a Secretariatului Comunității Energetice, sau alte metode fiabile, exacte și reproductibile, care iau în considerare metodele de măsurare de ultimă generație general recunoscute și care sunt în conformitate cu dispozițiile stabilite mai jos. Lista standardelor moldovenești care adoptă standardele armonizate se elaborează și se aprobă prin ordin al ministrului energiei, se actualizează periodic și se publică în Monitorul Oficial al Republicii Moldova.</w:t>
            </w:r>
          </w:p>
          <w:p w14:paraId="38D320F5"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30A86609"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293B2469"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15013964"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7B89ECA7"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0894CADD" w14:textId="61E656CA"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14B83DC6"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12CFB27D"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090312CC"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2AF7C8BC"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72B54A86" w14:textId="5C9C79D8"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79FB33F9" w14:textId="77777777" w:rsidR="00EA2BE0" w:rsidRDefault="00EA2BE0" w:rsidP="00DE4CC6">
            <w:pPr>
              <w:tabs>
                <w:tab w:val="left" w:pos="884"/>
                <w:tab w:val="left" w:pos="1196"/>
              </w:tabs>
              <w:spacing w:after="0" w:line="240" w:lineRule="auto"/>
              <w:jc w:val="both"/>
              <w:rPr>
                <w:rFonts w:ascii="Times New Roman" w:hAnsi="Times New Roman"/>
                <w:b/>
                <w:bCs/>
                <w:sz w:val="24"/>
                <w:szCs w:val="24"/>
                <w:lang w:val="ro-RO"/>
              </w:rPr>
            </w:pPr>
          </w:p>
          <w:p w14:paraId="79DCB39C"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066B8CDA" w14:textId="77777777" w:rsidR="00A950F2" w:rsidRDefault="00A950F2" w:rsidP="00DE4CC6">
            <w:pPr>
              <w:tabs>
                <w:tab w:val="left" w:pos="884"/>
                <w:tab w:val="left" w:pos="1196"/>
              </w:tabs>
              <w:spacing w:after="0" w:line="240" w:lineRule="auto"/>
              <w:jc w:val="both"/>
              <w:rPr>
                <w:rFonts w:ascii="Times New Roman" w:hAnsi="Times New Roman"/>
                <w:b/>
                <w:bCs/>
                <w:sz w:val="24"/>
                <w:szCs w:val="24"/>
                <w:lang w:val="ro-RO"/>
              </w:rPr>
            </w:pPr>
          </w:p>
          <w:p w14:paraId="1A4BD6B4" w14:textId="74B83509" w:rsidR="00A950F2" w:rsidRPr="003E57D0" w:rsidRDefault="007F6745" w:rsidP="00DE4CC6">
            <w:pPr>
              <w:tabs>
                <w:tab w:val="left" w:pos="884"/>
                <w:tab w:val="left" w:pos="1196"/>
              </w:tabs>
              <w:spacing w:after="0" w:line="240" w:lineRule="auto"/>
              <w:jc w:val="both"/>
              <w:rPr>
                <w:rFonts w:ascii="Times New Roman" w:hAnsi="Times New Roman"/>
                <w:b/>
                <w:bCs/>
                <w:lang w:val="ro-RO"/>
              </w:rPr>
            </w:pPr>
            <w:r w:rsidRPr="003E57D0">
              <w:rPr>
                <w:rFonts w:ascii="Times New Roman" w:hAnsi="Times New Roman"/>
                <w:b/>
                <w:bCs/>
                <w:lang w:val="ro-RO"/>
              </w:rPr>
              <w:t>Nu se acceptă.</w:t>
            </w:r>
          </w:p>
          <w:p w14:paraId="35894284" w14:textId="3B302D25" w:rsidR="007F6745" w:rsidRPr="002455E7" w:rsidRDefault="00E73DB9" w:rsidP="007F6745">
            <w:pPr>
              <w:tabs>
                <w:tab w:val="left" w:pos="884"/>
                <w:tab w:val="left" w:pos="1196"/>
              </w:tabs>
              <w:spacing w:after="0" w:line="240" w:lineRule="auto"/>
              <w:jc w:val="both"/>
              <w:rPr>
                <w:rFonts w:ascii="Times New Roman" w:hAnsi="Times New Roman"/>
                <w:bCs/>
                <w:lang w:val="pt-BR"/>
              </w:rPr>
            </w:pPr>
            <w:r>
              <w:rPr>
                <w:rFonts w:ascii="Times New Roman" w:hAnsi="Times New Roman"/>
                <w:bCs/>
                <w:lang w:val="ro-RO"/>
              </w:rPr>
              <w:t xml:space="preserve">Comunicarea cu Secretariatul Comunității Energetice, în contextul atribuțiilor Inspectoratului </w:t>
            </w:r>
            <w:r w:rsidR="004D7DC0">
              <w:rPr>
                <w:rFonts w:ascii="Times New Roman" w:hAnsi="Times New Roman"/>
                <w:bCs/>
                <w:lang w:val="ro-RO"/>
              </w:rPr>
              <w:t xml:space="preserve">în domeniul politicilor de etichetare energetice și a celor de proiectare ecologică, nu impune utilizarea a careva </w:t>
            </w:r>
            <w:r w:rsidR="00EF7959">
              <w:rPr>
                <w:rFonts w:ascii="Times New Roman" w:hAnsi="Times New Roman"/>
                <w:bCs/>
                <w:lang w:val="ro-RO"/>
              </w:rPr>
              <w:t>protocoale speciale de comunicare sau a anumitor canale. Lucrul acesta a fost confirmat</w:t>
            </w:r>
            <w:r w:rsidR="00B73B02">
              <w:rPr>
                <w:rFonts w:ascii="Times New Roman" w:hAnsi="Times New Roman"/>
                <w:bCs/>
                <w:lang w:val="ro-RO"/>
              </w:rPr>
              <w:t xml:space="preserve"> </w:t>
            </w:r>
            <w:r w:rsidR="00B73B02">
              <w:rPr>
                <w:rFonts w:ascii="Times New Roman" w:hAnsi="Times New Roman"/>
                <w:bCs/>
                <w:lang w:val="ro-MD"/>
              </w:rPr>
              <w:t>î</w:t>
            </w:r>
            <w:r w:rsidR="00B73B02">
              <w:rPr>
                <w:rFonts w:ascii="Times New Roman" w:hAnsi="Times New Roman"/>
                <w:bCs/>
                <w:lang w:val="ro-RO"/>
              </w:rPr>
              <w:t xml:space="preserve">n timp </w:t>
            </w:r>
            <w:r w:rsidR="006E65BD">
              <w:rPr>
                <w:rFonts w:ascii="Times New Roman" w:hAnsi="Times New Roman"/>
                <w:bCs/>
                <w:lang w:val="ro-RO"/>
              </w:rPr>
              <w:t>de</w:t>
            </w:r>
            <w:r w:rsidR="00EF7959">
              <w:rPr>
                <w:rFonts w:ascii="Times New Roman" w:hAnsi="Times New Roman"/>
                <w:bCs/>
                <w:lang w:val="ro-RO"/>
              </w:rPr>
              <w:t xml:space="preserve"> Ministerul Energiei sau, mai ales, de Centrul Naționale pentru </w:t>
            </w:r>
            <w:r w:rsidR="006E65BD">
              <w:rPr>
                <w:rFonts w:ascii="Times New Roman" w:hAnsi="Times New Roman"/>
                <w:bCs/>
                <w:lang w:val="ro-RO"/>
              </w:rPr>
              <w:t xml:space="preserve">Energie Durabilă, în virtutea unor atribuții similare executate (inclusiv în perioada </w:t>
            </w:r>
            <w:r w:rsidR="0079243B">
              <w:rPr>
                <w:rFonts w:ascii="Times New Roman" w:hAnsi="Times New Roman"/>
                <w:bCs/>
                <w:lang w:val="ro-RO"/>
              </w:rPr>
              <w:t>2011-2022, de până la reorganizarea și redenumirea Agenției pentru Eficiență Energetică</w:t>
            </w:r>
            <w:r w:rsidR="006E65BD">
              <w:rPr>
                <w:rFonts w:ascii="Times New Roman" w:hAnsi="Times New Roman"/>
                <w:bCs/>
                <w:lang w:val="ro-RO"/>
              </w:rPr>
              <w:t>)</w:t>
            </w:r>
            <w:r w:rsidR="0079243B">
              <w:rPr>
                <w:rFonts w:ascii="Times New Roman" w:hAnsi="Times New Roman"/>
                <w:bCs/>
                <w:lang w:val="ro-RO"/>
              </w:rPr>
              <w:t>.</w:t>
            </w:r>
            <w:r w:rsidR="0079243B">
              <w:rPr>
                <w:rFonts w:ascii="Times New Roman" w:hAnsi="Times New Roman"/>
                <w:bCs/>
                <w:lang w:val="ro-RO"/>
              </w:rPr>
              <w:br/>
            </w:r>
            <w:r w:rsidR="00D0406A">
              <w:rPr>
                <w:rFonts w:ascii="Times New Roman" w:hAnsi="Times New Roman"/>
                <w:bCs/>
                <w:lang w:val="ro-RO"/>
              </w:rPr>
              <w:t>Mai mult decât atât</w:t>
            </w:r>
            <w:r w:rsidR="0079243B">
              <w:rPr>
                <w:rFonts w:ascii="Times New Roman" w:hAnsi="Times New Roman"/>
                <w:bCs/>
                <w:lang w:val="ro-RO"/>
              </w:rPr>
              <w:t xml:space="preserve">, la identificarea unui caz de raportat către autoritățile </w:t>
            </w:r>
            <w:r w:rsidR="00D0406A">
              <w:rPr>
                <w:rFonts w:ascii="Times New Roman" w:hAnsi="Times New Roman"/>
                <w:bCs/>
                <w:lang w:val="ro-RO"/>
              </w:rPr>
              <w:t xml:space="preserve">altor Părți Contractante și a Secretariatului, Ministerul Energiei, în calitate de punct focal al Comunității Energetice în Republica Moldova, ar putea facilita respectivul dialog. </w:t>
            </w:r>
          </w:p>
          <w:p w14:paraId="62C69D90" w14:textId="77777777" w:rsidR="00102D46" w:rsidRDefault="00102D46" w:rsidP="007D593B">
            <w:pPr>
              <w:tabs>
                <w:tab w:val="left" w:pos="884"/>
                <w:tab w:val="left" w:pos="1196"/>
              </w:tabs>
              <w:spacing w:after="0" w:line="240" w:lineRule="auto"/>
              <w:jc w:val="both"/>
              <w:rPr>
                <w:rFonts w:ascii="Times New Roman" w:hAnsi="Times New Roman"/>
                <w:b/>
                <w:bCs/>
                <w:sz w:val="24"/>
                <w:szCs w:val="24"/>
                <w:lang w:val="ro-RO"/>
              </w:rPr>
            </w:pPr>
          </w:p>
          <w:p w14:paraId="4241ABF9" w14:textId="77777777" w:rsidR="00D03B65" w:rsidRDefault="00D03B65" w:rsidP="00D0406A">
            <w:pPr>
              <w:tabs>
                <w:tab w:val="left" w:pos="884"/>
                <w:tab w:val="left" w:pos="1196"/>
              </w:tabs>
              <w:spacing w:before="60" w:after="0" w:line="240" w:lineRule="auto"/>
              <w:jc w:val="both"/>
              <w:rPr>
                <w:rFonts w:ascii="Times New Roman" w:hAnsi="Times New Roman"/>
                <w:b/>
                <w:bCs/>
                <w:sz w:val="24"/>
                <w:szCs w:val="24"/>
                <w:lang w:val="ro-RO"/>
              </w:rPr>
            </w:pPr>
            <w:r>
              <w:rPr>
                <w:rFonts w:ascii="Times New Roman" w:hAnsi="Times New Roman"/>
                <w:b/>
                <w:bCs/>
                <w:sz w:val="24"/>
                <w:szCs w:val="24"/>
                <w:lang w:val="ro-RO"/>
              </w:rPr>
              <w:t>Se acceptă.</w:t>
            </w:r>
          </w:p>
          <w:p w14:paraId="048C9816" w14:textId="77777777" w:rsidR="00CB0ADD" w:rsidRDefault="00CB0ADD" w:rsidP="007D593B">
            <w:pPr>
              <w:tabs>
                <w:tab w:val="left" w:pos="884"/>
                <w:tab w:val="left" w:pos="1196"/>
              </w:tabs>
              <w:spacing w:after="0" w:line="240" w:lineRule="auto"/>
              <w:jc w:val="both"/>
              <w:rPr>
                <w:rFonts w:ascii="Times New Roman" w:hAnsi="Times New Roman"/>
                <w:b/>
                <w:bCs/>
                <w:sz w:val="24"/>
                <w:szCs w:val="24"/>
                <w:lang w:val="ro-RO"/>
              </w:rPr>
            </w:pPr>
          </w:p>
          <w:p w14:paraId="17553D68" w14:textId="77777777" w:rsidR="00CB0ADD" w:rsidRDefault="00CB0ADD" w:rsidP="007D593B">
            <w:pPr>
              <w:tabs>
                <w:tab w:val="left" w:pos="884"/>
                <w:tab w:val="left" w:pos="1196"/>
              </w:tabs>
              <w:spacing w:after="0" w:line="240" w:lineRule="auto"/>
              <w:jc w:val="both"/>
              <w:rPr>
                <w:rFonts w:ascii="Times New Roman" w:hAnsi="Times New Roman"/>
                <w:b/>
                <w:bCs/>
                <w:sz w:val="24"/>
                <w:szCs w:val="24"/>
                <w:lang w:val="ro-RO"/>
              </w:rPr>
            </w:pPr>
          </w:p>
          <w:p w14:paraId="69F561F9" w14:textId="77777777" w:rsidR="00CB0ADD" w:rsidRDefault="00CB0ADD" w:rsidP="007D593B">
            <w:pPr>
              <w:tabs>
                <w:tab w:val="left" w:pos="884"/>
                <w:tab w:val="left" w:pos="1196"/>
              </w:tabs>
              <w:spacing w:after="0" w:line="240" w:lineRule="auto"/>
              <w:jc w:val="both"/>
              <w:rPr>
                <w:rFonts w:ascii="Times New Roman" w:hAnsi="Times New Roman"/>
                <w:b/>
                <w:bCs/>
                <w:sz w:val="24"/>
                <w:szCs w:val="24"/>
                <w:lang w:val="ro-RO"/>
              </w:rPr>
            </w:pPr>
          </w:p>
          <w:p w14:paraId="2D20633E" w14:textId="77777777" w:rsidR="00CB0ADD" w:rsidRDefault="00CB0ADD" w:rsidP="007D593B">
            <w:pPr>
              <w:tabs>
                <w:tab w:val="left" w:pos="884"/>
                <w:tab w:val="left" w:pos="1196"/>
              </w:tabs>
              <w:spacing w:after="0" w:line="240" w:lineRule="auto"/>
              <w:jc w:val="both"/>
              <w:rPr>
                <w:rFonts w:ascii="Times New Roman" w:hAnsi="Times New Roman"/>
                <w:b/>
                <w:bCs/>
                <w:sz w:val="24"/>
                <w:szCs w:val="24"/>
                <w:lang w:val="ro-RO"/>
              </w:rPr>
            </w:pPr>
          </w:p>
          <w:p w14:paraId="6BE67FCA" w14:textId="77777777" w:rsidR="00CB0ADD" w:rsidRDefault="00CB0ADD" w:rsidP="007D593B">
            <w:pPr>
              <w:tabs>
                <w:tab w:val="left" w:pos="884"/>
                <w:tab w:val="left" w:pos="1196"/>
              </w:tabs>
              <w:spacing w:after="0" w:line="240" w:lineRule="auto"/>
              <w:jc w:val="both"/>
              <w:rPr>
                <w:rFonts w:ascii="Times New Roman" w:hAnsi="Times New Roman"/>
                <w:b/>
                <w:bCs/>
                <w:sz w:val="24"/>
                <w:szCs w:val="24"/>
                <w:lang w:val="ro-RO"/>
              </w:rPr>
            </w:pPr>
          </w:p>
          <w:p w14:paraId="5E408803" w14:textId="04C14DEA" w:rsidR="00CB0ADD" w:rsidRPr="00FD50C3" w:rsidRDefault="00CB0ADD" w:rsidP="007D593B">
            <w:pPr>
              <w:tabs>
                <w:tab w:val="left" w:pos="884"/>
                <w:tab w:val="left" w:pos="1196"/>
              </w:tabs>
              <w:spacing w:after="0" w:line="240" w:lineRule="auto"/>
              <w:jc w:val="both"/>
              <w:rPr>
                <w:rFonts w:ascii="Times New Roman" w:hAnsi="Times New Roman"/>
                <w:b/>
                <w:bCs/>
                <w:sz w:val="24"/>
                <w:szCs w:val="24"/>
                <w:lang w:val="ro-RO"/>
              </w:rPr>
            </w:pPr>
            <w:r>
              <w:rPr>
                <w:rFonts w:ascii="Times New Roman" w:hAnsi="Times New Roman"/>
                <w:b/>
                <w:bCs/>
                <w:sz w:val="24"/>
                <w:szCs w:val="24"/>
                <w:lang w:val="ro-RO"/>
              </w:rPr>
              <w:t>Se acceptă.</w:t>
            </w:r>
          </w:p>
        </w:tc>
      </w:tr>
      <w:tr w:rsidR="0069342A" w:rsidRPr="008A0589" w14:paraId="1A42CB0F" w14:textId="77777777" w:rsidTr="006579BC">
        <w:trPr>
          <w:trHeight w:val="699"/>
        </w:trPr>
        <w:tc>
          <w:tcPr>
            <w:tcW w:w="3145" w:type="dxa"/>
          </w:tcPr>
          <w:p w14:paraId="6201581C" w14:textId="77777777" w:rsidR="008A0589" w:rsidRDefault="009B425F" w:rsidP="00025CE6">
            <w:pPr>
              <w:tabs>
                <w:tab w:val="left" w:pos="884"/>
                <w:tab w:val="left" w:pos="1196"/>
              </w:tabs>
              <w:spacing w:after="0" w:line="240" w:lineRule="auto"/>
              <w:rPr>
                <w:rFonts w:ascii="Times New Roman" w:hAnsi="Times New Roman"/>
                <w:sz w:val="24"/>
                <w:szCs w:val="24"/>
                <w:lang w:val="ro-RO"/>
              </w:rPr>
            </w:pPr>
            <w:r w:rsidRPr="00DA5230">
              <w:rPr>
                <w:rFonts w:ascii="Times New Roman" w:hAnsi="Times New Roman"/>
                <w:b/>
                <w:sz w:val="24"/>
                <w:szCs w:val="24"/>
                <w:lang w:val="ro-RO"/>
              </w:rPr>
              <w:lastRenderedPageBreak/>
              <w:t>Agenția Națională pentru Reglementare în Energetică</w:t>
            </w:r>
            <w:r w:rsidR="00CA229B" w:rsidRPr="00DA5230">
              <w:rPr>
                <w:rFonts w:ascii="Times New Roman" w:hAnsi="Times New Roman"/>
                <w:b/>
                <w:sz w:val="24"/>
                <w:szCs w:val="24"/>
                <w:lang w:val="ro-RO"/>
              </w:rPr>
              <w:t xml:space="preserve">  </w:t>
            </w:r>
            <w:r w:rsidR="00CA229B" w:rsidRPr="00DA5230">
              <w:rPr>
                <w:rFonts w:ascii="Times New Roman" w:hAnsi="Times New Roman"/>
                <w:sz w:val="24"/>
                <w:szCs w:val="24"/>
                <w:lang w:val="ro-RO"/>
              </w:rPr>
              <w:t>nr</w:t>
            </w:r>
            <w:r w:rsidR="007A2334" w:rsidRPr="00DA5230">
              <w:rPr>
                <w:rFonts w:ascii="Times New Roman" w:hAnsi="Times New Roman"/>
                <w:sz w:val="24"/>
                <w:szCs w:val="24"/>
                <w:lang w:val="ro-RO"/>
              </w:rPr>
              <w:t>/</w:t>
            </w:r>
            <w:r w:rsidRPr="00DA5230">
              <w:rPr>
                <w:rFonts w:ascii="Times New Roman" w:hAnsi="Times New Roman"/>
                <w:sz w:val="24"/>
                <w:szCs w:val="24"/>
                <w:lang w:val="ro-RO"/>
              </w:rPr>
              <w:t>. 06-01/</w:t>
            </w:r>
            <w:r w:rsidR="00025CE6">
              <w:rPr>
                <w:rFonts w:ascii="Times New Roman" w:hAnsi="Times New Roman"/>
                <w:sz w:val="24"/>
                <w:szCs w:val="24"/>
                <w:lang w:val="ro-RO"/>
              </w:rPr>
              <w:t>4794</w:t>
            </w:r>
            <w:r w:rsidRPr="00DA5230">
              <w:rPr>
                <w:rFonts w:ascii="Times New Roman" w:hAnsi="Times New Roman"/>
                <w:sz w:val="24"/>
                <w:szCs w:val="24"/>
                <w:lang w:val="ro-RO"/>
              </w:rPr>
              <w:t xml:space="preserve"> </w:t>
            </w:r>
            <w:r w:rsidR="00CA229B" w:rsidRPr="00DA5230">
              <w:rPr>
                <w:rFonts w:ascii="Times New Roman" w:hAnsi="Times New Roman"/>
                <w:sz w:val="24"/>
                <w:szCs w:val="24"/>
                <w:lang w:val="ro-RO"/>
              </w:rPr>
              <w:t xml:space="preserve">din </w:t>
            </w:r>
            <w:r w:rsidR="00025CE6">
              <w:rPr>
                <w:rFonts w:ascii="Times New Roman" w:hAnsi="Times New Roman"/>
                <w:sz w:val="24"/>
                <w:szCs w:val="24"/>
                <w:lang w:val="ro-RO"/>
              </w:rPr>
              <w:t>30.09</w:t>
            </w:r>
            <w:r w:rsidRPr="00DA5230">
              <w:rPr>
                <w:rFonts w:ascii="Times New Roman" w:hAnsi="Times New Roman"/>
                <w:sz w:val="24"/>
                <w:szCs w:val="24"/>
                <w:lang w:val="ro-RO"/>
              </w:rPr>
              <w:t>.2024</w:t>
            </w:r>
          </w:p>
          <w:p w14:paraId="135CDE20"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6CC21FB4"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6E47316D"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3C401850"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01F17654"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27553003"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0A1F9F1D"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7A27D29B"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64C7718D"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525C2821"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347C6822"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23B3BAA4"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410BFAB2"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039D65B2"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485307C6"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345E13EB"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182EE1CF"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599987F5"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72019FF6"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43629807" w14:textId="77777777" w:rsidR="008A0589" w:rsidRDefault="008A0589" w:rsidP="00025CE6">
            <w:pPr>
              <w:tabs>
                <w:tab w:val="left" w:pos="884"/>
                <w:tab w:val="left" w:pos="1196"/>
              </w:tabs>
              <w:spacing w:after="0" w:line="240" w:lineRule="auto"/>
              <w:rPr>
                <w:rFonts w:ascii="Times New Roman" w:hAnsi="Times New Roman"/>
                <w:sz w:val="24"/>
                <w:szCs w:val="24"/>
                <w:lang w:val="ro-RO"/>
              </w:rPr>
            </w:pPr>
          </w:p>
          <w:p w14:paraId="01043B83" w14:textId="5877F4FE" w:rsidR="00CA229B" w:rsidRPr="00DA5230" w:rsidRDefault="008A0589" w:rsidP="008A0589">
            <w:pPr>
              <w:tabs>
                <w:tab w:val="left" w:pos="884"/>
                <w:tab w:val="left" w:pos="1196"/>
              </w:tabs>
              <w:spacing w:after="0" w:line="240" w:lineRule="auto"/>
              <w:rPr>
                <w:rFonts w:ascii="Times New Roman" w:hAnsi="Times New Roman"/>
                <w:b/>
                <w:sz w:val="24"/>
                <w:szCs w:val="24"/>
                <w:lang w:val="ro-RO"/>
              </w:rPr>
            </w:pPr>
            <w:r w:rsidRPr="00DA5230">
              <w:rPr>
                <w:rFonts w:ascii="Times New Roman" w:hAnsi="Times New Roman"/>
                <w:sz w:val="24"/>
                <w:szCs w:val="24"/>
                <w:lang w:val="ro-RO"/>
              </w:rPr>
              <w:t xml:space="preserve"> nr/. 06-01/</w:t>
            </w:r>
            <w:r>
              <w:rPr>
                <w:rFonts w:ascii="Times New Roman" w:hAnsi="Times New Roman"/>
                <w:sz w:val="24"/>
                <w:szCs w:val="24"/>
                <w:lang w:val="ro-RO"/>
              </w:rPr>
              <w:t>4810</w:t>
            </w:r>
            <w:r w:rsidRPr="00DA5230">
              <w:rPr>
                <w:rFonts w:ascii="Times New Roman" w:hAnsi="Times New Roman"/>
                <w:sz w:val="24"/>
                <w:szCs w:val="24"/>
                <w:lang w:val="ro-RO"/>
              </w:rPr>
              <w:t xml:space="preserve"> din </w:t>
            </w:r>
            <w:r>
              <w:rPr>
                <w:rFonts w:ascii="Times New Roman" w:hAnsi="Times New Roman"/>
                <w:sz w:val="24"/>
                <w:szCs w:val="24"/>
                <w:lang w:val="ro-RO"/>
              </w:rPr>
              <w:t>01.10</w:t>
            </w:r>
            <w:r w:rsidRPr="00DA5230">
              <w:rPr>
                <w:rFonts w:ascii="Times New Roman" w:hAnsi="Times New Roman"/>
                <w:sz w:val="24"/>
                <w:szCs w:val="24"/>
                <w:lang w:val="ro-RO"/>
              </w:rPr>
              <w:t>.2024</w:t>
            </w:r>
          </w:p>
        </w:tc>
        <w:tc>
          <w:tcPr>
            <w:tcW w:w="6602" w:type="dxa"/>
          </w:tcPr>
          <w:p w14:paraId="62A2B3E7" w14:textId="4A8F73D5" w:rsidR="00025CE6" w:rsidRPr="002455E7" w:rsidRDefault="00025CE6" w:rsidP="00025CE6">
            <w:pPr>
              <w:tabs>
                <w:tab w:val="left" w:pos="884"/>
                <w:tab w:val="left" w:pos="1196"/>
              </w:tabs>
              <w:spacing w:after="0" w:line="240" w:lineRule="auto"/>
              <w:jc w:val="both"/>
              <w:rPr>
                <w:rFonts w:ascii="Times New Roman" w:hAnsi="Times New Roman"/>
                <w:lang w:val="ro-RO"/>
              </w:rPr>
            </w:pPr>
            <w:r w:rsidRPr="002455E7">
              <w:rPr>
                <w:rFonts w:ascii="Times New Roman" w:hAnsi="Times New Roman"/>
                <w:lang w:val="ro-RO"/>
              </w:rPr>
              <w:lastRenderedPageBreak/>
              <w:t xml:space="preserve">    Agenția </w:t>
            </w:r>
            <w:proofErr w:type="spellStart"/>
            <w:r w:rsidRPr="002455E7">
              <w:rPr>
                <w:rFonts w:ascii="Times New Roman" w:hAnsi="Times New Roman"/>
                <w:lang w:val="ro-RO"/>
              </w:rPr>
              <w:t>Natională</w:t>
            </w:r>
            <w:proofErr w:type="spellEnd"/>
            <w:r w:rsidRPr="002455E7">
              <w:rPr>
                <w:rFonts w:ascii="Times New Roman" w:hAnsi="Times New Roman"/>
                <w:lang w:val="ro-RO"/>
              </w:rPr>
              <w:t xml:space="preserve"> pentru Reglementare în Energetică (ANRE) a recepționat la 17 septembrie 2024 demersul Cancelariei de Stat nr. 18-69-10408 din 17 septembrie 2024 prin care se solicită avizarea proiectului de hotărâre cu privire la modificarea </w:t>
            </w:r>
            <w:r w:rsidRPr="002455E7">
              <w:rPr>
                <w:rFonts w:ascii="Times New Roman" w:hAnsi="Times New Roman"/>
                <w:i/>
                <w:lang w:val="ro-RO"/>
              </w:rPr>
              <w:t xml:space="preserve">Hotărârii Guvernului nr. 1003/2014 pentru aprobarea regulamentelor privind cerințele de etichetare energetică a unor produse cu impact energetic </w:t>
            </w:r>
            <w:r w:rsidRPr="002455E7">
              <w:rPr>
                <w:rFonts w:ascii="Times New Roman" w:hAnsi="Times New Roman"/>
                <w:b/>
                <w:i/>
                <w:lang w:val="ro-RO"/>
              </w:rPr>
              <w:t>(număr unic 814/</w:t>
            </w:r>
            <w:proofErr w:type="spellStart"/>
            <w:r w:rsidRPr="002455E7">
              <w:rPr>
                <w:rFonts w:ascii="Times New Roman" w:hAnsi="Times New Roman"/>
                <w:b/>
                <w:i/>
                <w:lang w:val="ro-RO"/>
              </w:rPr>
              <w:t>MEn</w:t>
            </w:r>
            <w:proofErr w:type="spellEnd"/>
            <w:r w:rsidRPr="002455E7">
              <w:rPr>
                <w:rFonts w:ascii="Times New Roman" w:hAnsi="Times New Roman"/>
                <w:b/>
                <w:i/>
                <w:lang w:val="ro-RO"/>
              </w:rPr>
              <w:t>/2024)</w:t>
            </w:r>
            <w:r w:rsidRPr="002455E7">
              <w:rPr>
                <w:rFonts w:ascii="Times New Roman" w:hAnsi="Times New Roman"/>
                <w:lang w:val="ro-RO"/>
              </w:rPr>
              <w:t xml:space="preserve">, fiind acordat termen de 10 zile lucrătoare. </w:t>
            </w:r>
          </w:p>
          <w:p w14:paraId="5955E665" w14:textId="77777777" w:rsidR="00025CE6" w:rsidRPr="002455E7" w:rsidRDefault="00025CE6" w:rsidP="00025CE6">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ro-RO"/>
              </w:rPr>
              <w:t xml:space="preserve">     Potrivit art. 38 alin. (3) din Legea cu privire la actele normative nr. 100 din 22.12.2017, in funcție de complexitatea proiectului actului normativ, termenul de examinare poate fi restrâns la cel mult jumătate sau </w:t>
            </w:r>
            <w:r w:rsidRPr="002455E7">
              <w:rPr>
                <w:rFonts w:ascii="Times New Roman" w:hAnsi="Times New Roman"/>
                <w:b/>
                <w:lang w:val="ro-RO"/>
              </w:rPr>
              <w:t>prelungit cu până la 10 zile lucrătoare</w:t>
            </w:r>
            <w:r w:rsidRPr="002455E7">
              <w:rPr>
                <w:rFonts w:ascii="Times New Roman" w:hAnsi="Times New Roman"/>
                <w:lang w:val="ro-RO"/>
              </w:rPr>
              <w:t xml:space="preserve">. </w:t>
            </w:r>
            <w:r w:rsidRPr="002455E7">
              <w:rPr>
                <w:rFonts w:ascii="Times New Roman" w:hAnsi="Times New Roman"/>
                <w:lang w:val="pt-BR"/>
              </w:rPr>
              <w:t xml:space="preserve">În cazul prelungirii termenului de examinare se va informa autorul proiectului actuluj normativ. </w:t>
            </w:r>
          </w:p>
          <w:p w14:paraId="2D42F43A" w14:textId="77777777" w:rsidR="00025CE6" w:rsidRPr="002455E7" w:rsidRDefault="00025CE6" w:rsidP="00025CE6">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La caz, ANRE reiterează că proiectul de hotărâre cu privire la modificarea Hotărârii Guvernului nr. 1003/2014 pentru aprobarea regulamentelor privind cerințele de etichetare energetică a unor produse cu impact energetic </w:t>
            </w:r>
            <w:r w:rsidRPr="002455E7">
              <w:rPr>
                <w:rFonts w:ascii="Times New Roman" w:hAnsi="Times New Roman"/>
                <w:b/>
                <w:lang w:val="pt-BR"/>
              </w:rPr>
              <w:t>(număr unic 814/MEn/2024)</w:t>
            </w:r>
            <w:r w:rsidRPr="002455E7">
              <w:rPr>
                <w:rFonts w:ascii="Times New Roman" w:hAnsi="Times New Roman"/>
                <w:lang w:val="pt-BR"/>
              </w:rPr>
              <w:t>, a parvenit spre examinare în lipsa anexelor nr. 17, 18, 19, 20 şi 21, care sunt parte integrată a actului normativ.</w:t>
            </w:r>
          </w:p>
          <w:p w14:paraId="7BA11CEF" w14:textId="77777777" w:rsidR="00C73D84" w:rsidRPr="002455E7" w:rsidRDefault="00025CE6" w:rsidP="00025CE6">
            <w:pPr>
              <w:tabs>
                <w:tab w:val="left" w:pos="884"/>
                <w:tab w:val="left" w:pos="1196"/>
              </w:tabs>
              <w:spacing w:after="0" w:line="240" w:lineRule="auto"/>
              <w:jc w:val="both"/>
              <w:rPr>
                <w:rFonts w:ascii="Times New Roman" w:hAnsi="Times New Roman"/>
                <w:b/>
                <w:lang w:val="pt-BR"/>
              </w:rPr>
            </w:pPr>
            <w:r w:rsidRPr="002455E7">
              <w:rPr>
                <w:rFonts w:ascii="Times New Roman" w:hAnsi="Times New Roman"/>
                <w:lang w:val="pt-BR"/>
              </w:rPr>
              <w:lastRenderedPageBreak/>
              <w:t xml:space="preserve">    Respectiv, proiectul actului normativ vizat a fost actualizat la data de 30 septembrie 2024. Luînd in considerație faptul că proiectul, recepționat integral spre avizare la data de 30 septembrie 2024, este voluminos şi complex, iar timpul acordat pentru avizare expiră la data de 30.09.2024, </w:t>
            </w:r>
            <w:r w:rsidRPr="002455E7">
              <w:rPr>
                <w:rFonts w:ascii="Times New Roman" w:hAnsi="Times New Roman"/>
                <w:b/>
                <w:lang w:val="pt-BR"/>
              </w:rPr>
              <w:t xml:space="preserve">ANRE solicită respectuos prelungirea termenului de avizare </w:t>
            </w:r>
            <w:r w:rsidR="007178FA" w:rsidRPr="002455E7">
              <w:rPr>
                <w:rFonts w:ascii="Times New Roman" w:hAnsi="Times New Roman"/>
                <w:b/>
                <w:lang w:val="pt-BR"/>
              </w:rPr>
              <w:t>cu 5 zile lucrătoare, adică pînă</w:t>
            </w:r>
            <w:r w:rsidRPr="002455E7">
              <w:rPr>
                <w:rFonts w:ascii="Times New Roman" w:hAnsi="Times New Roman"/>
                <w:b/>
                <w:lang w:val="pt-BR"/>
              </w:rPr>
              <w:t xml:space="preserve"> la 07.10.2024.</w:t>
            </w:r>
          </w:p>
          <w:p w14:paraId="1A6BCD6F" w14:textId="32AB2380" w:rsidR="008A0589" w:rsidRPr="002455E7" w:rsidRDefault="008A0589" w:rsidP="00025CE6">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Agenția Natională pentru Reglementare în Energetică (ANRE) a recepționat la 17 septembrie 2024 demersul Cancelariei de Stat nr. 18-69-10408 din 17 septembrie 2024 prin care se solicită avizarea proiectului de hotărâre cu privire la modificarea </w:t>
            </w:r>
            <w:r w:rsidRPr="002455E7">
              <w:rPr>
                <w:rFonts w:ascii="Times New Roman" w:hAnsi="Times New Roman"/>
                <w:i/>
                <w:lang w:val="pt-BR"/>
              </w:rPr>
              <w:t xml:space="preserve">Hotărârii Guvernului nr. 1003/2014 pentru aprobarea regulamentelor privind cerințele de etichetare energetică a unor produse cu impact energetic </w:t>
            </w:r>
            <w:r w:rsidRPr="002455E7">
              <w:rPr>
                <w:rFonts w:ascii="Times New Roman" w:hAnsi="Times New Roman"/>
                <w:b/>
                <w:i/>
                <w:lang w:val="pt-BR"/>
              </w:rPr>
              <w:t>(număr unic 814/MEn/2024)</w:t>
            </w:r>
            <w:r w:rsidRPr="002455E7">
              <w:rPr>
                <w:lang w:val="pt-BR"/>
              </w:rPr>
              <w:t xml:space="preserve"> </w:t>
            </w:r>
            <w:r w:rsidRPr="002455E7">
              <w:rPr>
                <w:rFonts w:ascii="Times New Roman" w:hAnsi="Times New Roman"/>
                <w:lang w:val="pt-BR"/>
              </w:rPr>
              <w:t>şi comunică despre lipsa propunerilor şi obiecliilor la proiectul elaborat.</w:t>
            </w:r>
          </w:p>
        </w:tc>
        <w:tc>
          <w:tcPr>
            <w:tcW w:w="4581" w:type="dxa"/>
          </w:tcPr>
          <w:p w14:paraId="756A871A" w14:textId="634D9D3E" w:rsidR="008A0589" w:rsidRPr="0067058B" w:rsidRDefault="008A0589" w:rsidP="00E073DC">
            <w:pPr>
              <w:tabs>
                <w:tab w:val="left" w:pos="884"/>
                <w:tab w:val="left" w:pos="1196"/>
              </w:tabs>
              <w:spacing w:after="0" w:line="240" w:lineRule="auto"/>
              <w:jc w:val="both"/>
              <w:rPr>
                <w:rFonts w:ascii="Times New Roman" w:hAnsi="Times New Roman"/>
                <w:b/>
                <w:bCs/>
                <w:sz w:val="24"/>
                <w:szCs w:val="24"/>
                <w:lang w:val="ro-RO"/>
              </w:rPr>
            </w:pPr>
            <w:r w:rsidRPr="0067058B">
              <w:rPr>
                <w:rFonts w:ascii="Times New Roman" w:hAnsi="Times New Roman"/>
                <w:b/>
                <w:bCs/>
                <w:sz w:val="24"/>
                <w:szCs w:val="24"/>
                <w:lang w:val="ro-RO"/>
              </w:rPr>
              <w:lastRenderedPageBreak/>
              <w:t>Se acceptă</w:t>
            </w:r>
            <w:r w:rsidR="0067058B">
              <w:rPr>
                <w:rFonts w:ascii="Times New Roman" w:hAnsi="Times New Roman"/>
                <w:b/>
                <w:bCs/>
                <w:sz w:val="24"/>
                <w:szCs w:val="24"/>
                <w:lang w:val="ro-RO"/>
              </w:rPr>
              <w:t>.</w:t>
            </w:r>
          </w:p>
          <w:p w14:paraId="7E6E2677"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62C691AC"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76CF69CB"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0E1A89AF"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2B20B8A5"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21586304"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56DB5875"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37DD6FB3"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4512EEC8"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025F56D0"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1E92091C"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63743CB5"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7D49CBCF"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131CBF29"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50DE3E38"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7905B844"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6B7B054E"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6987843C"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0EE8D83A"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15BBE82A"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64C6447C"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253E2FDA"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5DBE79C3" w14:textId="77777777" w:rsidR="008A0589" w:rsidRDefault="008A0589" w:rsidP="00E073DC">
            <w:pPr>
              <w:tabs>
                <w:tab w:val="left" w:pos="884"/>
                <w:tab w:val="left" w:pos="1196"/>
              </w:tabs>
              <w:spacing w:after="0" w:line="240" w:lineRule="auto"/>
              <w:jc w:val="both"/>
              <w:rPr>
                <w:rFonts w:ascii="Times New Roman" w:hAnsi="Times New Roman"/>
                <w:sz w:val="24"/>
                <w:szCs w:val="24"/>
                <w:lang w:val="ro-RO"/>
              </w:rPr>
            </w:pPr>
          </w:p>
          <w:p w14:paraId="34B4E1AF" w14:textId="12CDDB99" w:rsidR="0059405F" w:rsidRPr="00B545A2" w:rsidRDefault="008A0589" w:rsidP="00E073DC">
            <w:pPr>
              <w:tabs>
                <w:tab w:val="left" w:pos="884"/>
                <w:tab w:val="left" w:pos="1196"/>
              </w:tabs>
              <w:spacing w:after="0" w:line="240" w:lineRule="auto"/>
              <w:jc w:val="both"/>
              <w:rPr>
                <w:rFonts w:ascii="Times New Roman" w:hAnsi="Times New Roman"/>
                <w:b/>
                <w:bCs/>
                <w:sz w:val="24"/>
                <w:szCs w:val="24"/>
                <w:lang w:val="ro-RO"/>
              </w:rPr>
            </w:pPr>
            <w:r w:rsidRPr="00B545A2">
              <w:rPr>
                <w:rFonts w:ascii="Times New Roman" w:hAnsi="Times New Roman"/>
                <w:b/>
                <w:bCs/>
                <w:sz w:val="24"/>
                <w:szCs w:val="24"/>
                <w:lang w:val="ro-RO"/>
              </w:rPr>
              <w:t>Se acceptă</w:t>
            </w:r>
          </w:p>
        </w:tc>
      </w:tr>
      <w:tr w:rsidR="00B53C0C" w:rsidRPr="00740A80" w14:paraId="5870DBC9" w14:textId="77777777" w:rsidTr="00DC7290">
        <w:trPr>
          <w:trHeight w:val="1070"/>
        </w:trPr>
        <w:tc>
          <w:tcPr>
            <w:tcW w:w="3145" w:type="dxa"/>
          </w:tcPr>
          <w:p w14:paraId="5B546E12" w14:textId="549DC611" w:rsidR="00B53C0C" w:rsidRPr="00DA5230" w:rsidRDefault="00B53C0C" w:rsidP="00740A80">
            <w:pPr>
              <w:tabs>
                <w:tab w:val="left" w:pos="884"/>
                <w:tab w:val="left" w:pos="1196"/>
              </w:tabs>
              <w:spacing w:after="0" w:line="240" w:lineRule="auto"/>
              <w:rPr>
                <w:rFonts w:ascii="Times New Roman" w:hAnsi="Times New Roman"/>
                <w:b/>
                <w:sz w:val="24"/>
                <w:szCs w:val="24"/>
                <w:lang w:val="ro-RO"/>
              </w:rPr>
            </w:pPr>
            <w:r w:rsidRPr="00DA5230">
              <w:rPr>
                <w:rFonts w:ascii="Times New Roman" w:hAnsi="Times New Roman"/>
                <w:b/>
                <w:sz w:val="24"/>
                <w:szCs w:val="24"/>
                <w:lang w:val="ro-RO"/>
              </w:rPr>
              <w:lastRenderedPageBreak/>
              <w:t xml:space="preserve">Ministerul </w:t>
            </w:r>
            <w:r w:rsidR="00F54F6D" w:rsidRPr="00DA5230">
              <w:rPr>
                <w:rFonts w:ascii="Times New Roman" w:hAnsi="Times New Roman"/>
                <w:b/>
                <w:sz w:val="24"/>
                <w:szCs w:val="24"/>
                <w:lang w:val="ro-RO"/>
              </w:rPr>
              <w:t>Finanțelor</w:t>
            </w:r>
            <w:r w:rsidRPr="00DA5230">
              <w:rPr>
                <w:rFonts w:ascii="Times New Roman" w:hAnsi="Times New Roman"/>
                <w:b/>
                <w:sz w:val="24"/>
                <w:szCs w:val="24"/>
                <w:lang w:val="ro-RO"/>
              </w:rPr>
              <w:t xml:space="preserve">        </w:t>
            </w:r>
            <w:r w:rsidRPr="00DA5230">
              <w:rPr>
                <w:rFonts w:ascii="Times New Roman" w:hAnsi="Times New Roman"/>
                <w:sz w:val="24"/>
                <w:szCs w:val="24"/>
                <w:lang w:val="ro-RO"/>
              </w:rPr>
              <w:t xml:space="preserve">nr. </w:t>
            </w:r>
            <w:r w:rsidR="00740A80">
              <w:rPr>
                <w:rFonts w:ascii="Times New Roman" w:hAnsi="Times New Roman"/>
                <w:sz w:val="24"/>
                <w:szCs w:val="24"/>
                <w:lang w:val="ro-RO"/>
              </w:rPr>
              <w:t>07/5-03/444/1516</w:t>
            </w:r>
            <w:r w:rsidRPr="00DA5230">
              <w:rPr>
                <w:rFonts w:ascii="Times New Roman" w:hAnsi="Times New Roman"/>
                <w:sz w:val="24"/>
                <w:szCs w:val="24"/>
                <w:lang w:val="ro-RO"/>
              </w:rPr>
              <w:t xml:space="preserve"> din </w:t>
            </w:r>
            <w:r w:rsidR="00740A80">
              <w:rPr>
                <w:rFonts w:ascii="Times New Roman" w:hAnsi="Times New Roman"/>
                <w:sz w:val="24"/>
                <w:szCs w:val="24"/>
                <w:lang w:val="ro-RO"/>
              </w:rPr>
              <w:t>30.09</w:t>
            </w:r>
            <w:r w:rsidR="00F54F6D" w:rsidRPr="00DA5230">
              <w:rPr>
                <w:rFonts w:ascii="Times New Roman" w:hAnsi="Times New Roman"/>
                <w:sz w:val="24"/>
                <w:szCs w:val="24"/>
                <w:lang w:val="ro-RO"/>
              </w:rPr>
              <w:t>.2024</w:t>
            </w:r>
            <w:r w:rsidR="00E46833" w:rsidRPr="00DA5230">
              <w:rPr>
                <w:rFonts w:ascii="Times New Roman" w:hAnsi="Times New Roman"/>
                <w:sz w:val="24"/>
                <w:szCs w:val="24"/>
                <w:lang w:val="ro-RO"/>
              </w:rPr>
              <w:t xml:space="preserve"> </w:t>
            </w:r>
          </w:p>
        </w:tc>
        <w:tc>
          <w:tcPr>
            <w:tcW w:w="6602" w:type="dxa"/>
          </w:tcPr>
          <w:p w14:paraId="43C45331" w14:textId="4D28BE5F" w:rsidR="00740A80" w:rsidRPr="002455E7" w:rsidRDefault="00740A80" w:rsidP="00F54F6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La indicația Cancelariei de Stat nr.18-69-10408 din 17 septembrie 2024, Ministerul Finanțelor a examinat proiectul de hotărâre </w:t>
            </w:r>
            <w:r w:rsidRPr="002455E7">
              <w:rPr>
                <w:rFonts w:ascii="Times New Roman" w:hAnsi="Times New Roman"/>
                <w:i/>
                <w:lang w:val="pt-BR"/>
              </w:rPr>
              <w:t>cu privire la modificarea Hotărârii Guvernului nr.1003/2014 pentru aprobarea regulamentelor privind cerințele de etichetare a unor produse cu impact energetic</w:t>
            </w:r>
            <w:r w:rsidRPr="002455E7">
              <w:rPr>
                <w:rFonts w:ascii="Times New Roman" w:hAnsi="Times New Roman"/>
                <w:lang w:val="pt-BR"/>
              </w:rPr>
              <w:t xml:space="preserve"> </w:t>
            </w:r>
            <w:r w:rsidRPr="002455E7">
              <w:rPr>
                <w:rFonts w:ascii="Times New Roman" w:hAnsi="Times New Roman"/>
                <w:b/>
                <w:lang w:val="pt-BR"/>
              </w:rPr>
              <w:t>(număr unic 814/MEn/2024)</w:t>
            </w:r>
            <w:r w:rsidR="008A0589" w:rsidRPr="002455E7">
              <w:rPr>
                <w:rFonts w:ascii="Times New Roman" w:hAnsi="Times New Roman"/>
                <w:lang w:val="pt-BR"/>
              </w:rPr>
              <w:t xml:space="preserve"> și,</w:t>
            </w:r>
            <w:r w:rsidRPr="002455E7">
              <w:rPr>
                <w:rFonts w:ascii="Times New Roman" w:hAnsi="Times New Roman"/>
                <w:lang w:val="pt-BR"/>
              </w:rPr>
              <w:t xml:space="preserve"> în limita competențelor funcționale, comunică lipsă de obiecții și propuneri.</w:t>
            </w:r>
          </w:p>
          <w:p w14:paraId="510F8AC5" w14:textId="0B0140E9" w:rsidR="00B53C0C" w:rsidRPr="002455E7" w:rsidRDefault="00740A80" w:rsidP="00F54F6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Totodată, implementarea prevederilor propuse urmează a fi efectuată din contul și în limita alocațiilor aprobate anual în acest scop, conform legii bugetare anuale.</w:t>
            </w:r>
          </w:p>
        </w:tc>
        <w:tc>
          <w:tcPr>
            <w:tcW w:w="4581" w:type="dxa"/>
          </w:tcPr>
          <w:p w14:paraId="5C4B866D" w14:textId="5926DE12" w:rsidR="002A434B" w:rsidRPr="002455E7" w:rsidRDefault="00740A80" w:rsidP="006256CD">
            <w:pPr>
              <w:spacing w:after="0" w:line="240" w:lineRule="auto"/>
              <w:jc w:val="both"/>
              <w:rPr>
                <w:rFonts w:ascii="Times New Roman" w:hAnsi="Times New Roman"/>
                <w:b/>
                <w:bCs/>
                <w:sz w:val="24"/>
                <w:szCs w:val="24"/>
                <w:lang w:val="ro-RO"/>
              </w:rPr>
            </w:pPr>
            <w:r w:rsidRPr="002455E7">
              <w:rPr>
                <w:rFonts w:ascii="Times New Roman" w:hAnsi="Times New Roman"/>
                <w:b/>
                <w:bCs/>
                <w:sz w:val="24"/>
                <w:szCs w:val="24"/>
                <w:lang w:val="ro-RO"/>
              </w:rPr>
              <w:t>Se acceptă</w:t>
            </w:r>
          </w:p>
        </w:tc>
      </w:tr>
      <w:tr w:rsidR="0042753C" w:rsidRPr="006579BC" w14:paraId="3D9CF686" w14:textId="77777777" w:rsidTr="006579BC">
        <w:trPr>
          <w:trHeight w:val="1521"/>
        </w:trPr>
        <w:tc>
          <w:tcPr>
            <w:tcW w:w="3145" w:type="dxa"/>
          </w:tcPr>
          <w:p w14:paraId="2D2A646F" w14:textId="77777777" w:rsidR="0042753C" w:rsidRPr="00DA5230" w:rsidRDefault="00CA5BAC" w:rsidP="0042753C">
            <w:pPr>
              <w:tabs>
                <w:tab w:val="left" w:pos="884"/>
                <w:tab w:val="left" w:pos="1196"/>
              </w:tabs>
              <w:spacing w:after="0" w:line="240" w:lineRule="auto"/>
              <w:rPr>
                <w:rFonts w:ascii="Times New Roman" w:hAnsi="Times New Roman"/>
                <w:b/>
                <w:sz w:val="24"/>
                <w:szCs w:val="24"/>
                <w:lang w:val="ro-RO"/>
              </w:rPr>
            </w:pPr>
            <w:r w:rsidRPr="00DA5230">
              <w:rPr>
                <w:rFonts w:ascii="Times New Roman" w:hAnsi="Times New Roman"/>
                <w:b/>
                <w:sz w:val="24"/>
                <w:szCs w:val="24"/>
                <w:lang w:val="ro-RO"/>
              </w:rPr>
              <w:t>Ministerul Mediului</w:t>
            </w:r>
          </w:p>
          <w:p w14:paraId="2E1CE49E" w14:textId="549E25D3" w:rsidR="00CA5BAC" w:rsidRPr="00DA5230" w:rsidRDefault="007244BD" w:rsidP="006579BC">
            <w:pPr>
              <w:tabs>
                <w:tab w:val="left" w:pos="884"/>
                <w:tab w:val="left" w:pos="1196"/>
              </w:tabs>
              <w:spacing w:after="0" w:line="240" w:lineRule="auto"/>
              <w:rPr>
                <w:rFonts w:ascii="Times New Roman" w:hAnsi="Times New Roman"/>
                <w:sz w:val="24"/>
                <w:szCs w:val="24"/>
                <w:lang w:val="ro-RO"/>
              </w:rPr>
            </w:pPr>
            <w:r w:rsidRPr="00DA5230">
              <w:rPr>
                <w:rFonts w:ascii="Times New Roman" w:hAnsi="Times New Roman"/>
                <w:sz w:val="24"/>
                <w:szCs w:val="24"/>
                <w:lang w:val="ro-RO"/>
              </w:rPr>
              <w:t>n</w:t>
            </w:r>
            <w:r w:rsidR="00CA5BAC" w:rsidRPr="00DA5230">
              <w:rPr>
                <w:rFonts w:ascii="Times New Roman" w:hAnsi="Times New Roman"/>
                <w:sz w:val="24"/>
                <w:szCs w:val="24"/>
                <w:lang w:val="ro-RO"/>
              </w:rPr>
              <w:t>r.</w:t>
            </w:r>
            <w:r w:rsidR="006579BC">
              <w:rPr>
                <w:rFonts w:ascii="Times New Roman" w:hAnsi="Times New Roman"/>
                <w:sz w:val="24"/>
                <w:szCs w:val="24"/>
                <w:lang w:val="ro-RO"/>
              </w:rPr>
              <w:t>13</w:t>
            </w:r>
            <w:r w:rsidR="00CA5BAC" w:rsidRPr="00DA5230">
              <w:rPr>
                <w:rFonts w:ascii="Times New Roman" w:hAnsi="Times New Roman"/>
                <w:sz w:val="24"/>
                <w:szCs w:val="24"/>
                <w:lang w:val="ro-RO"/>
              </w:rPr>
              <w:t>-0</w:t>
            </w:r>
            <w:r w:rsidR="006579BC">
              <w:rPr>
                <w:rFonts w:ascii="Times New Roman" w:hAnsi="Times New Roman"/>
                <w:sz w:val="24"/>
                <w:szCs w:val="24"/>
                <w:lang w:val="ro-RO"/>
              </w:rPr>
              <w:t>5/2799</w:t>
            </w:r>
            <w:r w:rsidR="00CA5BAC" w:rsidRPr="00DA5230">
              <w:rPr>
                <w:rFonts w:ascii="Times New Roman" w:hAnsi="Times New Roman"/>
                <w:sz w:val="24"/>
                <w:szCs w:val="24"/>
                <w:lang w:val="ro-RO"/>
              </w:rPr>
              <w:t xml:space="preserve"> din 03.</w:t>
            </w:r>
            <w:r w:rsidR="006579BC">
              <w:rPr>
                <w:rFonts w:ascii="Times New Roman" w:hAnsi="Times New Roman"/>
                <w:sz w:val="24"/>
                <w:szCs w:val="24"/>
                <w:lang w:val="ro-RO"/>
              </w:rPr>
              <w:t>10.</w:t>
            </w:r>
            <w:r w:rsidR="00CA5BAC" w:rsidRPr="00DA5230">
              <w:rPr>
                <w:rFonts w:ascii="Times New Roman" w:hAnsi="Times New Roman"/>
                <w:sz w:val="24"/>
                <w:szCs w:val="24"/>
                <w:lang w:val="ro-RO"/>
              </w:rPr>
              <w:t>2024</w:t>
            </w:r>
          </w:p>
        </w:tc>
        <w:tc>
          <w:tcPr>
            <w:tcW w:w="6602" w:type="dxa"/>
          </w:tcPr>
          <w:p w14:paraId="257B42BD" w14:textId="277396B3" w:rsidR="0042753C" w:rsidRPr="002455E7" w:rsidRDefault="006579BC" w:rsidP="00CA5BAC">
            <w:pPr>
              <w:tabs>
                <w:tab w:val="left" w:pos="884"/>
                <w:tab w:val="left" w:pos="1196"/>
              </w:tabs>
              <w:spacing w:after="0" w:line="240" w:lineRule="auto"/>
              <w:jc w:val="both"/>
              <w:rPr>
                <w:rFonts w:ascii="Times New Roman" w:hAnsi="Times New Roman"/>
                <w:lang w:val="ro-RO"/>
              </w:rPr>
            </w:pPr>
            <w:r w:rsidRPr="002455E7">
              <w:rPr>
                <w:rFonts w:ascii="Times New Roman" w:hAnsi="Times New Roman"/>
                <w:lang w:val="ro-RO"/>
              </w:rPr>
              <w:t xml:space="preserve">În contextul examinării proiectului de hotărâre a Guvernului </w:t>
            </w:r>
            <w:r w:rsidRPr="002455E7">
              <w:rPr>
                <w:rFonts w:ascii="Times New Roman" w:hAnsi="Times New Roman"/>
                <w:i/>
                <w:lang w:val="ro-RO"/>
              </w:rPr>
              <w:t>cu privire la modificarea Hotărârii Guvernului nr. 1003/2014 pentru aprobarea regulamentelor privind cerințele de etichetare energetică a unor produse cu impact energetic</w:t>
            </w:r>
            <w:r w:rsidRPr="002455E7">
              <w:rPr>
                <w:rFonts w:ascii="Times New Roman" w:hAnsi="Times New Roman"/>
                <w:lang w:val="ro-RO"/>
              </w:rPr>
              <w:t xml:space="preserve"> </w:t>
            </w:r>
            <w:r w:rsidRPr="002455E7">
              <w:rPr>
                <w:rFonts w:ascii="Times New Roman" w:hAnsi="Times New Roman"/>
                <w:b/>
                <w:lang w:val="ro-RO"/>
              </w:rPr>
              <w:t>(număr unic 814/</w:t>
            </w:r>
            <w:proofErr w:type="spellStart"/>
            <w:r w:rsidRPr="002455E7">
              <w:rPr>
                <w:rFonts w:ascii="Times New Roman" w:hAnsi="Times New Roman"/>
                <w:b/>
                <w:lang w:val="ro-RO"/>
              </w:rPr>
              <w:t>MEn</w:t>
            </w:r>
            <w:proofErr w:type="spellEnd"/>
            <w:r w:rsidRPr="002455E7">
              <w:rPr>
                <w:rFonts w:ascii="Times New Roman" w:hAnsi="Times New Roman"/>
                <w:b/>
                <w:lang w:val="ro-RO"/>
              </w:rPr>
              <w:t>/2024),</w:t>
            </w:r>
            <w:r w:rsidRPr="002455E7">
              <w:rPr>
                <w:rFonts w:ascii="Times New Roman" w:hAnsi="Times New Roman"/>
                <w:lang w:val="ro-RO"/>
              </w:rPr>
              <w:t xml:space="preserve"> Vă comunicăm lipsa obiecțiilor și propunerilor.</w:t>
            </w:r>
          </w:p>
        </w:tc>
        <w:tc>
          <w:tcPr>
            <w:tcW w:w="4581" w:type="dxa"/>
            <w:shd w:val="clear" w:color="auto" w:fill="FFFFFF" w:themeFill="background1"/>
          </w:tcPr>
          <w:p w14:paraId="04BC0F20" w14:textId="14E16F32" w:rsidR="0042753C" w:rsidRPr="002455E7" w:rsidRDefault="006579BC" w:rsidP="00BF0C7C">
            <w:pPr>
              <w:tabs>
                <w:tab w:val="left" w:pos="884"/>
                <w:tab w:val="left" w:pos="1196"/>
              </w:tabs>
              <w:spacing w:after="0" w:line="240" w:lineRule="auto"/>
              <w:jc w:val="both"/>
              <w:rPr>
                <w:rFonts w:ascii="Times New Roman" w:hAnsi="Times New Roman"/>
                <w:b/>
                <w:bCs/>
                <w:sz w:val="24"/>
                <w:szCs w:val="24"/>
                <w:lang w:val="ro-RO"/>
              </w:rPr>
            </w:pPr>
            <w:r w:rsidRPr="002455E7">
              <w:rPr>
                <w:rFonts w:ascii="Times New Roman" w:hAnsi="Times New Roman"/>
                <w:b/>
                <w:bCs/>
                <w:sz w:val="24"/>
                <w:szCs w:val="24"/>
                <w:lang w:val="ro-RO"/>
              </w:rPr>
              <w:t>Se acceptă</w:t>
            </w:r>
          </w:p>
        </w:tc>
      </w:tr>
      <w:tr w:rsidR="0042753C" w:rsidRPr="001319A5" w14:paraId="585E62F0" w14:textId="77777777" w:rsidTr="00DC7290">
        <w:trPr>
          <w:trHeight w:val="1070"/>
        </w:trPr>
        <w:tc>
          <w:tcPr>
            <w:tcW w:w="3145" w:type="dxa"/>
          </w:tcPr>
          <w:p w14:paraId="5B19A1D0" w14:textId="77777777" w:rsidR="0042753C" w:rsidRPr="00DA5230" w:rsidRDefault="00F8625F" w:rsidP="0042753C">
            <w:pPr>
              <w:tabs>
                <w:tab w:val="left" w:pos="884"/>
                <w:tab w:val="left" w:pos="1196"/>
              </w:tabs>
              <w:spacing w:after="0" w:line="240" w:lineRule="auto"/>
              <w:rPr>
                <w:rFonts w:ascii="Times New Roman" w:hAnsi="Times New Roman"/>
                <w:b/>
                <w:sz w:val="24"/>
                <w:szCs w:val="24"/>
                <w:lang w:val="ro-RO"/>
              </w:rPr>
            </w:pPr>
            <w:r w:rsidRPr="00DA5230">
              <w:rPr>
                <w:rFonts w:ascii="Times New Roman" w:hAnsi="Times New Roman"/>
                <w:b/>
                <w:sz w:val="24"/>
                <w:szCs w:val="24"/>
                <w:lang w:val="ro-RO"/>
              </w:rPr>
              <w:t>Centrul de Armonizare a Legislației</w:t>
            </w:r>
          </w:p>
          <w:p w14:paraId="6F213CE4" w14:textId="2FF74818" w:rsidR="00F8625F" w:rsidRPr="00DA5230" w:rsidRDefault="00F8625F" w:rsidP="0042753C">
            <w:pPr>
              <w:tabs>
                <w:tab w:val="left" w:pos="884"/>
                <w:tab w:val="left" w:pos="1196"/>
              </w:tabs>
              <w:spacing w:after="0" w:line="240" w:lineRule="auto"/>
              <w:rPr>
                <w:rFonts w:ascii="Times New Roman" w:hAnsi="Times New Roman"/>
                <w:sz w:val="24"/>
                <w:szCs w:val="24"/>
                <w:lang w:val="ro-RO"/>
              </w:rPr>
            </w:pPr>
            <w:r w:rsidRPr="00DA5230">
              <w:rPr>
                <w:rFonts w:ascii="Times New Roman" w:hAnsi="Times New Roman"/>
                <w:sz w:val="24"/>
                <w:szCs w:val="24"/>
                <w:lang w:val="ro-RO"/>
              </w:rPr>
              <w:t>nr. 31/02-</w:t>
            </w:r>
            <w:r w:rsidR="00CC0B29">
              <w:rPr>
                <w:rFonts w:ascii="Times New Roman" w:hAnsi="Times New Roman"/>
                <w:sz w:val="24"/>
                <w:szCs w:val="24"/>
                <w:lang w:val="ro-RO"/>
              </w:rPr>
              <w:t>126</w:t>
            </w:r>
            <w:r w:rsidRPr="00DA5230">
              <w:rPr>
                <w:rFonts w:ascii="Times New Roman" w:hAnsi="Times New Roman"/>
                <w:sz w:val="24"/>
                <w:szCs w:val="24"/>
                <w:lang w:val="ro-RO"/>
              </w:rPr>
              <w:t>-</w:t>
            </w:r>
            <w:r w:rsidR="00CC0B29">
              <w:rPr>
                <w:rFonts w:ascii="Times New Roman" w:hAnsi="Times New Roman"/>
                <w:sz w:val="24"/>
                <w:szCs w:val="24"/>
                <w:lang w:val="ro-RO"/>
              </w:rPr>
              <w:t>11277</w:t>
            </w:r>
            <w:r w:rsidRPr="00DA5230">
              <w:rPr>
                <w:rFonts w:ascii="Times New Roman" w:hAnsi="Times New Roman"/>
                <w:sz w:val="24"/>
                <w:szCs w:val="24"/>
                <w:lang w:val="ro-RO"/>
              </w:rPr>
              <w:t xml:space="preserve"> din </w:t>
            </w:r>
            <w:r w:rsidR="00CC0B29">
              <w:rPr>
                <w:rFonts w:ascii="Times New Roman" w:hAnsi="Times New Roman"/>
                <w:sz w:val="24"/>
                <w:szCs w:val="24"/>
                <w:lang w:val="ro-RO"/>
              </w:rPr>
              <w:t>08.10</w:t>
            </w:r>
            <w:r w:rsidRPr="00DA5230">
              <w:rPr>
                <w:rFonts w:ascii="Times New Roman" w:hAnsi="Times New Roman"/>
                <w:sz w:val="24"/>
                <w:szCs w:val="24"/>
                <w:lang w:val="ro-RO"/>
              </w:rPr>
              <w:t>.2024</w:t>
            </w:r>
          </w:p>
        </w:tc>
        <w:tc>
          <w:tcPr>
            <w:tcW w:w="6602" w:type="dxa"/>
          </w:tcPr>
          <w:p w14:paraId="67F4F68C" w14:textId="77777777" w:rsidR="00CC0B29" w:rsidRPr="00205913" w:rsidRDefault="00CC0B29" w:rsidP="00CC0B29">
            <w:pPr>
              <w:tabs>
                <w:tab w:val="left" w:pos="884"/>
                <w:tab w:val="left" w:pos="1196"/>
              </w:tabs>
              <w:spacing w:after="0" w:line="240" w:lineRule="auto"/>
              <w:jc w:val="both"/>
              <w:rPr>
                <w:rFonts w:ascii="Times New Roman" w:hAnsi="Times New Roman"/>
                <w:i/>
                <w:lang w:val="ro-RO"/>
              </w:rPr>
            </w:pPr>
            <w:proofErr w:type="spellStart"/>
            <w:r w:rsidRPr="00205913">
              <w:rPr>
                <w:rFonts w:ascii="Times New Roman" w:hAnsi="Times New Roman"/>
                <w:i/>
                <w:lang w:val="ro-RO"/>
              </w:rPr>
              <w:t>Ref</w:t>
            </w:r>
            <w:proofErr w:type="spellEnd"/>
            <w:r w:rsidRPr="00205913">
              <w:rPr>
                <w:rFonts w:ascii="Times New Roman" w:hAnsi="Times New Roman"/>
                <w:i/>
                <w:lang w:val="ro-RO"/>
              </w:rPr>
              <w:t>.: scrisoarea nr. 18-69-10408 din 17 septembrie 2024/ număr unic 814/</w:t>
            </w:r>
            <w:proofErr w:type="spellStart"/>
            <w:r w:rsidRPr="00205913">
              <w:rPr>
                <w:rFonts w:ascii="Times New Roman" w:hAnsi="Times New Roman"/>
                <w:i/>
                <w:lang w:val="ro-RO"/>
              </w:rPr>
              <w:t>MEn</w:t>
            </w:r>
            <w:proofErr w:type="spellEnd"/>
            <w:r w:rsidRPr="00205913">
              <w:rPr>
                <w:rFonts w:ascii="Times New Roman" w:hAnsi="Times New Roman"/>
                <w:i/>
                <w:lang w:val="ro-RO"/>
              </w:rPr>
              <w:t>/2024</w:t>
            </w:r>
          </w:p>
          <w:p w14:paraId="79EDE66D" w14:textId="7125FD4B" w:rsidR="00CC0B29" w:rsidRPr="00205913" w:rsidRDefault="00CC0B29" w:rsidP="00CC0B29">
            <w:pPr>
              <w:tabs>
                <w:tab w:val="left" w:pos="884"/>
                <w:tab w:val="left" w:pos="1196"/>
              </w:tabs>
              <w:spacing w:after="0" w:line="240" w:lineRule="auto"/>
              <w:jc w:val="both"/>
              <w:rPr>
                <w:rFonts w:ascii="Times New Roman" w:hAnsi="Times New Roman"/>
                <w:iCs/>
                <w:lang w:val="ro-RO"/>
              </w:rPr>
            </w:pPr>
            <w:r w:rsidRPr="00205913">
              <w:rPr>
                <w:rFonts w:ascii="Times New Roman" w:hAnsi="Times New Roman"/>
                <w:iCs/>
                <w:lang w:val="ro-RO"/>
              </w:rPr>
              <w:t xml:space="preserve">Prin prezenta, Centrul de armonizare a legislației prezintă Declarația de compatibilitate întocmită în baza expertizei proiectului Hotărârii Guvernului cu privire la modificarea Hotărârii Guvernului nr. 1003/2014 pentru aprobarea regulamentelor privind cerințele de etichetare </w:t>
            </w:r>
            <w:r w:rsidRPr="00205913">
              <w:rPr>
                <w:rFonts w:ascii="Times New Roman" w:hAnsi="Times New Roman"/>
                <w:iCs/>
                <w:lang w:val="ro-RO"/>
              </w:rPr>
              <w:lastRenderedPageBreak/>
              <w:t>energetică a unor produse cu impact energetic, promovat suplimentar Planului de acțiuni al Guvernului pentru anul 2024, aprobat prin HG nr. 887/2023.</w:t>
            </w:r>
          </w:p>
          <w:p w14:paraId="354445FE" w14:textId="77777777" w:rsidR="00FC449E" w:rsidRPr="002455E7" w:rsidRDefault="00CC0B29" w:rsidP="00FC449E">
            <w:pPr>
              <w:tabs>
                <w:tab w:val="left" w:pos="884"/>
                <w:tab w:val="left" w:pos="1196"/>
              </w:tabs>
              <w:spacing w:after="0" w:line="240" w:lineRule="auto"/>
              <w:jc w:val="center"/>
              <w:rPr>
                <w:rFonts w:ascii="Times New Roman" w:hAnsi="Times New Roman"/>
                <w:b/>
                <w:bCs/>
                <w:lang w:val="pt-BR"/>
              </w:rPr>
            </w:pPr>
            <w:r w:rsidRPr="002455E7">
              <w:rPr>
                <w:rFonts w:ascii="Times New Roman" w:hAnsi="Times New Roman"/>
                <w:b/>
                <w:bCs/>
                <w:lang w:val="pt-BR"/>
              </w:rPr>
              <w:t>DECLARAŢIE DE COMPATIBILITATE</w:t>
            </w:r>
          </w:p>
          <w:p w14:paraId="3C92DED7" w14:textId="2EB3BB1C" w:rsidR="00FC449E" w:rsidRPr="002455E7" w:rsidRDefault="00FC449E" w:rsidP="00FC449E">
            <w:pPr>
              <w:tabs>
                <w:tab w:val="left" w:pos="884"/>
                <w:tab w:val="left" w:pos="1196"/>
              </w:tabs>
              <w:spacing w:after="0" w:line="240" w:lineRule="auto"/>
              <w:jc w:val="both"/>
              <w:rPr>
                <w:rFonts w:ascii="Times New Roman" w:hAnsi="Times New Roman"/>
                <w:b/>
                <w:bCs/>
                <w:lang w:val="pt-BR"/>
              </w:rPr>
            </w:pPr>
            <w:r w:rsidRPr="002455E7">
              <w:rPr>
                <w:rFonts w:ascii="Times New Roman" w:hAnsi="Times New Roman"/>
                <w:lang w:val="pt-BR"/>
              </w:rPr>
              <w:t>În baza expertizei</w:t>
            </w:r>
            <w:r w:rsidRPr="002455E7">
              <w:rPr>
                <w:rFonts w:ascii="Times New Roman" w:hAnsi="Times New Roman"/>
                <w:b/>
                <w:bCs/>
                <w:lang w:val="pt-BR"/>
              </w:rPr>
              <w:t xml:space="preserve"> proiectului Hotărârii Guvernului cu privire la modificarea Hotărârii Guvernului nr. 1003/2014 pentru aprobarea regulamentelor privind cerințele de etichetare energetică a unor produse cu impact energetic.</w:t>
            </w:r>
          </w:p>
          <w:p w14:paraId="1014C8F6" w14:textId="14060FD6" w:rsidR="00FC449E" w:rsidRPr="002455E7" w:rsidRDefault="00CC0B29" w:rsidP="00CC0B29">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FC449E" w:rsidRPr="002455E7">
              <w:rPr>
                <w:rFonts w:ascii="Times New Roman" w:hAnsi="Times New Roman"/>
                <w:lang w:val="pt-BR"/>
              </w:rPr>
              <w:t xml:space="preserve">    </w:t>
            </w:r>
            <w:r w:rsidRPr="002455E7">
              <w:rPr>
                <w:rFonts w:ascii="Times New Roman" w:hAnsi="Times New Roman"/>
                <w:i/>
                <w:iCs/>
                <w:lang w:val="pt-BR"/>
              </w:rPr>
              <w:t>Prezenta Declarație de compatibilitate a fost întocmită de Centrul de armonizare a legislației în baza Legii nr. 100/2017 cu privire la actele normative, a HG nr. 657/2009 pentru aprobarea Regulamentului privind organizarea și funcționarea, structurii și efectivului-limită ale Cancelariei de Stat și a HG nr. 1171/2018 cu privire la aprobarea Regulamentului privind armonizarea legislației Republicii Moldova cu legislația Uniunii Europene.</w:t>
            </w:r>
            <w:r w:rsidRPr="002455E7">
              <w:rPr>
                <w:rFonts w:ascii="Times New Roman" w:hAnsi="Times New Roman"/>
                <w:lang w:val="pt-BR"/>
              </w:rPr>
              <w:t xml:space="preserve"> </w:t>
            </w:r>
          </w:p>
          <w:p w14:paraId="0653E104" w14:textId="77777777" w:rsidR="00FC449E" w:rsidRPr="002455E7" w:rsidRDefault="00FC449E" w:rsidP="00CC0B29">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CC0B29" w:rsidRPr="002455E7">
              <w:rPr>
                <w:rFonts w:ascii="Times New Roman" w:hAnsi="Times New Roman"/>
                <w:lang w:val="pt-BR"/>
              </w:rPr>
              <w:t>Proiectul Hotărârii Guvernului cu privire la modificarea Hotărârii Guvernului nr. 1003/2014 pentru aprobarea regulamentelor privind cerințele de etichetare energetică a unor produse cu impact energetic:</w:t>
            </w:r>
          </w:p>
          <w:p w14:paraId="077F80D5" w14:textId="77777777" w:rsidR="00FC449E" w:rsidRPr="002455E7" w:rsidRDefault="00FC449E" w:rsidP="00CC0B29">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CC0B29" w:rsidRPr="002455E7">
              <w:rPr>
                <w:rFonts w:ascii="Times New Roman" w:hAnsi="Times New Roman"/>
                <w:lang w:val="pt-BR"/>
              </w:rPr>
              <w:t xml:space="preserve"> </w:t>
            </w:r>
            <w:r w:rsidR="00CC0B29" w:rsidRPr="002455E7">
              <w:rPr>
                <w:rFonts w:ascii="Times New Roman" w:hAnsi="Times New Roman"/>
                <w:b/>
                <w:bCs/>
                <w:lang w:val="pt-BR"/>
              </w:rPr>
              <w:t>˗ transpune Regulamentul delegat (UE) 2015/1094</w:t>
            </w:r>
            <w:r w:rsidR="00CC0B29" w:rsidRPr="002455E7">
              <w:rPr>
                <w:rFonts w:ascii="Times New Roman" w:hAnsi="Times New Roman"/>
                <w:lang w:val="pt-BR"/>
              </w:rPr>
              <w:t xml:space="preserve"> al Comisiei din 5 mai 2015 de completare a Directivei 2010/30/UE a Parlamentului European și a Consiliului în ceea ce privește etichetarea energetică a dulapurilor frigorifice de depozitare profesionale, publicat în Jurnalul Oficial al Uniunii Europene seria L 177 din 8 iulie 2015, </w:t>
            </w:r>
            <w:r w:rsidR="00CC0B29" w:rsidRPr="002455E7">
              <w:rPr>
                <w:rFonts w:ascii="Times New Roman" w:hAnsi="Times New Roman"/>
                <w:b/>
                <w:bCs/>
                <w:lang w:val="pt-BR"/>
              </w:rPr>
              <w:t>CELEX 32015R1094</w:t>
            </w:r>
            <w:r w:rsidR="00CC0B29" w:rsidRPr="002455E7">
              <w:rPr>
                <w:rFonts w:ascii="Times New Roman" w:hAnsi="Times New Roman"/>
                <w:lang w:val="pt-BR"/>
              </w:rPr>
              <w:t xml:space="preserve">, așa cum a fost modificat ultima dată prin Regulamentul delegat (UE) 2017/254 al Comisiei din 30 noiembrie 2016; </w:t>
            </w:r>
          </w:p>
          <w:p w14:paraId="00FEFD8B" w14:textId="77777777" w:rsidR="00FC449E" w:rsidRPr="002455E7" w:rsidRDefault="00FC449E" w:rsidP="00CC0B29">
            <w:pPr>
              <w:tabs>
                <w:tab w:val="left" w:pos="884"/>
                <w:tab w:val="left" w:pos="1196"/>
              </w:tabs>
              <w:spacing w:after="0" w:line="240" w:lineRule="auto"/>
              <w:jc w:val="both"/>
              <w:rPr>
                <w:rFonts w:ascii="Times New Roman" w:hAnsi="Times New Roman"/>
                <w:lang w:val="pt-BR"/>
              </w:rPr>
            </w:pPr>
            <w:r w:rsidRPr="002455E7">
              <w:rPr>
                <w:rFonts w:ascii="Times New Roman" w:hAnsi="Times New Roman"/>
                <w:b/>
                <w:bCs/>
                <w:lang w:val="pt-BR"/>
              </w:rPr>
              <w:t xml:space="preserve">   </w:t>
            </w:r>
            <w:r w:rsidR="00CC0B29" w:rsidRPr="002455E7">
              <w:rPr>
                <w:rFonts w:ascii="Times New Roman" w:hAnsi="Times New Roman"/>
                <w:b/>
                <w:bCs/>
                <w:lang w:val="pt-BR"/>
              </w:rPr>
              <w:t>˗ transpune Regulamentul delegat (UE) 2015/1186</w:t>
            </w:r>
            <w:r w:rsidR="00CC0B29" w:rsidRPr="002455E7">
              <w:rPr>
                <w:rFonts w:ascii="Times New Roman" w:hAnsi="Times New Roman"/>
                <w:lang w:val="pt-BR"/>
              </w:rPr>
              <w:t xml:space="preserve"> al Comisiei din 24 aprilie 2015 de completare a Directivei 2010/30/UE a Parlamentului European și a Consiliului în ceea ce privește etichetarea energetică a aparatelor pentru încălzire locală, publicat în Jurnalul Oficial al Uniunii Europene seria L 193 din 21 iulie 2015, </w:t>
            </w:r>
            <w:r w:rsidR="00CC0B29" w:rsidRPr="002455E7">
              <w:rPr>
                <w:rFonts w:ascii="Times New Roman" w:hAnsi="Times New Roman"/>
                <w:b/>
                <w:bCs/>
                <w:lang w:val="pt-BR"/>
              </w:rPr>
              <w:t>CELEX 32015R1186</w:t>
            </w:r>
            <w:r w:rsidR="00CC0B29" w:rsidRPr="002455E7">
              <w:rPr>
                <w:rFonts w:ascii="Times New Roman" w:hAnsi="Times New Roman"/>
                <w:lang w:val="pt-BR"/>
              </w:rPr>
              <w:t>, așa cum a fost modificat ultima dată prin Regulamentul delegat (UE) 2017/254 al Comisiei din 30 noiembrie 2016;</w:t>
            </w:r>
          </w:p>
          <w:p w14:paraId="64B6063E" w14:textId="77777777" w:rsidR="00FC449E" w:rsidRPr="002455E7" w:rsidRDefault="00FC449E" w:rsidP="00CC0B29">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CC0B29" w:rsidRPr="002455E7">
              <w:rPr>
                <w:rFonts w:ascii="Times New Roman" w:hAnsi="Times New Roman"/>
                <w:lang w:val="pt-BR"/>
              </w:rPr>
              <w:t xml:space="preserve"> ˗ </w:t>
            </w:r>
            <w:r w:rsidR="00CC0B29" w:rsidRPr="002455E7">
              <w:rPr>
                <w:rFonts w:ascii="Times New Roman" w:hAnsi="Times New Roman"/>
                <w:b/>
                <w:bCs/>
                <w:lang w:val="pt-BR"/>
              </w:rPr>
              <w:t>transpune Regulamentul delegat (UE) nr. 1254/2014</w:t>
            </w:r>
            <w:r w:rsidR="00CC0B29" w:rsidRPr="002455E7">
              <w:rPr>
                <w:rFonts w:ascii="Times New Roman" w:hAnsi="Times New Roman"/>
                <w:lang w:val="pt-BR"/>
              </w:rPr>
              <w:t xml:space="preserve"> al Comisiei din 11 iulie 2014 de completare a Directivei 2010/30/UE a Parlamentului European și a Consiliului cu privire la cerințele de etichetare energetică </w:t>
            </w:r>
            <w:r w:rsidR="00CC0B29" w:rsidRPr="002455E7">
              <w:rPr>
                <w:rFonts w:ascii="Times New Roman" w:hAnsi="Times New Roman"/>
                <w:lang w:val="pt-BR"/>
              </w:rPr>
              <w:lastRenderedPageBreak/>
              <w:t xml:space="preserve">aplicabile unităților de ventilație rezidențiale, publicat în Jurnalul Oficial al Uniunii Europene seria L 337 din 25 noiembrie 2014, </w:t>
            </w:r>
            <w:r w:rsidR="00CC0B29" w:rsidRPr="002455E7">
              <w:rPr>
                <w:rFonts w:ascii="Times New Roman" w:hAnsi="Times New Roman"/>
                <w:b/>
                <w:bCs/>
                <w:lang w:val="pt-BR"/>
              </w:rPr>
              <w:t>CELEX 32014R1254,</w:t>
            </w:r>
            <w:r w:rsidR="00CC0B29" w:rsidRPr="002455E7">
              <w:rPr>
                <w:rFonts w:ascii="Times New Roman" w:hAnsi="Times New Roman"/>
                <w:lang w:val="pt-BR"/>
              </w:rPr>
              <w:t xml:space="preserve"> așa cum a fost modificat ultima dată prin Regulamentul delegat (UE) 2020/987 al Comisiei din 20 ianuarie 2020; </w:t>
            </w:r>
          </w:p>
          <w:p w14:paraId="7B7330F3" w14:textId="77777777" w:rsidR="00FC449E" w:rsidRPr="002455E7" w:rsidRDefault="00FC449E" w:rsidP="00CC0B29">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CC0B29" w:rsidRPr="002455E7">
              <w:rPr>
                <w:rFonts w:ascii="Times New Roman" w:hAnsi="Times New Roman"/>
                <w:lang w:val="pt-BR"/>
              </w:rPr>
              <w:t xml:space="preserve">˗ </w:t>
            </w:r>
            <w:r w:rsidR="00CC0B29" w:rsidRPr="002455E7">
              <w:rPr>
                <w:rFonts w:ascii="Times New Roman" w:hAnsi="Times New Roman"/>
                <w:b/>
                <w:bCs/>
                <w:lang w:val="pt-BR"/>
              </w:rPr>
              <w:t>transpune Regulamentul delegat (UE) 2015/1187</w:t>
            </w:r>
            <w:r w:rsidR="00CC0B29" w:rsidRPr="002455E7">
              <w:rPr>
                <w:rFonts w:ascii="Times New Roman" w:hAnsi="Times New Roman"/>
                <w:lang w:val="pt-BR"/>
              </w:rPr>
              <w:t xml:space="preserve"> al Comisiei din 27 aprilie 2015 de completare a Directivei 2010/30/UE a Parlamentului European și a Consiliului în ceea ce privește etichetarea energetică a cazanelor cu combustibil solid și a pachetelor de cazan cu combustibil solid, instalații de încălzire suplimentare, regulatoare de temperatură și dispozitive solare, publicat în Jurnalul Oficial al Uniunii Europene seria L 193 din 21 iulie 2015, </w:t>
            </w:r>
            <w:r w:rsidR="00CC0B29" w:rsidRPr="002455E7">
              <w:rPr>
                <w:rFonts w:ascii="Times New Roman" w:hAnsi="Times New Roman"/>
                <w:b/>
                <w:bCs/>
                <w:lang w:val="pt-BR"/>
              </w:rPr>
              <w:t>CELEX 32015R1187</w:t>
            </w:r>
            <w:r w:rsidR="00CC0B29" w:rsidRPr="002455E7">
              <w:rPr>
                <w:rFonts w:ascii="Times New Roman" w:hAnsi="Times New Roman"/>
                <w:lang w:val="pt-BR"/>
              </w:rPr>
              <w:t xml:space="preserve">, așa cum a fost modificat ultima dată prin Regulamentul delegat (UE) 2017/254 al Comisiei din 30 noiembrie 2016; </w:t>
            </w:r>
          </w:p>
          <w:p w14:paraId="1DB50C60" w14:textId="77777777" w:rsidR="005544F3" w:rsidRPr="002455E7" w:rsidRDefault="00FC449E" w:rsidP="00CC0B29">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CC0B29" w:rsidRPr="002455E7">
              <w:rPr>
                <w:rFonts w:ascii="Times New Roman" w:hAnsi="Times New Roman"/>
                <w:b/>
                <w:bCs/>
                <w:lang w:val="pt-BR"/>
              </w:rPr>
              <w:t>˗</w:t>
            </w:r>
            <w:r w:rsidR="00CC0B29" w:rsidRPr="002455E7">
              <w:rPr>
                <w:rFonts w:ascii="Times New Roman" w:hAnsi="Times New Roman"/>
                <w:lang w:val="pt-BR"/>
              </w:rPr>
              <w:t xml:space="preserve"> </w:t>
            </w:r>
            <w:r w:rsidR="00CC0B29" w:rsidRPr="002455E7">
              <w:rPr>
                <w:rFonts w:ascii="Times New Roman" w:hAnsi="Times New Roman"/>
                <w:b/>
                <w:bCs/>
                <w:lang w:val="pt-BR"/>
              </w:rPr>
              <w:t>transpune Regulamentul delegat (UE) 2023/1669</w:t>
            </w:r>
            <w:r w:rsidR="00CC0B29" w:rsidRPr="002455E7">
              <w:rPr>
                <w:rFonts w:ascii="Times New Roman" w:hAnsi="Times New Roman"/>
                <w:lang w:val="pt-BR"/>
              </w:rPr>
              <w:t xml:space="preserve"> al Comisiei din 16 iunie 2023 de completare a Regulamentului (UE) 2017/1369 al Parlamentului European și al Consiliului în ceea ce privește etichetarea energetică a telefoanelor inteligente și a tabletelor de tip „slate”, </w:t>
            </w:r>
            <w:r w:rsidR="005544F3" w:rsidRPr="002455E7">
              <w:rPr>
                <w:rFonts w:ascii="Times New Roman" w:hAnsi="Times New Roman"/>
                <w:lang w:val="pt-BR"/>
              </w:rPr>
              <w:t xml:space="preserve">publicat în Jurnalul Oficial al Uniunii Europene seria L 214 din 31 august 2023, </w:t>
            </w:r>
            <w:r w:rsidR="005544F3" w:rsidRPr="002455E7">
              <w:rPr>
                <w:rFonts w:ascii="Times New Roman" w:hAnsi="Times New Roman"/>
                <w:b/>
                <w:bCs/>
                <w:lang w:val="pt-BR"/>
              </w:rPr>
              <w:t>CELEX 32023R1669</w:t>
            </w:r>
            <w:r w:rsidR="005544F3" w:rsidRPr="002455E7">
              <w:rPr>
                <w:rFonts w:ascii="Times New Roman" w:hAnsi="Times New Roman"/>
                <w:lang w:val="pt-BR"/>
              </w:rPr>
              <w:t>;</w:t>
            </w:r>
          </w:p>
          <w:p w14:paraId="6EAA0527" w14:textId="77777777" w:rsidR="005544F3" w:rsidRPr="002455E7" w:rsidRDefault="005544F3" w:rsidP="00CC0B29">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 </w:t>
            </w:r>
            <w:r w:rsidRPr="002455E7">
              <w:rPr>
                <w:rFonts w:ascii="Times New Roman" w:hAnsi="Times New Roman"/>
                <w:b/>
                <w:bCs/>
                <w:lang w:val="pt-BR"/>
              </w:rPr>
              <w:t>transpune parțial</w:t>
            </w:r>
            <w:r w:rsidRPr="002455E7">
              <w:rPr>
                <w:rFonts w:ascii="Times New Roman" w:hAnsi="Times New Roman"/>
                <w:lang w:val="pt-BR"/>
              </w:rPr>
              <w:t xml:space="preserve"> (transpune Anexa V, Anexa VI, Anexa IX, Anexa X, Anexa XI) </w:t>
            </w:r>
            <w:r w:rsidRPr="002455E7">
              <w:rPr>
                <w:rFonts w:ascii="Times New Roman" w:hAnsi="Times New Roman"/>
                <w:b/>
                <w:bCs/>
                <w:lang w:val="pt-BR"/>
              </w:rPr>
              <w:t>Regulamentul delegat (UE) 2017/254</w:t>
            </w:r>
            <w:r w:rsidRPr="002455E7">
              <w:rPr>
                <w:rFonts w:ascii="Times New Roman" w:hAnsi="Times New Roman"/>
                <w:lang w:val="pt-BR"/>
              </w:rPr>
              <w:t xml:space="preserve"> al Comisiei din 30 noiembrie 2016 de modificare a Regulamentelor delegate (UE) nr. 1059/2010, (UE) nr. 1060/2010, (UE) nr. 1061/2010, (UE) nr. 1062/2010, (UE) nr. 626/2011, (UE) nr. 392/2012, (UE) nr. 874/2012, (UE) nr. 665/2013, (UE) nr. 811/2013, (UE) nr. 812/2013, (UE) nr. 65/2014, (UE) nr. 1254/2014, (UE) 2015/1094, (UE) 2015/1186 și (UE) 2015/1187 cu privire la utilizarea toleranțelor în procedurile de verificare, </w:t>
            </w:r>
            <w:r w:rsidRPr="002455E7">
              <w:rPr>
                <w:rFonts w:ascii="Times New Roman" w:hAnsi="Times New Roman"/>
                <w:b/>
                <w:bCs/>
                <w:lang w:val="pt-BR"/>
              </w:rPr>
              <w:t>CELEX 32017R0254</w:t>
            </w:r>
            <w:r w:rsidRPr="002455E7">
              <w:rPr>
                <w:rFonts w:ascii="Times New Roman" w:hAnsi="Times New Roman"/>
                <w:lang w:val="pt-BR"/>
              </w:rPr>
              <w:t xml:space="preserve">; </w:t>
            </w:r>
          </w:p>
          <w:p w14:paraId="5E07D7BA" w14:textId="77777777" w:rsidR="00F8625F" w:rsidRPr="002455E7" w:rsidRDefault="005544F3" w:rsidP="00CC0B29">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Pr="002455E7">
              <w:rPr>
                <w:rFonts w:ascii="Times New Roman" w:hAnsi="Times New Roman"/>
                <w:b/>
                <w:bCs/>
                <w:lang w:val="pt-BR"/>
              </w:rPr>
              <w:t xml:space="preserve">transpune parțial (transpune Anexa 1) Regulamentul delegat (UE) 2023/2048 </w:t>
            </w:r>
            <w:r w:rsidRPr="002455E7">
              <w:rPr>
                <w:rFonts w:ascii="Times New Roman" w:hAnsi="Times New Roman"/>
                <w:lang w:val="pt-BR"/>
              </w:rPr>
              <w:t xml:space="preserve">al Comisiei din 4 iulie 2023 de rectificare a Regulamentelor delegate (UE) nr. 626/2011, (UE) 2019/2015, (UE) 2019/2016 și (UE) 2019/2018 în ceea ce privește cerințele de etichetare energetică pentru aparatele de climatizare, sursele de lumină, aparatele frigorifice și aparatele frigorifice cu funcție de vânzare directă, </w:t>
            </w:r>
            <w:r w:rsidRPr="002455E7">
              <w:rPr>
                <w:rFonts w:ascii="Times New Roman" w:hAnsi="Times New Roman"/>
                <w:b/>
                <w:bCs/>
                <w:lang w:val="pt-BR"/>
              </w:rPr>
              <w:t>CELEX 32023R2048</w:t>
            </w:r>
            <w:r w:rsidRPr="002455E7">
              <w:rPr>
                <w:rFonts w:ascii="Times New Roman" w:hAnsi="Times New Roman"/>
                <w:lang w:val="pt-BR"/>
              </w:rPr>
              <w:t xml:space="preserve">; ˗ </w:t>
            </w:r>
            <w:r w:rsidRPr="002455E7">
              <w:rPr>
                <w:rFonts w:ascii="Times New Roman" w:hAnsi="Times New Roman"/>
                <w:b/>
                <w:bCs/>
                <w:lang w:val="pt-BR"/>
              </w:rPr>
              <w:t xml:space="preserve">transpune parțial (transpune art. 6) Regulamentul delegat (UE) </w:t>
            </w:r>
            <w:r w:rsidRPr="002455E7">
              <w:rPr>
                <w:rFonts w:ascii="Times New Roman" w:hAnsi="Times New Roman"/>
                <w:b/>
                <w:bCs/>
                <w:lang w:val="pt-BR"/>
              </w:rPr>
              <w:lastRenderedPageBreak/>
              <w:t>2020/1059</w:t>
            </w:r>
            <w:r w:rsidRPr="002455E7">
              <w:rPr>
                <w:rFonts w:ascii="Times New Roman" w:hAnsi="Times New Roman"/>
                <w:lang w:val="pt-BR"/>
              </w:rPr>
              <w:t xml:space="preserve"> al Comisiei din 27 aprilie 2020 de rectificare a anumitor versiuni lingvistice ale Regulamentelor delegate (UE) nr. 1059/2010, (UE) nr. 1060/2010, (UE) nr. 1061/2010, (UE) nr. 1062/2010, (UE) nr. 626/2011, (UE) nr. 392/2012 și (UE) nr. 874/2012 în ceea ce privește etichetarea anumitor produse cu impact energetic, </w:t>
            </w:r>
            <w:r w:rsidRPr="002455E7">
              <w:rPr>
                <w:rFonts w:ascii="Times New Roman" w:hAnsi="Times New Roman"/>
                <w:b/>
                <w:bCs/>
                <w:lang w:val="pt-BR"/>
              </w:rPr>
              <w:t>CELEX 32020R1059</w:t>
            </w:r>
            <w:r w:rsidRPr="002455E7">
              <w:rPr>
                <w:rFonts w:ascii="Times New Roman" w:hAnsi="Times New Roman"/>
                <w:lang w:val="pt-BR"/>
              </w:rPr>
              <w:t>.</w:t>
            </w:r>
          </w:p>
          <w:p w14:paraId="36D7E601" w14:textId="139F7F25" w:rsidR="005544F3" w:rsidRPr="00205913" w:rsidRDefault="005544F3" w:rsidP="005544F3">
            <w:pPr>
              <w:pStyle w:val="Listparagraf"/>
              <w:numPr>
                <w:ilvl w:val="0"/>
                <w:numId w:val="9"/>
              </w:numPr>
              <w:tabs>
                <w:tab w:val="left" w:pos="884"/>
                <w:tab w:val="left" w:pos="1196"/>
              </w:tabs>
              <w:spacing w:after="0" w:line="240" w:lineRule="auto"/>
              <w:jc w:val="both"/>
              <w:rPr>
                <w:b/>
                <w:bCs/>
                <w:lang w:val="en-GB"/>
              </w:rPr>
            </w:pPr>
            <w:proofErr w:type="spellStart"/>
            <w:r w:rsidRPr="00205913">
              <w:rPr>
                <w:b/>
                <w:bCs/>
                <w:lang w:val="en-GB"/>
              </w:rPr>
              <w:t>Obiectul</w:t>
            </w:r>
            <w:proofErr w:type="spellEnd"/>
            <w:r w:rsidRPr="00205913">
              <w:rPr>
                <w:b/>
                <w:bCs/>
                <w:lang w:val="en-GB"/>
              </w:rPr>
              <w:t xml:space="preserve"> </w:t>
            </w:r>
            <w:proofErr w:type="spellStart"/>
            <w:r w:rsidRPr="00205913">
              <w:rPr>
                <w:b/>
                <w:bCs/>
                <w:lang w:val="en-GB"/>
              </w:rPr>
              <w:t>proiectului</w:t>
            </w:r>
            <w:proofErr w:type="spellEnd"/>
            <w:r w:rsidRPr="00205913">
              <w:rPr>
                <w:b/>
                <w:bCs/>
                <w:lang w:val="en-GB"/>
              </w:rPr>
              <w:t xml:space="preserve"> </w:t>
            </w:r>
          </w:p>
          <w:p w14:paraId="0D7241AB" w14:textId="77777777" w:rsidR="005544F3" w:rsidRPr="002455E7" w:rsidRDefault="005544F3" w:rsidP="005544F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Proiectul național prezentat pentru expertiză de compatibilitate are ca scop principal avansarea gradului de armonizare a Hotărârii Guvernului nr. 1003/2014 pentru aprobarea regulamentelor privind cerinţele de etichetare energetică a unor produse cu impact energetic (în continuare – HG 1003/2014) în vederea asigurării compatibilității prevederilor acesteia cu legislația UE în domeniul cerințelor de etichetare energetică aplicabile anumitor produse. Astfel, aceasta se completează cu cerințe de etichetare pentru o serie de produse noi, precum: dulapuri frigorifice, aparate pentru încălzire locală, unități de ventilație rezidențiale, cazane cu combustibil solid și a pachetelor de cazan cu combustibil solid, instalații de încălzire suplimentare, regulatoare de temperatură și dispozitive solare, telefoanelor inteligente și a tabletelor de tip „slate” potrivit Regulamentului delegat (UE) 2015/1094; Regulamentului delegat (UE) 2015/1186 al Comisiei din 24 aprilie 2015; Regulamentului delegat (UE) nr. 1254/2014 al Comisiei din 11 iulie 2014; Regulamentului delegat (UE) 2015/1187 al Comisiei din 27 aprilie 2015 și Regulamentului delegat (UE) 2023/1669. De asemenea, sunt modificate o serie de cerințe de etichetare referitor la partea toleranțelor la verificare de către autoritatea de supraveghere a pieței a uscătoarelor de rufe de uz casnic cu tambur; a aparatelor de climatizare; a cuptoarelor și a hotelor de bucătărie de uz casnic, a instalațiilor pentru încălzirea apei, a rezervoarelor pentru apă caldă și a pachetelor de instalație pentru încălzirea apei și dispozitiv solar și a instalațiilor pentru încălzirea incintelor, a instalațiilor de încălzire cu funcție dublă, a pachetelor de instalație pentru încălzirea incintelor, regulator de temperatură și dispozitiv solar și a pachetelor de instalație de încălzire cu funcție dublă, regulator de temperatură și dispozitiv solar în acord cu modificările operate în Regulamentele delegate: (UE) nr. 392/2012, (UE) nr. 626/2011, (UE) nr. 65/2014, (UE) 812/2013, (UE) 811/2013, prin </w:t>
            </w:r>
            <w:r w:rsidRPr="002455E7">
              <w:rPr>
                <w:rFonts w:ascii="Times New Roman" w:hAnsi="Times New Roman"/>
                <w:lang w:val="pt-BR"/>
              </w:rPr>
              <w:lastRenderedPageBreak/>
              <w:t>Regulamentul delegat (UE) 2017/254, Regulamentul delegat (UE) 2023/2048 și Regulamentul delegat (UE) 2020/1059.</w:t>
            </w:r>
          </w:p>
          <w:p w14:paraId="5BBE0BE1" w14:textId="77777777" w:rsidR="005544F3" w:rsidRPr="002455E7" w:rsidRDefault="005544F3" w:rsidP="005544F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Remarcăm că proiectul național reprezintă </w:t>
            </w:r>
            <w:r w:rsidRPr="002455E7">
              <w:rPr>
                <w:rFonts w:ascii="Times New Roman" w:hAnsi="Times New Roman"/>
                <w:b/>
                <w:bCs/>
                <w:lang w:val="pt-BR"/>
              </w:rPr>
              <w:t>un exercițiu de continuare a armonizării legislației RM cu legislația UE în domeniul energetic</w:t>
            </w:r>
            <w:r w:rsidRPr="002455E7">
              <w:rPr>
                <w:rFonts w:ascii="Times New Roman" w:hAnsi="Times New Roman"/>
                <w:lang w:val="pt-BR"/>
              </w:rPr>
              <w:t xml:space="preserve">, în măsura în care Hotărârea Guvernului nr.1003/2014 este un act național armonizat cu legislația Uniunii Europene. </w:t>
            </w:r>
          </w:p>
          <w:p w14:paraId="4216EAD2" w14:textId="77777777" w:rsidR="005544F3" w:rsidRPr="002455E7" w:rsidRDefault="005544F3" w:rsidP="005544F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Asigurarea transpunerii cerințelor în materie de proiectare ecologică reprezintă un obiectiv de cooperare între RM și UE care rezultă din prevederile Acordului de Asociere dintre Republica Moldova și Uniunea Europeană, Titlul IV „Cooperarea economică și alte tipuri de cooperare sectorială”, Capitolul 14 „Cooperare în sectorul energetic”, Anexa VIII. Menționăm că toate Regulamentele analizate prin prezenta Declarație de compatibilitate sunt acte UE completare a Directivei 2010/30/UE, prevăzută expres în AA. </w:t>
            </w:r>
          </w:p>
          <w:p w14:paraId="5C591CB1" w14:textId="77777777" w:rsidR="005544F3" w:rsidRPr="002455E7" w:rsidRDefault="005544F3" w:rsidP="005544F3">
            <w:pPr>
              <w:tabs>
                <w:tab w:val="left" w:pos="884"/>
                <w:tab w:val="left" w:pos="1196"/>
              </w:tabs>
              <w:spacing w:after="0" w:line="240" w:lineRule="auto"/>
              <w:jc w:val="both"/>
              <w:rPr>
                <w:rFonts w:ascii="Times New Roman" w:hAnsi="Times New Roman"/>
                <w:i/>
                <w:iCs/>
                <w:lang w:val="pt-BR"/>
              </w:rPr>
            </w:pPr>
            <w:r w:rsidRPr="002455E7">
              <w:rPr>
                <w:rFonts w:ascii="Times New Roman" w:hAnsi="Times New Roman"/>
                <w:lang w:val="pt-BR"/>
              </w:rPr>
              <w:t xml:space="preserve">       </w:t>
            </w:r>
            <w:r w:rsidRPr="002455E7">
              <w:rPr>
                <w:rFonts w:ascii="Times New Roman" w:hAnsi="Times New Roman"/>
                <w:i/>
                <w:iCs/>
                <w:lang w:val="pt-BR"/>
              </w:rPr>
              <w:t>Proiectul de act normativ reglementează, în principal, următoarele aspecte relevante din punct de vedere al transpunerii:</w:t>
            </w:r>
          </w:p>
          <w:p w14:paraId="03B2AB2E" w14:textId="77777777" w:rsidR="005544F3" w:rsidRPr="002455E7" w:rsidRDefault="005544F3" w:rsidP="005544F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 stabilirea cerințelor de etichetare energetică aplicabile produselor și echipamentelor cu impact energetic menționate </w:t>
            </w:r>
            <w:r w:rsidRPr="002455E7">
              <w:rPr>
                <w:rFonts w:ascii="Times New Roman" w:hAnsi="Times New Roman"/>
                <w:i/>
                <w:iCs/>
                <w:lang w:val="pt-BR"/>
              </w:rPr>
              <w:t>supra</w:t>
            </w:r>
            <w:r w:rsidRPr="002455E7">
              <w:rPr>
                <w:rFonts w:ascii="Times New Roman" w:hAnsi="Times New Roman"/>
                <w:lang w:val="pt-BR"/>
              </w:rPr>
              <w:t xml:space="preserve">; </w:t>
            </w:r>
          </w:p>
          <w:p w14:paraId="1AF5FC16" w14:textId="77777777" w:rsidR="003A05AB" w:rsidRPr="002455E7" w:rsidRDefault="005544F3" w:rsidP="005544F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stabilirea metodelor de măsurare și calcul pentru verificarea conformității produselor și etichetelor aplicate acestora;</w:t>
            </w:r>
          </w:p>
          <w:p w14:paraId="1CDA0B08" w14:textId="77777777" w:rsidR="003A05AB" w:rsidRPr="002455E7" w:rsidRDefault="005544F3" w:rsidP="005544F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 asigurarea conformității produselor introduse pe piață cu cerințele tehnice; </w:t>
            </w:r>
          </w:p>
          <w:p w14:paraId="57CE390E" w14:textId="77777777" w:rsidR="003A05AB" w:rsidRPr="002455E7" w:rsidRDefault="005544F3" w:rsidP="005544F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stabilirea metodelor de calculare a indicelui de eficiență energetică pentru echipamentele vizate în vederea asigurării funcționalității și conformității acestora;</w:t>
            </w:r>
          </w:p>
          <w:p w14:paraId="10BAA7C2" w14:textId="73E5F3FD" w:rsidR="005544F3" w:rsidRPr="002455E7" w:rsidRDefault="005544F3" w:rsidP="005544F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 reglementarea procedurii de verificare în scopul supravegherii pieței și a măsurilor relevante în cazul neconformității funcționării produsului energetic.</w:t>
            </w:r>
          </w:p>
          <w:p w14:paraId="0BE272AF" w14:textId="0956640E" w:rsidR="003A05AB" w:rsidRPr="002455E7" w:rsidRDefault="003A05AB" w:rsidP="003A05AB">
            <w:pPr>
              <w:pStyle w:val="Listparagraf"/>
              <w:numPr>
                <w:ilvl w:val="0"/>
                <w:numId w:val="9"/>
              </w:numPr>
              <w:tabs>
                <w:tab w:val="left" w:pos="884"/>
                <w:tab w:val="left" w:pos="1196"/>
              </w:tabs>
              <w:spacing w:after="0" w:line="240" w:lineRule="auto"/>
              <w:jc w:val="both"/>
              <w:rPr>
                <w:b/>
                <w:bCs/>
                <w:lang w:val="pt-BR"/>
              </w:rPr>
            </w:pPr>
            <w:r w:rsidRPr="002455E7">
              <w:rPr>
                <w:b/>
                <w:bCs/>
                <w:lang w:val="pt-BR"/>
              </w:rPr>
              <w:t xml:space="preserve">Evaluarea din perspectiva compatibilității cu Dreptul UE </w:t>
            </w:r>
          </w:p>
          <w:p w14:paraId="273E97D9" w14:textId="77777777" w:rsidR="003A05AB" w:rsidRPr="002455E7" w:rsidRDefault="003A05AB" w:rsidP="003A05AB">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Din punct de vedere al dreptului UE, prin prisma obiectului de reglementare, prezentul demers normativ se circumscrie reglementărilor statuate la nivelul UE, subsumate </w:t>
            </w:r>
            <w:r w:rsidRPr="002455E7">
              <w:rPr>
                <w:rFonts w:ascii="Times New Roman" w:hAnsi="Times New Roman"/>
                <w:b/>
                <w:bCs/>
                <w:lang w:val="pt-BR"/>
              </w:rPr>
              <w:t>Capitolului 15 „Energie”.</w:t>
            </w:r>
          </w:p>
          <w:p w14:paraId="3C03B4C3" w14:textId="77777777" w:rsidR="003A05AB" w:rsidRPr="002455E7" w:rsidRDefault="003A05AB" w:rsidP="003A05AB">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Astfel, din perspectiva proiectului examinat, la nivelul legislației europene, prezintă relevanță directă dispozițiile următoarelor acte UE:</w:t>
            </w:r>
          </w:p>
          <w:p w14:paraId="5EDF2345" w14:textId="3158F3E5" w:rsidR="003A05AB" w:rsidRPr="002455E7" w:rsidRDefault="003A05AB" w:rsidP="003A05AB">
            <w:pPr>
              <w:pStyle w:val="Listparagraf"/>
              <w:numPr>
                <w:ilvl w:val="0"/>
                <w:numId w:val="10"/>
              </w:numPr>
              <w:tabs>
                <w:tab w:val="left" w:pos="884"/>
                <w:tab w:val="left" w:pos="1196"/>
              </w:tabs>
              <w:spacing w:after="0" w:line="240" w:lineRule="auto"/>
              <w:jc w:val="both"/>
              <w:rPr>
                <w:lang w:val="pt-BR"/>
              </w:rPr>
            </w:pPr>
            <w:r w:rsidRPr="002455E7">
              <w:rPr>
                <w:b/>
                <w:bCs/>
                <w:lang w:val="pt-BR"/>
              </w:rPr>
              <w:lastRenderedPageBreak/>
              <w:t>Regulamentul delegat (UE) 2015/1094</w:t>
            </w:r>
            <w:r w:rsidRPr="002455E7">
              <w:rPr>
                <w:lang w:val="pt-BR"/>
              </w:rPr>
              <w:t xml:space="preserve"> stabilește cerințe privind etichetarea dulapurilor frigorifice de depozitare profesionale și furnizarea de informații suplimentare despre aceste produse.</w:t>
            </w:r>
          </w:p>
          <w:p w14:paraId="6322D4BE" w14:textId="77777777" w:rsidR="003A05AB" w:rsidRPr="002455E7" w:rsidRDefault="003A05AB" w:rsidP="003A05AB">
            <w:pPr>
              <w:pStyle w:val="Listparagraf"/>
              <w:tabs>
                <w:tab w:val="left" w:pos="884"/>
                <w:tab w:val="left" w:pos="1196"/>
              </w:tabs>
              <w:spacing w:after="0" w:line="240" w:lineRule="auto"/>
              <w:ind w:left="420"/>
              <w:jc w:val="both"/>
              <w:rPr>
                <w:lang w:val="pt-BR"/>
              </w:rPr>
            </w:pPr>
          </w:p>
          <w:p w14:paraId="57248C55" w14:textId="77777777" w:rsidR="003A05AB" w:rsidRPr="002455E7" w:rsidRDefault="003A05AB" w:rsidP="003A05AB">
            <w:pPr>
              <w:tabs>
                <w:tab w:val="left" w:pos="884"/>
                <w:tab w:val="left" w:pos="1196"/>
              </w:tabs>
              <w:spacing w:after="0" w:line="240" w:lineRule="auto"/>
              <w:ind w:left="60"/>
              <w:jc w:val="both"/>
              <w:rPr>
                <w:rFonts w:ascii="Times New Roman" w:hAnsi="Times New Roman"/>
                <w:b/>
                <w:bCs/>
                <w:lang w:val="pt-BR"/>
              </w:rPr>
            </w:pPr>
            <w:r w:rsidRPr="002455E7">
              <w:rPr>
                <w:rFonts w:ascii="Times New Roman" w:hAnsi="Times New Roman"/>
                <w:lang w:val="pt-BR"/>
              </w:rPr>
              <w:t xml:space="preserve">    Regulamentul delegat (UE) 2015/1094 nu a constituit obiect al transpunerii în legislația națională, </w:t>
            </w:r>
            <w:r w:rsidRPr="002455E7">
              <w:rPr>
                <w:rFonts w:ascii="Times New Roman" w:hAnsi="Times New Roman"/>
                <w:b/>
                <w:bCs/>
                <w:lang w:val="pt-BR"/>
              </w:rPr>
              <w:t>acest proiect fiind un exercițiu primar de transpunere a acestuia.</w:t>
            </w:r>
          </w:p>
          <w:p w14:paraId="1B1C0AA3" w14:textId="1DD0E011" w:rsidR="003A05AB" w:rsidRPr="002455E7" w:rsidRDefault="003A05AB" w:rsidP="003A05AB">
            <w:pPr>
              <w:pStyle w:val="Listparagraf"/>
              <w:numPr>
                <w:ilvl w:val="0"/>
                <w:numId w:val="11"/>
              </w:numPr>
              <w:tabs>
                <w:tab w:val="left" w:pos="884"/>
                <w:tab w:val="left" w:pos="1196"/>
              </w:tabs>
              <w:spacing w:after="0" w:line="240" w:lineRule="auto"/>
              <w:jc w:val="both"/>
              <w:rPr>
                <w:i/>
                <w:iCs/>
                <w:lang w:val="pt-BR"/>
              </w:rPr>
            </w:pPr>
            <w:r w:rsidRPr="002455E7">
              <w:rPr>
                <w:i/>
                <w:iCs/>
                <w:lang w:val="pt-BR"/>
              </w:rPr>
              <w:t xml:space="preserve">Analiza comparativă a transpunerii dispozițiilor Regulamentului delegat (UE) 2015/1094 </w:t>
            </w:r>
          </w:p>
          <w:p w14:paraId="199B7BF7" w14:textId="77777777" w:rsidR="003A05AB" w:rsidRPr="002455E7" w:rsidRDefault="003A05AB" w:rsidP="003A05AB">
            <w:pPr>
              <w:tabs>
                <w:tab w:val="left" w:pos="884"/>
                <w:tab w:val="left" w:pos="1196"/>
              </w:tabs>
              <w:spacing w:after="0" w:line="240" w:lineRule="auto"/>
              <w:ind w:left="120"/>
              <w:jc w:val="both"/>
              <w:rPr>
                <w:rFonts w:ascii="Times New Roman" w:hAnsi="Times New Roman"/>
                <w:lang w:val="pt-BR"/>
              </w:rPr>
            </w:pPr>
            <w:r w:rsidRPr="002455E7">
              <w:rPr>
                <w:rFonts w:ascii="Times New Roman" w:hAnsi="Times New Roman"/>
                <w:lang w:val="pt-BR"/>
              </w:rPr>
              <w:t xml:space="preserve">În ceea ce privește transpunerea Regulamentului delegat (UE) 2015/1094, menționăm cu titlu general că proiectul național, prin introducerea Anexei nr. 17 la HG nr. 1003/2014, </w:t>
            </w:r>
            <w:r w:rsidRPr="002455E7">
              <w:rPr>
                <w:rFonts w:ascii="Times New Roman" w:hAnsi="Times New Roman"/>
                <w:b/>
                <w:bCs/>
                <w:lang w:val="pt-BR"/>
              </w:rPr>
              <w:t>asigură transpunerea actului UE,</w:t>
            </w:r>
            <w:r w:rsidRPr="002455E7">
              <w:rPr>
                <w:rFonts w:ascii="Times New Roman" w:hAnsi="Times New Roman"/>
                <w:lang w:val="pt-BR"/>
              </w:rPr>
              <w:t xml:space="preserve"> conform constatărilor de mai jos. </w:t>
            </w:r>
          </w:p>
          <w:p w14:paraId="07D7896E" w14:textId="6AA8319E" w:rsidR="003A05AB" w:rsidRPr="002455E7" w:rsidRDefault="003A05AB" w:rsidP="003A05AB">
            <w:pPr>
              <w:tabs>
                <w:tab w:val="left" w:pos="884"/>
                <w:tab w:val="left" w:pos="1196"/>
              </w:tabs>
              <w:spacing w:after="0" w:line="240" w:lineRule="auto"/>
              <w:ind w:left="120"/>
              <w:jc w:val="both"/>
              <w:rPr>
                <w:rFonts w:ascii="Times New Roman" w:hAnsi="Times New Roman"/>
                <w:lang w:val="pt-BR"/>
              </w:rPr>
            </w:pPr>
            <w:r w:rsidRPr="002455E7">
              <w:rPr>
                <w:rFonts w:ascii="Times New Roman" w:hAnsi="Times New Roman"/>
                <w:lang w:val="pt-BR"/>
              </w:rPr>
              <w:t xml:space="preserve">    Prin pct. 2 - 3 din proiectul Regulamentului se stabilesc dispozițiile generale și domeniul de aplicare și se menționează echipamentele pentru care nu se aplică regulamentul în conformitate cu prevederile art. 1 din actul UE.</w:t>
            </w:r>
          </w:p>
          <w:p w14:paraId="47ACCE65" w14:textId="51847B93" w:rsidR="003A05AB" w:rsidRPr="002455E7" w:rsidRDefault="003A05AB" w:rsidP="003A05AB">
            <w:pPr>
              <w:tabs>
                <w:tab w:val="left" w:pos="884"/>
                <w:tab w:val="left" w:pos="1196"/>
              </w:tabs>
              <w:spacing w:after="0" w:line="240" w:lineRule="auto"/>
              <w:ind w:left="120"/>
              <w:jc w:val="both"/>
              <w:rPr>
                <w:rFonts w:ascii="Times New Roman" w:hAnsi="Times New Roman"/>
                <w:lang w:val="pt-BR"/>
              </w:rPr>
            </w:pPr>
            <w:r w:rsidRPr="002455E7">
              <w:rPr>
                <w:rFonts w:ascii="Times New Roman" w:hAnsi="Times New Roman"/>
                <w:lang w:val="pt-BR"/>
              </w:rPr>
              <w:t xml:space="preserve">     Prin Cap. II din proiectul Regulamentului se definesc o serie de noțiuni specifice în materie de etichetare energetică aplicabile dulapurilor frigorifice de depozitare profesionale, așa cum sunt prevăzute la art. 2 din Regulamentul UE, asigurând, totodată, și transpunerea definițiilor suplimentare prevăzute de Anexa I la actul UE.</w:t>
            </w:r>
          </w:p>
          <w:p w14:paraId="2A436863" w14:textId="5D528DF1" w:rsidR="003A05AB" w:rsidRPr="002455E7" w:rsidRDefault="003A05AB" w:rsidP="003A05AB">
            <w:pPr>
              <w:tabs>
                <w:tab w:val="left" w:pos="884"/>
                <w:tab w:val="left" w:pos="1196"/>
              </w:tabs>
              <w:spacing w:after="0" w:line="240" w:lineRule="auto"/>
              <w:ind w:left="120"/>
              <w:jc w:val="both"/>
              <w:rPr>
                <w:rFonts w:ascii="Times New Roman" w:hAnsi="Times New Roman"/>
                <w:lang w:val="pt-BR"/>
              </w:rPr>
            </w:pPr>
            <w:r w:rsidRPr="002455E7">
              <w:rPr>
                <w:rFonts w:ascii="Times New Roman" w:hAnsi="Times New Roman"/>
                <w:lang w:val="pt-BR"/>
              </w:rPr>
              <w:t xml:space="preserve">     Responsabilitățile furnizorilor, comercianților și calendarul de punere în aplicare a cerințelor de conformitate, metodele de măsurare și procedura de verificare în scopul supravegherii pieței sunt prevăzute la pct. 5 – 8 din proiectul Regulamentului în conformitate cu art. 4 - 6 din actul UE.</w:t>
            </w:r>
          </w:p>
          <w:p w14:paraId="5D5A033E" w14:textId="77777777" w:rsidR="003A05AB" w:rsidRPr="002455E7" w:rsidRDefault="003A05AB" w:rsidP="003A05AB">
            <w:pPr>
              <w:tabs>
                <w:tab w:val="left" w:pos="884"/>
                <w:tab w:val="left" w:pos="1196"/>
              </w:tabs>
              <w:spacing w:after="0" w:line="240" w:lineRule="auto"/>
              <w:ind w:left="120"/>
              <w:jc w:val="both"/>
              <w:rPr>
                <w:rFonts w:ascii="Times New Roman" w:hAnsi="Times New Roman"/>
                <w:lang w:val="pt-BR"/>
              </w:rPr>
            </w:pPr>
            <w:r w:rsidRPr="002455E7">
              <w:rPr>
                <w:rFonts w:ascii="Times New Roman" w:hAnsi="Times New Roman"/>
                <w:lang w:val="pt-BR"/>
              </w:rPr>
              <w:t xml:space="preserve">      Anexele nr. 1 - 9 la proiectul Regulamentului conțin condițiile de determinare a clasei de eficiență energetică, modelul de etichetă aplicabil, conținutul fișei produselor, a elementelor pe care trebuie să le conțină documentația tehnică a acestora, informațiile care să fie incluse în cazul vizionării produselor doar pe internet și cele care trebuie furnizate în cazul vânzării, închirierii sau cumpărării cu plata în rate pe internet, măsurătorile și metodele de calcul, precum și verificare </w:t>
            </w:r>
            <w:r w:rsidRPr="002455E7">
              <w:rPr>
                <w:rFonts w:ascii="Times New Roman" w:hAnsi="Times New Roman"/>
                <w:lang w:val="pt-BR"/>
              </w:rPr>
              <w:lastRenderedPageBreak/>
              <w:t xml:space="preserve">conformității acestora, fiind în acord cu Anexele II - IX din Regulamentul delegat. </w:t>
            </w:r>
          </w:p>
          <w:p w14:paraId="78E3E3EB" w14:textId="59ABB0F8" w:rsidR="003A05AB" w:rsidRPr="002455E7" w:rsidRDefault="003A05AB" w:rsidP="003A05AB">
            <w:pPr>
              <w:pStyle w:val="Listparagraf"/>
              <w:numPr>
                <w:ilvl w:val="0"/>
                <w:numId w:val="11"/>
              </w:numPr>
              <w:tabs>
                <w:tab w:val="left" w:pos="884"/>
                <w:tab w:val="left" w:pos="1196"/>
              </w:tabs>
              <w:spacing w:after="0" w:line="240" w:lineRule="auto"/>
              <w:jc w:val="both"/>
              <w:rPr>
                <w:i/>
                <w:iCs/>
                <w:lang w:val="pt-BR"/>
              </w:rPr>
            </w:pPr>
            <w:r w:rsidRPr="002455E7">
              <w:rPr>
                <w:i/>
                <w:iCs/>
                <w:lang w:val="pt-BR"/>
              </w:rPr>
              <w:t>Prevederi ale Regulamentului delegat (UE) 2015/1094 non-aplicabile</w:t>
            </w:r>
          </w:p>
          <w:p w14:paraId="5FC93DEC" w14:textId="7C0F7AB8" w:rsidR="003A05AB" w:rsidRPr="002455E7" w:rsidRDefault="003A05AB" w:rsidP="003A05AB">
            <w:pPr>
              <w:tabs>
                <w:tab w:val="left" w:pos="884"/>
                <w:tab w:val="left" w:pos="1196"/>
              </w:tabs>
              <w:spacing w:after="0" w:line="240" w:lineRule="auto"/>
              <w:ind w:left="120"/>
              <w:jc w:val="both"/>
              <w:rPr>
                <w:rFonts w:ascii="Times New Roman" w:hAnsi="Times New Roman"/>
                <w:lang w:val="pt-BR"/>
              </w:rPr>
            </w:pPr>
            <w:r w:rsidRPr="002455E7">
              <w:rPr>
                <w:rFonts w:ascii="Times New Roman" w:hAnsi="Times New Roman"/>
                <w:lang w:val="pt-BR"/>
              </w:rPr>
              <w:t xml:space="preserve">     Dispozițiile art. 7 și art. 8 nu constituie obiect al transpunerii întrucât stabilesc obligații pentru statele membre sau reflectă norme privind intrarea în vigoare și aplicarea Regulamentului.</w:t>
            </w:r>
          </w:p>
          <w:p w14:paraId="25F55DEC" w14:textId="22074AF6" w:rsidR="008510B7" w:rsidRPr="002455E7" w:rsidRDefault="003A05AB" w:rsidP="008510B7">
            <w:pPr>
              <w:pStyle w:val="Listparagraf"/>
              <w:numPr>
                <w:ilvl w:val="0"/>
                <w:numId w:val="10"/>
              </w:numPr>
              <w:tabs>
                <w:tab w:val="left" w:pos="884"/>
                <w:tab w:val="left" w:pos="1196"/>
              </w:tabs>
              <w:spacing w:after="0" w:line="240" w:lineRule="auto"/>
              <w:jc w:val="both"/>
              <w:rPr>
                <w:lang w:val="pt-BR"/>
              </w:rPr>
            </w:pPr>
            <w:r w:rsidRPr="002455E7">
              <w:rPr>
                <w:b/>
                <w:bCs/>
                <w:lang w:val="pt-BR"/>
              </w:rPr>
              <w:t>Regulamentul delegat (UE) 2015/1186</w:t>
            </w:r>
            <w:r w:rsidRPr="002455E7">
              <w:rPr>
                <w:lang w:val="pt-BR"/>
              </w:rPr>
              <w:t xml:space="preserve"> stabilește cerințe privind etichetarea energetică și furnizarea de informații suplimentare despre produs în cazul aparatelor pentru încălzire locală cu o putere calorică nominală de maximum 50 kW. </w:t>
            </w:r>
          </w:p>
          <w:p w14:paraId="1A3DF103" w14:textId="77777777" w:rsidR="008510B7" w:rsidRPr="002455E7" w:rsidRDefault="008510B7" w:rsidP="003A05AB">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3A05AB" w:rsidRPr="002455E7">
              <w:rPr>
                <w:rFonts w:ascii="Times New Roman" w:hAnsi="Times New Roman"/>
                <w:lang w:val="pt-BR"/>
              </w:rPr>
              <w:t>Regulamentul delegat (UE) 2015/1186 nu a constituit obiect al transpunerii în legislația națională</w:t>
            </w:r>
            <w:r w:rsidR="003A05AB" w:rsidRPr="002455E7">
              <w:rPr>
                <w:rFonts w:ascii="Times New Roman" w:hAnsi="Times New Roman"/>
                <w:b/>
                <w:bCs/>
                <w:lang w:val="pt-BR"/>
              </w:rPr>
              <w:t>, acest proiect fiind un exercițiu primar de transpunere a acestuia.</w:t>
            </w:r>
            <w:r w:rsidR="003A05AB" w:rsidRPr="002455E7">
              <w:rPr>
                <w:rFonts w:ascii="Times New Roman" w:hAnsi="Times New Roman"/>
                <w:lang w:val="pt-BR"/>
              </w:rPr>
              <w:t xml:space="preserve"> </w:t>
            </w:r>
          </w:p>
          <w:p w14:paraId="3ABD0AFF" w14:textId="015BA60B" w:rsidR="008510B7" w:rsidRPr="002455E7" w:rsidRDefault="003A05AB" w:rsidP="008510B7">
            <w:pPr>
              <w:pStyle w:val="Listparagraf"/>
              <w:numPr>
                <w:ilvl w:val="0"/>
                <w:numId w:val="12"/>
              </w:numPr>
              <w:tabs>
                <w:tab w:val="left" w:pos="884"/>
                <w:tab w:val="left" w:pos="1196"/>
              </w:tabs>
              <w:spacing w:after="0" w:line="240" w:lineRule="auto"/>
              <w:jc w:val="both"/>
              <w:rPr>
                <w:i/>
                <w:iCs/>
                <w:lang w:val="pt-BR"/>
              </w:rPr>
            </w:pPr>
            <w:r w:rsidRPr="002455E7">
              <w:rPr>
                <w:i/>
                <w:iCs/>
                <w:lang w:val="pt-BR"/>
              </w:rPr>
              <w:t>Analiza comparativă a transpunerii dispozițiilor Regulamentului delegat (UE) 2015/1186</w:t>
            </w:r>
          </w:p>
          <w:p w14:paraId="40D42262" w14:textId="77777777" w:rsidR="00327D9C" w:rsidRPr="002455E7" w:rsidRDefault="008510B7" w:rsidP="008510B7">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3A05AB" w:rsidRPr="002455E7">
              <w:rPr>
                <w:rFonts w:ascii="Times New Roman" w:hAnsi="Times New Roman"/>
                <w:lang w:val="pt-BR"/>
              </w:rPr>
              <w:t xml:space="preserve"> În ceea ce privește transpunerea Regulamentului delegat (UE) 2015/1186, menționăm cu titlu general că proiectul național, prin noua Anexă nr. 18 la HG nr. 1003/2014, </w:t>
            </w:r>
            <w:r w:rsidR="003A05AB" w:rsidRPr="002455E7">
              <w:rPr>
                <w:rFonts w:ascii="Times New Roman" w:hAnsi="Times New Roman"/>
                <w:b/>
                <w:bCs/>
                <w:lang w:val="pt-BR"/>
              </w:rPr>
              <w:t>asigură transpunerea actului UE,</w:t>
            </w:r>
            <w:r w:rsidR="003A05AB" w:rsidRPr="002455E7">
              <w:rPr>
                <w:rFonts w:ascii="Times New Roman" w:hAnsi="Times New Roman"/>
                <w:lang w:val="pt-BR"/>
              </w:rPr>
              <w:t xml:space="preserve"> conform constatărilor de mai jos. </w:t>
            </w:r>
          </w:p>
          <w:p w14:paraId="52B1FC03" w14:textId="77777777" w:rsidR="00327D9C" w:rsidRPr="002455E7" w:rsidRDefault="00327D9C" w:rsidP="008510B7">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3A05AB" w:rsidRPr="002455E7">
              <w:rPr>
                <w:rFonts w:ascii="Times New Roman" w:hAnsi="Times New Roman"/>
                <w:lang w:val="pt-BR"/>
              </w:rPr>
              <w:t xml:space="preserve">Prin pct. 2 - 3 din proiectul Regulamentului se stabilesc dispozițiile generale și domeniul de aplicare și se menționează echipamentele pentru care nu se aplică regulamentul în conformitate cu prevederile art. 1 din actul UE. </w:t>
            </w:r>
          </w:p>
          <w:p w14:paraId="12A94EC9" w14:textId="3E7F61F5" w:rsidR="00327D9C" w:rsidRPr="002455E7" w:rsidRDefault="00327D9C" w:rsidP="008510B7">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301D56" w:rsidRPr="002455E7">
              <w:rPr>
                <w:rFonts w:ascii="Times New Roman" w:hAnsi="Times New Roman"/>
                <w:lang w:val="pt-BR"/>
              </w:rPr>
              <w:t xml:space="preserve">    </w:t>
            </w:r>
            <w:r w:rsidR="003A05AB" w:rsidRPr="002455E7">
              <w:rPr>
                <w:rFonts w:ascii="Times New Roman" w:hAnsi="Times New Roman"/>
                <w:lang w:val="pt-BR"/>
              </w:rPr>
              <w:t>Prin Cap. II din proiectul național se definesc o serie de noțiuni specifice în materie de etichetare energetică aplicabile aparatelor pentru încălzire locală cu o putere calorică nominală</w:t>
            </w:r>
            <w:r w:rsidRPr="002455E7">
              <w:rPr>
                <w:rFonts w:ascii="Times New Roman" w:hAnsi="Times New Roman"/>
                <w:lang w:val="pt-BR"/>
              </w:rPr>
              <w:t xml:space="preserve"> </w:t>
            </w:r>
            <w:r w:rsidR="003A05AB" w:rsidRPr="002455E7">
              <w:rPr>
                <w:rFonts w:ascii="Times New Roman" w:hAnsi="Times New Roman"/>
                <w:lang w:val="pt-BR"/>
              </w:rPr>
              <w:t xml:space="preserve">de maximum 50 kW, așa cum sunt prevăzute la art. 2 din Regulamentul UE, asigurând, totodată, și transpunerea definițiilor suplimentare prevăzute de Anexa I la actul UE. </w:t>
            </w:r>
          </w:p>
          <w:p w14:paraId="1F8EFA75" w14:textId="77777777" w:rsidR="00327D9C" w:rsidRPr="002455E7" w:rsidRDefault="00327D9C" w:rsidP="008510B7">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3A05AB" w:rsidRPr="002455E7">
              <w:rPr>
                <w:rFonts w:ascii="Times New Roman" w:hAnsi="Times New Roman"/>
                <w:lang w:val="pt-BR"/>
              </w:rPr>
              <w:t>Responsabilitățile furnizorilor, comercianților și calendarul de punere în aplicare a cerințelor de conformitate, metodele de măsurare și calcul, precum și procedura de verificare în scopul supravegherii pieței sunt prevăzute la pct. 5 - 8 în conformitate cu art. 3 - 6 din actul UE.</w:t>
            </w:r>
          </w:p>
          <w:p w14:paraId="651402A4" w14:textId="77777777" w:rsidR="00327D9C" w:rsidRPr="002455E7" w:rsidRDefault="00327D9C" w:rsidP="008510B7">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3A05AB" w:rsidRPr="002455E7">
              <w:rPr>
                <w:rFonts w:ascii="Times New Roman" w:hAnsi="Times New Roman"/>
                <w:lang w:val="pt-BR"/>
              </w:rPr>
              <w:t xml:space="preserve"> </w:t>
            </w:r>
            <w:r w:rsidRPr="002455E7">
              <w:rPr>
                <w:rFonts w:ascii="Times New Roman" w:hAnsi="Times New Roman"/>
                <w:lang w:val="pt-BR"/>
              </w:rPr>
              <w:t xml:space="preserve">   </w:t>
            </w:r>
            <w:r w:rsidR="003A05AB" w:rsidRPr="002455E7">
              <w:rPr>
                <w:rFonts w:ascii="Times New Roman" w:hAnsi="Times New Roman"/>
                <w:lang w:val="pt-BR"/>
              </w:rPr>
              <w:t xml:space="preserve">Anexele nr. 1 - 8 la proiectul Regulamentului conțin condițiile de determinare a clasei de eficiență energetică, modelul de etichetă aplicabil, </w:t>
            </w:r>
            <w:r w:rsidR="003A05AB" w:rsidRPr="002455E7">
              <w:rPr>
                <w:rFonts w:ascii="Times New Roman" w:hAnsi="Times New Roman"/>
                <w:lang w:val="pt-BR"/>
              </w:rPr>
              <w:lastRenderedPageBreak/>
              <w:t>conținutul fișei produselor, a elementelor care trebuie incluse în documentația tehnică a acestora, informațiile care să fie incluse în cazul vizionării produselor doar pe internet și cele care trebuie furnizate în cazul vânzării, închirierii sau cumpărării cu plata în rate pe internet, măsurătorile și metodele de calcul, precum și verificare conformității acestora, transpunând prevederile din Anexele II - IX din Regulamentul delegat.</w:t>
            </w:r>
            <w:r w:rsidR="008510B7" w:rsidRPr="002455E7">
              <w:rPr>
                <w:rFonts w:ascii="Times New Roman" w:hAnsi="Times New Roman"/>
                <w:lang w:val="pt-BR"/>
              </w:rPr>
              <w:t xml:space="preserve"> </w:t>
            </w:r>
          </w:p>
          <w:p w14:paraId="79FB725D" w14:textId="3A0CC4F7" w:rsidR="00327D9C" w:rsidRPr="002455E7" w:rsidRDefault="00327D9C" w:rsidP="008510B7">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p>
          <w:p w14:paraId="1E12F35F" w14:textId="580F4320" w:rsidR="001319A5" w:rsidRPr="002455E7" w:rsidRDefault="008510B7" w:rsidP="001319A5">
            <w:pPr>
              <w:pStyle w:val="Listparagraf"/>
              <w:numPr>
                <w:ilvl w:val="0"/>
                <w:numId w:val="12"/>
              </w:numPr>
              <w:tabs>
                <w:tab w:val="left" w:pos="884"/>
                <w:tab w:val="left" w:pos="1196"/>
              </w:tabs>
              <w:spacing w:after="0" w:line="240" w:lineRule="auto"/>
              <w:jc w:val="both"/>
              <w:rPr>
                <w:i/>
                <w:iCs/>
                <w:lang w:val="pt-BR"/>
              </w:rPr>
            </w:pPr>
            <w:r w:rsidRPr="002455E7">
              <w:rPr>
                <w:i/>
                <w:iCs/>
                <w:lang w:val="pt-BR"/>
              </w:rPr>
              <w:t>Prevederi ale Regulamentului delegat (UE) 2015/1186 non-aplicabile</w:t>
            </w:r>
          </w:p>
          <w:p w14:paraId="229976BA" w14:textId="77777777" w:rsidR="001319A5" w:rsidRPr="002455E7" w:rsidRDefault="008510B7" w:rsidP="001319A5">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Dispozițiile art. 7 și art. 8 nu constituie obiect al transpunerii întrucât stabilesc obligații pentru instituțiile Uniunii Europene sau se referă la intrarea în vigoare și aplicarea Regulamentului. </w:t>
            </w:r>
          </w:p>
          <w:p w14:paraId="60088800" w14:textId="77777777" w:rsidR="001319A5" w:rsidRPr="002455E7" w:rsidRDefault="001319A5" w:rsidP="001319A5">
            <w:pPr>
              <w:tabs>
                <w:tab w:val="left" w:pos="884"/>
                <w:tab w:val="left" w:pos="1196"/>
              </w:tabs>
              <w:spacing w:after="0" w:line="240" w:lineRule="auto"/>
              <w:jc w:val="both"/>
              <w:rPr>
                <w:rFonts w:ascii="Times New Roman" w:hAnsi="Times New Roman"/>
                <w:lang w:val="pt-BR"/>
              </w:rPr>
            </w:pPr>
          </w:p>
          <w:p w14:paraId="67A81625" w14:textId="36666767" w:rsidR="001319A5" w:rsidRPr="002455E7" w:rsidRDefault="008510B7" w:rsidP="001319A5">
            <w:pPr>
              <w:pStyle w:val="Listparagraf"/>
              <w:numPr>
                <w:ilvl w:val="0"/>
                <w:numId w:val="10"/>
              </w:numPr>
              <w:tabs>
                <w:tab w:val="left" w:pos="884"/>
                <w:tab w:val="left" w:pos="1196"/>
              </w:tabs>
              <w:spacing w:after="0" w:line="240" w:lineRule="auto"/>
              <w:jc w:val="both"/>
              <w:rPr>
                <w:lang w:val="pt-BR"/>
              </w:rPr>
            </w:pPr>
            <w:r w:rsidRPr="002455E7">
              <w:rPr>
                <w:b/>
                <w:bCs/>
                <w:lang w:val="pt-BR"/>
              </w:rPr>
              <w:t>Regulamentul delegat (UE) nr. 1254/2014</w:t>
            </w:r>
            <w:r w:rsidRPr="002455E7">
              <w:rPr>
                <w:lang w:val="pt-BR"/>
              </w:rPr>
              <w:t xml:space="preserve"> stabilește cerințele de etichetare energetică pentru unitățile de ventilație rezidențiale.</w:t>
            </w:r>
          </w:p>
          <w:p w14:paraId="0436AF1D" w14:textId="77777777" w:rsidR="001319A5" w:rsidRPr="002455E7" w:rsidRDefault="001319A5" w:rsidP="001319A5">
            <w:pPr>
              <w:pStyle w:val="Listparagraf"/>
              <w:tabs>
                <w:tab w:val="left" w:pos="884"/>
                <w:tab w:val="left" w:pos="1196"/>
              </w:tabs>
              <w:spacing w:after="0" w:line="240" w:lineRule="auto"/>
              <w:ind w:left="420"/>
              <w:jc w:val="both"/>
              <w:rPr>
                <w:lang w:val="pt-BR"/>
              </w:rPr>
            </w:pPr>
          </w:p>
          <w:p w14:paraId="390ED1E8" w14:textId="77777777" w:rsidR="001319A5" w:rsidRPr="002455E7" w:rsidRDefault="008510B7" w:rsidP="001319A5">
            <w:pPr>
              <w:tabs>
                <w:tab w:val="left" w:pos="884"/>
                <w:tab w:val="left" w:pos="1196"/>
              </w:tabs>
              <w:spacing w:after="0" w:line="240" w:lineRule="auto"/>
              <w:ind w:left="60"/>
              <w:jc w:val="both"/>
              <w:rPr>
                <w:rFonts w:ascii="Times New Roman" w:hAnsi="Times New Roman"/>
                <w:b/>
                <w:bCs/>
                <w:lang w:val="pt-BR"/>
              </w:rPr>
            </w:pPr>
            <w:r w:rsidRPr="002455E7">
              <w:rPr>
                <w:rFonts w:ascii="Times New Roman" w:hAnsi="Times New Roman"/>
                <w:lang w:val="pt-BR"/>
              </w:rPr>
              <w:t xml:space="preserve"> Regulamentul delegat (UE) nr. 1254/2014 nu a constituit obiect al transpunerii în legislația națională, </w:t>
            </w:r>
            <w:r w:rsidRPr="002455E7">
              <w:rPr>
                <w:rFonts w:ascii="Times New Roman" w:hAnsi="Times New Roman"/>
                <w:b/>
                <w:bCs/>
                <w:lang w:val="pt-BR"/>
              </w:rPr>
              <w:t xml:space="preserve">acest proiect fiind un exercițiu primar de transpunere a acestuia. </w:t>
            </w:r>
          </w:p>
          <w:p w14:paraId="37CCA0ED" w14:textId="77777777" w:rsidR="001319A5" w:rsidRPr="002455E7" w:rsidRDefault="001319A5" w:rsidP="001319A5">
            <w:pPr>
              <w:tabs>
                <w:tab w:val="left" w:pos="884"/>
                <w:tab w:val="left" w:pos="1196"/>
              </w:tabs>
              <w:spacing w:after="0" w:line="240" w:lineRule="auto"/>
              <w:ind w:left="60"/>
              <w:jc w:val="both"/>
              <w:rPr>
                <w:rFonts w:ascii="Times New Roman" w:hAnsi="Times New Roman"/>
                <w:lang w:val="pt-BR"/>
              </w:rPr>
            </w:pPr>
          </w:p>
          <w:p w14:paraId="6C0989F8" w14:textId="02F147BE" w:rsidR="001319A5" w:rsidRPr="002455E7" w:rsidRDefault="008510B7" w:rsidP="001319A5">
            <w:pPr>
              <w:pStyle w:val="Listparagraf"/>
              <w:numPr>
                <w:ilvl w:val="0"/>
                <w:numId w:val="13"/>
              </w:numPr>
              <w:tabs>
                <w:tab w:val="left" w:pos="884"/>
                <w:tab w:val="left" w:pos="1196"/>
              </w:tabs>
              <w:spacing w:after="0" w:line="240" w:lineRule="auto"/>
              <w:jc w:val="both"/>
              <w:rPr>
                <w:i/>
                <w:iCs/>
                <w:lang w:val="pt-BR"/>
              </w:rPr>
            </w:pPr>
            <w:r w:rsidRPr="002455E7">
              <w:rPr>
                <w:i/>
                <w:iCs/>
                <w:lang w:val="pt-BR"/>
              </w:rPr>
              <w:t xml:space="preserve">Analiza comparativă a transpunerii dispozițiilor Regulamentului delegat (UE) nr. 1254/2014 </w:t>
            </w:r>
          </w:p>
          <w:p w14:paraId="0B24FF3C" w14:textId="77777777" w:rsidR="001319A5" w:rsidRPr="002455E7" w:rsidRDefault="001319A5" w:rsidP="001319A5">
            <w:pPr>
              <w:tabs>
                <w:tab w:val="left" w:pos="884"/>
                <w:tab w:val="left" w:pos="1196"/>
              </w:tabs>
              <w:spacing w:after="0" w:line="240" w:lineRule="auto"/>
              <w:ind w:left="60"/>
              <w:jc w:val="both"/>
              <w:rPr>
                <w:rFonts w:ascii="Times New Roman" w:hAnsi="Times New Roman"/>
                <w:lang w:val="pt-BR"/>
              </w:rPr>
            </w:pPr>
          </w:p>
          <w:p w14:paraId="7F4D99ED" w14:textId="77777777" w:rsidR="00301D56" w:rsidRPr="002455E7" w:rsidRDefault="001319A5" w:rsidP="001319A5">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În ceea ce privește transpunerea Regulamentului delegat (UE) nr. 1254/2014, menționăm cu titlu general că proiectul național, prin noua Anexă nr. 19 la HG nr. 1003/2014, </w:t>
            </w:r>
            <w:r w:rsidR="008510B7" w:rsidRPr="002455E7">
              <w:rPr>
                <w:rFonts w:ascii="Times New Roman" w:hAnsi="Times New Roman"/>
                <w:b/>
                <w:bCs/>
                <w:lang w:val="pt-BR"/>
              </w:rPr>
              <w:t>asigură transpunerea actului UE</w:t>
            </w:r>
            <w:r w:rsidR="008510B7" w:rsidRPr="002455E7">
              <w:rPr>
                <w:rFonts w:ascii="Times New Roman" w:hAnsi="Times New Roman"/>
                <w:lang w:val="pt-BR"/>
              </w:rPr>
              <w:t xml:space="preserve">, conform constatărilor de mai jos. </w:t>
            </w:r>
          </w:p>
          <w:p w14:paraId="153AE4D3" w14:textId="77777777" w:rsidR="00301D56" w:rsidRPr="002455E7" w:rsidRDefault="00301D56" w:rsidP="001319A5">
            <w:pPr>
              <w:tabs>
                <w:tab w:val="left" w:pos="884"/>
                <w:tab w:val="left" w:pos="1196"/>
              </w:tabs>
              <w:spacing w:after="0" w:line="240" w:lineRule="auto"/>
              <w:ind w:left="60"/>
              <w:jc w:val="both"/>
              <w:rPr>
                <w:rFonts w:ascii="Times New Roman" w:hAnsi="Times New Roman"/>
                <w:lang w:val="pt-BR"/>
              </w:rPr>
            </w:pPr>
          </w:p>
          <w:p w14:paraId="6069C301" w14:textId="77777777" w:rsidR="00301D56" w:rsidRPr="002455E7" w:rsidRDefault="00301D56" w:rsidP="001319A5">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Prin pct. 2 - 3 din proiectul Regulamentului se stabilesc dispozițiile generale și domeniul de aplicare și se menționează echipamentele pentru care nu se aplică regulamentul în conformitate cu prevederile art. 1 din actul UE.</w:t>
            </w:r>
          </w:p>
          <w:p w14:paraId="25A00B98" w14:textId="77777777" w:rsidR="00301D56" w:rsidRPr="002455E7" w:rsidRDefault="00301D56" w:rsidP="001319A5">
            <w:pPr>
              <w:tabs>
                <w:tab w:val="left" w:pos="884"/>
                <w:tab w:val="left" w:pos="1196"/>
              </w:tabs>
              <w:spacing w:after="0" w:line="240" w:lineRule="auto"/>
              <w:ind w:left="60"/>
              <w:jc w:val="both"/>
              <w:rPr>
                <w:rFonts w:ascii="Times New Roman" w:hAnsi="Times New Roman"/>
                <w:lang w:val="pt-BR"/>
              </w:rPr>
            </w:pPr>
          </w:p>
          <w:p w14:paraId="3037DAB5" w14:textId="77777777" w:rsidR="00301D56" w:rsidRPr="002455E7" w:rsidRDefault="00301D56" w:rsidP="001319A5">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lastRenderedPageBreak/>
              <w:t xml:space="preserve">      </w:t>
            </w:r>
            <w:r w:rsidR="008510B7" w:rsidRPr="002455E7">
              <w:rPr>
                <w:rFonts w:ascii="Times New Roman" w:hAnsi="Times New Roman"/>
                <w:lang w:val="pt-BR"/>
              </w:rPr>
              <w:t xml:space="preserve"> Prin Cap. II din proiectul național se definesc o serie de noțiuni specifice în materie de etichetare energetică aplicabile unităților de ventilație rezidențiale, așa cum sunt prevăzute la art. 2 din Regulamentul UE, asigurând, totodată, și transpunerea definițiilor suplimentare prevăzute de Anexa I la actul UE.</w:t>
            </w:r>
          </w:p>
          <w:p w14:paraId="712934C6" w14:textId="77777777" w:rsidR="00301D56" w:rsidRPr="002455E7" w:rsidRDefault="00301D56" w:rsidP="001319A5">
            <w:pPr>
              <w:tabs>
                <w:tab w:val="left" w:pos="884"/>
                <w:tab w:val="left" w:pos="1196"/>
              </w:tabs>
              <w:spacing w:after="0" w:line="240" w:lineRule="auto"/>
              <w:ind w:left="60"/>
              <w:jc w:val="both"/>
              <w:rPr>
                <w:rFonts w:ascii="Times New Roman" w:hAnsi="Times New Roman"/>
                <w:lang w:val="pt-BR"/>
              </w:rPr>
            </w:pPr>
          </w:p>
          <w:p w14:paraId="5B436EDD" w14:textId="77777777" w:rsidR="00301D56" w:rsidRPr="002455E7" w:rsidRDefault="00301D56" w:rsidP="001319A5">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Responsabilitățile furnizorilor, comercianților și calendarul de punere în aplicare a cerințelor de conformitate, metodele de măsurare și calcul, precum și procedura de verificare înscopul supravegherii pieței sunt prevăzute la pct. 5 – 9 din proiect în conformitate cu art. 3 - 6 din actul UE.</w:t>
            </w:r>
          </w:p>
          <w:p w14:paraId="316FE91C" w14:textId="77777777" w:rsidR="00301D56" w:rsidRPr="002455E7" w:rsidRDefault="00301D56" w:rsidP="001319A5">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p>
          <w:p w14:paraId="3D686CA6" w14:textId="77777777" w:rsidR="00301D56" w:rsidRPr="002455E7" w:rsidRDefault="00301D56" w:rsidP="001319A5">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Anexele nr. 1 - 8 la proiectul național conțin caracteristicile unei clase de consum specific de energie, modelul de etichetă aplicabil, conținutul fișei produselor, a elementelor care trebuie incluse în documentația tehnică a acestora, informațiile care să fie incluse în cazul vizionării produselor doar pe internet și cele care trebuie furnizate în cazul vânzării, închirierii sau cumpărării cu plata în rate pe internet, măsurătorile și metodele de calcul, precum și verificarea conformității acestora, transpunând reglementările de la Anexele II - IX din Regulamentul delegat.</w:t>
            </w:r>
          </w:p>
          <w:p w14:paraId="7360E384" w14:textId="77777777" w:rsidR="00301D56" w:rsidRPr="002455E7" w:rsidRDefault="00301D56" w:rsidP="001319A5">
            <w:pPr>
              <w:tabs>
                <w:tab w:val="left" w:pos="884"/>
                <w:tab w:val="left" w:pos="1196"/>
              </w:tabs>
              <w:spacing w:after="0" w:line="240" w:lineRule="auto"/>
              <w:ind w:left="60"/>
              <w:jc w:val="both"/>
              <w:rPr>
                <w:rFonts w:ascii="Times New Roman" w:hAnsi="Times New Roman"/>
                <w:lang w:val="pt-BR"/>
              </w:rPr>
            </w:pPr>
          </w:p>
          <w:p w14:paraId="4F299524" w14:textId="094B76EC" w:rsidR="00301D56" w:rsidRPr="002455E7" w:rsidRDefault="008510B7" w:rsidP="00301D56">
            <w:pPr>
              <w:pStyle w:val="Listparagraf"/>
              <w:numPr>
                <w:ilvl w:val="0"/>
                <w:numId w:val="13"/>
              </w:numPr>
              <w:tabs>
                <w:tab w:val="left" w:pos="884"/>
                <w:tab w:val="left" w:pos="1196"/>
              </w:tabs>
              <w:spacing w:after="0" w:line="240" w:lineRule="auto"/>
              <w:jc w:val="both"/>
              <w:rPr>
                <w:i/>
                <w:iCs/>
                <w:lang w:val="pt-BR"/>
              </w:rPr>
            </w:pPr>
            <w:r w:rsidRPr="002455E7">
              <w:rPr>
                <w:i/>
                <w:iCs/>
                <w:lang w:val="pt-BR"/>
              </w:rPr>
              <w:t>Prevederi ale Regulamentului delegat (UE) nr. 1254/2014 non-aplicabile</w:t>
            </w:r>
          </w:p>
          <w:p w14:paraId="53019B21"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p>
          <w:p w14:paraId="61CE4FFD"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Dispozițiile art. 7 și art. 8 nu constituie obiect al transpunerii întrucât stabilesc obligații de revizuire, care țin de competența instituțiilor Uniunii Europene sau se referă la intrarea în vigoare și aplicarea Regulamentului.</w:t>
            </w:r>
          </w:p>
          <w:p w14:paraId="11C47676"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p>
          <w:p w14:paraId="7F2E0BB9" w14:textId="2484C67F" w:rsidR="00301D56" w:rsidRPr="002455E7" w:rsidRDefault="008510B7" w:rsidP="00301D56">
            <w:pPr>
              <w:pStyle w:val="Listparagraf"/>
              <w:numPr>
                <w:ilvl w:val="0"/>
                <w:numId w:val="10"/>
              </w:numPr>
              <w:tabs>
                <w:tab w:val="left" w:pos="884"/>
                <w:tab w:val="left" w:pos="1196"/>
              </w:tabs>
              <w:spacing w:after="0" w:line="240" w:lineRule="auto"/>
              <w:jc w:val="both"/>
              <w:rPr>
                <w:lang w:val="pt-BR"/>
              </w:rPr>
            </w:pPr>
            <w:r w:rsidRPr="002455E7">
              <w:rPr>
                <w:b/>
                <w:bCs/>
                <w:lang w:val="pt-BR"/>
              </w:rPr>
              <w:t>Regulamentul delegat (UE) 2015/1187</w:t>
            </w:r>
            <w:r w:rsidRPr="002455E7">
              <w:rPr>
                <w:lang w:val="pt-BR"/>
              </w:rPr>
              <w:t xml:space="preserve"> stabilește cerințe privind etichetarea energetică și furnizarea de informații suplimentare despre produs pentru cazanele cu combustibil solid cu o putere termică nominală de maximum 70 kW și pentru pachetele de cazan cu combustibil solid cu o putere termică nominală de maximum 70 </w:t>
            </w:r>
            <w:r w:rsidRPr="002455E7">
              <w:rPr>
                <w:lang w:val="pt-BR"/>
              </w:rPr>
              <w:lastRenderedPageBreak/>
              <w:t>kW, instalații de încălzire suplimentare, regulatoare de temperatură și dispozitive solare.</w:t>
            </w:r>
          </w:p>
          <w:p w14:paraId="66B06DEF"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p>
          <w:p w14:paraId="1F09DE80"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Regulamentul delegat (UE) 2015/1187 nu a constituit obiect al transpunerii în legislația națională, </w:t>
            </w:r>
            <w:r w:rsidR="008510B7" w:rsidRPr="002455E7">
              <w:rPr>
                <w:rFonts w:ascii="Times New Roman" w:hAnsi="Times New Roman"/>
                <w:b/>
                <w:bCs/>
                <w:lang w:val="pt-BR"/>
              </w:rPr>
              <w:t xml:space="preserve">acest proiect fiind un exercițiu primar de transpunere a acestuia. </w:t>
            </w:r>
          </w:p>
          <w:p w14:paraId="7DEBAFCB"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p>
          <w:p w14:paraId="5D0CAB85" w14:textId="4A1CF983" w:rsidR="00301D56" w:rsidRPr="002455E7" w:rsidRDefault="008510B7" w:rsidP="00301D56">
            <w:pPr>
              <w:pStyle w:val="Listparagraf"/>
              <w:numPr>
                <w:ilvl w:val="0"/>
                <w:numId w:val="14"/>
              </w:numPr>
              <w:tabs>
                <w:tab w:val="left" w:pos="884"/>
                <w:tab w:val="left" w:pos="1196"/>
              </w:tabs>
              <w:spacing w:after="0" w:line="240" w:lineRule="auto"/>
              <w:jc w:val="both"/>
              <w:rPr>
                <w:i/>
                <w:iCs/>
                <w:lang w:val="pt-BR"/>
              </w:rPr>
            </w:pPr>
            <w:r w:rsidRPr="002455E7">
              <w:rPr>
                <w:i/>
                <w:iCs/>
                <w:lang w:val="pt-BR"/>
              </w:rPr>
              <w:t xml:space="preserve">Analiza comparativă a transpunerii dispozițiilor Regulamentului delegat (UE) 2015/1187 </w:t>
            </w:r>
          </w:p>
          <w:p w14:paraId="2258A1F2"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p>
          <w:p w14:paraId="4B0D97EF"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p>
          <w:p w14:paraId="626835E9"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În ceea ce privește transpunerea Regulamentului delegat (UE) 2015/1187, menționăm cu titlu general că proiectul național, prin noua Anexă nr. 20 la HG nr. 1003/2014, </w:t>
            </w:r>
            <w:r w:rsidR="008510B7" w:rsidRPr="002455E7">
              <w:rPr>
                <w:rFonts w:ascii="Times New Roman" w:hAnsi="Times New Roman"/>
                <w:b/>
                <w:bCs/>
                <w:lang w:val="pt-BR"/>
              </w:rPr>
              <w:t>asigură transpunerea actului UE,</w:t>
            </w:r>
            <w:r w:rsidR="008510B7" w:rsidRPr="002455E7">
              <w:rPr>
                <w:rFonts w:ascii="Times New Roman" w:hAnsi="Times New Roman"/>
                <w:lang w:val="pt-BR"/>
              </w:rPr>
              <w:t xml:space="preserve"> conform constatărilor de mai jos.</w:t>
            </w:r>
          </w:p>
          <w:p w14:paraId="50B7F564"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p>
          <w:p w14:paraId="51DBFFC5"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Prin pct. 2 - 3 din proiectul Regulamentului se stabilesc dispozițiile generale și domeniul de aplicare și se menționează echipamentele pentru care nu se aplică regulamentul în conformitate cu prevederile art. 1 din actul UE. </w:t>
            </w:r>
          </w:p>
          <w:p w14:paraId="35AA60AE"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p>
          <w:p w14:paraId="0F5C0C50"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Pct. 4 din proiectul național definește o serie de noțiuni specifice în materie de etichetare energetică aplicabile cazanelor cu combustibil solid cu o putere termică nominală de maximum 70 kW și pentru pachetele de cazan cu combustibil solid cu o putere termică nominală de maximum 70 kW, instalațiilor de încălzire suplimentare, regulatoarelor de temperatură și dispozitivelor solare, așa cum sunt prevăzute la art. 2 din Regulamentul UE, asigurând, totodată, și transpunerea definițiilor suplimentare prevăzute de Anexa I la actul UE.</w:t>
            </w:r>
          </w:p>
          <w:p w14:paraId="1255458A"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p>
          <w:p w14:paraId="753C031E"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Responsabilitățile furnizorilor, comercianților și calendarul de punere în aplicare a cerințelor de conformitate, metodele de măsurare și calcul, precum și procedura de verificare înscopul supravegherii pieței sunt prevăzute la pct. 5 – 11 din proiect în conformitate cu art. 3 - 6 din actul UE.</w:t>
            </w:r>
          </w:p>
          <w:p w14:paraId="38EABBCE"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lastRenderedPageBreak/>
              <w:t xml:space="preserve">   </w:t>
            </w:r>
          </w:p>
          <w:p w14:paraId="0929DDBC"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În anexele nr. 1 - 9 din proiectul național sunt reflectate caracteristicile unei clase de consum specific de energie, modelul de etichetă aplicabil fiecărui model de echipament, conținutul fișei produselor pentru fiecare dintre tipuri de produse, a elementelor care trebuie incluse în documentația tehnică a fiecărui model, informațiile care să fie incluse în cazul vizionării produselor doar pe internet și cele care trebuie furnizate în cazul vânzării, închirierii sau cumpărării cu plata în rate pe internet, măsurătorile și metodele de calcul, precum și verificarea conformității acestora, așa cum este reglementat la Anexele II - X din Regulamentul delegat. </w:t>
            </w:r>
          </w:p>
          <w:p w14:paraId="084FF828"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p>
          <w:p w14:paraId="0630DECD" w14:textId="1BE01EB0" w:rsidR="00301D56" w:rsidRPr="002455E7" w:rsidRDefault="008510B7" w:rsidP="00301D56">
            <w:pPr>
              <w:pStyle w:val="Listparagraf"/>
              <w:numPr>
                <w:ilvl w:val="0"/>
                <w:numId w:val="14"/>
              </w:numPr>
              <w:tabs>
                <w:tab w:val="left" w:pos="884"/>
                <w:tab w:val="left" w:pos="1196"/>
              </w:tabs>
              <w:spacing w:after="0" w:line="240" w:lineRule="auto"/>
              <w:jc w:val="both"/>
              <w:rPr>
                <w:i/>
                <w:iCs/>
                <w:lang w:val="pt-BR"/>
              </w:rPr>
            </w:pPr>
            <w:r w:rsidRPr="002455E7">
              <w:rPr>
                <w:i/>
                <w:iCs/>
                <w:lang w:val="pt-BR"/>
              </w:rPr>
              <w:t xml:space="preserve">Prevederi ale Regulamentului delegat (UE) 2015/1187 non-aplicabile </w:t>
            </w:r>
          </w:p>
          <w:p w14:paraId="0867E80B"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p>
          <w:p w14:paraId="3C6731FD"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Dispozițiile art. 7 și art. 8 nu constituie obiect al transpunerii întrucât stabilesc obligații de revizuire, care țin de competența instituțiilor Uniunii Europene sau se referă la intrarea în vigoare și aplicarea Regulamentului UE.</w:t>
            </w:r>
          </w:p>
          <w:p w14:paraId="3068AB4E"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p>
          <w:p w14:paraId="4C58770F" w14:textId="78DC53E9" w:rsidR="00301D56" w:rsidRPr="002455E7" w:rsidRDefault="008510B7" w:rsidP="00301D56">
            <w:pPr>
              <w:pStyle w:val="Listparagraf"/>
              <w:numPr>
                <w:ilvl w:val="0"/>
                <w:numId w:val="10"/>
              </w:numPr>
              <w:tabs>
                <w:tab w:val="left" w:pos="884"/>
                <w:tab w:val="left" w:pos="1196"/>
              </w:tabs>
              <w:spacing w:after="0" w:line="240" w:lineRule="auto"/>
              <w:jc w:val="both"/>
              <w:rPr>
                <w:lang w:val="pt-BR"/>
              </w:rPr>
            </w:pPr>
            <w:r w:rsidRPr="002455E7">
              <w:rPr>
                <w:b/>
                <w:bCs/>
                <w:lang w:val="pt-BR"/>
              </w:rPr>
              <w:t>Regulamentul delegat (UE) 2023/1669</w:t>
            </w:r>
            <w:r w:rsidRPr="002455E7">
              <w:rPr>
                <w:lang w:val="pt-BR"/>
              </w:rPr>
              <w:t xml:space="preserve"> stabilește cerințe pentru etichetarea telefoanelor inteligente și a tabletelor de tip „slate” și pentru furnizarea de informații suplimentare despre produs pe telefoanele inteligente și pe tabletele de tip „slate”. </w:t>
            </w:r>
          </w:p>
          <w:p w14:paraId="3C9D85BB"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p>
          <w:p w14:paraId="4AF17ADB"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Regulamentul delegat (UE) 2023/1669 nu a constituit obiect al transpunerii în legislația națională, </w:t>
            </w:r>
            <w:r w:rsidR="008510B7" w:rsidRPr="002455E7">
              <w:rPr>
                <w:rFonts w:ascii="Times New Roman" w:hAnsi="Times New Roman"/>
                <w:b/>
                <w:bCs/>
                <w:lang w:val="pt-BR"/>
              </w:rPr>
              <w:t>acest proiect fiind un exercițiu primar de transpunere a acestuia</w:t>
            </w:r>
            <w:r w:rsidR="008510B7" w:rsidRPr="002455E7">
              <w:rPr>
                <w:rFonts w:ascii="Times New Roman" w:hAnsi="Times New Roman"/>
                <w:lang w:val="pt-BR"/>
              </w:rPr>
              <w:t>.</w:t>
            </w:r>
          </w:p>
          <w:p w14:paraId="66D702B1" w14:textId="77777777" w:rsidR="00301D56" w:rsidRPr="002455E7" w:rsidRDefault="00301D56" w:rsidP="00301D56">
            <w:pPr>
              <w:tabs>
                <w:tab w:val="left" w:pos="884"/>
                <w:tab w:val="left" w:pos="1196"/>
              </w:tabs>
              <w:spacing w:after="0" w:line="240" w:lineRule="auto"/>
              <w:ind w:left="60"/>
              <w:jc w:val="both"/>
              <w:rPr>
                <w:rFonts w:ascii="Times New Roman" w:hAnsi="Times New Roman"/>
                <w:lang w:val="pt-BR"/>
              </w:rPr>
            </w:pPr>
          </w:p>
          <w:p w14:paraId="4AA86037" w14:textId="387FF3ED" w:rsidR="00301D56" w:rsidRPr="002455E7" w:rsidRDefault="008510B7" w:rsidP="00301D56">
            <w:pPr>
              <w:pStyle w:val="Listparagraf"/>
              <w:numPr>
                <w:ilvl w:val="0"/>
                <w:numId w:val="15"/>
              </w:numPr>
              <w:tabs>
                <w:tab w:val="left" w:pos="884"/>
                <w:tab w:val="left" w:pos="1196"/>
              </w:tabs>
              <w:spacing w:after="0" w:line="240" w:lineRule="auto"/>
              <w:jc w:val="both"/>
              <w:rPr>
                <w:i/>
                <w:iCs/>
                <w:lang w:val="pt-BR"/>
              </w:rPr>
            </w:pPr>
            <w:r w:rsidRPr="002455E7">
              <w:rPr>
                <w:i/>
                <w:iCs/>
                <w:lang w:val="pt-BR"/>
              </w:rPr>
              <w:t xml:space="preserve">Analiza comparativă a transpunerii dispozițiilor Regulamentului delegat (UE) 2023/1669 </w:t>
            </w:r>
          </w:p>
          <w:p w14:paraId="47123057" w14:textId="77777777" w:rsidR="00301D56" w:rsidRPr="002455E7" w:rsidRDefault="00301D56" w:rsidP="00301D56">
            <w:pPr>
              <w:tabs>
                <w:tab w:val="left" w:pos="884"/>
                <w:tab w:val="left" w:pos="1196"/>
              </w:tabs>
              <w:spacing w:after="0" w:line="240" w:lineRule="auto"/>
              <w:ind w:left="105"/>
              <w:jc w:val="both"/>
              <w:rPr>
                <w:rFonts w:ascii="Times New Roman" w:hAnsi="Times New Roman"/>
                <w:lang w:val="pt-BR"/>
              </w:rPr>
            </w:pPr>
          </w:p>
          <w:p w14:paraId="0D73C37E" w14:textId="77777777" w:rsidR="00AC4BCD" w:rsidRPr="002455E7" w:rsidRDefault="00301D56" w:rsidP="00301D56">
            <w:pPr>
              <w:tabs>
                <w:tab w:val="left" w:pos="884"/>
                <w:tab w:val="left" w:pos="1196"/>
              </w:tabs>
              <w:spacing w:after="0" w:line="240" w:lineRule="auto"/>
              <w:ind w:left="105"/>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În ceea ce privește transpunerea Regulamentului delegat (UE) 2023/1669, menționăm cu titlu general că proiectul național, prin noua </w:t>
            </w:r>
            <w:r w:rsidR="008510B7" w:rsidRPr="002455E7">
              <w:rPr>
                <w:rFonts w:ascii="Times New Roman" w:hAnsi="Times New Roman"/>
                <w:lang w:val="pt-BR"/>
              </w:rPr>
              <w:lastRenderedPageBreak/>
              <w:t xml:space="preserve">Anexă nr. 21 la HG nr. 1003/2014, </w:t>
            </w:r>
            <w:r w:rsidR="008510B7" w:rsidRPr="002455E7">
              <w:rPr>
                <w:rFonts w:ascii="Times New Roman" w:hAnsi="Times New Roman"/>
                <w:b/>
                <w:bCs/>
                <w:lang w:val="pt-BR"/>
              </w:rPr>
              <w:t xml:space="preserve">asigură transpunerea actului UE, conform constatărilor de mai jos. </w:t>
            </w:r>
          </w:p>
          <w:p w14:paraId="283E13CC" w14:textId="77777777" w:rsidR="00AC4BCD" w:rsidRPr="002455E7" w:rsidRDefault="00AC4BCD" w:rsidP="00301D56">
            <w:pPr>
              <w:tabs>
                <w:tab w:val="left" w:pos="884"/>
                <w:tab w:val="left" w:pos="1196"/>
              </w:tabs>
              <w:spacing w:after="0" w:line="240" w:lineRule="auto"/>
              <w:ind w:left="105"/>
              <w:jc w:val="both"/>
              <w:rPr>
                <w:rFonts w:ascii="Times New Roman" w:hAnsi="Times New Roman"/>
                <w:lang w:val="pt-BR"/>
              </w:rPr>
            </w:pPr>
          </w:p>
          <w:p w14:paraId="7876C593" w14:textId="77777777" w:rsidR="00AC4BCD" w:rsidRPr="002455E7" w:rsidRDefault="00AC4BCD" w:rsidP="00301D56">
            <w:pPr>
              <w:tabs>
                <w:tab w:val="left" w:pos="884"/>
                <w:tab w:val="left" w:pos="1196"/>
              </w:tabs>
              <w:spacing w:after="0" w:line="240" w:lineRule="auto"/>
              <w:ind w:left="105"/>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Prin pct. 1 - 2 din proiectul național se stabilesc dispozițiile generale și domeniul de aplicare și se menționează echipamentele pentru care nu se aplică regulamentul în conformitate cu prevederile art. 1 din actul UE.</w:t>
            </w:r>
          </w:p>
          <w:p w14:paraId="3C600D09"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1B38BF8B" w14:textId="77777777" w:rsidR="00AC4BCD" w:rsidRPr="002455E7" w:rsidRDefault="00AC4BCD" w:rsidP="00301D56">
            <w:pPr>
              <w:tabs>
                <w:tab w:val="left" w:pos="884"/>
                <w:tab w:val="left" w:pos="1196"/>
              </w:tabs>
              <w:spacing w:after="0" w:line="240" w:lineRule="auto"/>
              <w:ind w:left="105"/>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Pct. 3 din proiectul național definește o serie de noțiuni specifice în materie de etichetare energetică aplicabile telefoanelor inteligente și a tabletelor de tip „slate”, așa cum sunt prevăzute la art. 2 din Regulamentul UE, asigurând, totodată, și transpunerea definițiilor suplimentare prevăzute de Anexa I la actul UE.</w:t>
            </w:r>
          </w:p>
          <w:p w14:paraId="1D63AD1E" w14:textId="77777777" w:rsidR="00AC4BCD" w:rsidRPr="002455E7" w:rsidRDefault="00AC4BCD" w:rsidP="00AC4BCD">
            <w:pPr>
              <w:tabs>
                <w:tab w:val="left" w:pos="884"/>
                <w:tab w:val="left" w:pos="1196"/>
              </w:tabs>
              <w:spacing w:after="0" w:line="240" w:lineRule="auto"/>
              <w:ind w:left="105"/>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Responsabilitățile și obligațiile furnizorilor și ale comercianților, calendarul de punere în aplicare a cerințelor de conformitate, metodele de măsurare și calcul, precum și procedura de verificare în scopul supravegherii pieței sunt prevăzute la pct. 4 - 9 din proiectul național în conformitate cu art. 3 - 6 din actul UE.</w:t>
            </w:r>
          </w:p>
          <w:p w14:paraId="3F963BF0" w14:textId="77777777" w:rsidR="00AC4BCD" w:rsidRPr="002455E7" w:rsidRDefault="00AC4BCD" w:rsidP="00AC4BCD">
            <w:pPr>
              <w:tabs>
                <w:tab w:val="left" w:pos="884"/>
                <w:tab w:val="left" w:pos="1196"/>
              </w:tabs>
              <w:spacing w:after="0" w:line="240" w:lineRule="auto"/>
              <w:ind w:left="105"/>
              <w:jc w:val="both"/>
              <w:rPr>
                <w:rFonts w:ascii="Times New Roman" w:hAnsi="Times New Roman"/>
                <w:lang w:val="pt-BR"/>
              </w:rPr>
            </w:pPr>
          </w:p>
          <w:p w14:paraId="4714CA50" w14:textId="77777777" w:rsidR="00AC4BCD" w:rsidRPr="002455E7" w:rsidRDefault="00AC4BCD" w:rsidP="00AC4BCD">
            <w:pPr>
              <w:tabs>
                <w:tab w:val="left" w:pos="884"/>
                <w:tab w:val="left" w:pos="1196"/>
              </w:tabs>
              <w:spacing w:after="0" w:line="240" w:lineRule="auto"/>
              <w:ind w:left="105"/>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În anexele nr. 1 - 9 din proiectul național sunt reflectate clasele de eficiență energetică, designul etichetei aplicabil fiecărui model de echipament, conținutul fișei produselor pentru fiecare dintre tipuri, a elementelor care trebuie incluse în documentația tehnică a fiecărui model, metodele tranzitorii, informațiile care să fie incluse în cazul vizionării produselor doar pe internet și cele care trebuie furnizate în cazul vânzării, închirierii sau cumpărării cu plata în rate pe internet, măsurătorile și metodele de calcul, precum și verificarea conformității acestora, așa cum este reglementat la Anexele II - IX din Regulamentul delegat. </w:t>
            </w:r>
          </w:p>
          <w:p w14:paraId="0333F329" w14:textId="77777777" w:rsidR="00AC4BCD" w:rsidRPr="002455E7" w:rsidRDefault="00AC4BCD" w:rsidP="00AC4BCD">
            <w:pPr>
              <w:tabs>
                <w:tab w:val="left" w:pos="884"/>
                <w:tab w:val="left" w:pos="1196"/>
              </w:tabs>
              <w:spacing w:after="0" w:line="240" w:lineRule="auto"/>
              <w:ind w:left="105"/>
              <w:jc w:val="both"/>
              <w:rPr>
                <w:rFonts w:ascii="Times New Roman" w:hAnsi="Times New Roman"/>
                <w:lang w:val="pt-BR"/>
              </w:rPr>
            </w:pPr>
          </w:p>
          <w:p w14:paraId="40FE4B79" w14:textId="76A22DE8" w:rsidR="00AC4BCD" w:rsidRPr="002455E7" w:rsidRDefault="008510B7" w:rsidP="00AC4BCD">
            <w:pPr>
              <w:pStyle w:val="Listparagraf"/>
              <w:numPr>
                <w:ilvl w:val="0"/>
                <w:numId w:val="15"/>
              </w:numPr>
              <w:tabs>
                <w:tab w:val="left" w:pos="884"/>
                <w:tab w:val="left" w:pos="1196"/>
              </w:tabs>
              <w:spacing w:after="0" w:line="240" w:lineRule="auto"/>
              <w:jc w:val="both"/>
              <w:rPr>
                <w:i/>
                <w:iCs/>
                <w:lang w:val="pt-BR"/>
              </w:rPr>
            </w:pPr>
            <w:r w:rsidRPr="002455E7">
              <w:rPr>
                <w:i/>
                <w:iCs/>
                <w:lang w:val="pt-BR"/>
              </w:rPr>
              <w:t>Prevederi ale Regulamentului delegat (UE) 2023/1669 non-aplicabile</w:t>
            </w:r>
          </w:p>
          <w:p w14:paraId="1CA1DE53" w14:textId="77777777" w:rsidR="00AC4BCD" w:rsidRPr="002455E7" w:rsidRDefault="00AC4BCD" w:rsidP="00AC4BCD">
            <w:pPr>
              <w:tabs>
                <w:tab w:val="left" w:pos="884"/>
                <w:tab w:val="left" w:pos="1196"/>
              </w:tabs>
              <w:spacing w:after="0" w:line="240" w:lineRule="auto"/>
              <w:ind w:left="105"/>
              <w:jc w:val="both"/>
              <w:rPr>
                <w:rFonts w:ascii="Times New Roman" w:hAnsi="Times New Roman"/>
                <w:lang w:val="pt-BR"/>
              </w:rPr>
            </w:pPr>
          </w:p>
          <w:p w14:paraId="10FAF7D8" w14:textId="371BD349" w:rsidR="00AC4BCD" w:rsidRPr="002455E7" w:rsidRDefault="00AC4BCD" w:rsidP="00AC4BCD">
            <w:pPr>
              <w:tabs>
                <w:tab w:val="left" w:pos="884"/>
                <w:tab w:val="left" w:pos="1196"/>
              </w:tabs>
              <w:spacing w:after="0" w:line="240" w:lineRule="auto"/>
              <w:ind w:left="105"/>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Dispozițiile art. 7 și art. 8 nu constituie obiect al transpunerii întrucât stabilesc obligații de revizuire, care țin de competența instituțiilor </w:t>
            </w:r>
            <w:r w:rsidR="008510B7" w:rsidRPr="002455E7">
              <w:rPr>
                <w:rFonts w:ascii="Times New Roman" w:hAnsi="Times New Roman"/>
                <w:lang w:val="pt-BR"/>
              </w:rPr>
              <w:lastRenderedPageBreak/>
              <w:t xml:space="preserve">Uniunii Europene sau se referă la intrarea în vigoare și aplicarea Regulamentului. </w:t>
            </w:r>
          </w:p>
          <w:p w14:paraId="1517E813" w14:textId="77777777" w:rsidR="00AC4BCD" w:rsidRPr="002455E7" w:rsidRDefault="00AC4BCD" w:rsidP="00AC4BCD">
            <w:pPr>
              <w:tabs>
                <w:tab w:val="left" w:pos="884"/>
                <w:tab w:val="left" w:pos="1196"/>
              </w:tabs>
              <w:spacing w:after="0" w:line="240" w:lineRule="auto"/>
              <w:ind w:left="105"/>
              <w:jc w:val="both"/>
              <w:rPr>
                <w:rFonts w:ascii="Times New Roman" w:hAnsi="Times New Roman"/>
                <w:lang w:val="pt-BR"/>
              </w:rPr>
            </w:pPr>
          </w:p>
          <w:p w14:paraId="37DEE225" w14:textId="77777777" w:rsidR="00AC4BCD" w:rsidRPr="002455E7" w:rsidRDefault="00AC4BCD" w:rsidP="00AC4BCD">
            <w:pPr>
              <w:tabs>
                <w:tab w:val="left" w:pos="884"/>
                <w:tab w:val="left" w:pos="1196"/>
              </w:tabs>
              <w:spacing w:after="0" w:line="240" w:lineRule="auto"/>
              <w:ind w:left="105"/>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6. </w:t>
            </w:r>
            <w:r w:rsidR="008510B7" w:rsidRPr="002455E7">
              <w:rPr>
                <w:rFonts w:ascii="Times New Roman" w:hAnsi="Times New Roman"/>
                <w:b/>
                <w:bCs/>
                <w:lang w:val="pt-BR"/>
              </w:rPr>
              <w:t>Regulamentul delegat (UE) 2017/254</w:t>
            </w:r>
            <w:r w:rsidR="008510B7" w:rsidRPr="002455E7">
              <w:rPr>
                <w:rFonts w:ascii="Times New Roman" w:hAnsi="Times New Roman"/>
                <w:lang w:val="pt-BR"/>
              </w:rPr>
              <w:t xml:space="preserve"> modifică unele Regulamente UE în domeniul energetic, care au constituit anterior obiect al transpunerii în legislația națională a Republicii Moldova – Regulamentele delegate (UE) nr. 626/2011, (UE) nr. 392/2012, (UE) nr. 811/2013, (UE) nr. 812/2013, (UE) nr. 65/2014 în aspecte ce țin de toleranțele la verificare de către autoritatea de supraveghere a pieței. </w:t>
            </w:r>
          </w:p>
          <w:p w14:paraId="34E2BBBA" w14:textId="77777777" w:rsidR="00AC4BCD" w:rsidRPr="002455E7" w:rsidRDefault="00AC4BCD" w:rsidP="00AC4BCD">
            <w:pPr>
              <w:tabs>
                <w:tab w:val="left" w:pos="884"/>
                <w:tab w:val="left" w:pos="1196"/>
              </w:tabs>
              <w:spacing w:after="0" w:line="240" w:lineRule="auto"/>
              <w:ind w:left="105"/>
              <w:jc w:val="both"/>
              <w:rPr>
                <w:rFonts w:ascii="Times New Roman" w:hAnsi="Times New Roman"/>
                <w:lang w:val="pt-BR"/>
              </w:rPr>
            </w:pPr>
          </w:p>
          <w:p w14:paraId="7808BE53" w14:textId="027A6354" w:rsidR="00AC4BCD" w:rsidRPr="002455E7" w:rsidRDefault="008510B7" w:rsidP="00AC4BCD">
            <w:pPr>
              <w:pStyle w:val="Listparagraf"/>
              <w:numPr>
                <w:ilvl w:val="0"/>
                <w:numId w:val="16"/>
              </w:numPr>
              <w:tabs>
                <w:tab w:val="left" w:pos="884"/>
                <w:tab w:val="left" w:pos="1196"/>
              </w:tabs>
              <w:spacing w:after="0" w:line="240" w:lineRule="auto"/>
              <w:jc w:val="both"/>
              <w:rPr>
                <w:i/>
                <w:iCs/>
                <w:lang w:val="pt-BR"/>
              </w:rPr>
            </w:pPr>
            <w:r w:rsidRPr="002455E7">
              <w:rPr>
                <w:i/>
                <w:iCs/>
                <w:lang w:val="pt-BR"/>
              </w:rPr>
              <w:t>Analiza comparativă a transpunerii dispozițiilor Regulamentului delegat (UE) 2017/254</w:t>
            </w:r>
          </w:p>
          <w:p w14:paraId="55C07CA0" w14:textId="77777777" w:rsidR="00AC4BCD" w:rsidRPr="002455E7" w:rsidRDefault="00AC4BCD" w:rsidP="00AC4BCD">
            <w:pPr>
              <w:tabs>
                <w:tab w:val="left" w:pos="884"/>
                <w:tab w:val="left" w:pos="1196"/>
              </w:tabs>
              <w:spacing w:after="0" w:line="240" w:lineRule="auto"/>
              <w:jc w:val="both"/>
              <w:rPr>
                <w:rFonts w:ascii="Times New Roman" w:hAnsi="Times New Roman"/>
                <w:i/>
                <w:iCs/>
                <w:lang w:val="pt-BR"/>
              </w:rPr>
            </w:pPr>
          </w:p>
          <w:p w14:paraId="67838118"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În ceea ce privește transpunerea Regulamentului delegat (UE) 2017/254, menționăm cu titlu general că proiectul național, prin modificările aduse Anexelor nr. 1 - 3, 10 și 11 la HG nr. 1003/2014, asigură transpunerea parțială a actului UE, conform constatărilor de mai jos. </w:t>
            </w:r>
          </w:p>
          <w:p w14:paraId="026FCE78"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17C7A357"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Prin Anexa V a Regulamentului UE sunt operate modificări la Anexa VIII a Regulamentului delegat (UE) nr. 626/2011, prin înlocuirea de text, care reglementează metodele de verificare a conformității produselor de către autoritățile de supraveghere a pieței, stabilirea valorilor și claselor de pe etichetă, precum și parametrii toleranțelor de verificare, iar transpunerea este asigurată prin modificarea Anexei nr. 8 la Regulamentul cu privire la cerințelede etichetare energetică a aparatelor de climatizare din Anexa nr. 2 a HG 1003/2014. </w:t>
            </w:r>
          </w:p>
          <w:p w14:paraId="74B836D4"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0985EB4A"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Anexa VI la Regulamentul UE aduce modificări Regulamentului delegat (UE) nr. 392/2012 pentru stabilirea metodelor de verificare a conformității produselor de către autoritățile de supraveghere a pieței care se referă numai la verificarea parametrilor măsurați de autoritățile naționale, precum și procedurile care trebuie aplicate pentru verificarea conformității unui model de produs fiind transpusă prin modificările operate la Anexa nr. 5 la Regulamentul cu privire la cerințele de </w:t>
            </w:r>
            <w:r w:rsidR="008510B7" w:rsidRPr="002455E7">
              <w:rPr>
                <w:rFonts w:ascii="Times New Roman" w:hAnsi="Times New Roman"/>
                <w:lang w:val="pt-BR"/>
              </w:rPr>
              <w:lastRenderedPageBreak/>
              <w:t>etichetare energetică a uscătoarelor de rufe de uz casnic cu tambur la Anexa nr. 1 a HG 1003/2014.</w:t>
            </w:r>
          </w:p>
          <w:p w14:paraId="28A47CFE"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3932F195"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Anexa IX din actul UE completează și modifică aspectele ce țin de verificarea conformității produselor de către autoritățile de supraveghere a pieței, condițiile care trebuie îndeplinite și indică parametrii toleranțelor de verificare care sunt prevăzuți în Anexa VIII la Regulamentul delegat (UE) nr. 811/2013 fiind transpusă prin modificările introduse la Anexa nr. 8 la Regulamentul cu privire la cerințele de etichetare energetică a instalațiilor pentru încălzireaincintelor, a instalațiilor de încălzire cu funcție dublă, a pachetelor de instalație pentru încălzirea incintelor, regulator de temperatură și dispozitiv solar și a pachetelor de instalație de încălzire cu funcție dublă, regulator de temperatură și dispozitiv solar din Anexa nr. 11 a HG 1003/2014. </w:t>
            </w:r>
          </w:p>
          <w:p w14:paraId="03403185"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6B37C75C"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Anexa X din actul UE modifică Anexa IX la Regulamentul delegat (UE) nr. 812/2013 și reflectă metodele de verificare a conformității produselor de către autoritățile de supraveghere a pieței și măsurile care trebuie întreprinse de autoritățile naționale, fiind transpusă de Anexa nr. 9 la Regulamentul cu privire la cerințele de etichetare energetică a instalațiilor pentru încălzirea apei, a rezervoarelor pentru apă caldă și a pachetelor de instalație pentru încălzirea apei și dispozitiv solar din Anexa nr. 10 la HG 1003/2014. </w:t>
            </w:r>
          </w:p>
          <w:p w14:paraId="4371CF9D"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47CDD5AF"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Anexa XI din Regulamentul UE modifică Anexa VIII la Regulamentul delegat (UE) nr. 65/2014, în aspectele ce țin de verificarea conformității produselor de către autoritățile de supraveghere a pieței, condițiile care trebuie îndeplinite, indicarea parametrilor toleranțelor de verificare fiind transpusă prin modificările operate la Anexa nr. 8 la Regulamentul cu privire la cerințele de etichetare energetică a cuptoarelor și a hotelor de bucătărie de uz casnic din Anexa nr. 3 la HG 1003/2014.</w:t>
            </w:r>
          </w:p>
          <w:p w14:paraId="087F06DB"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6463185D" w14:textId="3E8B7E74" w:rsidR="00AC4BCD" w:rsidRPr="002455E7" w:rsidRDefault="008510B7"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a) </w:t>
            </w:r>
            <w:r w:rsidRPr="002455E7">
              <w:rPr>
                <w:rFonts w:ascii="Times New Roman" w:hAnsi="Times New Roman"/>
                <w:i/>
                <w:iCs/>
                <w:lang w:val="pt-BR"/>
              </w:rPr>
              <w:t>Prevederi ale Regulamentului delegat (UE) 2017/254 non-aplicabile</w:t>
            </w:r>
            <w:r w:rsidRPr="002455E7">
              <w:rPr>
                <w:rFonts w:ascii="Times New Roman" w:hAnsi="Times New Roman"/>
                <w:lang w:val="pt-BR"/>
              </w:rPr>
              <w:t xml:space="preserve"> </w:t>
            </w:r>
          </w:p>
          <w:p w14:paraId="5035E90E"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6A0247C5" w14:textId="045AF052"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lastRenderedPageBreak/>
              <w:t xml:space="preserve">    </w:t>
            </w:r>
            <w:r w:rsidR="008510B7" w:rsidRPr="002455E7">
              <w:rPr>
                <w:rFonts w:ascii="Times New Roman" w:hAnsi="Times New Roman"/>
                <w:lang w:val="pt-BR"/>
              </w:rPr>
              <w:t>Art. 16 din Regulament nu poate fi supus transpunerii, întrucât conține norme privind intrarea în vigoarea a acestuia.</w:t>
            </w:r>
          </w:p>
          <w:p w14:paraId="2A9E1D9D"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27294CD8"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7. </w:t>
            </w:r>
            <w:r w:rsidR="008510B7" w:rsidRPr="002455E7">
              <w:rPr>
                <w:rFonts w:ascii="Times New Roman" w:hAnsi="Times New Roman"/>
                <w:b/>
                <w:bCs/>
                <w:lang w:val="pt-BR"/>
              </w:rPr>
              <w:t>Regulamentul delegat (UE) 2023/2048</w:t>
            </w:r>
            <w:r w:rsidR="008510B7" w:rsidRPr="002455E7">
              <w:rPr>
                <w:rFonts w:ascii="Times New Roman" w:hAnsi="Times New Roman"/>
                <w:lang w:val="pt-BR"/>
              </w:rPr>
              <w:t xml:space="preserve"> rectifică unele Regulamente UE pentru corectarea erorilor și pentru completarea prevederilor acestora. Unele dintre Regulamentele rectificate – Regulamentele delegate (UE) nr. 626/2011 și (UE) 2019/2015, (UE) 2019/2016 au constituit obiect al transpunerii în legislația națională</w:t>
            </w:r>
          </w:p>
          <w:p w14:paraId="1D87989A"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7D81F3CB" w14:textId="7D72B425" w:rsidR="00AC4BCD" w:rsidRPr="002455E7" w:rsidRDefault="008510B7" w:rsidP="00AC4BCD">
            <w:pPr>
              <w:pStyle w:val="Listparagraf"/>
              <w:numPr>
                <w:ilvl w:val="0"/>
                <w:numId w:val="17"/>
              </w:numPr>
              <w:tabs>
                <w:tab w:val="left" w:pos="884"/>
                <w:tab w:val="left" w:pos="1196"/>
              </w:tabs>
              <w:spacing w:after="0" w:line="240" w:lineRule="auto"/>
              <w:jc w:val="both"/>
              <w:rPr>
                <w:i/>
                <w:iCs/>
                <w:lang w:val="pt-BR"/>
              </w:rPr>
            </w:pPr>
            <w:r w:rsidRPr="002455E7">
              <w:rPr>
                <w:i/>
                <w:iCs/>
                <w:lang w:val="pt-BR"/>
              </w:rPr>
              <w:t xml:space="preserve">Analiza comparativă a transpunerii dispozițiilor Regulamentului delegat (UE) 2023/2048 </w:t>
            </w:r>
          </w:p>
          <w:p w14:paraId="6D33393A"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79817174"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În ceea ce privește transpunerea Regulamentului delegat (UE) 2023/2048, menționăm cu titlu general că proiectul național asigură transpunerea parțială a actului UE, în speță a Anexei nr. 1, conform constatărilor de mai jos. </w:t>
            </w:r>
          </w:p>
          <w:p w14:paraId="3A969922"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66DF4C99"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Anexa 1 din Regulamentul UE modifică Anexele I și III din Regulamentul 626/2011 prin corectarea unor măsurători relevante consumului de energie electrică pentru aparatele de climatizare cu o singură conductă dublă și modificările care trebuie aduse imaginilor reprezentative pentru etichetare, transpunerea căreia fiind asigurată de Anexa nr. 1 și 3 la Regulamentul cu privire la etichetarea energetică a aparatelor de climatizare din HG nr. 1003/2014. </w:t>
            </w:r>
          </w:p>
          <w:p w14:paraId="1FE3408F"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192C69C1" w14:textId="57E1CD94" w:rsidR="00AC4BCD" w:rsidRPr="002455E7" w:rsidRDefault="008510B7" w:rsidP="00AC4BCD">
            <w:pPr>
              <w:pStyle w:val="Listparagraf"/>
              <w:numPr>
                <w:ilvl w:val="0"/>
                <w:numId w:val="17"/>
              </w:numPr>
              <w:tabs>
                <w:tab w:val="left" w:pos="884"/>
                <w:tab w:val="left" w:pos="1196"/>
              </w:tabs>
              <w:spacing w:after="0" w:line="240" w:lineRule="auto"/>
              <w:jc w:val="both"/>
              <w:rPr>
                <w:i/>
                <w:iCs/>
                <w:lang w:val="pt-BR"/>
              </w:rPr>
            </w:pPr>
            <w:r w:rsidRPr="002455E7">
              <w:rPr>
                <w:i/>
                <w:iCs/>
                <w:lang w:val="pt-BR"/>
              </w:rPr>
              <w:t>Prevederi ale Regulamentului delegat (UE) 2023/2048 non-aplicabile</w:t>
            </w:r>
          </w:p>
          <w:p w14:paraId="1727A37F" w14:textId="08463D12"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Art. 5 din Regulament nu poate fi supus transpunerii, întrucât se referă la intrarea în vigoarea a acestuia. </w:t>
            </w:r>
          </w:p>
          <w:p w14:paraId="3BDD2BF2"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15F29E63"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8. </w:t>
            </w:r>
            <w:r w:rsidR="008510B7" w:rsidRPr="002455E7">
              <w:rPr>
                <w:rFonts w:ascii="Times New Roman" w:hAnsi="Times New Roman"/>
                <w:b/>
                <w:bCs/>
                <w:lang w:val="pt-BR"/>
              </w:rPr>
              <w:t>Regulamentul delegat (UE) 2020/1059</w:t>
            </w:r>
            <w:r w:rsidR="008510B7" w:rsidRPr="002455E7">
              <w:rPr>
                <w:rFonts w:ascii="Times New Roman" w:hAnsi="Times New Roman"/>
                <w:lang w:val="pt-BR"/>
              </w:rPr>
              <w:t xml:space="preserve"> modifică unele versiuni lingvistice, inclusiv, cea în română, a câtorva Regulamente UE, în speță, a Regulamentului delegat (UE) nr. 392/2012.</w:t>
            </w:r>
          </w:p>
          <w:p w14:paraId="47C38646"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22A10D78" w14:textId="178E684C" w:rsidR="00AC4BCD" w:rsidRPr="002455E7" w:rsidRDefault="008510B7" w:rsidP="00AC4BCD">
            <w:pPr>
              <w:pStyle w:val="Listparagraf"/>
              <w:numPr>
                <w:ilvl w:val="0"/>
                <w:numId w:val="18"/>
              </w:numPr>
              <w:tabs>
                <w:tab w:val="left" w:pos="884"/>
                <w:tab w:val="left" w:pos="1196"/>
              </w:tabs>
              <w:spacing w:after="0" w:line="240" w:lineRule="auto"/>
              <w:jc w:val="both"/>
              <w:rPr>
                <w:i/>
                <w:iCs/>
                <w:lang w:val="pt-BR"/>
              </w:rPr>
            </w:pPr>
            <w:r w:rsidRPr="002455E7">
              <w:rPr>
                <w:i/>
                <w:iCs/>
                <w:lang w:val="pt-BR"/>
              </w:rPr>
              <w:lastRenderedPageBreak/>
              <w:t>Analiza comparativă a transpunerii dispozițiilor Regulamentului delegat (UE) 2020/1059</w:t>
            </w:r>
          </w:p>
          <w:p w14:paraId="4C6781F4"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5271620E"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În ceea ce privește transpunerea Regulamentului delegat (UE) 2020/1059, menționăm cu titlu general că proiectul național, </w:t>
            </w:r>
            <w:r w:rsidR="008510B7" w:rsidRPr="002455E7">
              <w:rPr>
                <w:rFonts w:ascii="Times New Roman" w:hAnsi="Times New Roman"/>
                <w:b/>
                <w:bCs/>
                <w:lang w:val="pt-BR"/>
              </w:rPr>
              <w:t>asigură transpunerea parțială a actului UE,</w:t>
            </w:r>
            <w:r w:rsidR="008510B7" w:rsidRPr="002455E7">
              <w:rPr>
                <w:rFonts w:ascii="Times New Roman" w:hAnsi="Times New Roman"/>
                <w:lang w:val="pt-BR"/>
              </w:rPr>
              <w:t xml:space="preserve"> în speță a art. 6, conform constatărilor de mai jos. </w:t>
            </w:r>
          </w:p>
          <w:p w14:paraId="3845D69D"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1D33630C" w14:textId="7C8FDF04"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Regulamentul aduce rectificări Regulamentului delegat (UE) nr. 392/2012, prin art. 6, înlocuind măsuri, formule și indicatori ai rețelelor energetice fiind transpuse prin modificările aduse Anexelor nr. 1 – 4 și Anexei nr. 6 la Regulamentul cu privire la etichetarea energetică a uscătoarelor de rufe de uz casnic cu tambur</w:t>
            </w:r>
          </w:p>
          <w:p w14:paraId="528F4C55"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4C4A9EB6" w14:textId="65B77EC3" w:rsidR="00AC4BCD" w:rsidRPr="002455E7" w:rsidRDefault="008510B7" w:rsidP="00AC4BCD">
            <w:pPr>
              <w:pStyle w:val="Listparagraf"/>
              <w:numPr>
                <w:ilvl w:val="0"/>
                <w:numId w:val="18"/>
              </w:numPr>
              <w:tabs>
                <w:tab w:val="left" w:pos="884"/>
                <w:tab w:val="left" w:pos="1196"/>
              </w:tabs>
              <w:spacing w:after="0" w:line="240" w:lineRule="auto"/>
              <w:jc w:val="both"/>
              <w:rPr>
                <w:i/>
                <w:iCs/>
                <w:lang w:val="pt-BR"/>
              </w:rPr>
            </w:pPr>
            <w:r w:rsidRPr="002455E7">
              <w:rPr>
                <w:i/>
                <w:iCs/>
                <w:lang w:val="pt-BR"/>
              </w:rPr>
              <w:t xml:space="preserve">Prevederi ale Regulamentului delegat (UE) 2020/1059 non-aplicabile </w:t>
            </w:r>
          </w:p>
          <w:p w14:paraId="230AA596" w14:textId="77777777" w:rsidR="00AC4BCD" w:rsidRPr="002455E7" w:rsidRDefault="00AC4BCD" w:rsidP="00AC4BCD">
            <w:pPr>
              <w:tabs>
                <w:tab w:val="left" w:pos="884"/>
                <w:tab w:val="left" w:pos="1196"/>
              </w:tabs>
              <w:spacing w:after="0" w:line="240" w:lineRule="auto"/>
              <w:jc w:val="both"/>
              <w:rPr>
                <w:rFonts w:ascii="Times New Roman" w:hAnsi="Times New Roman"/>
                <w:i/>
                <w:iCs/>
                <w:lang w:val="pt-BR"/>
              </w:rPr>
            </w:pPr>
          </w:p>
          <w:p w14:paraId="45B3D4F0"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Art. 8 din Regulament nu poate fi supus transpunerii, întrucât conține norme ce se referă la intrarea în vigoarea a acestuia. </w:t>
            </w:r>
          </w:p>
          <w:p w14:paraId="66D56492"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p>
          <w:p w14:paraId="58BC1255" w14:textId="1EFCE477" w:rsidR="00AC4BCD" w:rsidRPr="00205913" w:rsidRDefault="008510B7" w:rsidP="00AC4BCD">
            <w:pPr>
              <w:tabs>
                <w:tab w:val="left" w:pos="884"/>
                <w:tab w:val="left" w:pos="1196"/>
              </w:tabs>
              <w:spacing w:after="0" w:line="240" w:lineRule="auto"/>
              <w:jc w:val="both"/>
              <w:rPr>
                <w:rFonts w:ascii="Times New Roman" w:hAnsi="Times New Roman"/>
                <w:b/>
                <w:bCs/>
                <w:lang w:val="en-GB"/>
              </w:rPr>
            </w:pPr>
            <w:r w:rsidRPr="00205913">
              <w:rPr>
                <w:rFonts w:ascii="Times New Roman" w:hAnsi="Times New Roman"/>
                <w:b/>
                <w:bCs/>
                <w:lang w:val="en-GB"/>
              </w:rPr>
              <w:t xml:space="preserve">III. </w:t>
            </w:r>
            <w:proofErr w:type="spellStart"/>
            <w:r w:rsidRPr="00205913">
              <w:rPr>
                <w:rFonts w:ascii="Times New Roman" w:hAnsi="Times New Roman"/>
                <w:b/>
                <w:bCs/>
                <w:lang w:val="en-GB"/>
              </w:rPr>
              <w:t>Respectarea</w:t>
            </w:r>
            <w:proofErr w:type="spellEnd"/>
            <w:r w:rsidRPr="00205913">
              <w:rPr>
                <w:rFonts w:ascii="Times New Roman" w:hAnsi="Times New Roman"/>
                <w:b/>
                <w:bCs/>
                <w:lang w:val="en-GB"/>
              </w:rPr>
              <w:t xml:space="preserve"> </w:t>
            </w:r>
            <w:proofErr w:type="spellStart"/>
            <w:r w:rsidRPr="00205913">
              <w:rPr>
                <w:rFonts w:ascii="Times New Roman" w:hAnsi="Times New Roman"/>
                <w:b/>
                <w:bCs/>
                <w:lang w:val="en-GB"/>
              </w:rPr>
              <w:t>mecanismului</w:t>
            </w:r>
            <w:proofErr w:type="spellEnd"/>
            <w:r w:rsidRPr="00205913">
              <w:rPr>
                <w:rFonts w:ascii="Times New Roman" w:hAnsi="Times New Roman"/>
                <w:b/>
                <w:bCs/>
                <w:lang w:val="en-GB"/>
              </w:rPr>
              <w:t xml:space="preserve"> de </w:t>
            </w:r>
            <w:proofErr w:type="spellStart"/>
            <w:r w:rsidRPr="00205913">
              <w:rPr>
                <w:rFonts w:ascii="Times New Roman" w:hAnsi="Times New Roman"/>
                <w:b/>
                <w:bCs/>
                <w:lang w:val="en-GB"/>
              </w:rPr>
              <w:t>armonizare</w:t>
            </w:r>
            <w:proofErr w:type="spellEnd"/>
            <w:r w:rsidRPr="00205913">
              <w:rPr>
                <w:rFonts w:ascii="Times New Roman" w:hAnsi="Times New Roman"/>
                <w:b/>
                <w:bCs/>
                <w:lang w:val="en-GB"/>
              </w:rPr>
              <w:t xml:space="preserve"> </w:t>
            </w:r>
          </w:p>
          <w:p w14:paraId="348C0EEB" w14:textId="77777777" w:rsidR="00AC4BCD" w:rsidRPr="00205913" w:rsidRDefault="00AC4BCD" w:rsidP="00AC4BCD">
            <w:pPr>
              <w:tabs>
                <w:tab w:val="left" w:pos="884"/>
                <w:tab w:val="left" w:pos="1196"/>
              </w:tabs>
              <w:spacing w:after="0" w:line="240" w:lineRule="auto"/>
              <w:jc w:val="both"/>
              <w:rPr>
                <w:rFonts w:ascii="Times New Roman" w:hAnsi="Times New Roman"/>
                <w:lang w:val="en-GB"/>
              </w:rPr>
            </w:pPr>
          </w:p>
          <w:p w14:paraId="3CCDC8FE" w14:textId="3DA48FA4" w:rsidR="00AC4BCD" w:rsidRPr="00205913" w:rsidRDefault="008510B7" w:rsidP="00AC4BCD">
            <w:pPr>
              <w:pStyle w:val="Listparagraf"/>
              <w:numPr>
                <w:ilvl w:val="0"/>
                <w:numId w:val="19"/>
              </w:numPr>
              <w:tabs>
                <w:tab w:val="left" w:pos="884"/>
                <w:tab w:val="left" w:pos="1196"/>
              </w:tabs>
              <w:spacing w:after="0" w:line="240" w:lineRule="auto"/>
              <w:jc w:val="both"/>
              <w:rPr>
                <w:i/>
                <w:iCs/>
                <w:lang w:val="en-GB"/>
              </w:rPr>
            </w:pPr>
            <w:proofErr w:type="spellStart"/>
            <w:r w:rsidRPr="00205913">
              <w:rPr>
                <w:i/>
                <w:iCs/>
                <w:lang w:val="en-GB"/>
              </w:rPr>
              <w:t>Obiecții</w:t>
            </w:r>
            <w:proofErr w:type="spellEnd"/>
            <w:r w:rsidRPr="00205913">
              <w:rPr>
                <w:i/>
                <w:iCs/>
                <w:lang w:val="en-GB"/>
              </w:rPr>
              <w:t xml:space="preserve"> </w:t>
            </w:r>
            <w:proofErr w:type="spellStart"/>
            <w:r w:rsidRPr="00205913">
              <w:rPr>
                <w:i/>
                <w:iCs/>
                <w:lang w:val="en-GB"/>
              </w:rPr>
              <w:t>privind</w:t>
            </w:r>
            <w:proofErr w:type="spellEnd"/>
            <w:r w:rsidRPr="00205913">
              <w:rPr>
                <w:i/>
                <w:iCs/>
                <w:lang w:val="en-GB"/>
              </w:rPr>
              <w:t xml:space="preserve"> </w:t>
            </w:r>
            <w:proofErr w:type="spellStart"/>
            <w:r w:rsidRPr="00205913">
              <w:rPr>
                <w:i/>
                <w:iCs/>
                <w:lang w:val="en-GB"/>
              </w:rPr>
              <w:t>clauzele</w:t>
            </w:r>
            <w:proofErr w:type="spellEnd"/>
            <w:r w:rsidRPr="00205913">
              <w:rPr>
                <w:i/>
                <w:iCs/>
                <w:lang w:val="en-GB"/>
              </w:rPr>
              <w:t xml:space="preserve"> de </w:t>
            </w:r>
            <w:proofErr w:type="spellStart"/>
            <w:r w:rsidRPr="00205913">
              <w:rPr>
                <w:i/>
                <w:iCs/>
                <w:lang w:val="en-GB"/>
              </w:rPr>
              <w:t>armonizare</w:t>
            </w:r>
            <w:proofErr w:type="spellEnd"/>
          </w:p>
          <w:p w14:paraId="64C1DF98" w14:textId="77777777" w:rsidR="00AC4BCD" w:rsidRPr="00205913" w:rsidRDefault="00AC4BCD" w:rsidP="00AC4BCD">
            <w:pPr>
              <w:tabs>
                <w:tab w:val="left" w:pos="884"/>
                <w:tab w:val="left" w:pos="1196"/>
              </w:tabs>
              <w:spacing w:after="0" w:line="240" w:lineRule="auto"/>
              <w:jc w:val="both"/>
              <w:rPr>
                <w:rFonts w:ascii="Times New Roman" w:hAnsi="Times New Roman"/>
                <w:lang w:val="en-GB"/>
              </w:rPr>
            </w:pPr>
          </w:p>
          <w:p w14:paraId="614DAD0E" w14:textId="77777777" w:rsidR="00AC4BCD" w:rsidRPr="002455E7" w:rsidRDefault="00AC4BCD" w:rsidP="00AC4BCD">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Se va insera clauza de armonizare a proiectului de HG în următoarea redacție: </w:t>
            </w:r>
          </w:p>
          <w:p w14:paraId="7D6D64A8" w14:textId="77777777" w:rsidR="00AC4BCD" w:rsidRPr="00205913" w:rsidRDefault="008510B7" w:rsidP="00AC4BCD">
            <w:pPr>
              <w:tabs>
                <w:tab w:val="left" w:pos="884"/>
                <w:tab w:val="left" w:pos="1196"/>
              </w:tabs>
              <w:spacing w:after="0" w:line="240" w:lineRule="auto"/>
              <w:jc w:val="both"/>
              <w:rPr>
                <w:rFonts w:ascii="Times New Roman" w:hAnsi="Times New Roman"/>
                <w:lang w:val="en-GB"/>
              </w:rPr>
            </w:pPr>
            <w:r w:rsidRPr="00205913">
              <w:rPr>
                <w:rFonts w:ascii="Times New Roman" w:hAnsi="Times New Roman"/>
                <w:lang w:val="en-GB"/>
              </w:rPr>
              <w:t>„</w:t>
            </w:r>
            <w:proofErr w:type="spellStart"/>
            <w:r w:rsidRPr="00205913">
              <w:rPr>
                <w:rFonts w:ascii="Times New Roman" w:hAnsi="Times New Roman"/>
                <w:lang w:val="en-GB"/>
              </w:rPr>
              <w:t>Prezenta</w:t>
            </w:r>
            <w:proofErr w:type="spellEnd"/>
            <w:r w:rsidRPr="00205913">
              <w:rPr>
                <w:rFonts w:ascii="Times New Roman" w:hAnsi="Times New Roman"/>
                <w:lang w:val="en-GB"/>
              </w:rPr>
              <w:t xml:space="preserve"> </w:t>
            </w:r>
            <w:proofErr w:type="spellStart"/>
            <w:r w:rsidRPr="00205913">
              <w:rPr>
                <w:rFonts w:ascii="Times New Roman" w:hAnsi="Times New Roman"/>
                <w:lang w:val="en-GB"/>
              </w:rPr>
              <w:t>Hotărâre</w:t>
            </w:r>
            <w:proofErr w:type="spellEnd"/>
            <w:r w:rsidRPr="00205913">
              <w:rPr>
                <w:rFonts w:ascii="Times New Roman" w:hAnsi="Times New Roman"/>
                <w:lang w:val="en-GB"/>
              </w:rPr>
              <w:t xml:space="preserve">: </w:t>
            </w:r>
          </w:p>
          <w:p w14:paraId="7C87AA79" w14:textId="77777777" w:rsidR="00AC4BCD" w:rsidRPr="00205913" w:rsidRDefault="00AC4BCD" w:rsidP="00AC4BCD">
            <w:pPr>
              <w:tabs>
                <w:tab w:val="left" w:pos="884"/>
                <w:tab w:val="left" w:pos="1196"/>
              </w:tabs>
              <w:spacing w:after="0" w:line="240" w:lineRule="auto"/>
              <w:jc w:val="both"/>
              <w:rPr>
                <w:rFonts w:ascii="Times New Roman" w:hAnsi="Times New Roman"/>
                <w:lang w:val="en-GB"/>
              </w:rPr>
            </w:pPr>
          </w:p>
          <w:p w14:paraId="07B86683" w14:textId="77777777" w:rsidR="00AC4BCD" w:rsidRPr="002455E7" w:rsidRDefault="008510B7" w:rsidP="00AC4BCD">
            <w:pPr>
              <w:pStyle w:val="Listparagraf"/>
              <w:numPr>
                <w:ilvl w:val="0"/>
                <w:numId w:val="20"/>
              </w:numPr>
              <w:tabs>
                <w:tab w:val="left" w:pos="884"/>
                <w:tab w:val="left" w:pos="1196"/>
              </w:tabs>
              <w:spacing w:after="0" w:line="240" w:lineRule="auto"/>
              <w:jc w:val="both"/>
              <w:rPr>
                <w:b/>
                <w:bCs/>
                <w:lang w:val="pt-BR"/>
              </w:rPr>
            </w:pPr>
            <w:r w:rsidRPr="002455E7">
              <w:rPr>
                <w:b/>
                <w:bCs/>
                <w:lang w:val="pt-BR"/>
              </w:rPr>
              <w:t xml:space="preserve">transpune Regulamentul delegat (UE) 2015/1094 al Comisiei din 5 mai 2015 de completare a Directivei 2010/30/UE a Parlamentului European și a Consiliului în ceea ce privește etichetarea energetică a dulapurilor frigorifice de depozitare profesionale, publicat în Jurnalul Oficial al Uniunii Europene seria L 177 din 8 iulie 2015, CELEX 32015R1094, </w:t>
            </w:r>
            <w:r w:rsidRPr="002455E7">
              <w:rPr>
                <w:b/>
                <w:bCs/>
                <w:lang w:val="pt-BR"/>
              </w:rPr>
              <w:lastRenderedPageBreak/>
              <w:t>așa cum a fost modificat ultima dată prin Regulamentul delegat (UE) 2017/254 al Comisiei din 30 noiembrie 2016;</w:t>
            </w:r>
          </w:p>
          <w:p w14:paraId="7387F623" w14:textId="77777777" w:rsidR="00AC4BCD" w:rsidRPr="002455E7" w:rsidRDefault="008510B7" w:rsidP="00AC4BCD">
            <w:pPr>
              <w:pStyle w:val="Listparagraf"/>
              <w:numPr>
                <w:ilvl w:val="0"/>
                <w:numId w:val="20"/>
              </w:numPr>
              <w:tabs>
                <w:tab w:val="left" w:pos="884"/>
                <w:tab w:val="left" w:pos="1196"/>
              </w:tabs>
              <w:spacing w:after="0" w:line="240" w:lineRule="auto"/>
              <w:jc w:val="both"/>
              <w:rPr>
                <w:b/>
                <w:bCs/>
                <w:lang w:val="pt-BR"/>
              </w:rPr>
            </w:pPr>
            <w:r w:rsidRPr="002455E7">
              <w:rPr>
                <w:b/>
                <w:bCs/>
                <w:lang w:val="pt-BR"/>
              </w:rPr>
              <w:t xml:space="preserve"> transpune Regulamentul delegat (UE) 2015/1186 al Comisiei din 24 aprilie 2015 de completare a Directivei 2010/30/UE a Parlamentului European și a Consiliului în ceea ce privește etichetarea energetică a aparatelor pentru încălzire locală, publicat în Jurnalul Oficial al Uniunii Europene seria L 193 din 21 iulie 2015, CELEX 32015R1186, așa cum a fost modificat ultima dată prin Regulamentul delegat (UE) 2017/254 al Comisiei din 30 noiembrie 2016; </w:t>
            </w:r>
          </w:p>
          <w:p w14:paraId="5C8730D4" w14:textId="77777777" w:rsidR="00205913" w:rsidRPr="002455E7" w:rsidRDefault="008510B7" w:rsidP="00AC4BCD">
            <w:pPr>
              <w:pStyle w:val="Listparagraf"/>
              <w:numPr>
                <w:ilvl w:val="0"/>
                <w:numId w:val="20"/>
              </w:numPr>
              <w:tabs>
                <w:tab w:val="left" w:pos="884"/>
                <w:tab w:val="left" w:pos="1196"/>
              </w:tabs>
              <w:spacing w:after="0" w:line="240" w:lineRule="auto"/>
              <w:jc w:val="both"/>
              <w:rPr>
                <w:b/>
                <w:bCs/>
                <w:lang w:val="pt-BR"/>
              </w:rPr>
            </w:pPr>
            <w:r w:rsidRPr="002455E7">
              <w:rPr>
                <w:b/>
                <w:bCs/>
                <w:lang w:val="pt-BR"/>
              </w:rPr>
              <w:t>transpune Regulamentul delegat (UE) nr. 1254/2014 al Comisiei din 11 iulie 2014 de completare a Directivei 2010/30/UE a Parlamentului European și a Consiliului cu privire la cerințele de etichetare energetică aplicabile unităților de ventilație rezidențiale, publicat în Jurnalul Oficial al Uniunii Europene seria L 337 din 25 noiembrie 2014, CELEX 32014R1254, așa cum a fost modificat ultima dată prin Regulamentul delegat (UE) 2020/987 al Comisiei din 20 ianuarie 2020;</w:t>
            </w:r>
          </w:p>
          <w:p w14:paraId="5F96ABC7" w14:textId="77777777" w:rsidR="00205913" w:rsidRPr="002455E7" w:rsidRDefault="008510B7" w:rsidP="00AC4BCD">
            <w:pPr>
              <w:pStyle w:val="Listparagraf"/>
              <w:numPr>
                <w:ilvl w:val="0"/>
                <w:numId w:val="20"/>
              </w:numPr>
              <w:tabs>
                <w:tab w:val="left" w:pos="884"/>
                <w:tab w:val="left" w:pos="1196"/>
              </w:tabs>
              <w:spacing w:after="0" w:line="240" w:lineRule="auto"/>
              <w:jc w:val="both"/>
              <w:rPr>
                <w:b/>
                <w:bCs/>
                <w:lang w:val="pt-BR"/>
              </w:rPr>
            </w:pPr>
            <w:r w:rsidRPr="002455E7">
              <w:rPr>
                <w:b/>
                <w:bCs/>
                <w:lang w:val="pt-BR"/>
              </w:rPr>
              <w:t xml:space="preserve"> transpune Regulamentul delegat (UE) 2015/1187 al Comisiei din 27 aprilie 2015 de completare a Directivei 2010/30/UE a Parlamentului European și a Consiliului în ceea ce privește etichetarea energetică a cazanelor cu combustibil solid și a pachetelor de cazan cu combustibil solid, instalații de încălzire suplimentare, regulatoare de temperatură și dispozitive solare, publicat în Jurnalul Oficial al Uniunii Europene seria L 193 din 21 iulie 2015, CELEX 32015R1187, așa cum a fost modificat ultima dată prin Regulamentul delegat (UE) 2017/254 al Comisiei din 30 noiembrie 2016; </w:t>
            </w:r>
          </w:p>
          <w:p w14:paraId="17ECB806" w14:textId="77777777" w:rsidR="00205913" w:rsidRPr="002455E7" w:rsidRDefault="008510B7" w:rsidP="00AC4BCD">
            <w:pPr>
              <w:pStyle w:val="Listparagraf"/>
              <w:numPr>
                <w:ilvl w:val="0"/>
                <w:numId w:val="20"/>
              </w:numPr>
              <w:tabs>
                <w:tab w:val="left" w:pos="884"/>
                <w:tab w:val="left" w:pos="1196"/>
              </w:tabs>
              <w:spacing w:after="0" w:line="240" w:lineRule="auto"/>
              <w:jc w:val="both"/>
              <w:rPr>
                <w:b/>
                <w:bCs/>
                <w:lang w:val="pt-BR"/>
              </w:rPr>
            </w:pPr>
            <w:r w:rsidRPr="002455E7">
              <w:rPr>
                <w:b/>
                <w:bCs/>
                <w:lang w:val="pt-BR"/>
              </w:rPr>
              <w:t xml:space="preserve">transpune Regulamentul delegat (UE) 2023/1669 al Comisiei din 16 iunie 2023 de completare a Regulamentului (UE) 2017/1369 al Parlamentului European și al Consiliului în ceea ce privește etichetarea energetică a telefoanelor inteligente și a tabletelor de tip „slate”, publicat în Jurnalul Oficial al </w:t>
            </w:r>
            <w:r w:rsidRPr="002455E7">
              <w:rPr>
                <w:b/>
                <w:bCs/>
                <w:lang w:val="pt-BR"/>
              </w:rPr>
              <w:lastRenderedPageBreak/>
              <w:t xml:space="preserve">Uniunii Europene seria L 214 din 31 august 2023, CELEX 32023R1669; </w:t>
            </w:r>
          </w:p>
          <w:p w14:paraId="0330AF0E" w14:textId="77777777" w:rsidR="00205913" w:rsidRPr="002455E7" w:rsidRDefault="008510B7" w:rsidP="00AC4BCD">
            <w:pPr>
              <w:pStyle w:val="Listparagraf"/>
              <w:numPr>
                <w:ilvl w:val="0"/>
                <w:numId w:val="20"/>
              </w:numPr>
              <w:tabs>
                <w:tab w:val="left" w:pos="884"/>
                <w:tab w:val="left" w:pos="1196"/>
              </w:tabs>
              <w:spacing w:after="0" w:line="240" w:lineRule="auto"/>
              <w:jc w:val="both"/>
              <w:rPr>
                <w:b/>
                <w:bCs/>
                <w:lang w:val="pt-BR"/>
              </w:rPr>
            </w:pPr>
            <w:r w:rsidRPr="002455E7">
              <w:rPr>
                <w:b/>
                <w:bCs/>
                <w:lang w:val="pt-BR"/>
              </w:rPr>
              <w:t>transpune parțial (transpune Anexa V, Anexa VI, Anexa IX, Anexa X, Anexa XI) Regulamentul delegat (UE) 2017/254 al Comisiei din 30 noiembrie 2016 de modificare a Regulamentelor delegate (UE) nr. 1059/2010, (UE) nr. 1060/2010, (UE) nr. 1061/2010, (UE) nr. 1062/2010, (UE) nr. 626/2011, (UE) nr. 392/2012, (UE) nr. 874/2012, (UE) nr. 665/2013, (UE) nr. 811/2013, (UE) nr. 812/2013, (UE) nr. 65/2014, (UE) nr. 1254/2014, (UE) 2015/1094, (UE) 2015/1186 și (UE) 2015/1187 cu privire la utilizarea toleranțelor în procedurile de verificare, CELEX 32017R0254;</w:t>
            </w:r>
          </w:p>
          <w:p w14:paraId="594BA750" w14:textId="77777777" w:rsidR="00205913" w:rsidRPr="002455E7" w:rsidRDefault="008510B7" w:rsidP="00AC4BCD">
            <w:pPr>
              <w:pStyle w:val="Listparagraf"/>
              <w:numPr>
                <w:ilvl w:val="0"/>
                <w:numId w:val="20"/>
              </w:numPr>
              <w:tabs>
                <w:tab w:val="left" w:pos="884"/>
                <w:tab w:val="left" w:pos="1196"/>
              </w:tabs>
              <w:spacing w:after="0" w:line="240" w:lineRule="auto"/>
              <w:jc w:val="both"/>
              <w:rPr>
                <w:b/>
                <w:bCs/>
                <w:lang w:val="pt-BR"/>
              </w:rPr>
            </w:pPr>
            <w:r w:rsidRPr="002455E7">
              <w:rPr>
                <w:b/>
                <w:bCs/>
                <w:lang w:val="pt-BR"/>
              </w:rPr>
              <w:t xml:space="preserve">transpune parțial (transpune Anexa 1) Regulamentul delegat (UE) 2023/2048 al Comisiei din 4 iulie 2023 de rectificare a Regulamentelor delegate (UE) nr. 626/2011, (UE) 2019/2015, (UE) 2019/2016 și (UE) 2019/2018 în ceea ce privește cerințele de etichetare energetică pentru aparatele de climatizare, sursele de lumină, aparatele frigorifice și aparatele frigorifice cu funcție de vânzare directă, CELEX 32023R2048; </w:t>
            </w:r>
          </w:p>
          <w:p w14:paraId="3FD3AE51" w14:textId="4F5A6118" w:rsidR="00205913" w:rsidRPr="002455E7" w:rsidRDefault="008510B7" w:rsidP="00AC4BCD">
            <w:pPr>
              <w:pStyle w:val="Listparagraf"/>
              <w:numPr>
                <w:ilvl w:val="0"/>
                <w:numId w:val="20"/>
              </w:numPr>
              <w:tabs>
                <w:tab w:val="left" w:pos="884"/>
                <w:tab w:val="left" w:pos="1196"/>
              </w:tabs>
              <w:spacing w:after="0" w:line="240" w:lineRule="auto"/>
              <w:jc w:val="both"/>
              <w:rPr>
                <w:b/>
                <w:bCs/>
                <w:lang w:val="pt-BR"/>
              </w:rPr>
            </w:pPr>
            <w:r w:rsidRPr="002455E7">
              <w:rPr>
                <w:b/>
                <w:bCs/>
                <w:lang w:val="pt-BR"/>
              </w:rPr>
              <w:t>transpune parțial (transpune art. 6) Regulamentul delegat (UE) 2020/1059 al Comisiei din 27 aprilie 2020 de rectificare a anumitor versiuni lingvistice ale Regulamentelor delegate (UE) nr. 1059/2010, (UE) nr. 1060/2010, (UE) nr. 1061/2010, (UE) nr. 1062/2010, (UE) nr. 626/2011, (UE) nr. 392/2012 și (UE) nr. 874/2012 în ceea ce privește etichetarea anumitor produse cu impact energetic, CELEX 32020R1059. ”</w:t>
            </w:r>
          </w:p>
          <w:p w14:paraId="301BCC92" w14:textId="77777777" w:rsidR="00205913" w:rsidRPr="002455E7" w:rsidRDefault="00205913" w:rsidP="00205913">
            <w:pPr>
              <w:tabs>
                <w:tab w:val="left" w:pos="884"/>
                <w:tab w:val="left" w:pos="1196"/>
              </w:tabs>
              <w:spacing w:after="0" w:line="240" w:lineRule="auto"/>
              <w:ind w:left="360"/>
              <w:jc w:val="both"/>
              <w:rPr>
                <w:rFonts w:ascii="Times New Roman" w:hAnsi="Times New Roman"/>
                <w:b/>
                <w:bCs/>
                <w:lang w:val="pt-BR"/>
              </w:rPr>
            </w:pPr>
          </w:p>
          <w:p w14:paraId="16724997" w14:textId="397DE3BF" w:rsidR="00205913" w:rsidRPr="00205913" w:rsidRDefault="008510B7" w:rsidP="00205913">
            <w:pPr>
              <w:pStyle w:val="Listparagraf"/>
              <w:numPr>
                <w:ilvl w:val="0"/>
                <w:numId w:val="19"/>
              </w:numPr>
              <w:tabs>
                <w:tab w:val="left" w:pos="884"/>
                <w:tab w:val="left" w:pos="1196"/>
              </w:tabs>
              <w:spacing w:after="0" w:line="240" w:lineRule="auto"/>
              <w:jc w:val="both"/>
              <w:rPr>
                <w:i/>
                <w:iCs/>
                <w:lang w:val="en-GB"/>
              </w:rPr>
            </w:pPr>
            <w:proofErr w:type="spellStart"/>
            <w:r w:rsidRPr="00205913">
              <w:rPr>
                <w:i/>
                <w:iCs/>
                <w:lang w:val="en-GB"/>
              </w:rPr>
              <w:t>Obiecții</w:t>
            </w:r>
            <w:proofErr w:type="spellEnd"/>
            <w:r w:rsidRPr="00205913">
              <w:rPr>
                <w:i/>
                <w:iCs/>
                <w:lang w:val="en-GB"/>
              </w:rPr>
              <w:t xml:space="preserve"> </w:t>
            </w:r>
            <w:proofErr w:type="spellStart"/>
            <w:r w:rsidRPr="00205913">
              <w:rPr>
                <w:i/>
                <w:iCs/>
                <w:lang w:val="en-GB"/>
              </w:rPr>
              <w:t>privind</w:t>
            </w:r>
            <w:proofErr w:type="spellEnd"/>
            <w:r w:rsidRPr="00205913">
              <w:rPr>
                <w:i/>
                <w:iCs/>
                <w:lang w:val="en-GB"/>
              </w:rPr>
              <w:t xml:space="preserve"> </w:t>
            </w:r>
            <w:proofErr w:type="spellStart"/>
            <w:r w:rsidRPr="00205913">
              <w:rPr>
                <w:i/>
                <w:iCs/>
                <w:lang w:val="en-GB"/>
              </w:rPr>
              <w:t>Tabelele</w:t>
            </w:r>
            <w:proofErr w:type="spellEnd"/>
            <w:r w:rsidRPr="00205913">
              <w:rPr>
                <w:i/>
                <w:iCs/>
                <w:lang w:val="en-GB"/>
              </w:rPr>
              <w:t xml:space="preserve"> de </w:t>
            </w:r>
            <w:proofErr w:type="spellStart"/>
            <w:r w:rsidRPr="00205913">
              <w:rPr>
                <w:i/>
                <w:iCs/>
                <w:lang w:val="en-GB"/>
              </w:rPr>
              <w:t>concordanță</w:t>
            </w:r>
            <w:proofErr w:type="spellEnd"/>
          </w:p>
          <w:p w14:paraId="2F5344B7" w14:textId="77777777" w:rsidR="00205913" w:rsidRPr="00205913" w:rsidRDefault="00205913" w:rsidP="00205913">
            <w:pPr>
              <w:tabs>
                <w:tab w:val="left" w:pos="884"/>
                <w:tab w:val="left" w:pos="1196"/>
              </w:tabs>
              <w:spacing w:after="0" w:line="240" w:lineRule="auto"/>
              <w:jc w:val="both"/>
              <w:rPr>
                <w:rFonts w:ascii="Times New Roman" w:hAnsi="Times New Roman"/>
                <w:i/>
                <w:iCs/>
                <w:lang w:val="en-GB"/>
              </w:rPr>
            </w:pPr>
          </w:p>
          <w:p w14:paraId="25816230" w14:textId="77777777" w:rsidR="00205913" w:rsidRPr="002455E7" w:rsidRDefault="00205913" w:rsidP="0020591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În măsura în care proiectul HG transpune mai multe elemente structurale ale Regulamentului delegat (UE) 2017/254 al Comisiei din 30 noiembrie 2016 – Anexa V, Anexa VI, Anexa IX, Anexa X, Anexa XI, se impune elaborarea unui Tabel de concordanță unic, consolidat cu textul integral al actului UE și reflectarea transpunerii acestora în diferite puncte ale proiectului național, ori la moment, sunt 5 Tabele de </w:t>
            </w:r>
            <w:r w:rsidR="008510B7" w:rsidRPr="002455E7">
              <w:rPr>
                <w:rFonts w:ascii="Times New Roman" w:hAnsi="Times New Roman"/>
                <w:lang w:val="pt-BR"/>
              </w:rPr>
              <w:lastRenderedPageBreak/>
              <w:t>concordanță întocmite separat pentru fiecare Anexă transpusă din Regulamentul 2017/254.</w:t>
            </w:r>
          </w:p>
          <w:p w14:paraId="7CDB1589" w14:textId="77777777" w:rsidR="00205913" w:rsidRPr="002455E7" w:rsidRDefault="00205913" w:rsidP="00205913">
            <w:pPr>
              <w:tabs>
                <w:tab w:val="left" w:pos="884"/>
                <w:tab w:val="left" w:pos="1196"/>
              </w:tabs>
              <w:spacing w:after="0" w:line="240" w:lineRule="auto"/>
              <w:jc w:val="both"/>
              <w:rPr>
                <w:rFonts w:ascii="Times New Roman" w:hAnsi="Times New Roman"/>
                <w:lang w:val="pt-BR"/>
              </w:rPr>
            </w:pPr>
          </w:p>
          <w:p w14:paraId="3F700444" w14:textId="77777777" w:rsidR="00205913" w:rsidRPr="002455E7" w:rsidRDefault="00205913" w:rsidP="0020591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 De asemenea, calificativele de compatibilitate indicate pentru unele articole vor modificate, ținându-se cont de pct. 42 din HG 1171/2018. Așadar, în compartimentul 6 al Tabelului de concordanță, acolo unde s-a utilizat calificativul „Nu este aplicabil” se va înlocui cu calificativul „Prevederi UE neaplicabile”. </w:t>
            </w:r>
          </w:p>
          <w:p w14:paraId="5C5C26BC" w14:textId="77777777" w:rsidR="00205913" w:rsidRPr="002455E7" w:rsidRDefault="00205913" w:rsidP="00205913">
            <w:pPr>
              <w:tabs>
                <w:tab w:val="left" w:pos="884"/>
                <w:tab w:val="left" w:pos="1196"/>
              </w:tabs>
              <w:spacing w:after="0" w:line="240" w:lineRule="auto"/>
              <w:jc w:val="both"/>
              <w:rPr>
                <w:rFonts w:ascii="Times New Roman" w:hAnsi="Times New Roman"/>
                <w:lang w:val="pt-BR"/>
              </w:rPr>
            </w:pPr>
          </w:p>
          <w:p w14:paraId="7B9D2795" w14:textId="77777777" w:rsidR="00205913" w:rsidRPr="002455E7" w:rsidRDefault="00205913" w:rsidP="0020591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De asemenea, recomandăm revizuirea compartimentului 4 din TC și includerea corespunzătoare a numerotării Capitolelor, articolelor și Anexelor din Actul UE. </w:t>
            </w:r>
          </w:p>
          <w:p w14:paraId="620BB7D5" w14:textId="77777777" w:rsidR="00205913" w:rsidRPr="002455E7" w:rsidRDefault="00205913" w:rsidP="00205913">
            <w:pPr>
              <w:tabs>
                <w:tab w:val="left" w:pos="884"/>
                <w:tab w:val="left" w:pos="1196"/>
              </w:tabs>
              <w:spacing w:after="0" w:line="240" w:lineRule="auto"/>
              <w:jc w:val="both"/>
              <w:rPr>
                <w:rFonts w:ascii="Times New Roman" w:hAnsi="Times New Roman"/>
                <w:lang w:val="pt-BR"/>
              </w:rPr>
            </w:pPr>
          </w:p>
          <w:p w14:paraId="4BC4806B" w14:textId="77777777" w:rsidR="00205913" w:rsidRPr="002455E7" w:rsidRDefault="008510B7" w:rsidP="00205913">
            <w:pPr>
              <w:tabs>
                <w:tab w:val="left" w:pos="884"/>
                <w:tab w:val="left" w:pos="1196"/>
              </w:tabs>
              <w:spacing w:after="0" w:line="240" w:lineRule="auto"/>
              <w:jc w:val="both"/>
              <w:rPr>
                <w:rFonts w:ascii="Times New Roman" w:hAnsi="Times New Roman"/>
                <w:b/>
                <w:bCs/>
                <w:lang w:val="pt-BR"/>
              </w:rPr>
            </w:pPr>
            <w:r w:rsidRPr="002455E7">
              <w:rPr>
                <w:rFonts w:ascii="Times New Roman" w:hAnsi="Times New Roman"/>
                <w:b/>
                <w:bCs/>
                <w:lang w:val="pt-BR"/>
              </w:rPr>
              <w:t>V. Concluzii</w:t>
            </w:r>
            <w:r w:rsidRPr="002455E7">
              <w:rPr>
                <w:rFonts w:ascii="Times New Roman" w:hAnsi="Times New Roman"/>
                <w:lang w:val="pt-BR"/>
              </w:rPr>
              <w:t xml:space="preserve"> </w:t>
            </w:r>
          </w:p>
          <w:p w14:paraId="4E456E6D" w14:textId="77777777" w:rsidR="00205913" w:rsidRPr="002455E7" w:rsidRDefault="00205913" w:rsidP="00205913">
            <w:pPr>
              <w:tabs>
                <w:tab w:val="left" w:pos="884"/>
                <w:tab w:val="left" w:pos="1196"/>
              </w:tabs>
              <w:spacing w:after="0" w:line="240" w:lineRule="auto"/>
              <w:jc w:val="both"/>
              <w:rPr>
                <w:lang w:val="pt-BR"/>
              </w:rPr>
            </w:pPr>
          </w:p>
          <w:p w14:paraId="4C3E46F6" w14:textId="77777777" w:rsidR="00205913" w:rsidRPr="002455E7" w:rsidRDefault="00205913" w:rsidP="0020591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008510B7" w:rsidRPr="002455E7">
              <w:rPr>
                <w:rFonts w:ascii="Times New Roman" w:hAnsi="Times New Roman"/>
                <w:lang w:val="pt-BR"/>
              </w:rPr>
              <w:t xml:space="preserve">Ca urmare a expertizei de compatibilitate realizate, se va asigura revizuirea instrumentelor de armonizare prin prisma obiecțiilor enunțate în prezenta Declarație de compatibilitate. </w:t>
            </w:r>
          </w:p>
          <w:p w14:paraId="6F6DE214" w14:textId="77777777" w:rsidR="00205913" w:rsidRPr="002455E7" w:rsidRDefault="00205913" w:rsidP="00205913">
            <w:pPr>
              <w:tabs>
                <w:tab w:val="left" w:pos="884"/>
                <w:tab w:val="left" w:pos="1196"/>
              </w:tabs>
              <w:spacing w:after="0" w:line="240" w:lineRule="auto"/>
              <w:jc w:val="both"/>
              <w:rPr>
                <w:rFonts w:ascii="Times New Roman" w:hAnsi="Times New Roman"/>
                <w:lang w:val="pt-BR"/>
              </w:rPr>
            </w:pPr>
          </w:p>
          <w:p w14:paraId="6929EF76" w14:textId="50268BBF" w:rsidR="005544F3" w:rsidRPr="002455E7" w:rsidRDefault="00205913" w:rsidP="005544F3">
            <w:pPr>
              <w:tabs>
                <w:tab w:val="left" w:pos="884"/>
                <w:tab w:val="left" w:pos="1196"/>
              </w:tabs>
              <w:spacing w:after="0" w:line="240" w:lineRule="auto"/>
              <w:jc w:val="both"/>
              <w:rPr>
                <w:rFonts w:ascii="Times New Roman" w:hAnsi="Times New Roman"/>
                <w:i/>
                <w:iCs/>
                <w:lang w:val="pt-BR"/>
              </w:rPr>
            </w:pPr>
            <w:r w:rsidRPr="002455E7">
              <w:rPr>
                <w:rFonts w:ascii="Times New Roman" w:hAnsi="Times New Roman"/>
                <w:lang w:val="pt-BR"/>
              </w:rPr>
              <w:t xml:space="preserve">        </w:t>
            </w:r>
            <w:r w:rsidR="008510B7" w:rsidRPr="002455E7">
              <w:rPr>
                <w:rFonts w:ascii="Times New Roman" w:hAnsi="Times New Roman"/>
                <w:i/>
                <w:iCs/>
                <w:lang w:val="pt-BR"/>
              </w:rPr>
              <w:t>Facem mențiunea că analiza Centrului de armonizare a legislației nu are în vedere elementele de oportunitate ale soluțiilor juridice incluse în proiectul de act normativ, ci se referă strict la conformitatea acestora cu Dreptul UE aplicabil și obligațiile juridice asumate în lumina Acordului de Asociere RM – UE.</w:t>
            </w:r>
          </w:p>
        </w:tc>
        <w:tc>
          <w:tcPr>
            <w:tcW w:w="4581" w:type="dxa"/>
          </w:tcPr>
          <w:p w14:paraId="24740F18" w14:textId="77777777" w:rsidR="0042753C" w:rsidRDefault="0042753C" w:rsidP="0042753C">
            <w:pPr>
              <w:jc w:val="both"/>
              <w:rPr>
                <w:rFonts w:ascii="Times New Roman" w:hAnsi="Times New Roman"/>
                <w:b/>
                <w:bCs/>
                <w:sz w:val="24"/>
                <w:szCs w:val="24"/>
                <w:lang w:val="ro-RO"/>
              </w:rPr>
            </w:pPr>
          </w:p>
          <w:p w14:paraId="5F461B9D" w14:textId="77777777" w:rsidR="00702258" w:rsidRDefault="00702258" w:rsidP="0042753C">
            <w:pPr>
              <w:jc w:val="both"/>
              <w:rPr>
                <w:rFonts w:ascii="Times New Roman" w:hAnsi="Times New Roman"/>
                <w:b/>
                <w:bCs/>
                <w:sz w:val="24"/>
                <w:szCs w:val="24"/>
                <w:lang w:val="ro-RO"/>
              </w:rPr>
            </w:pPr>
          </w:p>
          <w:p w14:paraId="134ECE29" w14:textId="77777777" w:rsidR="00702258" w:rsidRDefault="00702258" w:rsidP="0042753C">
            <w:pPr>
              <w:jc w:val="both"/>
              <w:rPr>
                <w:rFonts w:ascii="Times New Roman" w:hAnsi="Times New Roman"/>
                <w:b/>
                <w:bCs/>
                <w:sz w:val="24"/>
                <w:szCs w:val="24"/>
                <w:lang w:val="ro-RO"/>
              </w:rPr>
            </w:pPr>
          </w:p>
          <w:p w14:paraId="487A4758" w14:textId="77777777" w:rsidR="00702258" w:rsidRDefault="00702258" w:rsidP="0042753C">
            <w:pPr>
              <w:jc w:val="both"/>
              <w:rPr>
                <w:rFonts w:ascii="Times New Roman" w:hAnsi="Times New Roman"/>
                <w:b/>
                <w:bCs/>
                <w:sz w:val="24"/>
                <w:szCs w:val="24"/>
                <w:lang w:val="ro-RO"/>
              </w:rPr>
            </w:pPr>
          </w:p>
          <w:p w14:paraId="7894B8AB" w14:textId="77777777" w:rsidR="00702258" w:rsidRDefault="00702258" w:rsidP="0042753C">
            <w:pPr>
              <w:jc w:val="both"/>
              <w:rPr>
                <w:rFonts w:ascii="Times New Roman" w:hAnsi="Times New Roman"/>
                <w:b/>
                <w:bCs/>
                <w:sz w:val="24"/>
                <w:szCs w:val="24"/>
                <w:lang w:val="ro-RO"/>
              </w:rPr>
            </w:pPr>
          </w:p>
          <w:p w14:paraId="756C6F3D" w14:textId="77777777" w:rsidR="00702258" w:rsidRDefault="00702258" w:rsidP="0042753C">
            <w:pPr>
              <w:jc w:val="both"/>
              <w:rPr>
                <w:rFonts w:ascii="Times New Roman" w:hAnsi="Times New Roman"/>
                <w:b/>
                <w:bCs/>
                <w:sz w:val="24"/>
                <w:szCs w:val="24"/>
                <w:lang w:val="ro-RO"/>
              </w:rPr>
            </w:pPr>
          </w:p>
          <w:p w14:paraId="495821C7" w14:textId="77777777" w:rsidR="00702258" w:rsidRDefault="00702258" w:rsidP="0042753C">
            <w:pPr>
              <w:jc w:val="both"/>
              <w:rPr>
                <w:rFonts w:ascii="Times New Roman" w:hAnsi="Times New Roman"/>
                <w:b/>
                <w:bCs/>
                <w:sz w:val="24"/>
                <w:szCs w:val="24"/>
                <w:lang w:val="ro-RO"/>
              </w:rPr>
            </w:pPr>
          </w:p>
          <w:p w14:paraId="154767EA" w14:textId="77777777" w:rsidR="00702258" w:rsidRDefault="00702258" w:rsidP="0042753C">
            <w:pPr>
              <w:jc w:val="both"/>
              <w:rPr>
                <w:rFonts w:ascii="Times New Roman" w:hAnsi="Times New Roman"/>
                <w:b/>
                <w:bCs/>
                <w:sz w:val="24"/>
                <w:szCs w:val="24"/>
                <w:lang w:val="ro-RO"/>
              </w:rPr>
            </w:pPr>
          </w:p>
          <w:p w14:paraId="5822546A" w14:textId="77777777" w:rsidR="00702258" w:rsidRDefault="00702258" w:rsidP="0042753C">
            <w:pPr>
              <w:jc w:val="both"/>
              <w:rPr>
                <w:rFonts w:ascii="Times New Roman" w:hAnsi="Times New Roman"/>
                <w:b/>
                <w:bCs/>
                <w:sz w:val="24"/>
                <w:szCs w:val="24"/>
                <w:lang w:val="ro-RO"/>
              </w:rPr>
            </w:pPr>
          </w:p>
          <w:p w14:paraId="72C8C134" w14:textId="77777777" w:rsidR="00702258" w:rsidRDefault="00702258" w:rsidP="0042753C">
            <w:pPr>
              <w:jc w:val="both"/>
              <w:rPr>
                <w:rFonts w:ascii="Times New Roman" w:hAnsi="Times New Roman"/>
                <w:b/>
                <w:bCs/>
                <w:sz w:val="24"/>
                <w:szCs w:val="24"/>
                <w:lang w:val="ro-RO"/>
              </w:rPr>
            </w:pPr>
          </w:p>
          <w:p w14:paraId="5B7E023E" w14:textId="77777777" w:rsidR="00702258" w:rsidRDefault="00702258" w:rsidP="0042753C">
            <w:pPr>
              <w:jc w:val="both"/>
              <w:rPr>
                <w:rFonts w:ascii="Times New Roman" w:hAnsi="Times New Roman"/>
                <w:b/>
                <w:bCs/>
                <w:sz w:val="24"/>
                <w:szCs w:val="24"/>
                <w:lang w:val="ro-RO"/>
              </w:rPr>
            </w:pPr>
          </w:p>
          <w:p w14:paraId="187CB53A" w14:textId="77777777" w:rsidR="00702258" w:rsidRDefault="00702258" w:rsidP="0042753C">
            <w:pPr>
              <w:jc w:val="both"/>
              <w:rPr>
                <w:rFonts w:ascii="Times New Roman" w:hAnsi="Times New Roman"/>
                <w:b/>
                <w:bCs/>
                <w:sz w:val="24"/>
                <w:szCs w:val="24"/>
                <w:lang w:val="ro-RO"/>
              </w:rPr>
            </w:pPr>
          </w:p>
          <w:p w14:paraId="74616801" w14:textId="77777777" w:rsidR="00702258" w:rsidRDefault="00702258" w:rsidP="0042753C">
            <w:pPr>
              <w:jc w:val="both"/>
              <w:rPr>
                <w:rFonts w:ascii="Times New Roman" w:hAnsi="Times New Roman"/>
                <w:b/>
                <w:bCs/>
                <w:sz w:val="24"/>
                <w:szCs w:val="24"/>
                <w:lang w:val="ro-RO"/>
              </w:rPr>
            </w:pPr>
          </w:p>
          <w:p w14:paraId="43070DFD" w14:textId="77777777" w:rsidR="00702258" w:rsidRDefault="00702258" w:rsidP="0042753C">
            <w:pPr>
              <w:jc w:val="both"/>
              <w:rPr>
                <w:rFonts w:ascii="Times New Roman" w:hAnsi="Times New Roman"/>
                <w:b/>
                <w:bCs/>
                <w:sz w:val="24"/>
                <w:szCs w:val="24"/>
                <w:lang w:val="ro-RO"/>
              </w:rPr>
            </w:pPr>
          </w:p>
          <w:p w14:paraId="0DC2C285" w14:textId="77777777" w:rsidR="00702258" w:rsidRDefault="00702258" w:rsidP="0042753C">
            <w:pPr>
              <w:jc w:val="both"/>
              <w:rPr>
                <w:rFonts w:ascii="Times New Roman" w:hAnsi="Times New Roman"/>
                <w:b/>
                <w:bCs/>
                <w:sz w:val="24"/>
                <w:szCs w:val="24"/>
                <w:lang w:val="ro-RO"/>
              </w:rPr>
            </w:pPr>
          </w:p>
          <w:p w14:paraId="246BE846" w14:textId="77777777" w:rsidR="00702258" w:rsidRDefault="00702258" w:rsidP="0042753C">
            <w:pPr>
              <w:jc w:val="both"/>
              <w:rPr>
                <w:rFonts w:ascii="Times New Roman" w:hAnsi="Times New Roman"/>
                <w:b/>
                <w:bCs/>
                <w:sz w:val="24"/>
                <w:szCs w:val="24"/>
                <w:lang w:val="ro-RO"/>
              </w:rPr>
            </w:pPr>
          </w:p>
          <w:p w14:paraId="40E0C551" w14:textId="77777777" w:rsidR="00702258" w:rsidRDefault="00702258" w:rsidP="0042753C">
            <w:pPr>
              <w:jc w:val="both"/>
              <w:rPr>
                <w:rFonts w:ascii="Times New Roman" w:hAnsi="Times New Roman"/>
                <w:b/>
                <w:bCs/>
                <w:sz w:val="24"/>
                <w:szCs w:val="24"/>
                <w:lang w:val="ro-RO"/>
              </w:rPr>
            </w:pPr>
          </w:p>
          <w:p w14:paraId="05C9F6B3" w14:textId="77777777" w:rsidR="00702258" w:rsidRDefault="00702258" w:rsidP="0042753C">
            <w:pPr>
              <w:jc w:val="both"/>
              <w:rPr>
                <w:rFonts w:ascii="Times New Roman" w:hAnsi="Times New Roman"/>
                <w:b/>
                <w:bCs/>
                <w:sz w:val="24"/>
                <w:szCs w:val="24"/>
                <w:lang w:val="ro-RO"/>
              </w:rPr>
            </w:pPr>
          </w:p>
          <w:p w14:paraId="04373591" w14:textId="77777777" w:rsidR="00702258" w:rsidRDefault="00702258" w:rsidP="0042753C">
            <w:pPr>
              <w:jc w:val="both"/>
              <w:rPr>
                <w:rFonts w:ascii="Times New Roman" w:hAnsi="Times New Roman"/>
                <w:b/>
                <w:bCs/>
                <w:sz w:val="24"/>
                <w:szCs w:val="24"/>
                <w:lang w:val="ro-RO"/>
              </w:rPr>
            </w:pPr>
          </w:p>
          <w:p w14:paraId="31E8FFBE" w14:textId="77777777" w:rsidR="00702258" w:rsidRDefault="00702258" w:rsidP="0042753C">
            <w:pPr>
              <w:jc w:val="both"/>
              <w:rPr>
                <w:rFonts w:ascii="Times New Roman" w:hAnsi="Times New Roman"/>
                <w:b/>
                <w:bCs/>
                <w:sz w:val="24"/>
                <w:szCs w:val="24"/>
                <w:lang w:val="ro-RO"/>
              </w:rPr>
            </w:pPr>
          </w:p>
          <w:p w14:paraId="0F849CFD" w14:textId="77777777" w:rsidR="00702258" w:rsidRDefault="00702258" w:rsidP="0042753C">
            <w:pPr>
              <w:jc w:val="both"/>
              <w:rPr>
                <w:rFonts w:ascii="Times New Roman" w:hAnsi="Times New Roman"/>
                <w:b/>
                <w:bCs/>
                <w:sz w:val="24"/>
                <w:szCs w:val="24"/>
                <w:lang w:val="ro-RO"/>
              </w:rPr>
            </w:pPr>
          </w:p>
          <w:p w14:paraId="79F78E0E" w14:textId="77777777" w:rsidR="00702258" w:rsidRDefault="00702258" w:rsidP="0042753C">
            <w:pPr>
              <w:jc w:val="both"/>
              <w:rPr>
                <w:rFonts w:ascii="Times New Roman" w:hAnsi="Times New Roman"/>
                <w:b/>
                <w:bCs/>
                <w:sz w:val="24"/>
                <w:szCs w:val="24"/>
                <w:lang w:val="ro-RO"/>
              </w:rPr>
            </w:pPr>
          </w:p>
          <w:p w14:paraId="277B7040" w14:textId="77777777" w:rsidR="00702258" w:rsidRDefault="00702258" w:rsidP="0042753C">
            <w:pPr>
              <w:jc w:val="both"/>
              <w:rPr>
                <w:rFonts w:ascii="Times New Roman" w:hAnsi="Times New Roman"/>
                <w:b/>
                <w:bCs/>
                <w:sz w:val="24"/>
                <w:szCs w:val="24"/>
                <w:lang w:val="ro-RO"/>
              </w:rPr>
            </w:pPr>
          </w:p>
          <w:p w14:paraId="76F773C7" w14:textId="77777777" w:rsidR="00702258" w:rsidRDefault="00702258" w:rsidP="0042753C">
            <w:pPr>
              <w:jc w:val="both"/>
              <w:rPr>
                <w:rFonts w:ascii="Times New Roman" w:hAnsi="Times New Roman"/>
                <w:b/>
                <w:bCs/>
                <w:sz w:val="24"/>
                <w:szCs w:val="24"/>
                <w:lang w:val="ro-RO"/>
              </w:rPr>
            </w:pPr>
          </w:p>
          <w:p w14:paraId="37896BA6" w14:textId="77777777" w:rsidR="00702258" w:rsidRDefault="00702258" w:rsidP="0042753C">
            <w:pPr>
              <w:jc w:val="both"/>
              <w:rPr>
                <w:rFonts w:ascii="Times New Roman" w:hAnsi="Times New Roman"/>
                <w:b/>
                <w:bCs/>
                <w:sz w:val="24"/>
                <w:szCs w:val="24"/>
                <w:lang w:val="ro-RO"/>
              </w:rPr>
            </w:pPr>
          </w:p>
          <w:p w14:paraId="74F395DC" w14:textId="77777777" w:rsidR="00702258" w:rsidRDefault="00702258" w:rsidP="0042753C">
            <w:pPr>
              <w:jc w:val="both"/>
              <w:rPr>
                <w:rFonts w:ascii="Times New Roman" w:hAnsi="Times New Roman"/>
                <w:b/>
                <w:bCs/>
                <w:sz w:val="24"/>
                <w:szCs w:val="24"/>
                <w:lang w:val="ro-RO"/>
              </w:rPr>
            </w:pPr>
          </w:p>
          <w:p w14:paraId="216E0B72" w14:textId="77777777" w:rsidR="00702258" w:rsidRDefault="00702258" w:rsidP="0042753C">
            <w:pPr>
              <w:jc w:val="both"/>
              <w:rPr>
                <w:rFonts w:ascii="Times New Roman" w:hAnsi="Times New Roman"/>
                <w:b/>
                <w:bCs/>
                <w:sz w:val="24"/>
                <w:szCs w:val="24"/>
                <w:lang w:val="ro-RO"/>
              </w:rPr>
            </w:pPr>
          </w:p>
          <w:p w14:paraId="14E853FA" w14:textId="77777777" w:rsidR="00702258" w:rsidRDefault="00702258" w:rsidP="0042753C">
            <w:pPr>
              <w:jc w:val="both"/>
              <w:rPr>
                <w:rFonts w:ascii="Times New Roman" w:hAnsi="Times New Roman"/>
                <w:b/>
                <w:bCs/>
                <w:sz w:val="24"/>
                <w:szCs w:val="24"/>
                <w:lang w:val="ro-RO"/>
              </w:rPr>
            </w:pPr>
          </w:p>
          <w:p w14:paraId="49E791AC" w14:textId="77777777" w:rsidR="00702258" w:rsidRDefault="00702258" w:rsidP="0042753C">
            <w:pPr>
              <w:jc w:val="both"/>
              <w:rPr>
                <w:rFonts w:ascii="Times New Roman" w:hAnsi="Times New Roman"/>
                <w:b/>
                <w:bCs/>
                <w:sz w:val="24"/>
                <w:szCs w:val="24"/>
                <w:lang w:val="ro-RO"/>
              </w:rPr>
            </w:pPr>
          </w:p>
          <w:p w14:paraId="5E6EE9F4" w14:textId="77777777" w:rsidR="00702258" w:rsidRDefault="00702258" w:rsidP="0042753C">
            <w:pPr>
              <w:jc w:val="both"/>
              <w:rPr>
                <w:rFonts w:ascii="Times New Roman" w:hAnsi="Times New Roman"/>
                <w:b/>
                <w:bCs/>
                <w:sz w:val="24"/>
                <w:szCs w:val="24"/>
                <w:lang w:val="ro-RO"/>
              </w:rPr>
            </w:pPr>
          </w:p>
          <w:p w14:paraId="331BEE80" w14:textId="77777777" w:rsidR="00702258" w:rsidRDefault="00702258" w:rsidP="0042753C">
            <w:pPr>
              <w:jc w:val="both"/>
              <w:rPr>
                <w:rFonts w:ascii="Times New Roman" w:hAnsi="Times New Roman"/>
                <w:b/>
                <w:bCs/>
                <w:sz w:val="24"/>
                <w:szCs w:val="24"/>
                <w:lang w:val="ro-RO"/>
              </w:rPr>
            </w:pPr>
          </w:p>
          <w:p w14:paraId="04F5EACB" w14:textId="77777777" w:rsidR="00702258" w:rsidRDefault="00702258" w:rsidP="0042753C">
            <w:pPr>
              <w:jc w:val="both"/>
              <w:rPr>
                <w:rFonts w:ascii="Times New Roman" w:hAnsi="Times New Roman"/>
                <w:b/>
                <w:bCs/>
                <w:sz w:val="24"/>
                <w:szCs w:val="24"/>
                <w:lang w:val="ro-RO"/>
              </w:rPr>
            </w:pPr>
          </w:p>
          <w:p w14:paraId="6BE51A35" w14:textId="77777777" w:rsidR="00702258" w:rsidRDefault="00702258" w:rsidP="0042753C">
            <w:pPr>
              <w:jc w:val="both"/>
              <w:rPr>
                <w:rFonts w:ascii="Times New Roman" w:hAnsi="Times New Roman"/>
                <w:b/>
                <w:bCs/>
                <w:sz w:val="24"/>
                <w:szCs w:val="24"/>
                <w:lang w:val="ro-RO"/>
              </w:rPr>
            </w:pPr>
          </w:p>
          <w:p w14:paraId="4F25EABB" w14:textId="77777777" w:rsidR="00702258" w:rsidRDefault="00702258" w:rsidP="0042753C">
            <w:pPr>
              <w:jc w:val="both"/>
              <w:rPr>
                <w:rFonts w:ascii="Times New Roman" w:hAnsi="Times New Roman"/>
                <w:b/>
                <w:bCs/>
                <w:sz w:val="24"/>
                <w:szCs w:val="24"/>
                <w:lang w:val="ro-RO"/>
              </w:rPr>
            </w:pPr>
          </w:p>
          <w:p w14:paraId="41E96302" w14:textId="77777777" w:rsidR="00702258" w:rsidRDefault="00702258" w:rsidP="0042753C">
            <w:pPr>
              <w:jc w:val="both"/>
              <w:rPr>
                <w:rFonts w:ascii="Times New Roman" w:hAnsi="Times New Roman"/>
                <w:b/>
                <w:bCs/>
                <w:sz w:val="24"/>
                <w:szCs w:val="24"/>
                <w:lang w:val="ro-RO"/>
              </w:rPr>
            </w:pPr>
          </w:p>
          <w:p w14:paraId="4DBAD728" w14:textId="77777777" w:rsidR="00702258" w:rsidRDefault="00702258" w:rsidP="0042753C">
            <w:pPr>
              <w:jc w:val="both"/>
              <w:rPr>
                <w:rFonts w:ascii="Times New Roman" w:hAnsi="Times New Roman"/>
                <w:b/>
                <w:bCs/>
                <w:sz w:val="24"/>
                <w:szCs w:val="24"/>
                <w:lang w:val="ro-RO"/>
              </w:rPr>
            </w:pPr>
          </w:p>
          <w:p w14:paraId="2145B498" w14:textId="77777777" w:rsidR="00702258" w:rsidRDefault="00702258" w:rsidP="0042753C">
            <w:pPr>
              <w:jc w:val="both"/>
              <w:rPr>
                <w:rFonts w:ascii="Times New Roman" w:hAnsi="Times New Roman"/>
                <w:b/>
                <w:bCs/>
                <w:sz w:val="24"/>
                <w:szCs w:val="24"/>
                <w:lang w:val="ro-RO"/>
              </w:rPr>
            </w:pPr>
          </w:p>
          <w:p w14:paraId="220C278E" w14:textId="77777777" w:rsidR="00702258" w:rsidRDefault="00702258" w:rsidP="0042753C">
            <w:pPr>
              <w:jc w:val="both"/>
              <w:rPr>
                <w:rFonts w:ascii="Times New Roman" w:hAnsi="Times New Roman"/>
                <w:b/>
                <w:bCs/>
                <w:sz w:val="24"/>
                <w:szCs w:val="24"/>
                <w:lang w:val="ro-RO"/>
              </w:rPr>
            </w:pPr>
          </w:p>
          <w:p w14:paraId="51DEE460" w14:textId="77777777" w:rsidR="00702258" w:rsidRDefault="00702258" w:rsidP="0042753C">
            <w:pPr>
              <w:jc w:val="both"/>
              <w:rPr>
                <w:rFonts w:ascii="Times New Roman" w:hAnsi="Times New Roman"/>
                <w:b/>
                <w:bCs/>
                <w:sz w:val="24"/>
                <w:szCs w:val="24"/>
                <w:lang w:val="ro-RO"/>
              </w:rPr>
            </w:pPr>
          </w:p>
          <w:p w14:paraId="7418ADD1" w14:textId="77777777" w:rsidR="00702258" w:rsidRDefault="00702258" w:rsidP="0042753C">
            <w:pPr>
              <w:jc w:val="both"/>
              <w:rPr>
                <w:rFonts w:ascii="Times New Roman" w:hAnsi="Times New Roman"/>
                <w:b/>
                <w:bCs/>
                <w:sz w:val="24"/>
                <w:szCs w:val="24"/>
                <w:lang w:val="ro-RO"/>
              </w:rPr>
            </w:pPr>
          </w:p>
          <w:p w14:paraId="0133D9F2" w14:textId="77777777" w:rsidR="00702258" w:rsidRDefault="00702258" w:rsidP="0042753C">
            <w:pPr>
              <w:jc w:val="both"/>
              <w:rPr>
                <w:rFonts w:ascii="Times New Roman" w:hAnsi="Times New Roman"/>
                <w:b/>
                <w:bCs/>
                <w:sz w:val="24"/>
                <w:szCs w:val="24"/>
                <w:lang w:val="ro-RO"/>
              </w:rPr>
            </w:pPr>
          </w:p>
          <w:p w14:paraId="5FB672CB" w14:textId="77777777" w:rsidR="00702258" w:rsidRDefault="00702258" w:rsidP="0042753C">
            <w:pPr>
              <w:jc w:val="both"/>
              <w:rPr>
                <w:rFonts w:ascii="Times New Roman" w:hAnsi="Times New Roman"/>
                <w:b/>
                <w:bCs/>
                <w:sz w:val="24"/>
                <w:szCs w:val="24"/>
                <w:lang w:val="ro-RO"/>
              </w:rPr>
            </w:pPr>
          </w:p>
          <w:p w14:paraId="4FE9D7FA" w14:textId="77777777" w:rsidR="00702258" w:rsidRDefault="00702258" w:rsidP="0042753C">
            <w:pPr>
              <w:jc w:val="both"/>
              <w:rPr>
                <w:rFonts w:ascii="Times New Roman" w:hAnsi="Times New Roman"/>
                <w:b/>
                <w:bCs/>
                <w:sz w:val="24"/>
                <w:szCs w:val="24"/>
                <w:lang w:val="ro-RO"/>
              </w:rPr>
            </w:pPr>
          </w:p>
          <w:p w14:paraId="422BA6D7" w14:textId="77777777" w:rsidR="00702258" w:rsidRDefault="00702258" w:rsidP="0042753C">
            <w:pPr>
              <w:jc w:val="both"/>
              <w:rPr>
                <w:rFonts w:ascii="Times New Roman" w:hAnsi="Times New Roman"/>
                <w:b/>
                <w:bCs/>
                <w:sz w:val="24"/>
                <w:szCs w:val="24"/>
                <w:lang w:val="ro-RO"/>
              </w:rPr>
            </w:pPr>
          </w:p>
          <w:p w14:paraId="31402BBA" w14:textId="77777777" w:rsidR="00702258" w:rsidRDefault="00702258" w:rsidP="0042753C">
            <w:pPr>
              <w:jc w:val="both"/>
              <w:rPr>
                <w:rFonts w:ascii="Times New Roman" w:hAnsi="Times New Roman"/>
                <w:b/>
                <w:bCs/>
                <w:sz w:val="24"/>
                <w:szCs w:val="24"/>
                <w:lang w:val="ro-RO"/>
              </w:rPr>
            </w:pPr>
          </w:p>
          <w:p w14:paraId="23D7CD52" w14:textId="77777777" w:rsidR="00702258" w:rsidRDefault="00702258" w:rsidP="0042753C">
            <w:pPr>
              <w:jc w:val="both"/>
              <w:rPr>
                <w:rFonts w:ascii="Times New Roman" w:hAnsi="Times New Roman"/>
                <w:b/>
                <w:bCs/>
                <w:sz w:val="24"/>
                <w:szCs w:val="24"/>
                <w:lang w:val="ro-RO"/>
              </w:rPr>
            </w:pPr>
          </w:p>
          <w:p w14:paraId="13C3D1E5" w14:textId="77777777" w:rsidR="00702258" w:rsidRDefault="00702258" w:rsidP="0042753C">
            <w:pPr>
              <w:jc w:val="both"/>
              <w:rPr>
                <w:rFonts w:ascii="Times New Roman" w:hAnsi="Times New Roman"/>
                <w:b/>
                <w:bCs/>
                <w:sz w:val="24"/>
                <w:szCs w:val="24"/>
                <w:lang w:val="ro-RO"/>
              </w:rPr>
            </w:pPr>
          </w:p>
          <w:p w14:paraId="7A9FC1A3" w14:textId="77777777" w:rsidR="00702258" w:rsidRDefault="00702258" w:rsidP="0042753C">
            <w:pPr>
              <w:jc w:val="both"/>
              <w:rPr>
                <w:rFonts w:ascii="Times New Roman" w:hAnsi="Times New Roman"/>
                <w:b/>
                <w:bCs/>
                <w:sz w:val="24"/>
                <w:szCs w:val="24"/>
                <w:lang w:val="ro-RO"/>
              </w:rPr>
            </w:pPr>
          </w:p>
          <w:p w14:paraId="3A14A78E" w14:textId="77777777" w:rsidR="00702258" w:rsidRDefault="00702258" w:rsidP="0042753C">
            <w:pPr>
              <w:jc w:val="both"/>
              <w:rPr>
                <w:rFonts w:ascii="Times New Roman" w:hAnsi="Times New Roman"/>
                <w:b/>
                <w:bCs/>
                <w:sz w:val="24"/>
                <w:szCs w:val="24"/>
                <w:lang w:val="ro-RO"/>
              </w:rPr>
            </w:pPr>
          </w:p>
          <w:p w14:paraId="78F6EE42" w14:textId="77777777" w:rsidR="00702258" w:rsidRDefault="00702258" w:rsidP="0042753C">
            <w:pPr>
              <w:jc w:val="both"/>
              <w:rPr>
                <w:rFonts w:ascii="Times New Roman" w:hAnsi="Times New Roman"/>
                <w:b/>
                <w:bCs/>
                <w:sz w:val="24"/>
                <w:szCs w:val="24"/>
                <w:lang w:val="ro-RO"/>
              </w:rPr>
            </w:pPr>
          </w:p>
          <w:p w14:paraId="3282C07F" w14:textId="77777777" w:rsidR="00702258" w:rsidRDefault="00702258" w:rsidP="0042753C">
            <w:pPr>
              <w:jc w:val="both"/>
              <w:rPr>
                <w:rFonts w:ascii="Times New Roman" w:hAnsi="Times New Roman"/>
                <w:b/>
                <w:bCs/>
                <w:sz w:val="24"/>
                <w:szCs w:val="24"/>
                <w:lang w:val="ro-RO"/>
              </w:rPr>
            </w:pPr>
          </w:p>
          <w:p w14:paraId="1E570ADF" w14:textId="77777777" w:rsidR="00702258" w:rsidRDefault="00702258" w:rsidP="0042753C">
            <w:pPr>
              <w:jc w:val="both"/>
              <w:rPr>
                <w:rFonts w:ascii="Times New Roman" w:hAnsi="Times New Roman"/>
                <w:b/>
                <w:bCs/>
                <w:sz w:val="24"/>
                <w:szCs w:val="24"/>
                <w:lang w:val="ro-RO"/>
              </w:rPr>
            </w:pPr>
          </w:p>
          <w:p w14:paraId="5E3E2AE2" w14:textId="77777777" w:rsidR="00702258" w:rsidRDefault="00702258" w:rsidP="0042753C">
            <w:pPr>
              <w:jc w:val="both"/>
              <w:rPr>
                <w:rFonts w:ascii="Times New Roman" w:hAnsi="Times New Roman"/>
                <w:b/>
                <w:bCs/>
                <w:sz w:val="24"/>
                <w:szCs w:val="24"/>
                <w:lang w:val="ro-RO"/>
              </w:rPr>
            </w:pPr>
          </w:p>
          <w:p w14:paraId="2512F97E" w14:textId="77777777" w:rsidR="00702258" w:rsidRDefault="00702258" w:rsidP="0042753C">
            <w:pPr>
              <w:jc w:val="both"/>
              <w:rPr>
                <w:rFonts w:ascii="Times New Roman" w:hAnsi="Times New Roman"/>
                <w:b/>
                <w:bCs/>
                <w:sz w:val="24"/>
                <w:szCs w:val="24"/>
                <w:lang w:val="ro-RO"/>
              </w:rPr>
            </w:pPr>
          </w:p>
          <w:p w14:paraId="0AD26624" w14:textId="77777777" w:rsidR="00702258" w:rsidRDefault="00702258" w:rsidP="0042753C">
            <w:pPr>
              <w:jc w:val="both"/>
              <w:rPr>
                <w:rFonts w:ascii="Times New Roman" w:hAnsi="Times New Roman"/>
                <w:b/>
                <w:bCs/>
                <w:sz w:val="24"/>
                <w:szCs w:val="24"/>
                <w:lang w:val="ro-RO"/>
              </w:rPr>
            </w:pPr>
          </w:p>
          <w:p w14:paraId="0ED9065B" w14:textId="77777777" w:rsidR="00702258" w:rsidRDefault="00702258" w:rsidP="0042753C">
            <w:pPr>
              <w:jc w:val="both"/>
              <w:rPr>
                <w:rFonts w:ascii="Times New Roman" w:hAnsi="Times New Roman"/>
                <w:b/>
                <w:bCs/>
                <w:sz w:val="24"/>
                <w:szCs w:val="24"/>
                <w:lang w:val="ro-RO"/>
              </w:rPr>
            </w:pPr>
          </w:p>
          <w:p w14:paraId="39A61DCB" w14:textId="77777777" w:rsidR="00702258" w:rsidRDefault="00702258" w:rsidP="0042753C">
            <w:pPr>
              <w:jc w:val="both"/>
              <w:rPr>
                <w:rFonts w:ascii="Times New Roman" w:hAnsi="Times New Roman"/>
                <w:b/>
                <w:bCs/>
                <w:sz w:val="24"/>
                <w:szCs w:val="24"/>
                <w:lang w:val="ro-RO"/>
              </w:rPr>
            </w:pPr>
          </w:p>
          <w:p w14:paraId="6FE0C2CF" w14:textId="77777777" w:rsidR="00702258" w:rsidRDefault="00702258" w:rsidP="0042753C">
            <w:pPr>
              <w:jc w:val="both"/>
              <w:rPr>
                <w:rFonts w:ascii="Times New Roman" w:hAnsi="Times New Roman"/>
                <w:b/>
                <w:bCs/>
                <w:sz w:val="24"/>
                <w:szCs w:val="24"/>
                <w:lang w:val="ro-RO"/>
              </w:rPr>
            </w:pPr>
          </w:p>
          <w:p w14:paraId="04CFE385" w14:textId="77777777" w:rsidR="00702258" w:rsidRDefault="00702258" w:rsidP="0042753C">
            <w:pPr>
              <w:jc w:val="both"/>
              <w:rPr>
                <w:rFonts w:ascii="Times New Roman" w:hAnsi="Times New Roman"/>
                <w:b/>
                <w:bCs/>
                <w:sz w:val="24"/>
                <w:szCs w:val="24"/>
                <w:lang w:val="ro-RO"/>
              </w:rPr>
            </w:pPr>
          </w:p>
          <w:p w14:paraId="6D430F56" w14:textId="77777777" w:rsidR="00702258" w:rsidRDefault="00702258" w:rsidP="0042753C">
            <w:pPr>
              <w:jc w:val="both"/>
              <w:rPr>
                <w:rFonts w:ascii="Times New Roman" w:hAnsi="Times New Roman"/>
                <w:b/>
                <w:bCs/>
                <w:sz w:val="24"/>
                <w:szCs w:val="24"/>
                <w:lang w:val="ro-RO"/>
              </w:rPr>
            </w:pPr>
          </w:p>
          <w:p w14:paraId="47980918" w14:textId="77777777" w:rsidR="00702258" w:rsidRDefault="00702258" w:rsidP="0042753C">
            <w:pPr>
              <w:jc w:val="both"/>
              <w:rPr>
                <w:rFonts w:ascii="Times New Roman" w:hAnsi="Times New Roman"/>
                <w:b/>
                <w:bCs/>
                <w:sz w:val="24"/>
                <w:szCs w:val="24"/>
                <w:lang w:val="ro-RO"/>
              </w:rPr>
            </w:pPr>
          </w:p>
          <w:p w14:paraId="0EE0458B" w14:textId="77777777" w:rsidR="00702258" w:rsidRDefault="00702258" w:rsidP="0042753C">
            <w:pPr>
              <w:jc w:val="both"/>
              <w:rPr>
                <w:rFonts w:ascii="Times New Roman" w:hAnsi="Times New Roman"/>
                <w:b/>
                <w:bCs/>
                <w:sz w:val="24"/>
                <w:szCs w:val="24"/>
                <w:lang w:val="ro-RO"/>
              </w:rPr>
            </w:pPr>
          </w:p>
          <w:p w14:paraId="2F319A72" w14:textId="77777777" w:rsidR="00702258" w:rsidRDefault="00702258" w:rsidP="0042753C">
            <w:pPr>
              <w:jc w:val="both"/>
              <w:rPr>
                <w:rFonts w:ascii="Times New Roman" w:hAnsi="Times New Roman"/>
                <w:b/>
                <w:bCs/>
                <w:sz w:val="24"/>
                <w:szCs w:val="24"/>
                <w:lang w:val="ro-RO"/>
              </w:rPr>
            </w:pPr>
          </w:p>
          <w:p w14:paraId="772E8223" w14:textId="77777777" w:rsidR="00702258" w:rsidRDefault="00702258" w:rsidP="0042753C">
            <w:pPr>
              <w:jc w:val="both"/>
              <w:rPr>
                <w:rFonts w:ascii="Times New Roman" w:hAnsi="Times New Roman"/>
                <w:b/>
                <w:bCs/>
                <w:sz w:val="24"/>
                <w:szCs w:val="24"/>
                <w:lang w:val="ro-RO"/>
              </w:rPr>
            </w:pPr>
          </w:p>
          <w:p w14:paraId="0E54779B" w14:textId="77777777" w:rsidR="00702258" w:rsidRDefault="00702258" w:rsidP="0042753C">
            <w:pPr>
              <w:jc w:val="both"/>
              <w:rPr>
                <w:rFonts w:ascii="Times New Roman" w:hAnsi="Times New Roman"/>
                <w:b/>
                <w:bCs/>
                <w:sz w:val="24"/>
                <w:szCs w:val="24"/>
                <w:lang w:val="ro-RO"/>
              </w:rPr>
            </w:pPr>
          </w:p>
          <w:p w14:paraId="326A0EFE" w14:textId="77777777" w:rsidR="00702258" w:rsidRDefault="00702258" w:rsidP="0042753C">
            <w:pPr>
              <w:jc w:val="both"/>
              <w:rPr>
                <w:rFonts w:ascii="Times New Roman" w:hAnsi="Times New Roman"/>
                <w:b/>
                <w:bCs/>
                <w:sz w:val="24"/>
                <w:szCs w:val="24"/>
                <w:lang w:val="ro-RO"/>
              </w:rPr>
            </w:pPr>
          </w:p>
          <w:p w14:paraId="5E828EBB" w14:textId="77777777" w:rsidR="00702258" w:rsidRDefault="00702258" w:rsidP="0042753C">
            <w:pPr>
              <w:jc w:val="both"/>
              <w:rPr>
                <w:rFonts w:ascii="Times New Roman" w:hAnsi="Times New Roman"/>
                <w:b/>
                <w:bCs/>
                <w:sz w:val="24"/>
                <w:szCs w:val="24"/>
                <w:lang w:val="ro-RO"/>
              </w:rPr>
            </w:pPr>
          </w:p>
          <w:p w14:paraId="17C1ED13" w14:textId="77777777" w:rsidR="00702258" w:rsidRDefault="00702258" w:rsidP="0042753C">
            <w:pPr>
              <w:jc w:val="both"/>
              <w:rPr>
                <w:rFonts w:ascii="Times New Roman" w:hAnsi="Times New Roman"/>
                <w:b/>
                <w:bCs/>
                <w:sz w:val="24"/>
                <w:szCs w:val="24"/>
                <w:lang w:val="ro-RO"/>
              </w:rPr>
            </w:pPr>
          </w:p>
          <w:p w14:paraId="63E23620" w14:textId="77777777" w:rsidR="00702258" w:rsidRDefault="00702258" w:rsidP="0042753C">
            <w:pPr>
              <w:jc w:val="both"/>
              <w:rPr>
                <w:rFonts w:ascii="Times New Roman" w:hAnsi="Times New Roman"/>
                <w:b/>
                <w:bCs/>
                <w:sz w:val="24"/>
                <w:szCs w:val="24"/>
                <w:lang w:val="ro-RO"/>
              </w:rPr>
            </w:pPr>
          </w:p>
          <w:p w14:paraId="4A3A7E7A" w14:textId="77777777" w:rsidR="00702258" w:rsidRDefault="00702258" w:rsidP="0042753C">
            <w:pPr>
              <w:jc w:val="both"/>
              <w:rPr>
                <w:rFonts w:ascii="Times New Roman" w:hAnsi="Times New Roman"/>
                <w:b/>
                <w:bCs/>
                <w:sz w:val="24"/>
                <w:szCs w:val="24"/>
                <w:lang w:val="ro-RO"/>
              </w:rPr>
            </w:pPr>
          </w:p>
          <w:p w14:paraId="0CBA8612" w14:textId="77777777" w:rsidR="00702258" w:rsidRDefault="00702258" w:rsidP="0042753C">
            <w:pPr>
              <w:jc w:val="both"/>
              <w:rPr>
                <w:rFonts w:ascii="Times New Roman" w:hAnsi="Times New Roman"/>
                <w:b/>
                <w:bCs/>
                <w:sz w:val="24"/>
                <w:szCs w:val="24"/>
                <w:lang w:val="ro-RO"/>
              </w:rPr>
            </w:pPr>
          </w:p>
          <w:p w14:paraId="676CA0A3" w14:textId="77777777" w:rsidR="00702258" w:rsidRDefault="00702258" w:rsidP="0042753C">
            <w:pPr>
              <w:jc w:val="both"/>
              <w:rPr>
                <w:rFonts w:ascii="Times New Roman" w:hAnsi="Times New Roman"/>
                <w:b/>
                <w:bCs/>
                <w:sz w:val="24"/>
                <w:szCs w:val="24"/>
                <w:lang w:val="ro-RO"/>
              </w:rPr>
            </w:pPr>
          </w:p>
          <w:p w14:paraId="4C0DD663" w14:textId="77777777" w:rsidR="00702258" w:rsidRDefault="00702258" w:rsidP="0042753C">
            <w:pPr>
              <w:jc w:val="both"/>
              <w:rPr>
                <w:rFonts w:ascii="Times New Roman" w:hAnsi="Times New Roman"/>
                <w:b/>
                <w:bCs/>
                <w:sz w:val="24"/>
                <w:szCs w:val="24"/>
                <w:lang w:val="ro-RO"/>
              </w:rPr>
            </w:pPr>
          </w:p>
          <w:p w14:paraId="2A14B23B" w14:textId="77777777" w:rsidR="00702258" w:rsidRDefault="00702258" w:rsidP="0042753C">
            <w:pPr>
              <w:jc w:val="both"/>
              <w:rPr>
                <w:rFonts w:ascii="Times New Roman" w:hAnsi="Times New Roman"/>
                <w:b/>
                <w:bCs/>
                <w:sz w:val="24"/>
                <w:szCs w:val="24"/>
                <w:lang w:val="ro-RO"/>
              </w:rPr>
            </w:pPr>
          </w:p>
          <w:p w14:paraId="47E8B51F" w14:textId="77777777" w:rsidR="00702258" w:rsidRDefault="00702258" w:rsidP="0042753C">
            <w:pPr>
              <w:jc w:val="both"/>
              <w:rPr>
                <w:rFonts w:ascii="Times New Roman" w:hAnsi="Times New Roman"/>
                <w:b/>
                <w:bCs/>
                <w:sz w:val="24"/>
                <w:szCs w:val="24"/>
                <w:lang w:val="ro-RO"/>
              </w:rPr>
            </w:pPr>
          </w:p>
          <w:p w14:paraId="583DEFE0" w14:textId="77777777" w:rsidR="00702258" w:rsidRDefault="00702258" w:rsidP="0042753C">
            <w:pPr>
              <w:jc w:val="both"/>
              <w:rPr>
                <w:rFonts w:ascii="Times New Roman" w:hAnsi="Times New Roman"/>
                <w:b/>
                <w:bCs/>
                <w:sz w:val="24"/>
                <w:szCs w:val="24"/>
                <w:lang w:val="ro-RO"/>
              </w:rPr>
            </w:pPr>
          </w:p>
          <w:p w14:paraId="31BF5777" w14:textId="77777777" w:rsidR="00702258" w:rsidRDefault="00702258" w:rsidP="0042753C">
            <w:pPr>
              <w:jc w:val="both"/>
              <w:rPr>
                <w:rFonts w:ascii="Times New Roman" w:hAnsi="Times New Roman"/>
                <w:b/>
                <w:bCs/>
                <w:sz w:val="24"/>
                <w:szCs w:val="24"/>
                <w:lang w:val="ro-RO"/>
              </w:rPr>
            </w:pPr>
          </w:p>
          <w:p w14:paraId="3BBA07D6" w14:textId="77777777" w:rsidR="00702258" w:rsidRDefault="00702258" w:rsidP="0042753C">
            <w:pPr>
              <w:jc w:val="both"/>
              <w:rPr>
                <w:rFonts w:ascii="Times New Roman" w:hAnsi="Times New Roman"/>
                <w:b/>
                <w:bCs/>
                <w:sz w:val="24"/>
                <w:szCs w:val="24"/>
                <w:lang w:val="ro-RO"/>
              </w:rPr>
            </w:pPr>
          </w:p>
          <w:p w14:paraId="1A18493C" w14:textId="77777777" w:rsidR="00702258" w:rsidRDefault="00702258" w:rsidP="0042753C">
            <w:pPr>
              <w:jc w:val="both"/>
              <w:rPr>
                <w:rFonts w:ascii="Times New Roman" w:hAnsi="Times New Roman"/>
                <w:b/>
                <w:bCs/>
                <w:sz w:val="24"/>
                <w:szCs w:val="24"/>
                <w:lang w:val="ro-RO"/>
              </w:rPr>
            </w:pPr>
          </w:p>
          <w:p w14:paraId="0F14CBFF" w14:textId="77777777" w:rsidR="00702258" w:rsidRDefault="00702258" w:rsidP="0042753C">
            <w:pPr>
              <w:jc w:val="both"/>
              <w:rPr>
                <w:rFonts w:ascii="Times New Roman" w:hAnsi="Times New Roman"/>
                <w:b/>
                <w:bCs/>
                <w:sz w:val="24"/>
                <w:szCs w:val="24"/>
                <w:lang w:val="ro-RO"/>
              </w:rPr>
            </w:pPr>
          </w:p>
          <w:p w14:paraId="344D2EE0" w14:textId="77777777" w:rsidR="00702258" w:rsidRDefault="00702258" w:rsidP="0042753C">
            <w:pPr>
              <w:jc w:val="both"/>
              <w:rPr>
                <w:rFonts w:ascii="Times New Roman" w:hAnsi="Times New Roman"/>
                <w:b/>
                <w:bCs/>
                <w:sz w:val="24"/>
                <w:szCs w:val="24"/>
                <w:lang w:val="ro-RO"/>
              </w:rPr>
            </w:pPr>
          </w:p>
          <w:p w14:paraId="3D2683DC" w14:textId="77777777" w:rsidR="00702258" w:rsidRDefault="00702258" w:rsidP="0042753C">
            <w:pPr>
              <w:jc w:val="both"/>
              <w:rPr>
                <w:rFonts w:ascii="Times New Roman" w:hAnsi="Times New Roman"/>
                <w:b/>
                <w:bCs/>
                <w:sz w:val="24"/>
                <w:szCs w:val="24"/>
                <w:lang w:val="ro-RO"/>
              </w:rPr>
            </w:pPr>
          </w:p>
          <w:p w14:paraId="74F72776" w14:textId="77777777" w:rsidR="00702258" w:rsidRDefault="00702258" w:rsidP="0042753C">
            <w:pPr>
              <w:jc w:val="both"/>
              <w:rPr>
                <w:rFonts w:ascii="Times New Roman" w:hAnsi="Times New Roman"/>
                <w:b/>
                <w:bCs/>
                <w:sz w:val="24"/>
                <w:szCs w:val="24"/>
                <w:lang w:val="ro-RO"/>
              </w:rPr>
            </w:pPr>
          </w:p>
          <w:p w14:paraId="6686DEA2" w14:textId="77777777" w:rsidR="00702258" w:rsidRDefault="00702258" w:rsidP="0042753C">
            <w:pPr>
              <w:jc w:val="both"/>
              <w:rPr>
                <w:rFonts w:ascii="Times New Roman" w:hAnsi="Times New Roman"/>
                <w:b/>
                <w:bCs/>
                <w:sz w:val="24"/>
                <w:szCs w:val="24"/>
                <w:lang w:val="ro-RO"/>
              </w:rPr>
            </w:pPr>
          </w:p>
          <w:p w14:paraId="321F3895" w14:textId="77777777" w:rsidR="00702258" w:rsidRDefault="00702258" w:rsidP="0042753C">
            <w:pPr>
              <w:jc w:val="both"/>
              <w:rPr>
                <w:rFonts w:ascii="Times New Roman" w:hAnsi="Times New Roman"/>
                <w:b/>
                <w:bCs/>
                <w:sz w:val="24"/>
                <w:szCs w:val="24"/>
                <w:lang w:val="ro-RO"/>
              </w:rPr>
            </w:pPr>
          </w:p>
          <w:p w14:paraId="5A635C3A" w14:textId="77777777" w:rsidR="00702258" w:rsidRDefault="00702258" w:rsidP="0042753C">
            <w:pPr>
              <w:jc w:val="both"/>
              <w:rPr>
                <w:rFonts w:ascii="Times New Roman" w:hAnsi="Times New Roman"/>
                <w:b/>
                <w:bCs/>
                <w:sz w:val="24"/>
                <w:szCs w:val="24"/>
                <w:lang w:val="ro-RO"/>
              </w:rPr>
            </w:pPr>
          </w:p>
          <w:p w14:paraId="1DCF7EE7" w14:textId="77777777" w:rsidR="00702258" w:rsidRDefault="00702258" w:rsidP="0042753C">
            <w:pPr>
              <w:jc w:val="both"/>
              <w:rPr>
                <w:rFonts w:ascii="Times New Roman" w:hAnsi="Times New Roman"/>
                <w:b/>
                <w:bCs/>
                <w:sz w:val="24"/>
                <w:szCs w:val="24"/>
                <w:lang w:val="ro-RO"/>
              </w:rPr>
            </w:pPr>
          </w:p>
          <w:p w14:paraId="1C7E8124" w14:textId="77777777" w:rsidR="00702258" w:rsidRDefault="00702258" w:rsidP="0042753C">
            <w:pPr>
              <w:jc w:val="both"/>
              <w:rPr>
                <w:rFonts w:ascii="Times New Roman" w:hAnsi="Times New Roman"/>
                <w:b/>
                <w:bCs/>
                <w:sz w:val="24"/>
                <w:szCs w:val="24"/>
                <w:lang w:val="ro-RO"/>
              </w:rPr>
            </w:pPr>
          </w:p>
          <w:p w14:paraId="24D20EE1" w14:textId="77777777" w:rsidR="00702258" w:rsidRDefault="00702258" w:rsidP="0042753C">
            <w:pPr>
              <w:jc w:val="both"/>
              <w:rPr>
                <w:rFonts w:ascii="Times New Roman" w:hAnsi="Times New Roman"/>
                <w:b/>
                <w:bCs/>
                <w:sz w:val="24"/>
                <w:szCs w:val="24"/>
                <w:lang w:val="ro-RO"/>
              </w:rPr>
            </w:pPr>
          </w:p>
          <w:p w14:paraId="512A8937" w14:textId="77777777" w:rsidR="00702258" w:rsidRDefault="00702258" w:rsidP="0042753C">
            <w:pPr>
              <w:jc w:val="both"/>
              <w:rPr>
                <w:rFonts w:ascii="Times New Roman" w:hAnsi="Times New Roman"/>
                <w:b/>
                <w:bCs/>
                <w:sz w:val="24"/>
                <w:szCs w:val="24"/>
                <w:lang w:val="ro-RO"/>
              </w:rPr>
            </w:pPr>
          </w:p>
          <w:p w14:paraId="6EFA913B" w14:textId="77777777" w:rsidR="00702258" w:rsidRDefault="00702258" w:rsidP="0042753C">
            <w:pPr>
              <w:jc w:val="both"/>
              <w:rPr>
                <w:rFonts w:ascii="Times New Roman" w:hAnsi="Times New Roman"/>
                <w:b/>
                <w:bCs/>
                <w:sz w:val="24"/>
                <w:szCs w:val="24"/>
                <w:lang w:val="ro-RO"/>
              </w:rPr>
            </w:pPr>
          </w:p>
          <w:p w14:paraId="7BCA955C" w14:textId="77777777" w:rsidR="00702258" w:rsidRDefault="00702258" w:rsidP="0042753C">
            <w:pPr>
              <w:jc w:val="both"/>
              <w:rPr>
                <w:rFonts w:ascii="Times New Roman" w:hAnsi="Times New Roman"/>
                <w:b/>
                <w:bCs/>
                <w:sz w:val="24"/>
                <w:szCs w:val="24"/>
                <w:lang w:val="ro-RO"/>
              </w:rPr>
            </w:pPr>
          </w:p>
          <w:p w14:paraId="594D3EBD" w14:textId="77777777" w:rsidR="00702258" w:rsidRDefault="00702258" w:rsidP="0042753C">
            <w:pPr>
              <w:jc w:val="both"/>
              <w:rPr>
                <w:rFonts w:ascii="Times New Roman" w:hAnsi="Times New Roman"/>
                <w:b/>
                <w:bCs/>
                <w:sz w:val="24"/>
                <w:szCs w:val="24"/>
                <w:lang w:val="ro-RO"/>
              </w:rPr>
            </w:pPr>
          </w:p>
          <w:p w14:paraId="7C61C629" w14:textId="77777777" w:rsidR="00702258" w:rsidRDefault="00702258" w:rsidP="0042753C">
            <w:pPr>
              <w:jc w:val="both"/>
              <w:rPr>
                <w:rFonts w:ascii="Times New Roman" w:hAnsi="Times New Roman"/>
                <w:b/>
                <w:bCs/>
                <w:sz w:val="24"/>
                <w:szCs w:val="24"/>
                <w:lang w:val="ro-RO"/>
              </w:rPr>
            </w:pPr>
          </w:p>
          <w:p w14:paraId="587E6E62" w14:textId="77777777" w:rsidR="00702258" w:rsidRDefault="00702258" w:rsidP="0042753C">
            <w:pPr>
              <w:jc w:val="both"/>
              <w:rPr>
                <w:rFonts w:ascii="Times New Roman" w:hAnsi="Times New Roman"/>
                <w:b/>
                <w:bCs/>
                <w:sz w:val="24"/>
                <w:szCs w:val="24"/>
                <w:lang w:val="ro-RO"/>
              </w:rPr>
            </w:pPr>
          </w:p>
          <w:p w14:paraId="73754F9A" w14:textId="77777777" w:rsidR="00702258" w:rsidRDefault="00702258" w:rsidP="0042753C">
            <w:pPr>
              <w:jc w:val="both"/>
              <w:rPr>
                <w:rFonts w:ascii="Times New Roman" w:hAnsi="Times New Roman"/>
                <w:b/>
                <w:bCs/>
                <w:sz w:val="24"/>
                <w:szCs w:val="24"/>
                <w:lang w:val="ro-RO"/>
              </w:rPr>
            </w:pPr>
          </w:p>
          <w:p w14:paraId="03D64287" w14:textId="77777777" w:rsidR="00702258" w:rsidRDefault="00702258" w:rsidP="0042753C">
            <w:pPr>
              <w:jc w:val="both"/>
              <w:rPr>
                <w:rFonts w:ascii="Times New Roman" w:hAnsi="Times New Roman"/>
                <w:b/>
                <w:bCs/>
                <w:sz w:val="24"/>
                <w:szCs w:val="24"/>
                <w:lang w:val="ro-RO"/>
              </w:rPr>
            </w:pPr>
          </w:p>
          <w:p w14:paraId="474E1FC9" w14:textId="77777777" w:rsidR="00702258" w:rsidRDefault="00702258" w:rsidP="0042753C">
            <w:pPr>
              <w:jc w:val="both"/>
              <w:rPr>
                <w:rFonts w:ascii="Times New Roman" w:hAnsi="Times New Roman"/>
                <w:b/>
                <w:bCs/>
                <w:sz w:val="24"/>
                <w:szCs w:val="24"/>
                <w:lang w:val="ro-RO"/>
              </w:rPr>
            </w:pPr>
          </w:p>
          <w:p w14:paraId="236908E4" w14:textId="77777777" w:rsidR="00702258" w:rsidRDefault="00702258" w:rsidP="0042753C">
            <w:pPr>
              <w:jc w:val="both"/>
              <w:rPr>
                <w:rFonts w:ascii="Times New Roman" w:hAnsi="Times New Roman"/>
                <w:b/>
                <w:bCs/>
                <w:sz w:val="24"/>
                <w:szCs w:val="24"/>
                <w:lang w:val="ro-RO"/>
              </w:rPr>
            </w:pPr>
          </w:p>
          <w:p w14:paraId="4374CD59" w14:textId="77777777" w:rsidR="00702258" w:rsidRDefault="00702258" w:rsidP="0042753C">
            <w:pPr>
              <w:jc w:val="both"/>
              <w:rPr>
                <w:rFonts w:ascii="Times New Roman" w:hAnsi="Times New Roman"/>
                <w:b/>
                <w:bCs/>
                <w:sz w:val="24"/>
                <w:szCs w:val="24"/>
                <w:lang w:val="ro-RO"/>
              </w:rPr>
            </w:pPr>
          </w:p>
          <w:p w14:paraId="7CEA0176" w14:textId="77777777" w:rsidR="00702258" w:rsidRDefault="00702258" w:rsidP="0042753C">
            <w:pPr>
              <w:jc w:val="both"/>
              <w:rPr>
                <w:rFonts w:ascii="Times New Roman" w:hAnsi="Times New Roman"/>
                <w:b/>
                <w:bCs/>
                <w:sz w:val="24"/>
                <w:szCs w:val="24"/>
                <w:lang w:val="ro-RO"/>
              </w:rPr>
            </w:pPr>
          </w:p>
          <w:p w14:paraId="18D4DE38" w14:textId="77777777" w:rsidR="00702258" w:rsidRDefault="00702258" w:rsidP="0042753C">
            <w:pPr>
              <w:jc w:val="both"/>
              <w:rPr>
                <w:rFonts w:ascii="Times New Roman" w:hAnsi="Times New Roman"/>
                <w:b/>
                <w:bCs/>
                <w:sz w:val="24"/>
                <w:szCs w:val="24"/>
                <w:lang w:val="ro-RO"/>
              </w:rPr>
            </w:pPr>
          </w:p>
          <w:p w14:paraId="5EDFF516" w14:textId="77777777" w:rsidR="00702258" w:rsidRDefault="00702258" w:rsidP="0042753C">
            <w:pPr>
              <w:jc w:val="both"/>
              <w:rPr>
                <w:rFonts w:ascii="Times New Roman" w:hAnsi="Times New Roman"/>
                <w:b/>
                <w:bCs/>
                <w:sz w:val="24"/>
                <w:szCs w:val="24"/>
                <w:lang w:val="ro-RO"/>
              </w:rPr>
            </w:pPr>
          </w:p>
          <w:p w14:paraId="77405F8A" w14:textId="77777777" w:rsidR="00702258" w:rsidRDefault="00702258" w:rsidP="0042753C">
            <w:pPr>
              <w:jc w:val="both"/>
              <w:rPr>
                <w:rFonts w:ascii="Times New Roman" w:hAnsi="Times New Roman"/>
                <w:b/>
                <w:bCs/>
                <w:sz w:val="24"/>
                <w:szCs w:val="24"/>
                <w:lang w:val="ro-RO"/>
              </w:rPr>
            </w:pPr>
          </w:p>
          <w:p w14:paraId="7B8D47F4" w14:textId="77777777" w:rsidR="00702258" w:rsidRDefault="00702258" w:rsidP="0042753C">
            <w:pPr>
              <w:jc w:val="both"/>
              <w:rPr>
                <w:rFonts w:ascii="Times New Roman" w:hAnsi="Times New Roman"/>
                <w:b/>
                <w:bCs/>
                <w:sz w:val="24"/>
                <w:szCs w:val="24"/>
                <w:lang w:val="ro-RO"/>
              </w:rPr>
            </w:pPr>
          </w:p>
          <w:p w14:paraId="1EE94A99" w14:textId="77777777" w:rsidR="00702258" w:rsidRDefault="00702258" w:rsidP="0042753C">
            <w:pPr>
              <w:jc w:val="both"/>
              <w:rPr>
                <w:rFonts w:ascii="Times New Roman" w:hAnsi="Times New Roman"/>
                <w:b/>
                <w:bCs/>
                <w:sz w:val="24"/>
                <w:szCs w:val="24"/>
                <w:lang w:val="ro-RO"/>
              </w:rPr>
            </w:pPr>
          </w:p>
          <w:p w14:paraId="7B4B7EBC" w14:textId="77777777" w:rsidR="00702258" w:rsidRDefault="00702258" w:rsidP="0042753C">
            <w:pPr>
              <w:jc w:val="both"/>
              <w:rPr>
                <w:rFonts w:ascii="Times New Roman" w:hAnsi="Times New Roman"/>
                <w:b/>
                <w:bCs/>
                <w:sz w:val="24"/>
                <w:szCs w:val="24"/>
                <w:lang w:val="ro-RO"/>
              </w:rPr>
            </w:pPr>
          </w:p>
          <w:p w14:paraId="1FB58399" w14:textId="77777777" w:rsidR="00702258" w:rsidRDefault="00702258" w:rsidP="0042753C">
            <w:pPr>
              <w:jc w:val="both"/>
              <w:rPr>
                <w:rFonts w:ascii="Times New Roman" w:hAnsi="Times New Roman"/>
                <w:b/>
                <w:bCs/>
                <w:sz w:val="24"/>
                <w:szCs w:val="24"/>
                <w:lang w:val="ro-RO"/>
              </w:rPr>
            </w:pPr>
          </w:p>
          <w:p w14:paraId="666BFA3F" w14:textId="77777777" w:rsidR="00702258" w:rsidRDefault="00702258" w:rsidP="0042753C">
            <w:pPr>
              <w:jc w:val="both"/>
              <w:rPr>
                <w:rFonts w:ascii="Times New Roman" w:hAnsi="Times New Roman"/>
                <w:b/>
                <w:bCs/>
                <w:sz w:val="24"/>
                <w:szCs w:val="24"/>
                <w:lang w:val="ro-RO"/>
              </w:rPr>
            </w:pPr>
          </w:p>
          <w:p w14:paraId="6D3D1335" w14:textId="77777777" w:rsidR="00702258" w:rsidRDefault="00702258" w:rsidP="0042753C">
            <w:pPr>
              <w:jc w:val="both"/>
              <w:rPr>
                <w:rFonts w:ascii="Times New Roman" w:hAnsi="Times New Roman"/>
                <w:b/>
                <w:bCs/>
                <w:sz w:val="24"/>
                <w:szCs w:val="24"/>
                <w:lang w:val="ro-RO"/>
              </w:rPr>
            </w:pPr>
          </w:p>
          <w:p w14:paraId="16EAED49" w14:textId="77777777" w:rsidR="00702258" w:rsidRDefault="00702258" w:rsidP="0042753C">
            <w:pPr>
              <w:jc w:val="both"/>
              <w:rPr>
                <w:rFonts w:ascii="Times New Roman" w:hAnsi="Times New Roman"/>
                <w:b/>
                <w:bCs/>
                <w:sz w:val="24"/>
                <w:szCs w:val="24"/>
                <w:lang w:val="ro-RO"/>
              </w:rPr>
            </w:pPr>
          </w:p>
          <w:p w14:paraId="3856E993" w14:textId="77777777" w:rsidR="00702258" w:rsidRDefault="00702258" w:rsidP="0042753C">
            <w:pPr>
              <w:jc w:val="both"/>
              <w:rPr>
                <w:rFonts w:ascii="Times New Roman" w:hAnsi="Times New Roman"/>
                <w:b/>
                <w:bCs/>
                <w:sz w:val="24"/>
                <w:szCs w:val="24"/>
                <w:lang w:val="ro-RO"/>
              </w:rPr>
            </w:pPr>
          </w:p>
          <w:p w14:paraId="61D42569" w14:textId="77777777" w:rsidR="00702258" w:rsidRDefault="00702258" w:rsidP="0042753C">
            <w:pPr>
              <w:jc w:val="both"/>
              <w:rPr>
                <w:rFonts w:ascii="Times New Roman" w:hAnsi="Times New Roman"/>
                <w:b/>
                <w:bCs/>
                <w:sz w:val="24"/>
                <w:szCs w:val="24"/>
                <w:lang w:val="ro-RO"/>
              </w:rPr>
            </w:pPr>
          </w:p>
          <w:p w14:paraId="3CABC22F" w14:textId="77777777" w:rsidR="00702258" w:rsidRDefault="00702258" w:rsidP="0042753C">
            <w:pPr>
              <w:jc w:val="both"/>
              <w:rPr>
                <w:rFonts w:ascii="Times New Roman" w:hAnsi="Times New Roman"/>
                <w:b/>
                <w:bCs/>
                <w:sz w:val="24"/>
                <w:szCs w:val="24"/>
                <w:lang w:val="ro-RO"/>
              </w:rPr>
            </w:pPr>
          </w:p>
          <w:p w14:paraId="1514C026" w14:textId="77777777" w:rsidR="00702258" w:rsidRDefault="00702258" w:rsidP="0042753C">
            <w:pPr>
              <w:jc w:val="both"/>
              <w:rPr>
                <w:rFonts w:ascii="Times New Roman" w:hAnsi="Times New Roman"/>
                <w:b/>
                <w:bCs/>
                <w:sz w:val="24"/>
                <w:szCs w:val="24"/>
                <w:lang w:val="ro-RO"/>
              </w:rPr>
            </w:pPr>
          </w:p>
          <w:p w14:paraId="4A39938E" w14:textId="77777777" w:rsidR="00702258" w:rsidRDefault="00702258" w:rsidP="0042753C">
            <w:pPr>
              <w:jc w:val="both"/>
              <w:rPr>
                <w:rFonts w:ascii="Times New Roman" w:hAnsi="Times New Roman"/>
                <w:b/>
                <w:bCs/>
                <w:sz w:val="24"/>
                <w:szCs w:val="24"/>
                <w:lang w:val="ro-RO"/>
              </w:rPr>
            </w:pPr>
          </w:p>
          <w:p w14:paraId="7AB1EB76" w14:textId="77777777" w:rsidR="00702258" w:rsidRDefault="00702258" w:rsidP="0042753C">
            <w:pPr>
              <w:jc w:val="both"/>
              <w:rPr>
                <w:rFonts w:ascii="Times New Roman" w:hAnsi="Times New Roman"/>
                <w:b/>
                <w:bCs/>
                <w:sz w:val="24"/>
                <w:szCs w:val="24"/>
                <w:lang w:val="ro-RO"/>
              </w:rPr>
            </w:pPr>
          </w:p>
          <w:p w14:paraId="04F5C19B" w14:textId="77777777" w:rsidR="00702258" w:rsidRDefault="00702258" w:rsidP="0042753C">
            <w:pPr>
              <w:jc w:val="both"/>
              <w:rPr>
                <w:rFonts w:ascii="Times New Roman" w:hAnsi="Times New Roman"/>
                <w:b/>
                <w:bCs/>
                <w:sz w:val="24"/>
                <w:szCs w:val="24"/>
                <w:lang w:val="ro-RO"/>
              </w:rPr>
            </w:pPr>
          </w:p>
          <w:p w14:paraId="1ED7BE34" w14:textId="77777777" w:rsidR="00702258" w:rsidRDefault="00702258" w:rsidP="0042753C">
            <w:pPr>
              <w:jc w:val="both"/>
              <w:rPr>
                <w:rFonts w:ascii="Times New Roman" w:hAnsi="Times New Roman"/>
                <w:b/>
                <w:bCs/>
                <w:sz w:val="24"/>
                <w:szCs w:val="24"/>
                <w:lang w:val="ro-RO"/>
              </w:rPr>
            </w:pPr>
          </w:p>
          <w:p w14:paraId="4012977B" w14:textId="77777777" w:rsidR="00702258" w:rsidRDefault="00702258" w:rsidP="0042753C">
            <w:pPr>
              <w:jc w:val="both"/>
              <w:rPr>
                <w:rFonts w:ascii="Times New Roman" w:hAnsi="Times New Roman"/>
                <w:b/>
                <w:bCs/>
                <w:sz w:val="24"/>
                <w:szCs w:val="24"/>
                <w:lang w:val="ro-RO"/>
              </w:rPr>
            </w:pPr>
          </w:p>
          <w:p w14:paraId="4A1F4A6A" w14:textId="77777777" w:rsidR="00702258" w:rsidRDefault="00702258" w:rsidP="0042753C">
            <w:pPr>
              <w:jc w:val="both"/>
              <w:rPr>
                <w:rFonts w:ascii="Times New Roman" w:hAnsi="Times New Roman"/>
                <w:b/>
                <w:bCs/>
                <w:sz w:val="24"/>
                <w:szCs w:val="24"/>
                <w:lang w:val="ro-RO"/>
              </w:rPr>
            </w:pPr>
          </w:p>
          <w:p w14:paraId="39B6F8BD" w14:textId="77777777" w:rsidR="00702258" w:rsidRDefault="00702258" w:rsidP="0042753C">
            <w:pPr>
              <w:jc w:val="both"/>
              <w:rPr>
                <w:rFonts w:ascii="Times New Roman" w:hAnsi="Times New Roman"/>
                <w:b/>
                <w:bCs/>
                <w:sz w:val="24"/>
                <w:szCs w:val="24"/>
                <w:lang w:val="ro-RO"/>
              </w:rPr>
            </w:pPr>
          </w:p>
          <w:p w14:paraId="02D0DA83" w14:textId="77777777" w:rsidR="00702258" w:rsidRDefault="00702258" w:rsidP="0042753C">
            <w:pPr>
              <w:jc w:val="both"/>
              <w:rPr>
                <w:rFonts w:ascii="Times New Roman" w:hAnsi="Times New Roman"/>
                <w:b/>
                <w:bCs/>
                <w:sz w:val="24"/>
                <w:szCs w:val="24"/>
                <w:lang w:val="ro-RO"/>
              </w:rPr>
            </w:pPr>
          </w:p>
          <w:p w14:paraId="50CC382B" w14:textId="77777777" w:rsidR="00702258" w:rsidRDefault="00702258" w:rsidP="0042753C">
            <w:pPr>
              <w:jc w:val="both"/>
              <w:rPr>
                <w:rFonts w:ascii="Times New Roman" w:hAnsi="Times New Roman"/>
                <w:b/>
                <w:bCs/>
                <w:sz w:val="24"/>
                <w:szCs w:val="24"/>
                <w:lang w:val="ro-RO"/>
              </w:rPr>
            </w:pPr>
          </w:p>
          <w:p w14:paraId="4A660963" w14:textId="77777777" w:rsidR="00702258" w:rsidRDefault="00702258" w:rsidP="0042753C">
            <w:pPr>
              <w:jc w:val="both"/>
              <w:rPr>
                <w:rFonts w:ascii="Times New Roman" w:hAnsi="Times New Roman"/>
                <w:b/>
                <w:bCs/>
                <w:sz w:val="24"/>
                <w:szCs w:val="24"/>
                <w:lang w:val="ro-RO"/>
              </w:rPr>
            </w:pPr>
          </w:p>
          <w:p w14:paraId="04E260ED" w14:textId="77777777" w:rsidR="00702258" w:rsidRDefault="00702258" w:rsidP="0042753C">
            <w:pPr>
              <w:jc w:val="both"/>
              <w:rPr>
                <w:rFonts w:ascii="Times New Roman" w:hAnsi="Times New Roman"/>
                <w:b/>
                <w:bCs/>
                <w:sz w:val="24"/>
                <w:szCs w:val="24"/>
                <w:lang w:val="ro-RO"/>
              </w:rPr>
            </w:pPr>
          </w:p>
          <w:p w14:paraId="3C28E029" w14:textId="77777777" w:rsidR="00702258" w:rsidRDefault="00702258" w:rsidP="0042753C">
            <w:pPr>
              <w:jc w:val="both"/>
              <w:rPr>
                <w:rFonts w:ascii="Times New Roman" w:hAnsi="Times New Roman"/>
                <w:b/>
                <w:bCs/>
                <w:sz w:val="24"/>
                <w:szCs w:val="24"/>
                <w:lang w:val="ro-RO"/>
              </w:rPr>
            </w:pPr>
          </w:p>
          <w:p w14:paraId="490AC8B2" w14:textId="77777777" w:rsidR="00702258" w:rsidRDefault="00702258" w:rsidP="0042753C">
            <w:pPr>
              <w:jc w:val="both"/>
              <w:rPr>
                <w:rFonts w:ascii="Times New Roman" w:hAnsi="Times New Roman"/>
                <w:b/>
                <w:bCs/>
                <w:sz w:val="24"/>
                <w:szCs w:val="24"/>
                <w:lang w:val="ro-RO"/>
              </w:rPr>
            </w:pPr>
          </w:p>
          <w:p w14:paraId="6058FBAF" w14:textId="77777777" w:rsidR="00702258" w:rsidRDefault="00702258" w:rsidP="0042753C">
            <w:pPr>
              <w:jc w:val="both"/>
              <w:rPr>
                <w:rFonts w:ascii="Times New Roman" w:hAnsi="Times New Roman"/>
                <w:b/>
                <w:bCs/>
                <w:sz w:val="24"/>
                <w:szCs w:val="24"/>
                <w:lang w:val="ro-RO"/>
              </w:rPr>
            </w:pPr>
          </w:p>
          <w:p w14:paraId="65577F9F" w14:textId="77777777" w:rsidR="00702258" w:rsidRDefault="00702258" w:rsidP="0042753C">
            <w:pPr>
              <w:jc w:val="both"/>
              <w:rPr>
                <w:rFonts w:ascii="Times New Roman" w:hAnsi="Times New Roman"/>
                <w:b/>
                <w:bCs/>
                <w:sz w:val="24"/>
                <w:szCs w:val="24"/>
                <w:lang w:val="ro-RO"/>
              </w:rPr>
            </w:pPr>
          </w:p>
          <w:p w14:paraId="566C20AA" w14:textId="77777777" w:rsidR="00702258" w:rsidRDefault="00702258" w:rsidP="0042753C">
            <w:pPr>
              <w:jc w:val="both"/>
              <w:rPr>
                <w:rFonts w:ascii="Times New Roman" w:hAnsi="Times New Roman"/>
                <w:b/>
                <w:bCs/>
                <w:sz w:val="24"/>
                <w:szCs w:val="24"/>
                <w:lang w:val="ro-RO"/>
              </w:rPr>
            </w:pPr>
          </w:p>
          <w:p w14:paraId="3A455F75" w14:textId="77777777" w:rsidR="00702258" w:rsidRDefault="00702258" w:rsidP="0042753C">
            <w:pPr>
              <w:jc w:val="both"/>
              <w:rPr>
                <w:rFonts w:ascii="Times New Roman" w:hAnsi="Times New Roman"/>
                <w:b/>
                <w:bCs/>
                <w:sz w:val="24"/>
                <w:szCs w:val="24"/>
                <w:lang w:val="ro-RO"/>
              </w:rPr>
            </w:pPr>
          </w:p>
          <w:p w14:paraId="4EEB826B" w14:textId="77777777" w:rsidR="00702258" w:rsidRDefault="00702258" w:rsidP="0042753C">
            <w:pPr>
              <w:jc w:val="both"/>
              <w:rPr>
                <w:rFonts w:ascii="Times New Roman" w:hAnsi="Times New Roman"/>
                <w:b/>
                <w:bCs/>
                <w:sz w:val="24"/>
                <w:szCs w:val="24"/>
                <w:lang w:val="ro-RO"/>
              </w:rPr>
            </w:pPr>
          </w:p>
          <w:p w14:paraId="129F3D96" w14:textId="77777777" w:rsidR="00702258" w:rsidRDefault="00702258" w:rsidP="0042753C">
            <w:pPr>
              <w:jc w:val="both"/>
              <w:rPr>
                <w:rFonts w:ascii="Times New Roman" w:hAnsi="Times New Roman"/>
                <w:b/>
                <w:bCs/>
                <w:sz w:val="24"/>
                <w:szCs w:val="24"/>
                <w:lang w:val="ro-RO"/>
              </w:rPr>
            </w:pPr>
          </w:p>
          <w:p w14:paraId="60C004E3" w14:textId="77777777" w:rsidR="00702258" w:rsidRDefault="00702258" w:rsidP="0042753C">
            <w:pPr>
              <w:jc w:val="both"/>
              <w:rPr>
                <w:rFonts w:ascii="Times New Roman" w:hAnsi="Times New Roman"/>
                <w:b/>
                <w:bCs/>
                <w:sz w:val="24"/>
                <w:szCs w:val="24"/>
                <w:lang w:val="ro-RO"/>
              </w:rPr>
            </w:pPr>
          </w:p>
          <w:p w14:paraId="2717D403" w14:textId="77777777" w:rsidR="00702258" w:rsidRDefault="00702258" w:rsidP="0042753C">
            <w:pPr>
              <w:jc w:val="both"/>
              <w:rPr>
                <w:rFonts w:ascii="Times New Roman" w:hAnsi="Times New Roman"/>
                <w:b/>
                <w:bCs/>
                <w:sz w:val="24"/>
                <w:szCs w:val="24"/>
                <w:lang w:val="ro-RO"/>
              </w:rPr>
            </w:pPr>
          </w:p>
          <w:p w14:paraId="59731B14" w14:textId="77777777" w:rsidR="00702258" w:rsidRDefault="00702258" w:rsidP="0042753C">
            <w:pPr>
              <w:jc w:val="both"/>
              <w:rPr>
                <w:rFonts w:ascii="Times New Roman" w:hAnsi="Times New Roman"/>
                <w:b/>
                <w:bCs/>
                <w:sz w:val="24"/>
                <w:szCs w:val="24"/>
                <w:lang w:val="ro-RO"/>
              </w:rPr>
            </w:pPr>
          </w:p>
          <w:p w14:paraId="253E06A5" w14:textId="77777777" w:rsidR="00702258" w:rsidRDefault="00702258" w:rsidP="0042753C">
            <w:pPr>
              <w:jc w:val="both"/>
              <w:rPr>
                <w:rFonts w:ascii="Times New Roman" w:hAnsi="Times New Roman"/>
                <w:b/>
                <w:bCs/>
                <w:sz w:val="24"/>
                <w:szCs w:val="24"/>
                <w:lang w:val="ro-RO"/>
              </w:rPr>
            </w:pPr>
          </w:p>
          <w:p w14:paraId="0D81CA4E" w14:textId="77777777" w:rsidR="00702258" w:rsidRDefault="00702258" w:rsidP="0042753C">
            <w:pPr>
              <w:jc w:val="both"/>
              <w:rPr>
                <w:rFonts w:ascii="Times New Roman" w:hAnsi="Times New Roman"/>
                <w:b/>
                <w:bCs/>
                <w:sz w:val="24"/>
                <w:szCs w:val="24"/>
                <w:lang w:val="ro-RO"/>
              </w:rPr>
            </w:pPr>
          </w:p>
          <w:p w14:paraId="37670FD8" w14:textId="77777777" w:rsidR="00702258" w:rsidRDefault="00702258" w:rsidP="0042753C">
            <w:pPr>
              <w:jc w:val="both"/>
              <w:rPr>
                <w:rFonts w:ascii="Times New Roman" w:hAnsi="Times New Roman"/>
                <w:b/>
                <w:bCs/>
                <w:sz w:val="24"/>
                <w:szCs w:val="24"/>
                <w:lang w:val="ro-RO"/>
              </w:rPr>
            </w:pPr>
          </w:p>
          <w:p w14:paraId="765B384F" w14:textId="77777777" w:rsidR="00702258" w:rsidRDefault="00702258" w:rsidP="0042753C">
            <w:pPr>
              <w:jc w:val="both"/>
              <w:rPr>
                <w:rFonts w:ascii="Times New Roman" w:hAnsi="Times New Roman"/>
                <w:b/>
                <w:bCs/>
                <w:sz w:val="24"/>
                <w:szCs w:val="24"/>
                <w:lang w:val="ro-RO"/>
              </w:rPr>
            </w:pPr>
          </w:p>
          <w:p w14:paraId="314941BB" w14:textId="77777777" w:rsidR="00702258" w:rsidRDefault="00702258" w:rsidP="0042753C">
            <w:pPr>
              <w:jc w:val="both"/>
              <w:rPr>
                <w:rFonts w:ascii="Times New Roman" w:hAnsi="Times New Roman"/>
                <w:b/>
                <w:bCs/>
                <w:sz w:val="24"/>
                <w:szCs w:val="24"/>
                <w:lang w:val="ro-RO"/>
              </w:rPr>
            </w:pPr>
          </w:p>
          <w:p w14:paraId="50BE282E" w14:textId="77777777" w:rsidR="00702258" w:rsidRDefault="00702258" w:rsidP="0042753C">
            <w:pPr>
              <w:jc w:val="both"/>
              <w:rPr>
                <w:rFonts w:ascii="Times New Roman" w:hAnsi="Times New Roman"/>
                <w:b/>
                <w:bCs/>
                <w:sz w:val="24"/>
                <w:szCs w:val="24"/>
                <w:lang w:val="ro-RO"/>
              </w:rPr>
            </w:pPr>
          </w:p>
          <w:p w14:paraId="7F3ACDB2" w14:textId="77777777" w:rsidR="00702258" w:rsidRDefault="00702258" w:rsidP="0042753C">
            <w:pPr>
              <w:jc w:val="both"/>
              <w:rPr>
                <w:rFonts w:ascii="Times New Roman" w:hAnsi="Times New Roman"/>
                <w:b/>
                <w:bCs/>
                <w:sz w:val="24"/>
                <w:szCs w:val="24"/>
                <w:lang w:val="ro-RO"/>
              </w:rPr>
            </w:pPr>
          </w:p>
          <w:p w14:paraId="1B78C06F" w14:textId="77777777" w:rsidR="00702258" w:rsidRDefault="00702258" w:rsidP="0042753C">
            <w:pPr>
              <w:jc w:val="both"/>
              <w:rPr>
                <w:rFonts w:ascii="Times New Roman" w:hAnsi="Times New Roman"/>
                <w:b/>
                <w:bCs/>
                <w:sz w:val="24"/>
                <w:szCs w:val="24"/>
                <w:lang w:val="ro-RO"/>
              </w:rPr>
            </w:pPr>
          </w:p>
          <w:p w14:paraId="477BC595" w14:textId="77777777" w:rsidR="00702258" w:rsidRDefault="00702258" w:rsidP="0042753C">
            <w:pPr>
              <w:jc w:val="both"/>
              <w:rPr>
                <w:rFonts w:ascii="Times New Roman" w:hAnsi="Times New Roman"/>
                <w:b/>
                <w:bCs/>
                <w:sz w:val="24"/>
                <w:szCs w:val="24"/>
                <w:lang w:val="ro-RO"/>
              </w:rPr>
            </w:pPr>
          </w:p>
          <w:p w14:paraId="2D656054" w14:textId="77777777" w:rsidR="00702258" w:rsidRDefault="00702258" w:rsidP="0042753C">
            <w:pPr>
              <w:jc w:val="both"/>
              <w:rPr>
                <w:rFonts w:ascii="Times New Roman" w:hAnsi="Times New Roman"/>
                <w:b/>
                <w:bCs/>
                <w:sz w:val="24"/>
                <w:szCs w:val="24"/>
                <w:lang w:val="ro-RO"/>
              </w:rPr>
            </w:pPr>
          </w:p>
          <w:p w14:paraId="534BA8F1" w14:textId="77777777" w:rsidR="00702258" w:rsidRDefault="00702258" w:rsidP="0042753C">
            <w:pPr>
              <w:jc w:val="both"/>
              <w:rPr>
                <w:rFonts w:ascii="Times New Roman" w:hAnsi="Times New Roman"/>
                <w:b/>
                <w:bCs/>
                <w:sz w:val="24"/>
                <w:szCs w:val="24"/>
                <w:lang w:val="ro-RO"/>
              </w:rPr>
            </w:pPr>
          </w:p>
          <w:p w14:paraId="5A602C9A" w14:textId="77777777" w:rsidR="00702258" w:rsidRDefault="00702258" w:rsidP="0042753C">
            <w:pPr>
              <w:jc w:val="both"/>
              <w:rPr>
                <w:rFonts w:ascii="Times New Roman" w:hAnsi="Times New Roman"/>
                <w:b/>
                <w:bCs/>
                <w:sz w:val="24"/>
                <w:szCs w:val="24"/>
                <w:lang w:val="ro-RO"/>
              </w:rPr>
            </w:pPr>
          </w:p>
          <w:p w14:paraId="1852FF73" w14:textId="77777777" w:rsidR="00702258" w:rsidRDefault="00702258" w:rsidP="0042753C">
            <w:pPr>
              <w:jc w:val="both"/>
              <w:rPr>
                <w:rFonts w:ascii="Times New Roman" w:hAnsi="Times New Roman"/>
                <w:b/>
                <w:bCs/>
                <w:sz w:val="24"/>
                <w:szCs w:val="24"/>
                <w:lang w:val="ro-RO"/>
              </w:rPr>
            </w:pPr>
          </w:p>
          <w:p w14:paraId="09CEB768" w14:textId="77777777" w:rsidR="00702258" w:rsidRDefault="00702258" w:rsidP="0042753C">
            <w:pPr>
              <w:jc w:val="both"/>
              <w:rPr>
                <w:rFonts w:ascii="Times New Roman" w:hAnsi="Times New Roman"/>
                <w:b/>
                <w:bCs/>
                <w:sz w:val="24"/>
                <w:szCs w:val="24"/>
                <w:lang w:val="ro-RO"/>
              </w:rPr>
            </w:pPr>
          </w:p>
          <w:p w14:paraId="7FB5F3FE" w14:textId="77777777" w:rsidR="00702258" w:rsidRDefault="00702258" w:rsidP="0042753C">
            <w:pPr>
              <w:jc w:val="both"/>
              <w:rPr>
                <w:rFonts w:ascii="Times New Roman" w:hAnsi="Times New Roman"/>
                <w:b/>
                <w:bCs/>
                <w:sz w:val="24"/>
                <w:szCs w:val="24"/>
                <w:lang w:val="ro-RO"/>
              </w:rPr>
            </w:pPr>
          </w:p>
          <w:p w14:paraId="75E790BD" w14:textId="77777777" w:rsidR="00702258" w:rsidRDefault="00702258" w:rsidP="0042753C">
            <w:pPr>
              <w:jc w:val="both"/>
              <w:rPr>
                <w:rFonts w:ascii="Times New Roman" w:hAnsi="Times New Roman"/>
                <w:b/>
                <w:bCs/>
                <w:sz w:val="24"/>
                <w:szCs w:val="24"/>
                <w:lang w:val="ro-RO"/>
              </w:rPr>
            </w:pPr>
          </w:p>
          <w:p w14:paraId="1465B690" w14:textId="77777777" w:rsidR="00702258" w:rsidRDefault="00702258" w:rsidP="0042753C">
            <w:pPr>
              <w:jc w:val="both"/>
              <w:rPr>
                <w:rFonts w:ascii="Times New Roman" w:hAnsi="Times New Roman"/>
                <w:b/>
                <w:bCs/>
                <w:sz w:val="24"/>
                <w:szCs w:val="24"/>
                <w:lang w:val="ro-RO"/>
              </w:rPr>
            </w:pPr>
          </w:p>
          <w:p w14:paraId="73B8D8A9" w14:textId="77777777" w:rsidR="00702258" w:rsidRDefault="00702258" w:rsidP="0042753C">
            <w:pPr>
              <w:jc w:val="both"/>
              <w:rPr>
                <w:rFonts w:ascii="Times New Roman" w:hAnsi="Times New Roman"/>
                <w:b/>
                <w:bCs/>
                <w:sz w:val="24"/>
                <w:szCs w:val="24"/>
                <w:lang w:val="ro-RO"/>
              </w:rPr>
            </w:pPr>
          </w:p>
          <w:p w14:paraId="252950AD" w14:textId="77777777" w:rsidR="00702258" w:rsidRDefault="00702258" w:rsidP="0042753C">
            <w:pPr>
              <w:jc w:val="both"/>
              <w:rPr>
                <w:rFonts w:ascii="Times New Roman" w:hAnsi="Times New Roman"/>
                <w:b/>
                <w:bCs/>
                <w:sz w:val="24"/>
                <w:szCs w:val="24"/>
                <w:lang w:val="ro-RO"/>
              </w:rPr>
            </w:pPr>
          </w:p>
          <w:p w14:paraId="1574A2E2" w14:textId="77777777" w:rsidR="00702258" w:rsidRDefault="00702258" w:rsidP="0042753C">
            <w:pPr>
              <w:jc w:val="both"/>
              <w:rPr>
                <w:rFonts w:ascii="Times New Roman" w:hAnsi="Times New Roman"/>
                <w:b/>
                <w:bCs/>
                <w:sz w:val="24"/>
                <w:szCs w:val="24"/>
                <w:lang w:val="ro-RO"/>
              </w:rPr>
            </w:pPr>
          </w:p>
          <w:p w14:paraId="36B83ED4" w14:textId="77777777" w:rsidR="00702258" w:rsidRDefault="00702258" w:rsidP="0042753C">
            <w:pPr>
              <w:jc w:val="both"/>
              <w:rPr>
                <w:rFonts w:ascii="Times New Roman" w:hAnsi="Times New Roman"/>
                <w:b/>
                <w:bCs/>
                <w:sz w:val="24"/>
                <w:szCs w:val="24"/>
                <w:lang w:val="ro-RO"/>
              </w:rPr>
            </w:pPr>
          </w:p>
          <w:p w14:paraId="544F04E2" w14:textId="77777777" w:rsidR="00702258" w:rsidRDefault="00702258" w:rsidP="0042753C">
            <w:pPr>
              <w:jc w:val="both"/>
              <w:rPr>
                <w:rFonts w:ascii="Times New Roman" w:hAnsi="Times New Roman"/>
                <w:b/>
                <w:bCs/>
                <w:sz w:val="24"/>
                <w:szCs w:val="24"/>
                <w:lang w:val="ro-RO"/>
              </w:rPr>
            </w:pPr>
          </w:p>
          <w:p w14:paraId="6DCA744C" w14:textId="77777777" w:rsidR="00702258" w:rsidRDefault="00702258" w:rsidP="0042753C">
            <w:pPr>
              <w:jc w:val="both"/>
              <w:rPr>
                <w:rFonts w:ascii="Times New Roman" w:hAnsi="Times New Roman"/>
                <w:b/>
                <w:bCs/>
                <w:sz w:val="24"/>
                <w:szCs w:val="24"/>
                <w:lang w:val="ro-RO"/>
              </w:rPr>
            </w:pPr>
          </w:p>
          <w:p w14:paraId="498C85B9" w14:textId="77777777" w:rsidR="00702258" w:rsidRDefault="00702258" w:rsidP="0042753C">
            <w:pPr>
              <w:jc w:val="both"/>
              <w:rPr>
                <w:rFonts w:ascii="Times New Roman" w:hAnsi="Times New Roman"/>
                <w:b/>
                <w:bCs/>
                <w:sz w:val="24"/>
                <w:szCs w:val="24"/>
                <w:lang w:val="ro-RO"/>
              </w:rPr>
            </w:pPr>
          </w:p>
          <w:p w14:paraId="3743109C" w14:textId="77777777" w:rsidR="00702258" w:rsidRDefault="00702258" w:rsidP="0042753C">
            <w:pPr>
              <w:jc w:val="both"/>
              <w:rPr>
                <w:rFonts w:ascii="Times New Roman" w:hAnsi="Times New Roman"/>
                <w:b/>
                <w:bCs/>
                <w:sz w:val="24"/>
                <w:szCs w:val="24"/>
                <w:lang w:val="ro-RO"/>
              </w:rPr>
            </w:pPr>
          </w:p>
          <w:p w14:paraId="2D408211" w14:textId="77777777" w:rsidR="00702258" w:rsidRDefault="00702258" w:rsidP="0042753C">
            <w:pPr>
              <w:jc w:val="both"/>
              <w:rPr>
                <w:rFonts w:ascii="Times New Roman" w:hAnsi="Times New Roman"/>
                <w:b/>
                <w:bCs/>
                <w:sz w:val="24"/>
                <w:szCs w:val="24"/>
                <w:lang w:val="ro-RO"/>
              </w:rPr>
            </w:pPr>
          </w:p>
          <w:p w14:paraId="5C3EC415" w14:textId="77777777" w:rsidR="00702258" w:rsidRDefault="00702258" w:rsidP="0042753C">
            <w:pPr>
              <w:jc w:val="both"/>
              <w:rPr>
                <w:rFonts w:ascii="Times New Roman" w:hAnsi="Times New Roman"/>
                <w:b/>
                <w:bCs/>
                <w:sz w:val="24"/>
                <w:szCs w:val="24"/>
                <w:lang w:val="ro-RO"/>
              </w:rPr>
            </w:pPr>
          </w:p>
          <w:p w14:paraId="53E9048B" w14:textId="77777777" w:rsidR="00702258" w:rsidRDefault="00702258" w:rsidP="0042753C">
            <w:pPr>
              <w:jc w:val="both"/>
              <w:rPr>
                <w:rFonts w:ascii="Times New Roman" w:hAnsi="Times New Roman"/>
                <w:b/>
                <w:bCs/>
                <w:sz w:val="24"/>
                <w:szCs w:val="24"/>
                <w:lang w:val="ro-RO"/>
              </w:rPr>
            </w:pPr>
          </w:p>
          <w:p w14:paraId="5E1777A2" w14:textId="77777777" w:rsidR="00702258" w:rsidRDefault="00702258" w:rsidP="0042753C">
            <w:pPr>
              <w:jc w:val="both"/>
              <w:rPr>
                <w:rFonts w:ascii="Times New Roman" w:hAnsi="Times New Roman"/>
                <w:b/>
                <w:bCs/>
                <w:sz w:val="24"/>
                <w:szCs w:val="24"/>
                <w:lang w:val="ro-RO"/>
              </w:rPr>
            </w:pPr>
          </w:p>
          <w:p w14:paraId="7A6B7BC6" w14:textId="77777777" w:rsidR="00702258" w:rsidRDefault="00702258" w:rsidP="0042753C">
            <w:pPr>
              <w:jc w:val="both"/>
              <w:rPr>
                <w:rFonts w:ascii="Times New Roman" w:hAnsi="Times New Roman"/>
                <w:b/>
                <w:bCs/>
                <w:sz w:val="24"/>
                <w:szCs w:val="24"/>
                <w:lang w:val="ro-RO"/>
              </w:rPr>
            </w:pPr>
          </w:p>
          <w:p w14:paraId="0CEDF1DC" w14:textId="77777777" w:rsidR="00702258" w:rsidRDefault="00702258" w:rsidP="0042753C">
            <w:pPr>
              <w:jc w:val="both"/>
              <w:rPr>
                <w:rFonts w:ascii="Times New Roman" w:hAnsi="Times New Roman"/>
                <w:b/>
                <w:bCs/>
                <w:sz w:val="24"/>
                <w:szCs w:val="24"/>
                <w:lang w:val="ro-RO"/>
              </w:rPr>
            </w:pPr>
          </w:p>
          <w:p w14:paraId="63B78882" w14:textId="77777777" w:rsidR="00702258" w:rsidRDefault="00702258" w:rsidP="0042753C">
            <w:pPr>
              <w:jc w:val="both"/>
              <w:rPr>
                <w:rFonts w:ascii="Times New Roman" w:hAnsi="Times New Roman"/>
                <w:b/>
                <w:bCs/>
                <w:sz w:val="24"/>
                <w:szCs w:val="24"/>
                <w:lang w:val="ro-RO"/>
              </w:rPr>
            </w:pPr>
          </w:p>
          <w:p w14:paraId="07D0C59D" w14:textId="77777777" w:rsidR="00702258" w:rsidRDefault="00702258" w:rsidP="0042753C">
            <w:pPr>
              <w:jc w:val="both"/>
              <w:rPr>
                <w:rFonts w:ascii="Times New Roman" w:hAnsi="Times New Roman"/>
                <w:b/>
                <w:bCs/>
                <w:sz w:val="24"/>
                <w:szCs w:val="24"/>
                <w:lang w:val="ro-RO"/>
              </w:rPr>
            </w:pPr>
          </w:p>
          <w:p w14:paraId="1971B90C" w14:textId="77777777" w:rsidR="00702258" w:rsidRDefault="00702258" w:rsidP="0042753C">
            <w:pPr>
              <w:jc w:val="both"/>
              <w:rPr>
                <w:rFonts w:ascii="Times New Roman" w:hAnsi="Times New Roman"/>
                <w:b/>
                <w:bCs/>
                <w:sz w:val="24"/>
                <w:szCs w:val="24"/>
                <w:lang w:val="ro-RO"/>
              </w:rPr>
            </w:pPr>
          </w:p>
          <w:p w14:paraId="0D698493" w14:textId="77777777" w:rsidR="00702258" w:rsidRDefault="00702258" w:rsidP="0042753C">
            <w:pPr>
              <w:jc w:val="both"/>
              <w:rPr>
                <w:rFonts w:ascii="Times New Roman" w:hAnsi="Times New Roman"/>
                <w:b/>
                <w:bCs/>
                <w:sz w:val="24"/>
                <w:szCs w:val="24"/>
                <w:lang w:val="ro-RO"/>
              </w:rPr>
            </w:pPr>
          </w:p>
          <w:p w14:paraId="068CD83F" w14:textId="77777777" w:rsidR="00702258" w:rsidRDefault="00702258" w:rsidP="0042753C">
            <w:pPr>
              <w:jc w:val="both"/>
              <w:rPr>
                <w:rFonts w:ascii="Times New Roman" w:hAnsi="Times New Roman"/>
                <w:b/>
                <w:bCs/>
                <w:sz w:val="24"/>
                <w:szCs w:val="24"/>
                <w:lang w:val="ro-RO"/>
              </w:rPr>
            </w:pPr>
          </w:p>
          <w:p w14:paraId="01524711" w14:textId="77777777" w:rsidR="00702258" w:rsidRDefault="00702258" w:rsidP="0042753C">
            <w:pPr>
              <w:jc w:val="both"/>
              <w:rPr>
                <w:rFonts w:ascii="Times New Roman" w:hAnsi="Times New Roman"/>
                <w:b/>
                <w:bCs/>
                <w:sz w:val="24"/>
                <w:szCs w:val="24"/>
                <w:lang w:val="ro-RO"/>
              </w:rPr>
            </w:pPr>
          </w:p>
          <w:p w14:paraId="7589E944" w14:textId="77777777" w:rsidR="00702258" w:rsidRDefault="00702258" w:rsidP="0042753C">
            <w:pPr>
              <w:jc w:val="both"/>
              <w:rPr>
                <w:rFonts w:ascii="Times New Roman" w:hAnsi="Times New Roman"/>
                <w:b/>
                <w:bCs/>
                <w:sz w:val="24"/>
                <w:szCs w:val="24"/>
                <w:lang w:val="ro-RO"/>
              </w:rPr>
            </w:pPr>
          </w:p>
          <w:p w14:paraId="55A70FFD" w14:textId="77777777" w:rsidR="00702258" w:rsidRDefault="00702258" w:rsidP="0042753C">
            <w:pPr>
              <w:jc w:val="both"/>
              <w:rPr>
                <w:rFonts w:ascii="Times New Roman" w:hAnsi="Times New Roman"/>
                <w:b/>
                <w:bCs/>
                <w:sz w:val="24"/>
                <w:szCs w:val="24"/>
                <w:lang w:val="ro-RO"/>
              </w:rPr>
            </w:pPr>
          </w:p>
          <w:p w14:paraId="4F56B810" w14:textId="77777777" w:rsidR="00702258" w:rsidRDefault="00702258" w:rsidP="0042753C">
            <w:pPr>
              <w:jc w:val="both"/>
              <w:rPr>
                <w:rFonts w:ascii="Times New Roman" w:hAnsi="Times New Roman"/>
                <w:b/>
                <w:bCs/>
                <w:sz w:val="24"/>
                <w:szCs w:val="24"/>
                <w:lang w:val="ro-RO"/>
              </w:rPr>
            </w:pPr>
          </w:p>
          <w:p w14:paraId="4F706B61" w14:textId="77777777" w:rsidR="00702258" w:rsidRDefault="00702258" w:rsidP="0042753C">
            <w:pPr>
              <w:jc w:val="both"/>
              <w:rPr>
                <w:rFonts w:ascii="Times New Roman" w:hAnsi="Times New Roman"/>
                <w:b/>
                <w:bCs/>
                <w:sz w:val="24"/>
                <w:szCs w:val="24"/>
                <w:lang w:val="ro-RO"/>
              </w:rPr>
            </w:pPr>
          </w:p>
          <w:p w14:paraId="36C9F884" w14:textId="77777777" w:rsidR="00702258" w:rsidRDefault="00702258" w:rsidP="0042753C">
            <w:pPr>
              <w:jc w:val="both"/>
              <w:rPr>
                <w:rFonts w:ascii="Times New Roman" w:hAnsi="Times New Roman"/>
                <w:b/>
                <w:bCs/>
                <w:sz w:val="24"/>
                <w:szCs w:val="24"/>
                <w:lang w:val="ro-RO"/>
              </w:rPr>
            </w:pPr>
          </w:p>
          <w:p w14:paraId="782140B2" w14:textId="77777777" w:rsidR="00702258" w:rsidRDefault="00702258" w:rsidP="0042753C">
            <w:pPr>
              <w:jc w:val="both"/>
              <w:rPr>
                <w:rFonts w:ascii="Times New Roman" w:hAnsi="Times New Roman"/>
                <w:b/>
                <w:bCs/>
                <w:sz w:val="24"/>
                <w:szCs w:val="24"/>
                <w:lang w:val="ro-RO"/>
              </w:rPr>
            </w:pPr>
          </w:p>
          <w:p w14:paraId="7C0D4049" w14:textId="77777777" w:rsidR="00702258" w:rsidRDefault="00702258" w:rsidP="0042753C">
            <w:pPr>
              <w:jc w:val="both"/>
              <w:rPr>
                <w:rFonts w:ascii="Times New Roman" w:hAnsi="Times New Roman"/>
                <w:b/>
                <w:bCs/>
                <w:sz w:val="24"/>
                <w:szCs w:val="24"/>
                <w:lang w:val="ro-RO"/>
              </w:rPr>
            </w:pPr>
          </w:p>
          <w:p w14:paraId="6FE2925C" w14:textId="77777777" w:rsidR="00702258" w:rsidRDefault="00702258" w:rsidP="0042753C">
            <w:pPr>
              <w:jc w:val="both"/>
              <w:rPr>
                <w:rFonts w:ascii="Times New Roman" w:hAnsi="Times New Roman"/>
                <w:b/>
                <w:bCs/>
                <w:sz w:val="24"/>
                <w:szCs w:val="24"/>
                <w:lang w:val="ro-RO"/>
              </w:rPr>
            </w:pPr>
          </w:p>
          <w:p w14:paraId="7B4788BA" w14:textId="77777777" w:rsidR="00702258" w:rsidRDefault="00702258" w:rsidP="0042753C">
            <w:pPr>
              <w:jc w:val="both"/>
              <w:rPr>
                <w:rFonts w:ascii="Times New Roman" w:hAnsi="Times New Roman"/>
                <w:b/>
                <w:bCs/>
                <w:sz w:val="24"/>
                <w:szCs w:val="24"/>
                <w:lang w:val="ro-RO"/>
              </w:rPr>
            </w:pPr>
          </w:p>
          <w:p w14:paraId="1BE8F1AD" w14:textId="77777777" w:rsidR="00702258" w:rsidRDefault="00702258" w:rsidP="0042753C">
            <w:pPr>
              <w:jc w:val="both"/>
              <w:rPr>
                <w:rFonts w:ascii="Times New Roman" w:hAnsi="Times New Roman"/>
                <w:b/>
                <w:bCs/>
                <w:sz w:val="24"/>
                <w:szCs w:val="24"/>
                <w:lang w:val="ro-RO"/>
              </w:rPr>
            </w:pPr>
          </w:p>
          <w:p w14:paraId="6B179F42" w14:textId="77777777" w:rsidR="00702258" w:rsidRDefault="00702258" w:rsidP="0042753C">
            <w:pPr>
              <w:jc w:val="both"/>
              <w:rPr>
                <w:rFonts w:ascii="Times New Roman" w:hAnsi="Times New Roman"/>
                <w:b/>
                <w:bCs/>
                <w:sz w:val="24"/>
                <w:szCs w:val="24"/>
                <w:lang w:val="ro-RO"/>
              </w:rPr>
            </w:pPr>
          </w:p>
          <w:p w14:paraId="7DBB7202" w14:textId="77777777" w:rsidR="00702258" w:rsidRDefault="00702258" w:rsidP="0042753C">
            <w:pPr>
              <w:jc w:val="both"/>
              <w:rPr>
                <w:rFonts w:ascii="Times New Roman" w:hAnsi="Times New Roman"/>
                <w:b/>
                <w:bCs/>
                <w:sz w:val="24"/>
                <w:szCs w:val="24"/>
                <w:lang w:val="ro-RO"/>
              </w:rPr>
            </w:pPr>
          </w:p>
          <w:p w14:paraId="112DBF97" w14:textId="77777777" w:rsidR="00702258" w:rsidRDefault="00702258" w:rsidP="0042753C">
            <w:pPr>
              <w:jc w:val="both"/>
              <w:rPr>
                <w:rFonts w:ascii="Times New Roman" w:hAnsi="Times New Roman"/>
                <w:b/>
                <w:bCs/>
                <w:sz w:val="24"/>
                <w:szCs w:val="24"/>
                <w:lang w:val="ro-RO"/>
              </w:rPr>
            </w:pPr>
          </w:p>
          <w:p w14:paraId="77EDB9B7" w14:textId="77777777" w:rsidR="00702258" w:rsidRDefault="00702258" w:rsidP="0042753C">
            <w:pPr>
              <w:jc w:val="both"/>
              <w:rPr>
                <w:rFonts w:ascii="Times New Roman" w:hAnsi="Times New Roman"/>
                <w:b/>
                <w:bCs/>
                <w:sz w:val="24"/>
                <w:szCs w:val="24"/>
                <w:lang w:val="ro-RO"/>
              </w:rPr>
            </w:pPr>
          </w:p>
          <w:p w14:paraId="27BE0EEB" w14:textId="77777777" w:rsidR="00702258" w:rsidRDefault="00702258" w:rsidP="0042753C">
            <w:pPr>
              <w:jc w:val="both"/>
              <w:rPr>
                <w:rFonts w:ascii="Times New Roman" w:hAnsi="Times New Roman"/>
                <w:b/>
                <w:bCs/>
                <w:sz w:val="24"/>
                <w:szCs w:val="24"/>
                <w:lang w:val="ro-RO"/>
              </w:rPr>
            </w:pPr>
          </w:p>
          <w:p w14:paraId="0F814F44" w14:textId="77777777" w:rsidR="00702258" w:rsidRDefault="00702258" w:rsidP="0042753C">
            <w:pPr>
              <w:jc w:val="both"/>
              <w:rPr>
                <w:rFonts w:ascii="Times New Roman" w:hAnsi="Times New Roman"/>
                <w:b/>
                <w:bCs/>
                <w:sz w:val="24"/>
                <w:szCs w:val="24"/>
                <w:lang w:val="ro-RO"/>
              </w:rPr>
            </w:pPr>
          </w:p>
          <w:p w14:paraId="6CEE5331" w14:textId="77777777" w:rsidR="00702258" w:rsidRDefault="00702258" w:rsidP="0042753C">
            <w:pPr>
              <w:jc w:val="both"/>
              <w:rPr>
                <w:rFonts w:ascii="Times New Roman" w:hAnsi="Times New Roman"/>
                <w:b/>
                <w:bCs/>
                <w:sz w:val="24"/>
                <w:szCs w:val="24"/>
                <w:lang w:val="ro-RO"/>
              </w:rPr>
            </w:pPr>
          </w:p>
          <w:p w14:paraId="5AFBBCBC" w14:textId="77777777" w:rsidR="00702258" w:rsidRDefault="00702258" w:rsidP="0042753C">
            <w:pPr>
              <w:jc w:val="both"/>
              <w:rPr>
                <w:rFonts w:ascii="Times New Roman" w:hAnsi="Times New Roman"/>
                <w:b/>
                <w:bCs/>
                <w:sz w:val="24"/>
                <w:szCs w:val="24"/>
                <w:lang w:val="ro-RO"/>
              </w:rPr>
            </w:pPr>
          </w:p>
          <w:p w14:paraId="1DE273CB" w14:textId="77777777" w:rsidR="00702258" w:rsidRDefault="00702258" w:rsidP="0042753C">
            <w:pPr>
              <w:jc w:val="both"/>
              <w:rPr>
                <w:rFonts w:ascii="Times New Roman" w:hAnsi="Times New Roman"/>
                <w:b/>
                <w:bCs/>
                <w:sz w:val="24"/>
                <w:szCs w:val="24"/>
                <w:lang w:val="ro-RO"/>
              </w:rPr>
            </w:pPr>
          </w:p>
          <w:p w14:paraId="55FB28A0" w14:textId="77777777" w:rsidR="00702258" w:rsidRDefault="00702258" w:rsidP="0042753C">
            <w:pPr>
              <w:jc w:val="both"/>
              <w:rPr>
                <w:rFonts w:ascii="Times New Roman" w:hAnsi="Times New Roman"/>
                <w:b/>
                <w:bCs/>
                <w:sz w:val="24"/>
                <w:szCs w:val="24"/>
                <w:lang w:val="ro-RO"/>
              </w:rPr>
            </w:pPr>
          </w:p>
          <w:p w14:paraId="355707A3" w14:textId="77777777" w:rsidR="00702258" w:rsidRDefault="00702258" w:rsidP="0042753C">
            <w:pPr>
              <w:jc w:val="both"/>
              <w:rPr>
                <w:rFonts w:ascii="Times New Roman" w:hAnsi="Times New Roman"/>
                <w:b/>
                <w:bCs/>
                <w:sz w:val="24"/>
                <w:szCs w:val="24"/>
                <w:lang w:val="ro-RO"/>
              </w:rPr>
            </w:pPr>
          </w:p>
          <w:p w14:paraId="58C32A5B" w14:textId="77777777" w:rsidR="00702258" w:rsidRDefault="00702258" w:rsidP="0042753C">
            <w:pPr>
              <w:jc w:val="both"/>
              <w:rPr>
                <w:rFonts w:ascii="Times New Roman" w:hAnsi="Times New Roman"/>
                <w:b/>
                <w:bCs/>
                <w:sz w:val="24"/>
                <w:szCs w:val="24"/>
                <w:lang w:val="ro-RO"/>
              </w:rPr>
            </w:pPr>
          </w:p>
          <w:p w14:paraId="7F09F402" w14:textId="77777777" w:rsidR="00702258" w:rsidRDefault="00702258" w:rsidP="0042753C">
            <w:pPr>
              <w:jc w:val="both"/>
              <w:rPr>
                <w:rFonts w:ascii="Times New Roman" w:hAnsi="Times New Roman"/>
                <w:b/>
                <w:bCs/>
                <w:sz w:val="24"/>
                <w:szCs w:val="24"/>
                <w:lang w:val="ro-RO"/>
              </w:rPr>
            </w:pPr>
          </w:p>
          <w:p w14:paraId="0C0B0E98" w14:textId="77777777" w:rsidR="00702258" w:rsidRDefault="00702258" w:rsidP="0042753C">
            <w:pPr>
              <w:jc w:val="both"/>
              <w:rPr>
                <w:rFonts w:ascii="Times New Roman" w:hAnsi="Times New Roman"/>
                <w:b/>
                <w:bCs/>
                <w:sz w:val="24"/>
                <w:szCs w:val="24"/>
                <w:lang w:val="ro-RO"/>
              </w:rPr>
            </w:pPr>
          </w:p>
          <w:p w14:paraId="4B55EC65" w14:textId="77777777" w:rsidR="00702258" w:rsidRDefault="00702258" w:rsidP="0042753C">
            <w:pPr>
              <w:jc w:val="both"/>
              <w:rPr>
                <w:rFonts w:ascii="Times New Roman" w:hAnsi="Times New Roman"/>
                <w:b/>
                <w:bCs/>
                <w:sz w:val="24"/>
                <w:szCs w:val="24"/>
                <w:lang w:val="ro-RO"/>
              </w:rPr>
            </w:pPr>
          </w:p>
          <w:p w14:paraId="4790D21E" w14:textId="77777777" w:rsidR="00702258" w:rsidRDefault="00702258" w:rsidP="0042753C">
            <w:pPr>
              <w:jc w:val="both"/>
              <w:rPr>
                <w:rFonts w:ascii="Times New Roman" w:hAnsi="Times New Roman"/>
                <w:b/>
                <w:bCs/>
                <w:sz w:val="24"/>
                <w:szCs w:val="24"/>
                <w:lang w:val="ro-RO"/>
              </w:rPr>
            </w:pPr>
          </w:p>
          <w:p w14:paraId="4EBD8D64" w14:textId="77777777" w:rsidR="00702258" w:rsidRDefault="00702258" w:rsidP="0042753C">
            <w:pPr>
              <w:jc w:val="both"/>
              <w:rPr>
                <w:rFonts w:ascii="Times New Roman" w:hAnsi="Times New Roman"/>
                <w:b/>
                <w:bCs/>
                <w:sz w:val="24"/>
                <w:szCs w:val="24"/>
                <w:lang w:val="ro-RO"/>
              </w:rPr>
            </w:pPr>
          </w:p>
          <w:p w14:paraId="0C651BDB" w14:textId="77777777" w:rsidR="00702258" w:rsidRDefault="00702258" w:rsidP="0042753C">
            <w:pPr>
              <w:jc w:val="both"/>
              <w:rPr>
                <w:rFonts w:ascii="Times New Roman" w:hAnsi="Times New Roman"/>
                <w:b/>
                <w:bCs/>
                <w:sz w:val="24"/>
                <w:szCs w:val="24"/>
                <w:lang w:val="ro-RO"/>
              </w:rPr>
            </w:pPr>
          </w:p>
          <w:p w14:paraId="4524A6B9" w14:textId="77777777" w:rsidR="00702258" w:rsidRDefault="00702258" w:rsidP="0042753C">
            <w:pPr>
              <w:jc w:val="both"/>
              <w:rPr>
                <w:rFonts w:ascii="Times New Roman" w:hAnsi="Times New Roman"/>
                <w:b/>
                <w:bCs/>
                <w:sz w:val="24"/>
                <w:szCs w:val="24"/>
                <w:lang w:val="ro-RO"/>
              </w:rPr>
            </w:pPr>
          </w:p>
          <w:p w14:paraId="2E8856D6" w14:textId="77777777" w:rsidR="00702258" w:rsidRDefault="00702258" w:rsidP="0042753C">
            <w:pPr>
              <w:jc w:val="both"/>
              <w:rPr>
                <w:rFonts w:ascii="Times New Roman" w:hAnsi="Times New Roman"/>
                <w:b/>
                <w:bCs/>
                <w:sz w:val="24"/>
                <w:szCs w:val="24"/>
                <w:lang w:val="ro-RO"/>
              </w:rPr>
            </w:pPr>
          </w:p>
          <w:p w14:paraId="005BA53E" w14:textId="77777777" w:rsidR="00702258" w:rsidRDefault="00702258" w:rsidP="0042753C">
            <w:pPr>
              <w:jc w:val="both"/>
              <w:rPr>
                <w:rFonts w:ascii="Times New Roman" w:hAnsi="Times New Roman"/>
                <w:b/>
                <w:bCs/>
                <w:sz w:val="24"/>
                <w:szCs w:val="24"/>
                <w:lang w:val="ro-RO"/>
              </w:rPr>
            </w:pPr>
          </w:p>
          <w:p w14:paraId="43A2EC3B" w14:textId="77777777" w:rsidR="00702258" w:rsidRDefault="00702258" w:rsidP="0042753C">
            <w:pPr>
              <w:jc w:val="both"/>
              <w:rPr>
                <w:rFonts w:ascii="Times New Roman" w:hAnsi="Times New Roman"/>
                <w:b/>
                <w:bCs/>
                <w:sz w:val="24"/>
                <w:szCs w:val="24"/>
                <w:lang w:val="ro-RO"/>
              </w:rPr>
            </w:pPr>
          </w:p>
          <w:p w14:paraId="21BF0418" w14:textId="77777777" w:rsidR="00702258" w:rsidRDefault="00702258" w:rsidP="0042753C">
            <w:pPr>
              <w:jc w:val="both"/>
              <w:rPr>
                <w:rFonts w:ascii="Times New Roman" w:hAnsi="Times New Roman"/>
                <w:b/>
                <w:bCs/>
                <w:sz w:val="24"/>
                <w:szCs w:val="24"/>
                <w:lang w:val="ro-RO"/>
              </w:rPr>
            </w:pPr>
          </w:p>
          <w:p w14:paraId="5FFEC440" w14:textId="77777777" w:rsidR="00702258" w:rsidRDefault="00702258" w:rsidP="0042753C">
            <w:pPr>
              <w:jc w:val="both"/>
              <w:rPr>
                <w:rFonts w:ascii="Times New Roman" w:hAnsi="Times New Roman"/>
                <w:b/>
                <w:bCs/>
                <w:sz w:val="24"/>
                <w:szCs w:val="24"/>
                <w:lang w:val="ro-RO"/>
              </w:rPr>
            </w:pPr>
          </w:p>
          <w:p w14:paraId="7D3FA0E8" w14:textId="77777777" w:rsidR="00702258" w:rsidRDefault="00702258" w:rsidP="0042753C">
            <w:pPr>
              <w:jc w:val="both"/>
              <w:rPr>
                <w:rFonts w:ascii="Times New Roman" w:hAnsi="Times New Roman"/>
                <w:b/>
                <w:bCs/>
                <w:sz w:val="24"/>
                <w:szCs w:val="24"/>
                <w:lang w:val="ro-RO"/>
              </w:rPr>
            </w:pPr>
          </w:p>
          <w:p w14:paraId="40E8AEC4" w14:textId="77777777" w:rsidR="00702258" w:rsidRDefault="00702258" w:rsidP="0042753C">
            <w:pPr>
              <w:jc w:val="both"/>
              <w:rPr>
                <w:rFonts w:ascii="Times New Roman" w:hAnsi="Times New Roman"/>
                <w:b/>
                <w:bCs/>
                <w:sz w:val="24"/>
                <w:szCs w:val="24"/>
                <w:lang w:val="ro-RO"/>
              </w:rPr>
            </w:pPr>
          </w:p>
          <w:p w14:paraId="4CEE0298" w14:textId="77777777" w:rsidR="00702258" w:rsidRDefault="00702258" w:rsidP="0042753C">
            <w:pPr>
              <w:jc w:val="both"/>
              <w:rPr>
                <w:rFonts w:ascii="Times New Roman" w:hAnsi="Times New Roman"/>
                <w:b/>
                <w:bCs/>
                <w:sz w:val="24"/>
                <w:szCs w:val="24"/>
                <w:lang w:val="ro-RO"/>
              </w:rPr>
            </w:pPr>
          </w:p>
          <w:p w14:paraId="5C74094D" w14:textId="77777777" w:rsidR="00702258" w:rsidRDefault="00702258" w:rsidP="0042753C">
            <w:pPr>
              <w:jc w:val="both"/>
              <w:rPr>
                <w:rFonts w:ascii="Times New Roman" w:hAnsi="Times New Roman"/>
                <w:b/>
                <w:bCs/>
                <w:sz w:val="24"/>
                <w:szCs w:val="24"/>
                <w:lang w:val="ro-RO"/>
              </w:rPr>
            </w:pPr>
          </w:p>
          <w:p w14:paraId="0E037C80" w14:textId="77777777" w:rsidR="00702258" w:rsidRDefault="00702258" w:rsidP="0042753C">
            <w:pPr>
              <w:jc w:val="both"/>
              <w:rPr>
                <w:rFonts w:ascii="Times New Roman" w:hAnsi="Times New Roman"/>
                <w:b/>
                <w:bCs/>
                <w:sz w:val="24"/>
                <w:szCs w:val="24"/>
                <w:lang w:val="ro-RO"/>
              </w:rPr>
            </w:pPr>
          </w:p>
          <w:p w14:paraId="4952B789" w14:textId="77777777" w:rsidR="00702258" w:rsidRDefault="00702258" w:rsidP="0042753C">
            <w:pPr>
              <w:jc w:val="both"/>
              <w:rPr>
                <w:rFonts w:ascii="Times New Roman" w:hAnsi="Times New Roman"/>
                <w:b/>
                <w:bCs/>
                <w:sz w:val="24"/>
                <w:szCs w:val="24"/>
                <w:lang w:val="ro-RO"/>
              </w:rPr>
            </w:pPr>
          </w:p>
          <w:p w14:paraId="15165119" w14:textId="77777777" w:rsidR="00702258" w:rsidRDefault="00702258" w:rsidP="0042753C">
            <w:pPr>
              <w:jc w:val="both"/>
              <w:rPr>
                <w:rFonts w:ascii="Times New Roman" w:hAnsi="Times New Roman"/>
                <w:b/>
                <w:bCs/>
                <w:sz w:val="24"/>
                <w:szCs w:val="24"/>
                <w:lang w:val="ro-RO"/>
              </w:rPr>
            </w:pPr>
          </w:p>
          <w:p w14:paraId="5B98FD3F" w14:textId="77777777" w:rsidR="00702258" w:rsidRDefault="00702258" w:rsidP="0042753C">
            <w:pPr>
              <w:jc w:val="both"/>
              <w:rPr>
                <w:rFonts w:ascii="Times New Roman" w:hAnsi="Times New Roman"/>
                <w:b/>
                <w:bCs/>
                <w:sz w:val="24"/>
                <w:szCs w:val="24"/>
                <w:lang w:val="ro-RO"/>
              </w:rPr>
            </w:pPr>
          </w:p>
          <w:p w14:paraId="61D1DBFE" w14:textId="77777777" w:rsidR="00702258" w:rsidRDefault="00702258" w:rsidP="0042753C">
            <w:pPr>
              <w:jc w:val="both"/>
              <w:rPr>
                <w:rFonts w:ascii="Times New Roman" w:hAnsi="Times New Roman"/>
                <w:b/>
                <w:bCs/>
                <w:sz w:val="24"/>
                <w:szCs w:val="24"/>
                <w:lang w:val="ro-RO"/>
              </w:rPr>
            </w:pPr>
          </w:p>
          <w:p w14:paraId="2D58785B" w14:textId="77777777" w:rsidR="00702258" w:rsidRDefault="00702258" w:rsidP="0042753C">
            <w:pPr>
              <w:jc w:val="both"/>
              <w:rPr>
                <w:rFonts w:ascii="Times New Roman" w:hAnsi="Times New Roman"/>
                <w:b/>
                <w:bCs/>
                <w:sz w:val="24"/>
                <w:szCs w:val="24"/>
                <w:lang w:val="ro-RO"/>
              </w:rPr>
            </w:pPr>
          </w:p>
          <w:p w14:paraId="5136DBEA" w14:textId="77777777" w:rsidR="00702258" w:rsidRDefault="00702258" w:rsidP="0042753C">
            <w:pPr>
              <w:jc w:val="both"/>
              <w:rPr>
                <w:rFonts w:ascii="Times New Roman" w:hAnsi="Times New Roman"/>
                <w:b/>
                <w:bCs/>
                <w:sz w:val="24"/>
                <w:szCs w:val="24"/>
                <w:lang w:val="ro-RO"/>
              </w:rPr>
            </w:pPr>
          </w:p>
          <w:p w14:paraId="3FBC3AE5" w14:textId="77777777" w:rsidR="00702258" w:rsidRDefault="00702258" w:rsidP="0042753C">
            <w:pPr>
              <w:jc w:val="both"/>
              <w:rPr>
                <w:rFonts w:ascii="Times New Roman" w:hAnsi="Times New Roman"/>
                <w:b/>
                <w:bCs/>
                <w:sz w:val="24"/>
                <w:szCs w:val="24"/>
                <w:lang w:val="ro-RO"/>
              </w:rPr>
            </w:pPr>
          </w:p>
          <w:p w14:paraId="41DDDCB6" w14:textId="77777777" w:rsidR="00702258" w:rsidRDefault="00702258" w:rsidP="0042753C">
            <w:pPr>
              <w:jc w:val="both"/>
              <w:rPr>
                <w:rFonts w:ascii="Times New Roman" w:hAnsi="Times New Roman"/>
                <w:b/>
                <w:bCs/>
                <w:sz w:val="24"/>
                <w:szCs w:val="24"/>
                <w:lang w:val="ro-RO"/>
              </w:rPr>
            </w:pPr>
          </w:p>
          <w:p w14:paraId="11700509" w14:textId="77777777" w:rsidR="00702258" w:rsidRDefault="00702258" w:rsidP="0042753C">
            <w:pPr>
              <w:jc w:val="both"/>
              <w:rPr>
                <w:rFonts w:ascii="Times New Roman" w:hAnsi="Times New Roman"/>
                <w:b/>
                <w:bCs/>
                <w:sz w:val="24"/>
                <w:szCs w:val="24"/>
                <w:lang w:val="ro-RO"/>
              </w:rPr>
            </w:pPr>
          </w:p>
          <w:p w14:paraId="26D8A13B" w14:textId="77777777" w:rsidR="00702258" w:rsidRDefault="00702258" w:rsidP="0042753C">
            <w:pPr>
              <w:jc w:val="both"/>
              <w:rPr>
                <w:rFonts w:ascii="Times New Roman" w:hAnsi="Times New Roman"/>
                <w:b/>
                <w:bCs/>
                <w:sz w:val="24"/>
                <w:szCs w:val="24"/>
                <w:lang w:val="ro-RO"/>
              </w:rPr>
            </w:pPr>
          </w:p>
          <w:p w14:paraId="3488EF43" w14:textId="77777777" w:rsidR="00702258" w:rsidRDefault="00702258" w:rsidP="0042753C">
            <w:pPr>
              <w:jc w:val="both"/>
              <w:rPr>
                <w:rFonts w:ascii="Times New Roman" w:hAnsi="Times New Roman"/>
                <w:b/>
                <w:bCs/>
                <w:sz w:val="24"/>
                <w:szCs w:val="24"/>
                <w:lang w:val="ro-RO"/>
              </w:rPr>
            </w:pPr>
          </w:p>
          <w:p w14:paraId="013EB0DF" w14:textId="77777777" w:rsidR="00702258" w:rsidRDefault="00702258" w:rsidP="0042753C">
            <w:pPr>
              <w:jc w:val="both"/>
              <w:rPr>
                <w:rFonts w:ascii="Times New Roman" w:hAnsi="Times New Roman"/>
                <w:b/>
                <w:bCs/>
                <w:sz w:val="24"/>
                <w:szCs w:val="24"/>
                <w:lang w:val="ro-RO"/>
              </w:rPr>
            </w:pPr>
          </w:p>
          <w:p w14:paraId="62F3004F" w14:textId="77777777" w:rsidR="00702258" w:rsidRDefault="00702258" w:rsidP="0042753C">
            <w:pPr>
              <w:jc w:val="both"/>
              <w:rPr>
                <w:rFonts w:ascii="Times New Roman" w:hAnsi="Times New Roman"/>
                <w:b/>
                <w:bCs/>
                <w:sz w:val="24"/>
                <w:szCs w:val="24"/>
                <w:lang w:val="ro-RO"/>
              </w:rPr>
            </w:pPr>
          </w:p>
          <w:p w14:paraId="38432A6E" w14:textId="77777777" w:rsidR="00702258" w:rsidRDefault="00702258" w:rsidP="0042753C">
            <w:pPr>
              <w:jc w:val="both"/>
              <w:rPr>
                <w:rFonts w:ascii="Times New Roman" w:hAnsi="Times New Roman"/>
                <w:b/>
                <w:bCs/>
                <w:sz w:val="24"/>
                <w:szCs w:val="24"/>
                <w:lang w:val="ro-RO"/>
              </w:rPr>
            </w:pPr>
          </w:p>
          <w:p w14:paraId="67DC08E5" w14:textId="77777777" w:rsidR="00702258" w:rsidRDefault="00702258" w:rsidP="0042753C">
            <w:pPr>
              <w:jc w:val="both"/>
              <w:rPr>
                <w:rFonts w:ascii="Times New Roman" w:hAnsi="Times New Roman"/>
                <w:b/>
                <w:bCs/>
                <w:sz w:val="24"/>
                <w:szCs w:val="24"/>
                <w:lang w:val="ro-RO"/>
              </w:rPr>
            </w:pPr>
          </w:p>
          <w:p w14:paraId="71D544B9" w14:textId="77777777" w:rsidR="00702258" w:rsidRDefault="00702258" w:rsidP="0042753C">
            <w:pPr>
              <w:jc w:val="both"/>
              <w:rPr>
                <w:rFonts w:ascii="Times New Roman" w:hAnsi="Times New Roman"/>
                <w:b/>
                <w:bCs/>
                <w:sz w:val="24"/>
                <w:szCs w:val="24"/>
                <w:lang w:val="ro-RO"/>
              </w:rPr>
            </w:pPr>
          </w:p>
          <w:p w14:paraId="0FF95574" w14:textId="77777777" w:rsidR="00702258" w:rsidRDefault="00702258" w:rsidP="0042753C">
            <w:pPr>
              <w:jc w:val="both"/>
              <w:rPr>
                <w:rFonts w:ascii="Times New Roman" w:hAnsi="Times New Roman"/>
                <w:b/>
                <w:bCs/>
                <w:sz w:val="24"/>
                <w:szCs w:val="24"/>
                <w:lang w:val="ro-RO"/>
              </w:rPr>
            </w:pPr>
          </w:p>
          <w:p w14:paraId="74CC078B" w14:textId="77777777" w:rsidR="00702258" w:rsidRDefault="00702258" w:rsidP="0042753C">
            <w:pPr>
              <w:jc w:val="both"/>
              <w:rPr>
                <w:rFonts w:ascii="Times New Roman" w:hAnsi="Times New Roman"/>
                <w:b/>
                <w:bCs/>
                <w:sz w:val="24"/>
                <w:szCs w:val="24"/>
                <w:lang w:val="ro-RO"/>
              </w:rPr>
            </w:pPr>
          </w:p>
          <w:p w14:paraId="087FFC36" w14:textId="77777777" w:rsidR="00702258" w:rsidRDefault="00702258" w:rsidP="0042753C">
            <w:pPr>
              <w:jc w:val="both"/>
              <w:rPr>
                <w:rFonts w:ascii="Times New Roman" w:hAnsi="Times New Roman"/>
                <w:b/>
                <w:bCs/>
                <w:sz w:val="24"/>
                <w:szCs w:val="24"/>
                <w:lang w:val="ro-RO"/>
              </w:rPr>
            </w:pPr>
          </w:p>
          <w:p w14:paraId="361ADBF3" w14:textId="77777777" w:rsidR="00702258" w:rsidRDefault="00702258" w:rsidP="0042753C">
            <w:pPr>
              <w:jc w:val="both"/>
              <w:rPr>
                <w:rFonts w:ascii="Times New Roman" w:hAnsi="Times New Roman"/>
                <w:b/>
                <w:bCs/>
                <w:sz w:val="24"/>
                <w:szCs w:val="24"/>
                <w:lang w:val="ro-RO"/>
              </w:rPr>
            </w:pPr>
          </w:p>
          <w:p w14:paraId="00AB8DE0" w14:textId="77777777" w:rsidR="00702258" w:rsidRDefault="00702258" w:rsidP="0042753C">
            <w:pPr>
              <w:jc w:val="both"/>
              <w:rPr>
                <w:rFonts w:ascii="Times New Roman" w:hAnsi="Times New Roman"/>
                <w:b/>
                <w:bCs/>
                <w:sz w:val="24"/>
                <w:szCs w:val="24"/>
                <w:lang w:val="ro-RO"/>
              </w:rPr>
            </w:pPr>
          </w:p>
          <w:p w14:paraId="397A4A65" w14:textId="77777777" w:rsidR="00702258" w:rsidRDefault="00702258" w:rsidP="0042753C">
            <w:pPr>
              <w:jc w:val="both"/>
              <w:rPr>
                <w:rFonts w:ascii="Times New Roman" w:hAnsi="Times New Roman"/>
                <w:b/>
                <w:bCs/>
                <w:sz w:val="24"/>
                <w:szCs w:val="24"/>
                <w:lang w:val="ro-RO"/>
              </w:rPr>
            </w:pPr>
          </w:p>
          <w:p w14:paraId="3B9ED5FA" w14:textId="77777777" w:rsidR="00702258" w:rsidRDefault="00702258" w:rsidP="0042753C">
            <w:pPr>
              <w:jc w:val="both"/>
              <w:rPr>
                <w:rFonts w:ascii="Times New Roman" w:hAnsi="Times New Roman"/>
                <w:b/>
                <w:bCs/>
                <w:sz w:val="24"/>
                <w:szCs w:val="24"/>
                <w:lang w:val="ro-RO"/>
              </w:rPr>
            </w:pPr>
          </w:p>
          <w:p w14:paraId="6EDF591F" w14:textId="77777777" w:rsidR="00702258" w:rsidRDefault="00702258" w:rsidP="0042753C">
            <w:pPr>
              <w:jc w:val="both"/>
              <w:rPr>
                <w:rFonts w:ascii="Times New Roman" w:hAnsi="Times New Roman"/>
                <w:b/>
                <w:bCs/>
                <w:sz w:val="24"/>
                <w:szCs w:val="24"/>
                <w:lang w:val="ro-RO"/>
              </w:rPr>
            </w:pPr>
          </w:p>
          <w:p w14:paraId="64D01EBD" w14:textId="77777777" w:rsidR="00702258" w:rsidRDefault="00702258" w:rsidP="0042753C">
            <w:pPr>
              <w:jc w:val="both"/>
              <w:rPr>
                <w:rFonts w:ascii="Times New Roman" w:hAnsi="Times New Roman"/>
                <w:b/>
                <w:bCs/>
                <w:sz w:val="24"/>
                <w:szCs w:val="24"/>
                <w:lang w:val="ro-RO"/>
              </w:rPr>
            </w:pPr>
          </w:p>
          <w:p w14:paraId="4841069B" w14:textId="77777777" w:rsidR="00702258" w:rsidRDefault="00702258" w:rsidP="0042753C">
            <w:pPr>
              <w:jc w:val="both"/>
              <w:rPr>
                <w:rFonts w:ascii="Times New Roman" w:hAnsi="Times New Roman"/>
                <w:b/>
                <w:bCs/>
                <w:sz w:val="24"/>
                <w:szCs w:val="24"/>
                <w:lang w:val="ro-RO"/>
              </w:rPr>
            </w:pPr>
          </w:p>
          <w:p w14:paraId="0B33BFDD" w14:textId="77777777" w:rsidR="00702258" w:rsidRDefault="00702258" w:rsidP="0042753C">
            <w:pPr>
              <w:jc w:val="both"/>
              <w:rPr>
                <w:rFonts w:ascii="Times New Roman" w:hAnsi="Times New Roman"/>
                <w:b/>
                <w:bCs/>
                <w:sz w:val="24"/>
                <w:szCs w:val="24"/>
                <w:lang w:val="ro-RO"/>
              </w:rPr>
            </w:pPr>
          </w:p>
          <w:p w14:paraId="4AB50047" w14:textId="77777777" w:rsidR="00702258" w:rsidRDefault="00702258" w:rsidP="0042753C">
            <w:pPr>
              <w:jc w:val="both"/>
              <w:rPr>
                <w:rFonts w:ascii="Times New Roman" w:hAnsi="Times New Roman"/>
                <w:b/>
                <w:bCs/>
                <w:sz w:val="24"/>
                <w:szCs w:val="24"/>
                <w:lang w:val="ro-RO"/>
              </w:rPr>
            </w:pPr>
          </w:p>
          <w:p w14:paraId="384FE1EA" w14:textId="77777777" w:rsidR="00702258" w:rsidRDefault="00702258" w:rsidP="0042753C">
            <w:pPr>
              <w:jc w:val="both"/>
              <w:rPr>
                <w:rFonts w:ascii="Times New Roman" w:hAnsi="Times New Roman"/>
                <w:b/>
                <w:bCs/>
                <w:sz w:val="24"/>
                <w:szCs w:val="24"/>
                <w:lang w:val="ro-RO"/>
              </w:rPr>
            </w:pPr>
          </w:p>
          <w:p w14:paraId="232F4F28" w14:textId="77777777" w:rsidR="00702258" w:rsidRDefault="00702258" w:rsidP="0042753C">
            <w:pPr>
              <w:jc w:val="both"/>
              <w:rPr>
                <w:rFonts w:ascii="Times New Roman" w:hAnsi="Times New Roman"/>
                <w:b/>
                <w:bCs/>
                <w:sz w:val="24"/>
                <w:szCs w:val="24"/>
                <w:lang w:val="ro-RO"/>
              </w:rPr>
            </w:pPr>
          </w:p>
          <w:p w14:paraId="3AF75322" w14:textId="77777777" w:rsidR="00702258" w:rsidRDefault="00702258" w:rsidP="0042753C">
            <w:pPr>
              <w:jc w:val="both"/>
              <w:rPr>
                <w:rFonts w:ascii="Times New Roman" w:hAnsi="Times New Roman"/>
                <w:b/>
                <w:bCs/>
                <w:sz w:val="24"/>
                <w:szCs w:val="24"/>
                <w:lang w:val="ro-RO"/>
              </w:rPr>
            </w:pPr>
          </w:p>
          <w:p w14:paraId="6B94C320" w14:textId="77777777" w:rsidR="00702258" w:rsidRDefault="00702258" w:rsidP="0042753C">
            <w:pPr>
              <w:jc w:val="both"/>
              <w:rPr>
                <w:rFonts w:ascii="Times New Roman" w:hAnsi="Times New Roman"/>
                <w:b/>
                <w:bCs/>
                <w:sz w:val="24"/>
                <w:szCs w:val="24"/>
                <w:lang w:val="ro-RO"/>
              </w:rPr>
            </w:pPr>
          </w:p>
          <w:p w14:paraId="5CB4BA55" w14:textId="77777777" w:rsidR="00702258" w:rsidRDefault="00702258" w:rsidP="0042753C">
            <w:pPr>
              <w:jc w:val="both"/>
              <w:rPr>
                <w:rFonts w:ascii="Times New Roman" w:hAnsi="Times New Roman"/>
                <w:b/>
                <w:bCs/>
                <w:sz w:val="24"/>
                <w:szCs w:val="24"/>
                <w:lang w:val="ro-RO"/>
              </w:rPr>
            </w:pPr>
          </w:p>
          <w:p w14:paraId="3D9F44A1" w14:textId="77777777" w:rsidR="00702258" w:rsidRDefault="00702258" w:rsidP="0042753C">
            <w:pPr>
              <w:jc w:val="both"/>
              <w:rPr>
                <w:rFonts w:ascii="Times New Roman" w:hAnsi="Times New Roman"/>
                <w:b/>
                <w:bCs/>
                <w:sz w:val="24"/>
                <w:szCs w:val="24"/>
                <w:lang w:val="ro-RO"/>
              </w:rPr>
            </w:pPr>
          </w:p>
          <w:p w14:paraId="24A5E391" w14:textId="77777777" w:rsidR="00702258" w:rsidRDefault="00702258" w:rsidP="0042753C">
            <w:pPr>
              <w:jc w:val="both"/>
              <w:rPr>
                <w:rFonts w:ascii="Times New Roman" w:hAnsi="Times New Roman"/>
                <w:b/>
                <w:bCs/>
                <w:sz w:val="24"/>
                <w:szCs w:val="24"/>
                <w:lang w:val="ro-RO"/>
              </w:rPr>
            </w:pPr>
          </w:p>
          <w:p w14:paraId="2EEFB8A5" w14:textId="77777777" w:rsidR="00702258" w:rsidRDefault="00702258" w:rsidP="0042753C">
            <w:pPr>
              <w:jc w:val="both"/>
              <w:rPr>
                <w:rFonts w:ascii="Times New Roman" w:hAnsi="Times New Roman"/>
                <w:b/>
                <w:bCs/>
                <w:sz w:val="24"/>
                <w:szCs w:val="24"/>
                <w:lang w:val="ro-RO"/>
              </w:rPr>
            </w:pPr>
          </w:p>
          <w:p w14:paraId="23E180D0" w14:textId="77777777" w:rsidR="00702258" w:rsidRDefault="00702258" w:rsidP="0042753C">
            <w:pPr>
              <w:jc w:val="both"/>
              <w:rPr>
                <w:rFonts w:ascii="Times New Roman" w:hAnsi="Times New Roman"/>
                <w:b/>
                <w:bCs/>
                <w:sz w:val="24"/>
                <w:szCs w:val="24"/>
                <w:lang w:val="ro-RO"/>
              </w:rPr>
            </w:pPr>
          </w:p>
          <w:p w14:paraId="25102F86" w14:textId="77777777" w:rsidR="00702258" w:rsidRDefault="00702258" w:rsidP="0042753C">
            <w:pPr>
              <w:jc w:val="both"/>
              <w:rPr>
                <w:rFonts w:ascii="Times New Roman" w:hAnsi="Times New Roman"/>
                <w:b/>
                <w:bCs/>
                <w:sz w:val="24"/>
                <w:szCs w:val="24"/>
                <w:lang w:val="ro-RO"/>
              </w:rPr>
            </w:pPr>
          </w:p>
          <w:p w14:paraId="71277E4C" w14:textId="77777777" w:rsidR="00702258" w:rsidRDefault="00702258" w:rsidP="0042753C">
            <w:pPr>
              <w:jc w:val="both"/>
              <w:rPr>
                <w:rFonts w:ascii="Times New Roman" w:hAnsi="Times New Roman"/>
                <w:b/>
                <w:bCs/>
                <w:sz w:val="24"/>
                <w:szCs w:val="24"/>
                <w:lang w:val="ro-RO"/>
              </w:rPr>
            </w:pPr>
          </w:p>
          <w:p w14:paraId="0F60D4C0" w14:textId="77777777" w:rsidR="00702258" w:rsidRDefault="00702258" w:rsidP="0042753C">
            <w:pPr>
              <w:jc w:val="both"/>
              <w:rPr>
                <w:rFonts w:ascii="Times New Roman" w:hAnsi="Times New Roman"/>
                <w:b/>
                <w:bCs/>
                <w:sz w:val="24"/>
                <w:szCs w:val="24"/>
                <w:lang w:val="ro-RO"/>
              </w:rPr>
            </w:pPr>
          </w:p>
          <w:p w14:paraId="5D05C779" w14:textId="77777777" w:rsidR="00702258" w:rsidRDefault="00702258" w:rsidP="0042753C">
            <w:pPr>
              <w:jc w:val="both"/>
              <w:rPr>
                <w:rFonts w:ascii="Times New Roman" w:hAnsi="Times New Roman"/>
                <w:b/>
                <w:bCs/>
                <w:sz w:val="24"/>
                <w:szCs w:val="24"/>
                <w:lang w:val="ro-RO"/>
              </w:rPr>
            </w:pPr>
          </w:p>
          <w:p w14:paraId="57AF546C" w14:textId="77777777" w:rsidR="00702258" w:rsidRDefault="00702258" w:rsidP="0042753C">
            <w:pPr>
              <w:jc w:val="both"/>
              <w:rPr>
                <w:rFonts w:ascii="Times New Roman" w:hAnsi="Times New Roman"/>
                <w:b/>
                <w:bCs/>
                <w:sz w:val="24"/>
                <w:szCs w:val="24"/>
                <w:lang w:val="ro-RO"/>
              </w:rPr>
            </w:pPr>
          </w:p>
          <w:p w14:paraId="7C57A89D" w14:textId="3806C225" w:rsidR="00BF45AD" w:rsidRDefault="00BF45AD" w:rsidP="00BF45AD">
            <w:pPr>
              <w:jc w:val="both"/>
              <w:rPr>
                <w:rFonts w:ascii="Times New Roman" w:hAnsi="Times New Roman"/>
                <w:b/>
                <w:bCs/>
                <w:sz w:val="24"/>
                <w:szCs w:val="24"/>
                <w:lang w:val="ro-RO"/>
              </w:rPr>
            </w:pPr>
            <w:r>
              <w:rPr>
                <w:rFonts w:ascii="Times New Roman" w:hAnsi="Times New Roman"/>
                <w:b/>
                <w:bCs/>
                <w:sz w:val="24"/>
                <w:szCs w:val="24"/>
                <w:lang w:val="ro-RO"/>
              </w:rPr>
              <w:t>Se acceptă.</w:t>
            </w:r>
          </w:p>
          <w:p w14:paraId="5EED8EFD" w14:textId="0F22042D" w:rsidR="00A47366" w:rsidRPr="00A47366" w:rsidRDefault="00A47366" w:rsidP="00BF45AD">
            <w:pPr>
              <w:jc w:val="both"/>
              <w:rPr>
                <w:rFonts w:ascii="Times New Roman" w:hAnsi="Times New Roman"/>
                <w:bCs/>
                <w:sz w:val="24"/>
                <w:szCs w:val="24"/>
                <w:lang w:val="ro-RO"/>
              </w:rPr>
            </w:pPr>
            <w:proofErr w:type="spellStart"/>
            <w:r w:rsidRPr="00A47366">
              <w:rPr>
                <w:rFonts w:ascii="Times New Roman" w:hAnsi="Times New Roman"/>
                <w:bCs/>
                <w:sz w:val="24"/>
                <w:szCs w:val="24"/>
                <w:lang w:val="ro-RO"/>
              </w:rPr>
              <w:t>Modificarile</w:t>
            </w:r>
            <w:proofErr w:type="spellEnd"/>
            <w:r w:rsidR="008E7937">
              <w:rPr>
                <w:rFonts w:ascii="Times New Roman" w:hAnsi="Times New Roman"/>
                <w:bCs/>
                <w:sz w:val="24"/>
                <w:szCs w:val="24"/>
                <w:lang w:val="ro-RO"/>
              </w:rPr>
              <w:t xml:space="preserve"> sugerate</w:t>
            </w:r>
            <w:r w:rsidRPr="00A47366">
              <w:rPr>
                <w:rFonts w:ascii="Times New Roman" w:hAnsi="Times New Roman"/>
                <w:bCs/>
                <w:sz w:val="24"/>
                <w:szCs w:val="24"/>
                <w:lang w:val="ro-RO"/>
              </w:rPr>
              <w:t xml:space="preserve"> au fost operate.</w:t>
            </w:r>
          </w:p>
          <w:p w14:paraId="3D171B9D" w14:textId="77777777" w:rsidR="00702258" w:rsidRDefault="00702258" w:rsidP="0042753C">
            <w:pPr>
              <w:jc w:val="both"/>
              <w:rPr>
                <w:rFonts w:ascii="Times New Roman" w:hAnsi="Times New Roman"/>
                <w:b/>
                <w:bCs/>
                <w:sz w:val="24"/>
                <w:szCs w:val="24"/>
                <w:lang w:val="ro-RO"/>
              </w:rPr>
            </w:pPr>
          </w:p>
          <w:p w14:paraId="078D8380" w14:textId="77777777" w:rsidR="00702258" w:rsidRDefault="00702258" w:rsidP="0042753C">
            <w:pPr>
              <w:jc w:val="both"/>
              <w:rPr>
                <w:rFonts w:ascii="Times New Roman" w:hAnsi="Times New Roman"/>
                <w:b/>
                <w:bCs/>
                <w:sz w:val="24"/>
                <w:szCs w:val="24"/>
                <w:lang w:val="ro-RO"/>
              </w:rPr>
            </w:pPr>
          </w:p>
          <w:p w14:paraId="56EB95E3" w14:textId="77777777" w:rsidR="00702258" w:rsidRDefault="00702258" w:rsidP="0042753C">
            <w:pPr>
              <w:jc w:val="both"/>
              <w:rPr>
                <w:rFonts w:ascii="Times New Roman" w:hAnsi="Times New Roman"/>
                <w:b/>
                <w:bCs/>
                <w:sz w:val="24"/>
                <w:szCs w:val="24"/>
                <w:lang w:val="ro-RO"/>
              </w:rPr>
            </w:pPr>
          </w:p>
          <w:p w14:paraId="4814991C" w14:textId="77777777" w:rsidR="00702258" w:rsidRDefault="00702258" w:rsidP="0042753C">
            <w:pPr>
              <w:jc w:val="both"/>
              <w:rPr>
                <w:rFonts w:ascii="Times New Roman" w:hAnsi="Times New Roman"/>
                <w:b/>
                <w:bCs/>
                <w:sz w:val="24"/>
                <w:szCs w:val="24"/>
                <w:lang w:val="ro-RO"/>
              </w:rPr>
            </w:pPr>
          </w:p>
          <w:p w14:paraId="6CC2FAC7" w14:textId="77777777" w:rsidR="00702258" w:rsidRDefault="00702258" w:rsidP="0042753C">
            <w:pPr>
              <w:jc w:val="both"/>
              <w:rPr>
                <w:rFonts w:ascii="Times New Roman" w:hAnsi="Times New Roman"/>
                <w:b/>
                <w:bCs/>
                <w:sz w:val="24"/>
                <w:szCs w:val="24"/>
                <w:lang w:val="ro-RO"/>
              </w:rPr>
            </w:pPr>
          </w:p>
          <w:p w14:paraId="2DD6A3AF" w14:textId="77777777" w:rsidR="00702258" w:rsidRDefault="00702258" w:rsidP="0042753C">
            <w:pPr>
              <w:jc w:val="both"/>
              <w:rPr>
                <w:rFonts w:ascii="Times New Roman" w:hAnsi="Times New Roman"/>
                <w:b/>
                <w:bCs/>
                <w:sz w:val="24"/>
                <w:szCs w:val="24"/>
                <w:lang w:val="ro-RO"/>
              </w:rPr>
            </w:pPr>
          </w:p>
          <w:p w14:paraId="552BBF9F" w14:textId="77777777" w:rsidR="00702258" w:rsidRDefault="00702258" w:rsidP="0042753C">
            <w:pPr>
              <w:jc w:val="both"/>
              <w:rPr>
                <w:rFonts w:ascii="Times New Roman" w:hAnsi="Times New Roman"/>
                <w:b/>
                <w:bCs/>
                <w:sz w:val="24"/>
                <w:szCs w:val="24"/>
                <w:lang w:val="ro-RO"/>
              </w:rPr>
            </w:pPr>
          </w:p>
          <w:p w14:paraId="1486A0DF" w14:textId="77777777" w:rsidR="00702258" w:rsidRDefault="00702258" w:rsidP="0042753C">
            <w:pPr>
              <w:jc w:val="both"/>
              <w:rPr>
                <w:rFonts w:ascii="Times New Roman" w:hAnsi="Times New Roman"/>
                <w:b/>
                <w:bCs/>
                <w:sz w:val="24"/>
                <w:szCs w:val="24"/>
                <w:lang w:val="ro-RO"/>
              </w:rPr>
            </w:pPr>
          </w:p>
          <w:p w14:paraId="37139CF8" w14:textId="77777777" w:rsidR="00702258" w:rsidRDefault="00702258" w:rsidP="0042753C">
            <w:pPr>
              <w:jc w:val="both"/>
              <w:rPr>
                <w:rFonts w:ascii="Times New Roman" w:hAnsi="Times New Roman"/>
                <w:b/>
                <w:bCs/>
                <w:sz w:val="24"/>
                <w:szCs w:val="24"/>
                <w:lang w:val="ro-RO"/>
              </w:rPr>
            </w:pPr>
          </w:p>
          <w:p w14:paraId="032EAEB8" w14:textId="77777777" w:rsidR="00702258" w:rsidRDefault="00702258" w:rsidP="0042753C">
            <w:pPr>
              <w:jc w:val="both"/>
              <w:rPr>
                <w:rFonts w:ascii="Times New Roman" w:hAnsi="Times New Roman"/>
                <w:b/>
                <w:bCs/>
                <w:sz w:val="24"/>
                <w:szCs w:val="24"/>
                <w:lang w:val="ro-RO"/>
              </w:rPr>
            </w:pPr>
          </w:p>
          <w:p w14:paraId="3ADC4BBB" w14:textId="77777777" w:rsidR="00702258" w:rsidRDefault="00702258" w:rsidP="0042753C">
            <w:pPr>
              <w:jc w:val="both"/>
              <w:rPr>
                <w:rFonts w:ascii="Times New Roman" w:hAnsi="Times New Roman"/>
                <w:b/>
                <w:bCs/>
                <w:sz w:val="24"/>
                <w:szCs w:val="24"/>
                <w:lang w:val="ro-RO"/>
              </w:rPr>
            </w:pPr>
          </w:p>
          <w:p w14:paraId="5A36DACE" w14:textId="77777777" w:rsidR="00702258" w:rsidRDefault="00702258" w:rsidP="0042753C">
            <w:pPr>
              <w:jc w:val="both"/>
              <w:rPr>
                <w:rFonts w:ascii="Times New Roman" w:hAnsi="Times New Roman"/>
                <w:b/>
                <w:bCs/>
                <w:sz w:val="24"/>
                <w:szCs w:val="24"/>
                <w:lang w:val="ro-RO"/>
              </w:rPr>
            </w:pPr>
          </w:p>
          <w:p w14:paraId="7549D341" w14:textId="77777777" w:rsidR="00702258" w:rsidRDefault="00702258" w:rsidP="0042753C">
            <w:pPr>
              <w:jc w:val="both"/>
              <w:rPr>
                <w:rFonts w:ascii="Times New Roman" w:hAnsi="Times New Roman"/>
                <w:b/>
                <w:bCs/>
                <w:sz w:val="24"/>
                <w:szCs w:val="24"/>
                <w:lang w:val="ro-RO"/>
              </w:rPr>
            </w:pPr>
          </w:p>
          <w:p w14:paraId="53B9A005" w14:textId="77777777" w:rsidR="00702258" w:rsidRDefault="00702258" w:rsidP="0042753C">
            <w:pPr>
              <w:jc w:val="both"/>
              <w:rPr>
                <w:rFonts w:ascii="Times New Roman" w:hAnsi="Times New Roman"/>
                <w:b/>
                <w:bCs/>
                <w:sz w:val="24"/>
                <w:szCs w:val="24"/>
                <w:lang w:val="ro-RO"/>
              </w:rPr>
            </w:pPr>
          </w:p>
          <w:p w14:paraId="1F9C2650" w14:textId="77777777" w:rsidR="00702258" w:rsidRDefault="00702258" w:rsidP="0042753C">
            <w:pPr>
              <w:jc w:val="both"/>
              <w:rPr>
                <w:rFonts w:ascii="Times New Roman" w:hAnsi="Times New Roman"/>
                <w:b/>
                <w:bCs/>
                <w:sz w:val="24"/>
                <w:szCs w:val="24"/>
                <w:lang w:val="ro-RO"/>
              </w:rPr>
            </w:pPr>
          </w:p>
          <w:p w14:paraId="1282130E" w14:textId="77777777" w:rsidR="00702258" w:rsidRDefault="00702258" w:rsidP="0042753C">
            <w:pPr>
              <w:jc w:val="both"/>
              <w:rPr>
                <w:rFonts w:ascii="Times New Roman" w:hAnsi="Times New Roman"/>
                <w:b/>
                <w:bCs/>
                <w:sz w:val="24"/>
                <w:szCs w:val="24"/>
                <w:lang w:val="ro-RO"/>
              </w:rPr>
            </w:pPr>
          </w:p>
          <w:p w14:paraId="6150F1B2" w14:textId="77777777" w:rsidR="00702258" w:rsidRDefault="00702258" w:rsidP="0042753C">
            <w:pPr>
              <w:jc w:val="both"/>
              <w:rPr>
                <w:rFonts w:ascii="Times New Roman" w:hAnsi="Times New Roman"/>
                <w:b/>
                <w:bCs/>
                <w:sz w:val="24"/>
                <w:szCs w:val="24"/>
                <w:lang w:val="ro-RO"/>
              </w:rPr>
            </w:pPr>
          </w:p>
          <w:p w14:paraId="51B45832" w14:textId="77777777" w:rsidR="00702258" w:rsidRDefault="00702258" w:rsidP="0042753C">
            <w:pPr>
              <w:jc w:val="both"/>
              <w:rPr>
                <w:rFonts w:ascii="Times New Roman" w:hAnsi="Times New Roman"/>
                <w:b/>
                <w:bCs/>
                <w:sz w:val="24"/>
                <w:szCs w:val="24"/>
                <w:lang w:val="ro-RO"/>
              </w:rPr>
            </w:pPr>
          </w:p>
          <w:p w14:paraId="6B98F672" w14:textId="77777777" w:rsidR="00702258" w:rsidRDefault="00702258" w:rsidP="0042753C">
            <w:pPr>
              <w:jc w:val="both"/>
              <w:rPr>
                <w:rFonts w:ascii="Times New Roman" w:hAnsi="Times New Roman"/>
                <w:b/>
                <w:bCs/>
                <w:sz w:val="24"/>
                <w:szCs w:val="24"/>
                <w:lang w:val="ro-RO"/>
              </w:rPr>
            </w:pPr>
          </w:p>
          <w:p w14:paraId="5B552F45" w14:textId="77777777" w:rsidR="00702258" w:rsidRDefault="00702258" w:rsidP="0042753C">
            <w:pPr>
              <w:jc w:val="both"/>
              <w:rPr>
                <w:rFonts w:ascii="Times New Roman" w:hAnsi="Times New Roman"/>
                <w:b/>
                <w:bCs/>
                <w:sz w:val="24"/>
                <w:szCs w:val="24"/>
                <w:lang w:val="ro-RO"/>
              </w:rPr>
            </w:pPr>
          </w:p>
          <w:p w14:paraId="1036B71A" w14:textId="77777777" w:rsidR="00702258" w:rsidRDefault="00702258" w:rsidP="0042753C">
            <w:pPr>
              <w:jc w:val="both"/>
              <w:rPr>
                <w:rFonts w:ascii="Times New Roman" w:hAnsi="Times New Roman"/>
                <w:b/>
                <w:bCs/>
                <w:sz w:val="24"/>
                <w:szCs w:val="24"/>
                <w:lang w:val="ro-RO"/>
              </w:rPr>
            </w:pPr>
          </w:p>
          <w:p w14:paraId="0EE6A146" w14:textId="77777777" w:rsidR="00702258" w:rsidRDefault="00702258" w:rsidP="0042753C">
            <w:pPr>
              <w:jc w:val="both"/>
              <w:rPr>
                <w:rFonts w:ascii="Times New Roman" w:hAnsi="Times New Roman"/>
                <w:b/>
                <w:bCs/>
                <w:sz w:val="24"/>
                <w:szCs w:val="24"/>
                <w:lang w:val="ro-RO"/>
              </w:rPr>
            </w:pPr>
          </w:p>
          <w:p w14:paraId="7ABEAE2D" w14:textId="77777777" w:rsidR="00702258" w:rsidRDefault="00702258" w:rsidP="0042753C">
            <w:pPr>
              <w:jc w:val="both"/>
              <w:rPr>
                <w:rFonts w:ascii="Times New Roman" w:hAnsi="Times New Roman"/>
                <w:b/>
                <w:bCs/>
                <w:sz w:val="24"/>
                <w:szCs w:val="24"/>
                <w:lang w:val="ro-RO"/>
              </w:rPr>
            </w:pPr>
          </w:p>
          <w:p w14:paraId="53E8C26C" w14:textId="77777777" w:rsidR="00702258" w:rsidRDefault="00702258" w:rsidP="0042753C">
            <w:pPr>
              <w:jc w:val="both"/>
              <w:rPr>
                <w:rFonts w:ascii="Times New Roman" w:hAnsi="Times New Roman"/>
                <w:b/>
                <w:bCs/>
                <w:sz w:val="24"/>
                <w:szCs w:val="24"/>
                <w:lang w:val="ro-RO"/>
              </w:rPr>
            </w:pPr>
          </w:p>
          <w:p w14:paraId="3C705E81" w14:textId="77777777" w:rsidR="00702258" w:rsidRDefault="00702258" w:rsidP="0042753C">
            <w:pPr>
              <w:jc w:val="both"/>
              <w:rPr>
                <w:rFonts w:ascii="Times New Roman" w:hAnsi="Times New Roman"/>
                <w:b/>
                <w:bCs/>
                <w:sz w:val="24"/>
                <w:szCs w:val="24"/>
                <w:lang w:val="ro-RO"/>
              </w:rPr>
            </w:pPr>
          </w:p>
          <w:p w14:paraId="44A0595A" w14:textId="77777777" w:rsidR="00702258" w:rsidRDefault="00702258" w:rsidP="0042753C">
            <w:pPr>
              <w:jc w:val="both"/>
              <w:rPr>
                <w:rFonts w:ascii="Times New Roman" w:hAnsi="Times New Roman"/>
                <w:b/>
                <w:bCs/>
                <w:sz w:val="24"/>
                <w:szCs w:val="24"/>
                <w:lang w:val="ro-RO"/>
              </w:rPr>
            </w:pPr>
          </w:p>
          <w:p w14:paraId="07BB10D1" w14:textId="77777777" w:rsidR="00702258" w:rsidRDefault="00702258" w:rsidP="0042753C">
            <w:pPr>
              <w:jc w:val="both"/>
              <w:rPr>
                <w:rFonts w:ascii="Times New Roman" w:hAnsi="Times New Roman"/>
                <w:b/>
                <w:bCs/>
                <w:sz w:val="24"/>
                <w:szCs w:val="24"/>
                <w:lang w:val="ro-RO"/>
              </w:rPr>
            </w:pPr>
          </w:p>
          <w:p w14:paraId="1D85193E" w14:textId="77777777" w:rsidR="00702258" w:rsidRDefault="00702258" w:rsidP="0042753C">
            <w:pPr>
              <w:jc w:val="both"/>
              <w:rPr>
                <w:rFonts w:ascii="Times New Roman" w:hAnsi="Times New Roman"/>
                <w:b/>
                <w:bCs/>
                <w:sz w:val="24"/>
                <w:szCs w:val="24"/>
                <w:lang w:val="ro-RO"/>
              </w:rPr>
            </w:pPr>
          </w:p>
          <w:p w14:paraId="4EF2CA51" w14:textId="77777777" w:rsidR="00702258" w:rsidRDefault="00702258" w:rsidP="0042753C">
            <w:pPr>
              <w:jc w:val="both"/>
              <w:rPr>
                <w:rFonts w:ascii="Times New Roman" w:hAnsi="Times New Roman"/>
                <w:b/>
                <w:bCs/>
                <w:sz w:val="24"/>
                <w:szCs w:val="24"/>
                <w:lang w:val="ro-RO"/>
              </w:rPr>
            </w:pPr>
          </w:p>
          <w:p w14:paraId="13312D0B" w14:textId="10762CB4" w:rsidR="000E2E0D" w:rsidRDefault="000E2E0D" w:rsidP="0042753C">
            <w:pPr>
              <w:jc w:val="both"/>
              <w:rPr>
                <w:rFonts w:ascii="Times New Roman" w:hAnsi="Times New Roman"/>
                <w:b/>
                <w:bCs/>
                <w:sz w:val="24"/>
                <w:szCs w:val="24"/>
                <w:lang w:val="ro-RO"/>
              </w:rPr>
            </w:pPr>
          </w:p>
          <w:p w14:paraId="14085CF0" w14:textId="1FE20D86" w:rsidR="00702258" w:rsidRDefault="00702258" w:rsidP="0042753C">
            <w:pPr>
              <w:jc w:val="both"/>
              <w:rPr>
                <w:rFonts w:ascii="Times New Roman" w:hAnsi="Times New Roman"/>
                <w:b/>
                <w:bCs/>
                <w:sz w:val="24"/>
                <w:szCs w:val="24"/>
                <w:lang w:val="ro-RO"/>
              </w:rPr>
            </w:pPr>
          </w:p>
          <w:p w14:paraId="3E2D9935" w14:textId="023DDA10" w:rsidR="00702258" w:rsidRDefault="00702258" w:rsidP="0042753C">
            <w:pPr>
              <w:jc w:val="both"/>
              <w:rPr>
                <w:rFonts w:ascii="Times New Roman" w:hAnsi="Times New Roman"/>
                <w:b/>
                <w:bCs/>
                <w:sz w:val="24"/>
                <w:szCs w:val="24"/>
                <w:lang w:val="ro-RO"/>
              </w:rPr>
            </w:pPr>
            <w:r>
              <w:rPr>
                <w:rFonts w:ascii="Times New Roman" w:hAnsi="Times New Roman"/>
                <w:b/>
                <w:bCs/>
                <w:sz w:val="24"/>
                <w:szCs w:val="24"/>
                <w:lang w:val="ro-RO"/>
              </w:rPr>
              <w:t>Se acceptă.</w:t>
            </w:r>
          </w:p>
          <w:p w14:paraId="19E35961" w14:textId="41E88F3E" w:rsidR="00702258" w:rsidRDefault="00702258" w:rsidP="0042753C">
            <w:pPr>
              <w:jc w:val="both"/>
              <w:rPr>
                <w:rFonts w:ascii="Times New Roman" w:hAnsi="Times New Roman"/>
                <w:b/>
                <w:bCs/>
                <w:sz w:val="24"/>
                <w:szCs w:val="24"/>
                <w:lang w:val="ro-RO"/>
              </w:rPr>
            </w:pPr>
          </w:p>
          <w:p w14:paraId="11CC266D" w14:textId="40352D34" w:rsidR="00702258" w:rsidRPr="00BB0CBB" w:rsidRDefault="00702258" w:rsidP="0042753C">
            <w:pPr>
              <w:jc w:val="both"/>
              <w:rPr>
                <w:rFonts w:ascii="Times New Roman" w:hAnsi="Times New Roman"/>
                <w:bCs/>
                <w:sz w:val="24"/>
                <w:szCs w:val="24"/>
                <w:lang w:val="ro-RO"/>
              </w:rPr>
            </w:pPr>
            <w:r w:rsidRPr="00BB0CBB">
              <w:rPr>
                <w:rFonts w:ascii="Times New Roman" w:hAnsi="Times New Roman"/>
                <w:bCs/>
                <w:sz w:val="24"/>
                <w:szCs w:val="24"/>
                <w:lang w:val="ro-RO"/>
              </w:rPr>
              <w:t>A fost operate modificări și elaborat</w:t>
            </w:r>
            <w:r w:rsidR="000E2E0D">
              <w:rPr>
                <w:rFonts w:ascii="Times New Roman" w:hAnsi="Times New Roman"/>
                <w:bCs/>
                <w:sz w:val="24"/>
                <w:szCs w:val="24"/>
                <w:lang w:val="ro-RO"/>
              </w:rPr>
              <w:t>e</w:t>
            </w:r>
            <w:r w:rsidRPr="00BB0CBB">
              <w:rPr>
                <w:rFonts w:ascii="Times New Roman" w:hAnsi="Times New Roman"/>
                <w:bCs/>
                <w:sz w:val="24"/>
                <w:szCs w:val="24"/>
                <w:lang w:val="ro-RO"/>
              </w:rPr>
              <w:t xml:space="preserve"> tabel</w:t>
            </w:r>
            <w:r w:rsidR="000E2E0D">
              <w:rPr>
                <w:rFonts w:ascii="Times New Roman" w:hAnsi="Times New Roman"/>
                <w:bCs/>
                <w:sz w:val="24"/>
                <w:szCs w:val="24"/>
                <w:lang w:val="ro-RO"/>
              </w:rPr>
              <w:t>e</w:t>
            </w:r>
            <w:r w:rsidRPr="00BB0CBB">
              <w:rPr>
                <w:rFonts w:ascii="Times New Roman" w:hAnsi="Times New Roman"/>
                <w:bCs/>
                <w:sz w:val="24"/>
                <w:szCs w:val="24"/>
                <w:lang w:val="ro-RO"/>
              </w:rPr>
              <w:t xml:space="preserve"> de </w:t>
            </w:r>
            <w:proofErr w:type="spellStart"/>
            <w:r w:rsidRPr="00BB0CBB">
              <w:rPr>
                <w:rFonts w:ascii="Times New Roman" w:hAnsi="Times New Roman"/>
                <w:bCs/>
                <w:sz w:val="24"/>
                <w:szCs w:val="24"/>
                <w:lang w:val="ro-RO"/>
              </w:rPr>
              <w:t>concoradantă</w:t>
            </w:r>
            <w:proofErr w:type="spellEnd"/>
            <w:r w:rsidRPr="00BB0CBB">
              <w:rPr>
                <w:rFonts w:ascii="Times New Roman" w:hAnsi="Times New Roman"/>
                <w:bCs/>
                <w:sz w:val="24"/>
                <w:szCs w:val="24"/>
                <w:lang w:val="ro-RO"/>
              </w:rPr>
              <w:t xml:space="preserve"> </w:t>
            </w:r>
            <w:r w:rsidR="00BB0CBB" w:rsidRPr="00BB0CBB">
              <w:rPr>
                <w:rFonts w:ascii="Times New Roman" w:hAnsi="Times New Roman"/>
                <w:bCs/>
                <w:sz w:val="24"/>
                <w:szCs w:val="24"/>
                <w:lang w:val="ro-RO"/>
              </w:rPr>
              <w:t xml:space="preserve">la Regulamentul delegat </w:t>
            </w:r>
            <w:r w:rsidR="00BB0CBB" w:rsidRPr="00BB0CBB">
              <w:rPr>
                <w:rFonts w:ascii="Times New Roman" w:hAnsi="Times New Roman"/>
                <w:bCs/>
                <w:sz w:val="24"/>
                <w:szCs w:val="24"/>
                <w:lang w:val="ro-RO"/>
              </w:rPr>
              <w:lastRenderedPageBreak/>
              <w:t>(UE) 2017/254 al Comisiei din 30 noiembrie 2016</w:t>
            </w:r>
            <w:r w:rsidR="000E2E0D">
              <w:rPr>
                <w:rFonts w:ascii="Times New Roman" w:hAnsi="Times New Roman"/>
                <w:bCs/>
                <w:sz w:val="24"/>
                <w:szCs w:val="24"/>
                <w:lang w:val="ro-RO"/>
              </w:rPr>
              <w:t>.</w:t>
            </w:r>
          </w:p>
          <w:p w14:paraId="29693D4D" w14:textId="77777777" w:rsidR="00702258" w:rsidRDefault="00702258" w:rsidP="0042753C">
            <w:pPr>
              <w:jc w:val="both"/>
              <w:rPr>
                <w:rFonts w:ascii="Times New Roman" w:hAnsi="Times New Roman"/>
                <w:b/>
                <w:bCs/>
                <w:sz w:val="24"/>
                <w:szCs w:val="24"/>
                <w:lang w:val="ro-RO"/>
              </w:rPr>
            </w:pPr>
          </w:p>
          <w:p w14:paraId="4458704B" w14:textId="5D8DAA61" w:rsidR="00702258" w:rsidRDefault="00702258" w:rsidP="0042753C">
            <w:pPr>
              <w:jc w:val="both"/>
              <w:rPr>
                <w:rFonts w:ascii="Times New Roman" w:hAnsi="Times New Roman"/>
                <w:b/>
                <w:bCs/>
                <w:sz w:val="24"/>
                <w:szCs w:val="24"/>
                <w:lang w:val="ro-RO"/>
              </w:rPr>
            </w:pPr>
          </w:p>
          <w:p w14:paraId="09C20F86" w14:textId="77777777" w:rsidR="00702258" w:rsidRDefault="00702258" w:rsidP="0042753C">
            <w:pPr>
              <w:jc w:val="both"/>
              <w:rPr>
                <w:rFonts w:ascii="Times New Roman" w:hAnsi="Times New Roman"/>
                <w:b/>
                <w:bCs/>
                <w:sz w:val="24"/>
                <w:szCs w:val="24"/>
                <w:lang w:val="ro-RO"/>
              </w:rPr>
            </w:pPr>
          </w:p>
          <w:p w14:paraId="7147B448" w14:textId="77777777" w:rsidR="00702258" w:rsidRDefault="00702258" w:rsidP="0042753C">
            <w:pPr>
              <w:jc w:val="both"/>
              <w:rPr>
                <w:rFonts w:ascii="Times New Roman" w:hAnsi="Times New Roman"/>
                <w:b/>
                <w:bCs/>
                <w:sz w:val="24"/>
                <w:szCs w:val="24"/>
                <w:lang w:val="ro-RO"/>
              </w:rPr>
            </w:pPr>
          </w:p>
          <w:p w14:paraId="250B7247" w14:textId="77777777" w:rsidR="00702258" w:rsidRDefault="00702258" w:rsidP="0042753C">
            <w:pPr>
              <w:jc w:val="both"/>
              <w:rPr>
                <w:rFonts w:ascii="Times New Roman" w:hAnsi="Times New Roman"/>
                <w:b/>
                <w:bCs/>
                <w:sz w:val="24"/>
                <w:szCs w:val="24"/>
                <w:lang w:val="ro-RO"/>
              </w:rPr>
            </w:pPr>
          </w:p>
          <w:p w14:paraId="047C3962" w14:textId="1F41E0C5" w:rsidR="00702258" w:rsidRDefault="00823B0D" w:rsidP="0042753C">
            <w:pPr>
              <w:jc w:val="both"/>
              <w:rPr>
                <w:rFonts w:ascii="Times New Roman" w:hAnsi="Times New Roman"/>
                <w:b/>
                <w:bCs/>
                <w:sz w:val="24"/>
                <w:szCs w:val="24"/>
                <w:lang w:val="ro-RO"/>
              </w:rPr>
            </w:pPr>
            <w:r>
              <w:rPr>
                <w:rFonts w:ascii="Times New Roman" w:hAnsi="Times New Roman"/>
                <w:b/>
                <w:bCs/>
                <w:sz w:val="24"/>
                <w:szCs w:val="24"/>
                <w:lang w:val="ro-RO"/>
              </w:rPr>
              <w:t>Se accepta.</w:t>
            </w:r>
          </w:p>
          <w:p w14:paraId="08D46CCB" w14:textId="432BDAF8" w:rsidR="00702258" w:rsidRPr="00984F9E" w:rsidRDefault="00702258" w:rsidP="0042753C">
            <w:pPr>
              <w:jc w:val="both"/>
              <w:rPr>
                <w:rFonts w:ascii="Times New Roman" w:hAnsi="Times New Roman"/>
                <w:b/>
                <w:bCs/>
                <w:sz w:val="24"/>
                <w:szCs w:val="24"/>
                <w:lang w:val="ro-RO"/>
              </w:rPr>
            </w:pPr>
          </w:p>
        </w:tc>
      </w:tr>
      <w:tr w:rsidR="00B53C0C" w:rsidRPr="002455E7" w14:paraId="655C0BF1" w14:textId="77777777" w:rsidTr="00DC7290">
        <w:tc>
          <w:tcPr>
            <w:tcW w:w="3145" w:type="dxa"/>
          </w:tcPr>
          <w:p w14:paraId="00C0227B" w14:textId="77777777" w:rsidR="006550EE" w:rsidRPr="00DA5230" w:rsidRDefault="006550EE" w:rsidP="00B53C0C">
            <w:pPr>
              <w:tabs>
                <w:tab w:val="left" w:pos="884"/>
                <w:tab w:val="left" w:pos="1196"/>
              </w:tabs>
              <w:spacing w:after="0" w:line="240" w:lineRule="auto"/>
              <w:rPr>
                <w:rFonts w:ascii="Times New Roman" w:hAnsi="Times New Roman"/>
                <w:b/>
                <w:sz w:val="24"/>
                <w:szCs w:val="24"/>
                <w:lang w:val="ro-RO"/>
              </w:rPr>
            </w:pPr>
            <w:r w:rsidRPr="00DA5230">
              <w:rPr>
                <w:rFonts w:ascii="Times New Roman" w:hAnsi="Times New Roman"/>
                <w:b/>
                <w:sz w:val="24"/>
                <w:szCs w:val="24"/>
                <w:lang w:val="ro-RO"/>
              </w:rPr>
              <w:lastRenderedPageBreak/>
              <w:t>IP Centrul Național pentru Energie Durabilă</w:t>
            </w:r>
          </w:p>
          <w:p w14:paraId="391AE4DA" w14:textId="1DE5FE86" w:rsidR="00B53C0C" w:rsidRPr="00DA5230" w:rsidRDefault="00B53C0C" w:rsidP="006450CF">
            <w:pPr>
              <w:tabs>
                <w:tab w:val="left" w:pos="884"/>
                <w:tab w:val="left" w:pos="1196"/>
              </w:tabs>
              <w:spacing w:after="0" w:line="240" w:lineRule="auto"/>
              <w:rPr>
                <w:rFonts w:ascii="Times New Roman" w:hAnsi="Times New Roman"/>
                <w:sz w:val="24"/>
                <w:szCs w:val="24"/>
                <w:lang w:val="ro-RO"/>
              </w:rPr>
            </w:pPr>
            <w:r w:rsidRPr="00DA5230">
              <w:rPr>
                <w:rFonts w:ascii="Times New Roman" w:hAnsi="Times New Roman"/>
                <w:sz w:val="24"/>
                <w:szCs w:val="24"/>
                <w:lang w:val="ro-RO"/>
              </w:rPr>
              <w:t xml:space="preserve">nr. </w:t>
            </w:r>
            <w:r w:rsidR="006550EE" w:rsidRPr="00DA5230">
              <w:rPr>
                <w:rFonts w:ascii="Times New Roman" w:hAnsi="Times New Roman"/>
                <w:sz w:val="24"/>
                <w:szCs w:val="24"/>
                <w:lang w:val="ro-RO"/>
              </w:rPr>
              <w:t>25</w:t>
            </w:r>
            <w:r w:rsidR="006450CF">
              <w:rPr>
                <w:rFonts w:ascii="Times New Roman" w:hAnsi="Times New Roman"/>
                <w:sz w:val="24"/>
                <w:szCs w:val="24"/>
                <w:lang w:val="ro-RO"/>
              </w:rPr>
              <w:t xml:space="preserve"> </w:t>
            </w:r>
            <w:r w:rsidR="006550EE" w:rsidRPr="00DA5230">
              <w:rPr>
                <w:rFonts w:ascii="Times New Roman" w:hAnsi="Times New Roman"/>
                <w:sz w:val="24"/>
                <w:szCs w:val="24"/>
                <w:lang w:val="ro-RO"/>
              </w:rPr>
              <w:t>-</w:t>
            </w:r>
            <w:r w:rsidR="006450CF">
              <w:rPr>
                <w:rFonts w:ascii="Times New Roman" w:hAnsi="Times New Roman"/>
                <w:sz w:val="24"/>
                <w:szCs w:val="24"/>
                <w:lang w:val="ro-RO"/>
              </w:rPr>
              <w:t xml:space="preserve"> 1322</w:t>
            </w:r>
            <w:r w:rsidRPr="00DA5230">
              <w:rPr>
                <w:rFonts w:ascii="Times New Roman" w:hAnsi="Times New Roman"/>
                <w:sz w:val="24"/>
                <w:szCs w:val="24"/>
                <w:lang w:val="ro-RO"/>
              </w:rPr>
              <w:t xml:space="preserve"> din </w:t>
            </w:r>
            <w:r w:rsidR="006450CF">
              <w:rPr>
                <w:rFonts w:ascii="Times New Roman" w:hAnsi="Times New Roman"/>
                <w:sz w:val="24"/>
                <w:szCs w:val="24"/>
                <w:lang w:val="ro-RO"/>
              </w:rPr>
              <w:t>01</w:t>
            </w:r>
            <w:r w:rsidR="006550EE" w:rsidRPr="00DA5230">
              <w:rPr>
                <w:rFonts w:ascii="Times New Roman" w:hAnsi="Times New Roman"/>
                <w:sz w:val="24"/>
                <w:szCs w:val="24"/>
                <w:lang w:val="ro-RO"/>
              </w:rPr>
              <w:t>.</w:t>
            </w:r>
            <w:r w:rsidR="006450CF">
              <w:rPr>
                <w:rFonts w:ascii="Times New Roman" w:hAnsi="Times New Roman"/>
                <w:sz w:val="24"/>
                <w:szCs w:val="24"/>
                <w:lang w:val="ro-RO"/>
              </w:rPr>
              <w:t>10</w:t>
            </w:r>
            <w:r w:rsidR="006550EE" w:rsidRPr="00DA5230">
              <w:rPr>
                <w:rFonts w:ascii="Times New Roman" w:hAnsi="Times New Roman"/>
                <w:sz w:val="24"/>
                <w:szCs w:val="24"/>
                <w:lang w:val="ro-RO"/>
              </w:rPr>
              <w:t>.2024</w:t>
            </w:r>
          </w:p>
        </w:tc>
        <w:tc>
          <w:tcPr>
            <w:tcW w:w="6602" w:type="dxa"/>
          </w:tcPr>
          <w:p w14:paraId="79756B42" w14:textId="5EFF8085" w:rsidR="006550EE" w:rsidRPr="002455E7" w:rsidRDefault="006450CF" w:rsidP="00B53C0C">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Prin prezenta, IP Centrul Național pentru Energie Durabilă (IP CNED), instituția publică de suport care are misiunea de a coordona și de a organiza activitățile orientate spre asigurarea implementării politicii de stat în domeniile de activitate atribuite în conformitate cu HG 1060/2023, cu referire la demersul nr. 03-2432 din 18 septembrie 2024 privind examinarea și avizarea </w:t>
            </w:r>
            <w:r w:rsidRPr="002455E7">
              <w:rPr>
                <w:rFonts w:ascii="Times New Roman" w:hAnsi="Times New Roman"/>
                <w:i/>
                <w:lang w:val="pt-BR"/>
              </w:rPr>
              <w:t xml:space="preserve">proiectului de hotărâre cu privire la modificarea Hotărârii Guvernului nr. 1003/2014 pentru aprobarea regulamentelor privind cerințele de etichetare energetică a unor produse cu impact energetic </w:t>
            </w:r>
            <w:r w:rsidRPr="002455E7">
              <w:rPr>
                <w:rFonts w:ascii="Times New Roman" w:hAnsi="Times New Roman"/>
                <w:b/>
                <w:lang w:val="pt-BR"/>
              </w:rPr>
              <w:t>(număr unic 814/MEn/2024)</w:t>
            </w:r>
            <w:r w:rsidRPr="002455E7">
              <w:rPr>
                <w:rFonts w:ascii="Times New Roman" w:hAnsi="Times New Roman"/>
                <w:lang w:val="pt-BR"/>
              </w:rPr>
              <w:t>, vă comunică comentariile și propunerile conform tabelului anexat.</w:t>
            </w:r>
          </w:p>
          <w:p w14:paraId="6ED571BC" w14:textId="7C1052BB" w:rsidR="006450CF" w:rsidRPr="002455E7" w:rsidRDefault="006450CF" w:rsidP="006450CF">
            <w:pPr>
              <w:tabs>
                <w:tab w:val="left" w:pos="884"/>
                <w:tab w:val="left" w:pos="1196"/>
              </w:tabs>
              <w:spacing w:after="0" w:line="240" w:lineRule="auto"/>
              <w:jc w:val="center"/>
              <w:rPr>
                <w:rFonts w:ascii="Times New Roman" w:hAnsi="Times New Roman"/>
                <w:sz w:val="20"/>
                <w:szCs w:val="20"/>
                <w:lang w:val="pt-BR"/>
              </w:rPr>
            </w:pPr>
            <w:r w:rsidRPr="002455E7">
              <w:rPr>
                <w:rFonts w:ascii="Times New Roman" w:hAnsi="Times New Roman"/>
                <w:sz w:val="20"/>
                <w:szCs w:val="20"/>
                <w:lang w:val="pt-BR"/>
              </w:rPr>
              <w:t>TABEL DE DIVERGENȚE</w:t>
            </w:r>
          </w:p>
          <w:p w14:paraId="28A0C3EE" w14:textId="0AF24743" w:rsidR="006450CF" w:rsidRPr="002455E7" w:rsidRDefault="006450CF" w:rsidP="006450CF">
            <w:pPr>
              <w:tabs>
                <w:tab w:val="left" w:pos="884"/>
                <w:tab w:val="left" w:pos="1196"/>
              </w:tabs>
              <w:spacing w:after="0" w:line="240" w:lineRule="auto"/>
              <w:jc w:val="center"/>
              <w:rPr>
                <w:rFonts w:ascii="Times New Roman" w:hAnsi="Times New Roman"/>
                <w:b/>
                <w:sz w:val="20"/>
                <w:szCs w:val="20"/>
                <w:lang w:val="pt-BR"/>
              </w:rPr>
            </w:pPr>
            <w:r w:rsidRPr="002455E7">
              <w:rPr>
                <w:rFonts w:ascii="Times New Roman" w:hAnsi="Times New Roman"/>
                <w:i/>
                <w:sz w:val="20"/>
                <w:szCs w:val="20"/>
                <w:lang w:val="pt-BR"/>
              </w:rPr>
              <w:lastRenderedPageBreak/>
              <w:t xml:space="preserve">al proiectului de hotărâre cu privire la modificarea Hotărârii Guvernului nr. 1003/2014 pentru aprobarea regulamentelor privind cerințele de etichetare energetică a unor produse cu impact energetic </w:t>
            </w:r>
            <w:r w:rsidRPr="002455E7">
              <w:rPr>
                <w:rFonts w:ascii="Times New Roman" w:hAnsi="Times New Roman"/>
                <w:b/>
                <w:sz w:val="20"/>
                <w:szCs w:val="20"/>
                <w:lang w:val="pt-BR"/>
              </w:rPr>
              <w:t>(număr unic 814/MEn/2024),</w:t>
            </w:r>
          </w:p>
          <w:tbl>
            <w:tblPr>
              <w:tblStyle w:val="Tabelgril"/>
              <w:tblW w:w="0" w:type="auto"/>
              <w:tblLayout w:type="fixed"/>
              <w:tblLook w:val="04A0" w:firstRow="1" w:lastRow="0" w:firstColumn="1" w:lastColumn="0" w:noHBand="0" w:noVBand="1"/>
            </w:tblPr>
            <w:tblGrid>
              <w:gridCol w:w="1132"/>
              <w:gridCol w:w="2693"/>
              <w:gridCol w:w="2551"/>
            </w:tblGrid>
            <w:tr w:rsidR="006450CF" w:rsidRPr="002455E7" w14:paraId="55BBD222" w14:textId="77777777" w:rsidTr="00221FC9">
              <w:tc>
                <w:tcPr>
                  <w:tcW w:w="1132" w:type="dxa"/>
                </w:tcPr>
                <w:p w14:paraId="081C65BF" w14:textId="24F7F997" w:rsidR="006450CF" w:rsidRPr="006450CF" w:rsidRDefault="006450CF" w:rsidP="006450CF">
                  <w:pPr>
                    <w:tabs>
                      <w:tab w:val="left" w:pos="884"/>
                      <w:tab w:val="left" w:pos="1196"/>
                    </w:tabs>
                    <w:jc w:val="center"/>
                    <w:rPr>
                      <w:rFonts w:ascii="Times New Roman" w:hAnsi="Times New Roman"/>
                      <w:b/>
                      <w:i/>
                      <w:sz w:val="18"/>
                      <w:szCs w:val="18"/>
                      <w:lang w:val="en-GB"/>
                    </w:rPr>
                  </w:pPr>
                  <w:r w:rsidRPr="006450CF">
                    <w:rPr>
                      <w:rFonts w:ascii="Times New Roman" w:hAnsi="Times New Roman"/>
                      <w:b/>
                      <w:sz w:val="18"/>
                      <w:szCs w:val="18"/>
                    </w:rPr>
                    <w:t>Autorul propunerii</w:t>
                  </w:r>
                </w:p>
              </w:tc>
              <w:tc>
                <w:tcPr>
                  <w:tcW w:w="2693" w:type="dxa"/>
                </w:tcPr>
                <w:p w14:paraId="44781060" w14:textId="5AFF05A7" w:rsidR="006450CF" w:rsidRPr="002455E7" w:rsidRDefault="006450CF" w:rsidP="006450CF">
                  <w:pPr>
                    <w:tabs>
                      <w:tab w:val="left" w:pos="884"/>
                      <w:tab w:val="left" w:pos="1196"/>
                    </w:tabs>
                    <w:jc w:val="center"/>
                    <w:rPr>
                      <w:rFonts w:ascii="Times New Roman" w:hAnsi="Times New Roman"/>
                      <w:b/>
                      <w:i/>
                      <w:sz w:val="18"/>
                      <w:szCs w:val="18"/>
                      <w:lang w:val="pt-BR"/>
                    </w:rPr>
                  </w:pPr>
                  <w:r w:rsidRPr="002455E7">
                    <w:rPr>
                      <w:rFonts w:ascii="Times New Roman" w:hAnsi="Times New Roman"/>
                      <w:b/>
                      <w:sz w:val="18"/>
                      <w:szCs w:val="18"/>
                      <w:lang w:val="pt-BR"/>
                    </w:rPr>
                    <w:t>Proiectul de hotărâre cu privire la modificarea Hotărârii Guvernului nr. 1003/2014 pentru aprobarea regulamentelor privind cerințele de etichetare energetică a unor produse cu impact energetic (număr unic 814/MEn/2024),</w:t>
                  </w:r>
                </w:p>
              </w:tc>
              <w:tc>
                <w:tcPr>
                  <w:tcW w:w="2551" w:type="dxa"/>
                </w:tcPr>
                <w:p w14:paraId="4D19115C" w14:textId="312BB870" w:rsidR="006450CF" w:rsidRPr="002455E7" w:rsidRDefault="006450CF" w:rsidP="006450CF">
                  <w:pPr>
                    <w:tabs>
                      <w:tab w:val="left" w:pos="884"/>
                      <w:tab w:val="left" w:pos="1196"/>
                    </w:tabs>
                    <w:jc w:val="center"/>
                    <w:rPr>
                      <w:rFonts w:ascii="Times New Roman" w:hAnsi="Times New Roman"/>
                      <w:b/>
                      <w:i/>
                      <w:sz w:val="18"/>
                      <w:szCs w:val="18"/>
                      <w:lang w:val="pt-BR"/>
                    </w:rPr>
                  </w:pPr>
                  <w:r w:rsidRPr="002455E7">
                    <w:rPr>
                      <w:rFonts w:ascii="Times New Roman" w:hAnsi="Times New Roman"/>
                      <w:b/>
                      <w:sz w:val="18"/>
                      <w:szCs w:val="18"/>
                      <w:lang w:val="pt-BR"/>
                    </w:rPr>
                    <w:t>Modificări propuse în proiectul de hotărâre</w:t>
                  </w:r>
                </w:p>
              </w:tc>
            </w:tr>
            <w:tr w:rsidR="00221FC9" w:rsidRPr="002455E7" w14:paraId="4709529F" w14:textId="77777777" w:rsidTr="00221FC9">
              <w:tc>
                <w:tcPr>
                  <w:tcW w:w="1132" w:type="dxa"/>
                  <w:vMerge w:val="restart"/>
                </w:tcPr>
                <w:p w14:paraId="217948C8" w14:textId="67D403A7" w:rsidR="00221FC9" w:rsidRPr="002455E7" w:rsidRDefault="00221FC9" w:rsidP="006450CF">
                  <w:pPr>
                    <w:tabs>
                      <w:tab w:val="left" w:pos="884"/>
                      <w:tab w:val="left" w:pos="1196"/>
                    </w:tabs>
                    <w:jc w:val="center"/>
                    <w:rPr>
                      <w:rFonts w:ascii="Times New Roman" w:hAnsi="Times New Roman"/>
                      <w:i/>
                      <w:sz w:val="18"/>
                      <w:szCs w:val="18"/>
                      <w:lang w:val="pt-BR"/>
                    </w:rPr>
                  </w:pPr>
                  <w:r w:rsidRPr="002455E7">
                    <w:rPr>
                      <w:rFonts w:ascii="Times New Roman" w:hAnsi="Times New Roman"/>
                      <w:sz w:val="18"/>
                      <w:szCs w:val="18"/>
                      <w:lang w:val="pt-BR"/>
                    </w:rPr>
                    <w:t>IP Centrul Național pentru Energie Durabilă</w:t>
                  </w:r>
                </w:p>
              </w:tc>
              <w:tc>
                <w:tcPr>
                  <w:tcW w:w="2693" w:type="dxa"/>
                </w:tcPr>
                <w:p w14:paraId="01103F75" w14:textId="77777777" w:rsidR="00221FC9" w:rsidRPr="002455E7" w:rsidRDefault="00221FC9" w:rsidP="006450CF">
                  <w:pPr>
                    <w:tabs>
                      <w:tab w:val="left" w:pos="884"/>
                      <w:tab w:val="left" w:pos="1196"/>
                    </w:tabs>
                    <w:rPr>
                      <w:rFonts w:ascii="Times New Roman" w:hAnsi="Times New Roman"/>
                      <w:sz w:val="18"/>
                      <w:szCs w:val="18"/>
                      <w:lang w:val="pt-BR"/>
                    </w:rPr>
                  </w:pPr>
                  <w:r w:rsidRPr="002455E7">
                    <w:rPr>
                      <w:rFonts w:ascii="Times New Roman" w:hAnsi="Times New Roman"/>
                      <w:b/>
                      <w:sz w:val="18"/>
                      <w:szCs w:val="18"/>
                      <w:lang w:val="pt-BR"/>
                    </w:rPr>
                    <w:t>Anexa nr. 4</w:t>
                  </w:r>
                  <w:r w:rsidRPr="002455E7">
                    <w:rPr>
                      <w:rFonts w:ascii="Times New Roman" w:hAnsi="Times New Roman"/>
                      <w:sz w:val="18"/>
                      <w:szCs w:val="18"/>
                      <w:lang w:val="pt-BR"/>
                    </w:rPr>
                    <w:t xml:space="preserve"> </w:t>
                  </w:r>
                </w:p>
                <w:p w14:paraId="447C9C9C" w14:textId="675F0B32" w:rsidR="00221FC9" w:rsidRPr="002455E7" w:rsidRDefault="00221FC9" w:rsidP="006450CF">
                  <w:pPr>
                    <w:tabs>
                      <w:tab w:val="left" w:pos="884"/>
                      <w:tab w:val="left" w:pos="1196"/>
                    </w:tabs>
                    <w:rPr>
                      <w:rFonts w:ascii="Times New Roman" w:hAnsi="Times New Roman"/>
                      <w:b/>
                      <w:sz w:val="18"/>
                      <w:szCs w:val="18"/>
                      <w:lang w:val="pt-BR"/>
                    </w:rPr>
                  </w:pPr>
                  <w:r w:rsidRPr="002455E7">
                    <w:rPr>
                      <w:rFonts w:ascii="Times New Roman" w:hAnsi="Times New Roman"/>
                      <w:sz w:val="18"/>
                      <w:szCs w:val="18"/>
                      <w:lang w:val="pt-BR"/>
                    </w:rPr>
                    <w:t xml:space="preserve">la Regulamentul cu privire la etichetarea energetică a dulapurilor frigorifice de depozitare profesionale. </w:t>
                  </w:r>
                  <w:r w:rsidRPr="002455E7">
                    <w:rPr>
                      <w:rFonts w:ascii="Times New Roman" w:hAnsi="Times New Roman"/>
                      <w:b/>
                      <w:sz w:val="18"/>
                      <w:szCs w:val="18"/>
                      <w:lang w:val="pt-BR"/>
                    </w:rPr>
                    <w:t xml:space="preserve">Documentația Tehnică. </w:t>
                  </w:r>
                </w:p>
                <w:p w14:paraId="44E9DFBF" w14:textId="7B90E78E" w:rsidR="00221FC9" w:rsidRPr="002455E7" w:rsidRDefault="00221FC9" w:rsidP="006450CF">
                  <w:pPr>
                    <w:tabs>
                      <w:tab w:val="left" w:pos="884"/>
                      <w:tab w:val="left" w:pos="1196"/>
                    </w:tabs>
                    <w:rPr>
                      <w:rFonts w:ascii="Times New Roman" w:hAnsi="Times New Roman"/>
                      <w:i/>
                      <w:sz w:val="18"/>
                      <w:szCs w:val="18"/>
                      <w:lang w:val="pt-BR"/>
                    </w:rPr>
                  </w:pPr>
                  <w:r w:rsidRPr="002455E7">
                    <w:rPr>
                      <w:rFonts w:ascii="Times New Roman" w:hAnsi="Times New Roman"/>
                      <w:b/>
                      <w:sz w:val="18"/>
                      <w:szCs w:val="18"/>
                      <w:lang w:val="pt-BR"/>
                    </w:rPr>
                    <w:t>pct. 2.</w:t>
                  </w:r>
                  <w:r w:rsidRPr="002455E7">
                    <w:rPr>
                      <w:rFonts w:ascii="Times New Roman" w:hAnsi="Times New Roman"/>
                      <w:sz w:val="18"/>
                      <w:szCs w:val="18"/>
                      <w:lang w:val="pt-BR"/>
                    </w:rPr>
                    <w:t xml:space="preserve"> În cazul în care informațiile incluse în documentația tehnică pentru un anumit model de dulap frigorific de depozitare profesional au fost obținute au fost obținute prin calcul pe baza unui model de dulap frigorific de depozitare profesional echivalent, [...]</w:t>
                  </w:r>
                </w:p>
              </w:tc>
              <w:tc>
                <w:tcPr>
                  <w:tcW w:w="2551" w:type="dxa"/>
                </w:tcPr>
                <w:p w14:paraId="5B3979FA" w14:textId="6EFEA071" w:rsidR="00221FC9" w:rsidRPr="002455E7" w:rsidRDefault="00221FC9" w:rsidP="006450CF">
                  <w:pPr>
                    <w:tabs>
                      <w:tab w:val="left" w:pos="884"/>
                      <w:tab w:val="left" w:pos="1196"/>
                    </w:tabs>
                    <w:jc w:val="center"/>
                    <w:rPr>
                      <w:rFonts w:ascii="Times New Roman" w:hAnsi="Times New Roman"/>
                      <w:i/>
                      <w:sz w:val="18"/>
                      <w:szCs w:val="18"/>
                      <w:lang w:val="pt-BR"/>
                    </w:rPr>
                  </w:pPr>
                  <w:r w:rsidRPr="002455E7">
                    <w:rPr>
                      <w:rFonts w:ascii="Times New Roman" w:hAnsi="Times New Roman"/>
                      <w:sz w:val="18"/>
                      <w:szCs w:val="18"/>
                      <w:lang w:val="pt-BR"/>
                    </w:rPr>
                    <w:t>Se atestă dublare de text.</w:t>
                  </w:r>
                </w:p>
              </w:tc>
            </w:tr>
            <w:tr w:rsidR="00221FC9" w:rsidRPr="002455E7" w14:paraId="363EB782" w14:textId="77777777" w:rsidTr="00221FC9">
              <w:tc>
                <w:tcPr>
                  <w:tcW w:w="1132" w:type="dxa"/>
                  <w:vMerge/>
                </w:tcPr>
                <w:p w14:paraId="4BB37FB1" w14:textId="77777777" w:rsidR="00221FC9" w:rsidRPr="002455E7" w:rsidRDefault="00221FC9" w:rsidP="006450CF">
                  <w:pPr>
                    <w:tabs>
                      <w:tab w:val="left" w:pos="884"/>
                      <w:tab w:val="left" w:pos="1196"/>
                    </w:tabs>
                    <w:jc w:val="center"/>
                    <w:rPr>
                      <w:rFonts w:ascii="Times New Roman" w:hAnsi="Times New Roman"/>
                      <w:i/>
                      <w:sz w:val="18"/>
                      <w:szCs w:val="18"/>
                      <w:lang w:val="pt-BR"/>
                    </w:rPr>
                  </w:pPr>
                </w:p>
              </w:tc>
              <w:tc>
                <w:tcPr>
                  <w:tcW w:w="2693" w:type="dxa"/>
                </w:tcPr>
                <w:p w14:paraId="12C122EB" w14:textId="77777777" w:rsidR="00221FC9" w:rsidRPr="002455E7" w:rsidRDefault="00221FC9" w:rsidP="006450CF">
                  <w:pPr>
                    <w:tabs>
                      <w:tab w:val="left" w:pos="884"/>
                      <w:tab w:val="left" w:pos="1196"/>
                    </w:tabs>
                    <w:rPr>
                      <w:rFonts w:ascii="Times New Roman" w:hAnsi="Times New Roman"/>
                      <w:b/>
                      <w:sz w:val="18"/>
                      <w:szCs w:val="18"/>
                      <w:lang w:val="pt-BR"/>
                    </w:rPr>
                  </w:pPr>
                  <w:r w:rsidRPr="002455E7">
                    <w:rPr>
                      <w:rFonts w:ascii="Times New Roman" w:hAnsi="Times New Roman"/>
                      <w:b/>
                      <w:sz w:val="18"/>
                      <w:szCs w:val="18"/>
                      <w:lang w:val="pt-BR"/>
                    </w:rPr>
                    <w:t>REGULAMENT cu privire la etichetarea energetică a unităților de ventilație rezidențiale</w:t>
                  </w:r>
                </w:p>
                <w:p w14:paraId="403692A6" w14:textId="16653A5C" w:rsidR="00221FC9" w:rsidRPr="002455E7" w:rsidRDefault="00221FC9" w:rsidP="006450CF">
                  <w:pPr>
                    <w:tabs>
                      <w:tab w:val="left" w:pos="884"/>
                      <w:tab w:val="left" w:pos="1196"/>
                    </w:tabs>
                    <w:rPr>
                      <w:rFonts w:ascii="Times New Roman" w:hAnsi="Times New Roman"/>
                      <w:i/>
                      <w:sz w:val="18"/>
                      <w:szCs w:val="18"/>
                      <w:lang w:val="pt-BR"/>
                    </w:rPr>
                  </w:pPr>
                  <w:r w:rsidRPr="002455E7">
                    <w:rPr>
                      <w:rFonts w:ascii="Times New Roman" w:hAnsi="Times New Roman"/>
                      <w:sz w:val="18"/>
                      <w:szCs w:val="18"/>
                      <w:lang w:val="pt-BR"/>
                    </w:rPr>
                    <w:t xml:space="preserve"> „Anexa nr.8 la Regulamentul cu privire la etichetarea energetică a aparatelor pentru încălzirea locală”</w:t>
                  </w:r>
                </w:p>
              </w:tc>
              <w:tc>
                <w:tcPr>
                  <w:tcW w:w="2551" w:type="dxa"/>
                </w:tcPr>
                <w:p w14:paraId="08A4D2FC" w14:textId="5AFAB840" w:rsidR="00221FC9" w:rsidRPr="002455E7" w:rsidRDefault="00221FC9" w:rsidP="00221FC9">
                  <w:pPr>
                    <w:tabs>
                      <w:tab w:val="left" w:pos="884"/>
                      <w:tab w:val="left" w:pos="1196"/>
                    </w:tabs>
                    <w:rPr>
                      <w:rFonts w:ascii="Times New Roman" w:hAnsi="Times New Roman"/>
                      <w:i/>
                      <w:sz w:val="18"/>
                      <w:szCs w:val="18"/>
                      <w:lang w:val="pt-BR"/>
                    </w:rPr>
                  </w:pPr>
                  <w:r w:rsidRPr="002455E7">
                    <w:rPr>
                      <w:rFonts w:ascii="Times New Roman" w:hAnsi="Times New Roman"/>
                      <w:sz w:val="18"/>
                      <w:szCs w:val="18"/>
                      <w:lang w:val="pt-BR"/>
                    </w:rPr>
                    <w:t xml:space="preserve">Se recomandă a se revizui </w:t>
                  </w:r>
                  <w:r w:rsidRPr="002455E7">
                    <w:rPr>
                      <w:rFonts w:ascii="Times New Roman" w:hAnsi="Times New Roman"/>
                      <w:b/>
                      <w:sz w:val="18"/>
                      <w:szCs w:val="18"/>
                      <w:lang w:val="pt-BR"/>
                    </w:rPr>
                    <w:t>Anexa nr.8</w:t>
                  </w:r>
                  <w:r w:rsidRPr="002455E7">
                    <w:rPr>
                      <w:rFonts w:ascii="Times New Roman" w:hAnsi="Times New Roman"/>
                      <w:sz w:val="18"/>
                      <w:szCs w:val="18"/>
                      <w:lang w:val="pt-BR"/>
                    </w:rPr>
                    <w:t xml:space="preserve"> a </w:t>
                  </w:r>
                  <w:r w:rsidRPr="002455E7">
                    <w:rPr>
                      <w:rFonts w:ascii="Times New Roman" w:hAnsi="Times New Roman"/>
                      <w:i/>
                      <w:sz w:val="18"/>
                      <w:szCs w:val="18"/>
                      <w:lang w:val="pt-BR"/>
                    </w:rPr>
                    <w:t>Regulamentului cu privire la etichetarea energetică a unităților de ventilație rezidențiale</w:t>
                  </w:r>
                  <w:r w:rsidRPr="002455E7">
                    <w:rPr>
                      <w:rFonts w:ascii="Times New Roman" w:hAnsi="Times New Roman"/>
                      <w:sz w:val="18"/>
                      <w:szCs w:val="18"/>
                      <w:lang w:val="pt-BR"/>
                    </w:rPr>
                    <w:t>, în contextul corespunderii acesteia cu Regulamentul.</w:t>
                  </w:r>
                </w:p>
              </w:tc>
            </w:tr>
            <w:tr w:rsidR="00221FC9" w:rsidRPr="002455E7" w14:paraId="132E76BD" w14:textId="77777777" w:rsidTr="00221FC9">
              <w:tc>
                <w:tcPr>
                  <w:tcW w:w="1132" w:type="dxa"/>
                  <w:vMerge/>
                </w:tcPr>
                <w:p w14:paraId="1F12C547" w14:textId="77777777" w:rsidR="00221FC9" w:rsidRPr="002455E7" w:rsidRDefault="00221FC9" w:rsidP="006450CF">
                  <w:pPr>
                    <w:tabs>
                      <w:tab w:val="left" w:pos="884"/>
                      <w:tab w:val="left" w:pos="1196"/>
                    </w:tabs>
                    <w:jc w:val="center"/>
                    <w:rPr>
                      <w:rFonts w:ascii="Times New Roman" w:hAnsi="Times New Roman"/>
                      <w:i/>
                      <w:sz w:val="18"/>
                      <w:szCs w:val="18"/>
                      <w:lang w:val="pt-BR"/>
                    </w:rPr>
                  </w:pPr>
                </w:p>
              </w:tc>
              <w:tc>
                <w:tcPr>
                  <w:tcW w:w="2693" w:type="dxa"/>
                </w:tcPr>
                <w:p w14:paraId="1C35D02A" w14:textId="77777777" w:rsidR="00221FC9" w:rsidRPr="002455E7" w:rsidRDefault="00221FC9" w:rsidP="006450CF">
                  <w:pPr>
                    <w:tabs>
                      <w:tab w:val="left" w:pos="884"/>
                      <w:tab w:val="left" w:pos="1196"/>
                    </w:tabs>
                    <w:rPr>
                      <w:rFonts w:ascii="Times New Roman" w:hAnsi="Times New Roman"/>
                      <w:sz w:val="18"/>
                      <w:szCs w:val="18"/>
                      <w:lang w:val="pt-BR"/>
                    </w:rPr>
                  </w:pPr>
                  <w:r w:rsidRPr="002455E7">
                    <w:rPr>
                      <w:rFonts w:ascii="Times New Roman" w:hAnsi="Times New Roman"/>
                      <w:b/>
                      <w:sz w:val="18"/>
                      <w:szCs w:val="18"/>
                      <w:lang w:val="pt-BR"/>
                    </w:rPr>
                    <w:t xml:space="preserve">REGULAMENT cu privire la etichetarea energetică a cazanelor cu combustibil solid și a pachetelor de cazan cu combustibil solid, instalații de încălzire suplimentare, regulatoare de temperatură și </w:t>
                  </w:r>
                  <w:r w:rsidRPr="002455E7">
                    <w:rPr>
                      <w:rFonts w:ascii="Times New Roman" w:hAnsi="Times New Roman"/>
                      <w:b/>
                      <w:sz w:val="18"/>
                      <w:szCs w:val="18"/>
                      <w:lang w:val="pt-BR"/>
                    </w:rPr>
                    <w:lastRenderedPageBreak/>
                    <w:t>dispozitive solare cap.II, pct.4, subpct. 24</w:t>
                  </w:r>
                  <w:r w:rsidRPr="002455E7">
                    <w:rPr>
                      <w:rFonts w:ascii="Times New Roman" w:hAnsi="Times New Roman"/>
                      <w:sz w:val="18"/>
                      <w:szCs w:val="18"/>
                      <w:lang w:val="pt-BR"/>
                    </w:rPr>
                    <w:t xml:space="preserve"> </w:t>
                  </w:r>
                </w:p>
                <w:p w14:paraId="2E270079" w14:textId="577FA583" w:rsidR="00221FC9" w:rsidRPr="002455E7" w:rsidRDefault="00221FC9" w:rsidP="006450CF">
                  <w:pPr>
                    <w:tabs>
                      <w:tab w:val="left" w:pos="884"/>
                      <w:tab w:val="left" w:pos="1196"/>
                    </w:tabs>
                    <w:rPr>
                      <w:rFonts w:ascii="Times New Roman" w:hAnsi="Times New Roman"/>
                      <w:i/>
                      <w:sz w:val="18"/>
                      <w:szCs w:val="18"/>
                      <w:lang w:val="pt-BR"/>
                    </w:rPr>
                  </w:pPr>
                  <w:r w:rsidRPr="002455E7">
                    <w:rPr>
                      <w:rFonts w:ascii="Times New Roman" w:hAnsi="Times New Roman"/>
                      <w:sz w:val="18"/>
                      <w:szCs w:val="18"/>
                      <w:lang w:val="pt-BR"/>
                    </w:rPr>
                    <w:t>[...] „cazan care are funcție dublă” – cazan cu combustibil solid care este proiectat și pentru a furniza căldură în scopul încălzirii apei potabile sau menajere la anumite niveluri de temperatură, în anumite cantități și la anumite debite, pe parcursulanumitor intervale de timp, și care este conectat la o sursă externă de apă potabilă sau menajeră; [...]</w:t>
                  </w:r>
                </w:p>
              </w:tc>
              <w:tc>
                <w:tcPr>
                  <w:tcW w:w="2551" w:type="dxa"/>
                </w:tcPr>
                <w:p w14:paraId="2949E6F8" w14:textId="6AB7ED0E" w:rsidR="00221FC9" w:rsidRPr="002455E7" w:rsidRDefault="00221FC9" w:rsidP="00221FC9">
                  <w:pPr>
                    <w:tabs>
                      <w:tab w:val="left" w:pos="884"/>
                      <w:tab w:val="left" w:pos="1196"/>
                    </w:tabs>
                    <w:rPr>
                      <w:rFonts w:ascii="Times New Roman" w:hAnsi="Times New Roman"/>
                      <w:i/>
                      <w:sz w:val="18"/>
                      <w:szCs w:val="18"/>
                      <w:lang w:val="pt-BR"/>
                    </w:rPr>
                  </w:pPr>
                  <w:r w:rsidRPr="002455E7">
                    <w:rPr>
                      <w:rFonts w:ascii="Times New Roman" w:hAnsi="Times New Roman"/>
                      <w:sz w:val="18"/>
                      <w:szCs w:val="18"/>
                      <w:lang w:val="pt-BR"/>
                    </w:rPr>
                    <w:lastRenderedPageBreak/>
                    <w:t xml:space="preserve">Se propune următoarea formulare: </w:t>
                  </w:r>
                  <w:r w:rsidRPr="002455E7">
                    <w:rPr>
                      <w:rFonts w:ascii="Times New Roman" w:hAnsi="Times New Roman"/>
                      <w:i/>
                      <w:sz w:val="18"/>
                      <w:szCs w:val="18"/>
                      <w:lang w:val="pt-BR"/>
                    </w:rPr>
                    <w:t>„cazan care are funcție dublă”</w:t>
                  </w:r>
                  <w:r w:rsidRPr="002455E7">
                    <w:rPr>
                      <w:rFonts w:ascii="Times New Roman" w:hAnsi="Times New Roman"/>
                      <w:sz w:val="18"/>
                      <w:szCs w:val="18"/>
                      <w:lang w:val="pt-BR"/>
                    </w:rPr>
                    <w:t xml:space="preserve"> – </w:t>
                  </w:r>
                  <w:r w:rsidRPr="002455E7">
                    <w:rPr>
                      <w:rFonts w:ascii="Times New Roman" w:hAnsi="Times New Roman"/>
                      <w:i/>
                      <w:sz w:val="18"/>
                      <w:szCs w:val="18"/>
                      <w:lang w:val="pt-BR"/>
                    </w:rPr>
                    <w:t xml:space="preserve">cazan cu combustibil solid </w:t>
                  </w:r>
                  <w:r w:rsidRPr="002455E7">
                    <w:rPr>
                      <w:rFonts w:ascii="Times New Roman" w:hAnsi="Times New Roman"/>
                      <w:b/>
                      <w:i/>
                      <w:sz w:val="18"/>
                      <w:szCs w:val="18"/>
                      <w:lang w:val="pt-BR"/>
                    </w:rPr>
                    <w:t>care pe lângă producerea energiei termice pentru încălzirea spațiului</w:t>
                  </w:r>
                  <w:r w:rsidRPr="002455E7">
                    <w:rPr>
                      <w:rFonts w:ascii="Times New Roman" w:hAnsi="Times New Roman"/>
                      <w:i/>
                      <w:sz w:val="18"/>
                      <w:szCs w:val="18"/>
                      <w:lang w:val="pt-BR"/>
                    </w:rPr>
                    <w:t xml:space="preserve">, este proiectat și pentru a furniza </w:t>
                  </w:r>
                  <w:r w:rsidRPr="002455E7">
                    <w:rPr>
                      <w:rFonts w:ascii="Times New Roman" w:hAnsi="Times New Roman"/>
                      <w:i/>
                      <w:sz w:val="18"/>
                      <w:szCs w:val="18"/>
                      <w:lang w:val="pt-BR"/>
                    </w:rPr>
                    <w:lastRenderedPageBreak/>
                    <w:t>căldură în scopul încălzirii apei potabile sau menajere la anumite niveluri de temperatură, în anumite cantități și la anumite debite, pe parcursul anumitor intervale de timp, și care este conectat la o sursă externă de apă potabilă sau menajeră;</w:t>
                  </w:r>
                </w:p>
              </w:tc>
            </w:tr>
            <w:tr w:rsidR="00221FC9" w:rsidRPr="002455E7" w14:paraId="3D64F8B1" w14:textId="77777777" w:rsidTr="00221FC9">
              <w:tc>
                <w:tcPr>
                  <w:tcW w:w="1132" w:type="dxa"/>
                  <w:vMerge/>
                </w:tcPr>
                <w:p w14:paraId="788DDE70" w14:textId="77777777" w:rsidR="00221FC9" w:rsidRPr="002455E7" w:rsidRDefault="00221FC9" w:rsidP="006450CF">
                  <w:pPr>
                    <w:tabs>
                      <w:tab w:val="left" w:pos="884"/>
                      <w:tab w:val="left" w:pos="1196"/>
                    </w:tabs>
                    <w:jc w:val="center"/>
                    <w:rPr>
                      <w:rFonts w:ascii="Times New Roman" w:hAnsi="Times New Roman"/>
                      <w:i/>
                      <w:sz w:val="18"/>
                      <w:szCs w:val="18"/>
                      <w:lang w:val="pt-BR"/>
                    </w:rPr>
                  </w:pPr>
                </w:p>
              </w:tc>
              <w:tc>
                <w:tcPr>
                  <w:tcW w:w="2693" w:type="dxa"/>
                </w:tcPr>
                <w:p w14:paraId="759B6E36" w14:textId="57CA8D6D" w:rsidR="00221FC9" w:rsidRPr="002455E7" w:rsidRDefault="00221FC9" w:rsidP="006450CF">
                  <w:pPr>
                    <w:tabs>
                      <w:tab w:val="left" w:pos="611"/>
                      <w:tab w:val="left" w:pos="884"/>
                      <w:tab w:val="left" w:pos="1196"/>
                    </w:tabs>
                    <w:rPr>
                      <w:rFonts w:ascii="Times New Roman" w:hAnsi="Times New Roman"/>
                      <w:b/>
                      <w:i/>
                      <w:sz w:val="18"/>
                      <w:szCs w:val="18"/>
                      <w:lang w:val="pt-BR"/>
                    </w:rPr>
                  </w:pPr>
                  <w:r w:rsidRPr="002455E7">
                    <w:rPr>
                      <w:rFonts w:ascii="Times New Roman" w:hAnsi="Times New Roman"/>
                      <w:b/>
                      <w:sz w:val="18"/>
                      <w:szCs w:val="18"/>
                      <w:lang w:val="pt-BR"/>
                    </w:rPr>
                    <w:t>Anexa nr. 5 la Regulamentul cu privire la cerințele de etichetare energetică a uscătoarelor de rufe de uz casnic cu tambur</w:t>
                  </w:r>
                  <w:r w:rsidRPr="002455E7">
                    <w:rPr>
                      <w:rFonts w:ascii="Times New Roman" w:hAnsi="Times New Roman"/>
                      <w:b/>
                      <w:i/>
                      <w:sz w:val="18"/>
                      <w:szCs w:val="18"/>
                      <w:lang w:val="pt-BR"/>
                    </w:rPr>
                    <w:tab/>
                  </w:r>
                  <w:r w:rsidRPr="002455E7">
                    <w:rPr>
                      <w:rFonts w:ascii="Times New Roman" w:hAnsi="Times New Roman"/>
                      <w:b/>
                      <w:i/>
                      <w:sz w:val="18"/>
                      <w:szCs w:val="18"/>
                      <w:lang w:val="pt-BR"/>
                    </w:rPr>
                    <w:tab/>
                  </w:r>
                </w:p>
              </w:tc>
              <w:tc>
                <w:tcPr>
                  <w:tcW w:w="2551" w:type="dxa"/>
                </w:tcPr>
                <w:p w14:paraId="66E013D0" w14:textId="269118EA" w:rsidR="00221FC9" w:rsidRPr="002455E7" w:rsidRDefault="00221FC9" w:rsidP="00221FC9">
                  <w:pPr>
                    <w:tabs>
                      <w:tab w:val="left" w:pos="884"/>
                      <w:tab w:val="left" w:pos="1196"/>
                    </w:tabs>
                    <w:rPr>
                      <w:rFonts w:ascii="Times New Roman" w:hAnsi="Times New Roman"/>
                      <w:i/>
                      <w:sz w:val="18"/>
                      <w:szCs w:val="18"/>
                      <w:lang w:val="pt-BR"/>
                    </w:rPr>
                  </w:pPr>
                  <w:r w:rsidRPr="002455E7">
                    <w:rPr>
                      <w:rFonts w:ascii="Times New Roman" w:hAnsi="Times New Roman"/>
                      <w:sz w:val="18"/>
                      <w:szCs w:val="18"/>
                      <w:lang w:val="pt-BR"/>
                    </w:rPr>
                    <w:t>Se propune a se revizui numerotarea punctelor și imaginile etichetei din coloana II, rândul 11 a tabelului, imaginea etichetei fiind inversată.</w:t>
                  </w:r>
                </w:p>
              </w:tc>
            </w:tr>
          </w:tbl>
          <w:p w14:paraId="57CA62A0" w14:textId="1ECE3F01" w:rsidR="006450CF" w:rsidRPr="006450CF" w:rsidRDefault="006450CF" w:rsidP="00B53C0C">
            <w:pPr>
              <w:tabs>
                <w:tab w:val="left" w:pos="884"/>
                <w:tab w:val="left" w:pos="1196"/>
              </w:tabs>
              <w:spacing w:after="0" w:line="240" w:lineRule="auto"/>
              <w:jc w:val="both"/>
              <w:rPr>
                <w:rFonts w:ascii="Times New Roman" w:hAnsi="Times New Roman"/>
                <w:lang w:val="ro-RO"/>
              </w:rPr>
            </w:pPr>
          </w:p>
        </w:tc>
        <w:tc>
          <w:tcPr>
            <w:tcW w:w="4581" w:type="dxa"/>
            <w:shd w:val="clear" w:color="auto" w:fill="FFFFFF" w:themeFill="background1"/>
          </w:tcPr>
          <w:p w14:paraId="4282AFBF" w14:textId="77777777" w:rsidR="00612924" w:rsidRDefault="00612924" w:rsidP="00B53C0C">
            <w:pPr>
              <w:tabs>
                <w:tab w:val="left" w:pos="884"/>
                <w:tab w:val="left" w:pos="1196"/>
              </w:tabs>
              <w:spacing w:after="0" w:line="240" w:lineRule="auto"/>
              <w:jc w:val="both"/>
              <w:rPr>
                <w:rFonts w:ascii="Times New Roman" w:hAnsi="Times New Roman"/>
                <w:sz w:val="24"/>
                <w:szCs w:val="24"/>
                <w:lang w:val="ro-RO"/>
              </w:rPr>
            </w:pPr>
          </w:p>
          <w:p w14:paraId="65A19200"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5D5C969E"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75A6DFE7"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7D6EF6FA"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6C5CB267"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7E69E2FC"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12746A76"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7D3EF6CD"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53239F7E"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626E802F"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462D4C85"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122A2647"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22F26D24"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5EAADF88"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4306EDEB"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2DAB349A"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57A36FCC"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35468024" w14:textId="77777777" w:rsidR="001D00C4" w:rsidRDefault="001D00C4" w:rsidP="00B53C0C">
            <w:pPr>
              <w:tabs>
                <w:tab w:val="left" w:pos="884"/>
                <w:tab w:val="left" w:pos="1196"/>
              </w:tabs>
              <w:spacing w:after="0" w:line="240" w:lineRule="auto"/>
              <w:jc w:val="both"/>
              <w:rPr>
                <w:rFonts w:ascii="Times New Roman" w:hAnsi="Times New Roman"/>
                <w:sz w:val="24"/>
                <w:szCs w:val="24"/>
                <w:lang w:val="ro-RO"/>
              </w:rPr>
            </w:pPr>
          </w:p>
          <w:p w14:paraId="072CFF4D"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highlight w:val="yellow"/>
                <w:lang w:val="pt-BR"/>
              </w:rPr>
            </w:pPr>
          </w:p>
          <w:p w14:paraId="276EEF01"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highlight w:val="yellow"/>
                <w:lang w:val="pt-BR"/>
              </w:rPr>
            </w:pPr>
          </w:p>
          <w:p w14:paraId="0632B36B"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highlight w:val="yellow"/>
                <w:lang w:val="pt-BR"/>
              </w:rPr>
            </w:pPr>
          </w:p>
          <w:p w14:paraId="0FE11098"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highlight w:val="yellow"/>
                <w:lang w:val="pt-BR"/>
              </w:rPr>
            </w:pPr>
          </w:p>
          <w:p w14:paraId="4F1BF8C3"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highlight w:val="yellow"/>
                <w:lang w:val="pt-BR"/>
              </w:rPr>
            </w:pPr>
          </w:p>
          <w:p w14:paraId="03D59F21" w14:textId="77777777" w:rsidR="001D00C4" w:rsidRPr="002455E7" w:rsidRDefault="00C76E7A" w:rsidP="00B53C0C">
            <w:pPr>
              <w:tabs>
                <w:tab w:val="left" w:pos="884"/>
                <w:tab w:val="left" w:pos="1196"/>
              </w:tabs>
              <w:spacing w:after="0" w:line="240" w:lineRule="auto"/>
              <w:jc w:val="both"/>
              <w:rPr>
                <w:rFonts w:ascii="Times New Roman" w:hAnsi="Times New Roman"/>
                <w:b/>
                <w:sz w:val="24"/>
                <w:szCs w:val="24"/>
                <w:lang w:val="pt-BR"/>
              </w:rPr>
            </w:pPr>
            <w:r w:rsidRPr="002455E7">
              <w:rPr>
                <w:rFonts w:ascii="Times New Roman" w:hAnsi="Times New Roman"/>
                <w:b/>
                <w:sz w:val="24"/>
                <w:szCs w:val="24"/>
                <w:lang w:val="pt-BR"/>
              </w:rPr>
              <w:t>Se accepta.</w:t>
            </w:r>
          </w:p>
          <w:p w14:paraId="66878CE7"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lang w:val="pt-BR"/>
              </w:rPr>
            </w:pPr>
          </w:p>
          <w:p w14:paraId="13168EE3"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lang w:val="pt-BR"/>
              </w:rPr>
            </w:pPr>
          </w:p>
          <w:p w14:paraId="7F776CE0"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lang w:val="pt-BR"/>
              </w:rPr>
            </w:pPr>
          </w:p>
          <w:p w14:paraId="373EC215"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lang w:val="pt-BR"/>
              </w:rPr>
            </w:pPr>
          </w:p>
          <w:p w14:paraId="43F81A60"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lang w:val="pt-BR"/>
              </w:rPr>
            </w:pPr>
          </w:p>
          <w:p w14:paraId="7077572E"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lang w:val="pt-BR"/>
              </w:rPr>
            </w:pPr>
          </w:p>
          <w:p w14:paraId="36C2CAAB"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lang w:val="pt-BR"/>
              </w:rPr>
            </w:pPr>
          </w:p>
          <w:p w14:paraId="3191B9A4" w14:textId="77777777" w:rsidR="008C0EDD" w:rsidRPr="002455E7" w:rsidRDefault="008C0EDD" w:rsidP="008C0EDD">
            <w:pPr>
              <w:tabs>
                <w:tab w:val="left" w:pos="884"/>
                <w:tab w:val="left" w:pos="1196"/>
              </w:tabs>
              <w:spacing w:after="0" w:line="240" w:lineRule="auto"/>
              <w:jc w:val="both"/>
              <w:rPr>
                <w:rFonts w:ascii="Times New Roman" w:hAnsi="Times New Roman"/>
                <w:b/>
                <w:sz w:val="24"/>
                <w:szCs w:val="24"/>
                <w:lang w:val="pt-BR"/>
              </w:rPr>
            </w:pPr>
            <w:r w:rsidRPr="002455E7">
              <w:rPr>
                <w:rFonts w:ascii="Times New Roman" w:hAnsi="Times New Roman"/>
                <w:b/>
                <w:sz w:val="24"/>
                <w:szCs w:val="24"/>
                <w:lang w:val="pt-BR"/>
              </w:rPr>
              <w:t>Se accepta.</w:t>
            </w:r>
          </w:p>
          <w:p w14:paraId="33A70D5B"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lang w:val="pt-BR"/>
              </w:rPr>
            </w:pPr>
          </w:p>
          <w:p w14:paraId="7D27C9B2" w14:textId="77777777" w:rsidR="008C0EDD" w:rsidRPr="002455E7" w:rsidRDefault="008C0EDD" w:rsidP="00B53C0C">
            <w:pPr>
              <w:tabs>
                <w:tab w:val="left" w:pos="884"/>
                <w:tab w:val="left" w:pos="1196"/>
              </w:tabs>
              <w:spacing w:after="0" w:line="240" w:lineRule="auto"/>
              <w:jc w:val="both"/>
              <w:rPr>
                <w:rFonts w:ascii="Times New Roman" w:hAnsi="Times New Roman"/>
                <w:sz w:val="24"/>
                <w:szCs w:val="24"/>
                <w:lang w:val="pt-BR"/>
              </w:rPr>
            </w:pPr>
          </w:p>
          <w:p w14:paraId="786AD040" w14:textId="77777777" w:rsidR="00651C54" w:rsidRPr="002455E7" w:rsidRDefault="00651C54" w:rsidP="00B53C0C">
            <w:pPr>
              <w:tabs>
                <w:tab w:val="left" w:pos="884"/>
                <w:tab w:val="left" w:pos="1196"/>
              </w:tabs>
              <w:spacing w:after="0" w:line="240" w:lineRule="auto"/>
              <w:jc w:val="both"/>
              <w:rPr>
                <w:rFonts w:ascii="Times New Roman" w:hAnsi="Times New Roman"/>
                <w:sz w:val="24"/>
                <w:szCs w:val="24"/>
                <w:lang w:val="pt-BR"/>
              </w:rPr>
            </w:pPr>
          </w:p>
          <w:p w14:paraId="65BCCCC8" w14:textId="77777777" w:rsidR="00651C54" w:rsidRPr="002455E7" w:rsidRDefault="00651C54" w:rsidP="00B53C0C">
            <w:pPr>
              <w:tabs>
                <w:tab w:val="left" w:pos="884"/>
                <w:tab w:val="left" w:pos="1196"/>
              </w:tabs>
              <w:spacing w:after="0" w:line="240" w:lineRule="auto"/>
              <w:jc w:val="both"/>
              <w:rPr>
                <w:rFonts w:ascii="Times New Roman" w:hAnsi="Times New Roman"/>
                <w:sz w:val="24"/>
                <w:szCs w:val="24"/>
                <w:lang w:val="pt-BR"/>
              </w:rPr>
            </w:pPr>
          </w:p>
          <w:p w14:paraId="4D72E725" w14:textId="77777777" w:rsidR="00651C54" w:rsidRPr="002455E7" w:rsidRDefault="00651C54" w:rsidP="00B53C0C">
            <w:pPr>
              <w:tabs>
                <w:tab w:val="left" w:pos="884"/>
                <w:tab w:val="left" w:pos="1196"/>
              </w:tabs>
              <w:spacing w:after="0" w:line="240" w:lineRule="auto"/>
              <w:jc w:val="both"/>
              <w:rPr>
                <w:rFonts w:ascii="Times New Roman" w:hAnsi="Times New Roman"/>
                <w:sz w:val="24"/>
                <w:szCs w:val="24"/>
                <w:lang w:val="pt-BR"/>
              </w:rPr>
            </w:pPr>
          </w:p>
          <w:p w14:paraId="275319AB" w14:textId="77777777" w:rsidR="00651C54" w:rsidRPr="002455E7" w:rsidRDefault="00651C54" w:rsidP="00B53C0C">
            <w:pPr>
              <w:tabs>
                <w:tab w:val="left" w:pos="884"/>
                <w:tab w:val="left" w:pos="1196"/>
              </w:tabs>
              <w:spacing w:after="0" w:line="240" w:lineRule="auto"/>
              <w:jc w:val="both"/>
              <w:rPr>
                <w:rFonts w:ascii="Times New Roman" w:hAnsi="Times New Roman"/>
                <w:sz w:val="24"/>
                <w:szCs w:val="24"/>
                <w:lang w:val="pt-BR"/>
              </w:rPr>
            </w:pPr>
          </w:p>
          <w:p w14:paraId="4449C7CC" w14:textId="77777777" w:rsidR="00651C54" w:rsidRPr="002455E7" w:rsidRDefault="00651C54" w:rsidP="00B53C0C">
            <w:pPr>
              <w:tabs>
                <w:tab w:val="left" w:pos="884"/>
                <w:tab w:val="left" w:pos="1196"/>
              </w:tabs>
              <w:spacing w:after="0" w:line="240" w:lineRule="auto"/>
              <w:jc w:val="both"/>
              <w:rPr>
                <w:rFonts w:ascii="Times New Roman" w:hAnsi="Times New Roman"/>
                <w:b/>
                <w:szCs w:val="24"/>
                <w:lang w:val="pt-BR"/>
              </w:rPr>
            </w:pPr>
            <w:r w:rsidRPr="002455E7">
              <w:rPr>
                <w:rFonts w:ascii="Times New Roman" w:hAnsi="Times New Roman"/>
                <w:b/>
                <w:szCs w:val="24"/>
                <w:lang w:val="pt-BR"/>
              </w:rPr>
              <w:t>Nu se accepta.</w:t>
            </w:r>
          </w:p>
          <w:p w14:paraId="046755CB" w14:textId="77777777" w:rsidR="00651C54" w:rsidRPr="00463286" w:rsidRDefault="00651C54" w:rsidP="00B53C0C">
            <w:pPr>
              <w:tabs>
                <w:tab w:val="left" w:pos="884"/>
                <w:tab w:val="left" w:pos="1196"/>
              </w:tabs>
              <w:spacing w:after="0" w:line="240" w:lineRule="auto"/>
              <w:jc w:val="both"/>
              <w:rPr>
                <w:rFonts w:ascii="Times New Roman" w:hAnsi="Times New Roman"/>
                <w:szCs w:val="24"/>
                <w:lang w:val="ro-RO"/>
              </w:rPr>
            </w:pPr>
            <w:r w:rsidRPr="002455E7">
              <w:rPr>
                <w:rFonts w:ascii="Times New Roman" w:hAnsi="Times New Roman"/>
                <w:szCs w:val="24"/>
                <w:lang w:val="pt-BR"/>
              </w:rPr>
              <w:t>Defini</w:t>
            </w:r>
            <w:proofErr w:type="spellStart"/>
            <w:r w:rsidRPr="00623ABA">
              <w:rPr>
                <w:rFonts w:ascii="Times New Roman" w:hAnsi="Times New Roman"/>
                <w:szCs w:val="24"/>
                <w:lang w:val="ro-RO"/>
              </w:rPr>
              <w:t>ția</w:t>
            </w:r>
            <w:proofErr w:type="spellEnd"/>
            <w:r w:rsidRPr="00623ABA">
              <w:rPr>
                <w:rFonts w:ascii="Times New Roman" w:hAnsi="Times New Roman"/>
                <w:szCs w:val="24"/>
                <w:lang w:val="ro-RO"/>
              </w:rPr>
              <w:t xml:space="preserve"> data este descrisă exact cum prevede Regulamentul UE.</w:t>
            </w:r>
          </w:p>
          <w:p w14:paraId="0B087333" w14:textId="77777777" w:rsidR="00E31DA5" w:rsidRDefault="00E31DA5" w:rsidP="00B53C0C">
            <w:pPr>
              <w:tabs>
                <w:tab w:val="left" w:pos="884"/>
                <w:tab w:val="left" w:pos="1196"/>
              </w:tabs>
              <w:spacing w:after="0" w:line="240" w:lineRule="auto"/>
              <w:jc w:val="both"/>
              <w:rPr>
                <w:rFonts w:ascii="Times New Roman" w:hAnsi="Times New Roman"/>
                <w:sz w:val="24"/>
                <w:szCs w:val="24"/>
                <w:lang w:val="ro-RO"/>
              </w:rPr>
            </w:pPr>
          </w:p>
          <w:p w14:paraId="2C1E031D" w14:textId="77777777" w:rsidR="00E31DA5" w:rsidRDefault="00E31DA5" w:rsidP="00B53C0C">
            <w:pPr>
              <w:tabs>
                <w:tab w:val="left" w:pos="884"/>
                <w:tab w:val="left" w:pos="1196"/>
              </w:tabs>
              <w:spacing w:after="0" w:line="240" w:lineRule="auto"/>
              <w:jc w:val="both"/>
              <w:rPr>
                <w:rFonts w:ascii="Times New Roman" w:hAnsi="Times New Roman"/>
                <w:sz w:val="24"/>
                <w:szCs w:val="24"/>
                <w:lang w:val="ro-RO"/>
              </w:rPr>
            </w:pPr>
          </w:p>
          <w:p w14:paraId="01779423" w14:textId="77777777" w:rsidR="00E31DA5" w:rsidRDefault="00E31DA5" w:rsidP="00B53C0C">
            <w:pPr>
              <w:tabs>
                <w:tab w:val="left" w:pos="884"/>
                <w:tab w:val="left" w:pos="1196"/>
              </w:tabs>
              <w:spacing w:after="0" w:line="240" w:lineRule="auto"/>
              <w:jc w:val="both"/>
              <w:rPr>
                <w:rFonts w:ascii="Times New Roman" w:hAnsi="Times New Roman"/>
                <w:sz w:val="24"/>
                <w:szCs w:val="24"/>
                <w:lang w:val="ro-RO"/>
              </w:rPr>
            </w:pPr>
          </w:p>
          <w:p w14:paraId="73A9BE9F" w14:textId="77777777" w:rsidR="00E31DA5" w:rsidRDefault="00E31DA5" w:rsidP="00B53C0C">
            <w:pPr>
              <w:tabs>
                <w:tab w:val="left" w:pos="884"/>
                <w:tab w:val="left" w:pos="1196"/>
              </w:tabs>
              <w:spacing w:after="0" w:line="240" w:lineRule="auto"/>
              <w:jc w:val="both"/>
              <w:rPr>
                <w:rFonts w:ascii="Times New Roman" w:hAnsi="Times New Roman"/>
                <w:sz w:val="24"/>
                <w:szCs w:val="24"/>
                <w:lang w:val="ro-RO"/>
              </w:rPr>
            </w:pPr>
          </w:p>
          <w:p w14:paraId="4FA7CA8D" w14:textId="77777777" w:rsidR="00E31DA5" w:rsidRDefault="00E31DA5" w:rsidP="00B53C0C">
            <w:pPr>
              <w:tabs>
                <w:tab w:val="left" w:pos="884"/>
                <w:tab w:val="left" w:pos="1196"/>
              </w:tabs>
              <w:spacing w:after="0" w:line="240" w:lineRule="auto"/>
              <w:jc w:val="both"/>
              <w:rPr>
                <w:rFonts w:ascii="Times New Roman" w:hAnsi="Times New Roman"/>
                <w:sz w:val="24"/>
                <w:szCs w:val="24"/>
                <w:lang w:val="ro-RO"/>
              </w:rPr>
            </w:pPr>
          </w:p>
          <w:p w14:paraId="21722D08" w14:textId="77777777" w:rsidR="00E31DA5" w:rsidRDefault="00E31DA5" w:rsidP="00B53C0C">
            <w:pPr>
              <w:tabs>
                <w:tab w:val="left" w:pos="884"/>
                <w:tab w:val="left" w:pos="1196"/>
              </w:tabs>
              <w:spacing w:after="0" w:line="240" w:lineRule="auto"/>
              <w:jc w:val="both"/>
              <w:rPr>
                <w:rFonts w:ascii="Times New Roman" w:hAnsi="Times New Roman"/>
                <w:sz w:val="24"/>
                <w:szCs w:val="24"/>
                <w:lang w:val="ro-RO"/>
              </w:rPr>
            </w:pPr>
          </w:p>
          <w:p w14:paraId="2286091E" w14:textId="77777777" w:rsidR="00E31DA5" w:rsidRDefault="00E31DA5" w:rsidP="00B53C0C">
            <w:pPr>
              <w:tabs>
                <w:tab w:val="left" w:pos="884"/>
                <w:tab w:val="left" w:pos="1196"/>
              </w:tabs>
              <w:spacing w:after="0" w:line="240" w:lineRule="auto"/>
              <w:jc w:val="both"/>
              <w:rPr>
                <w:rFonts w:ascii="Times New Roman" w:hAnsi="Times New Roman"/>
                <w:sz w:val="24"/>
                <w:szCs w:val="24"/>
                <w:lang w:val="ro-RO"/>
              </w:rPr>
            </w:pPr>
          </w:p>
          <w:p w14:paraId="4720D318" w14:textId="77777777" w:rsidR="00E31DA5" w:rsidRDefault="00E31DA5" w:rsidP="00B53C0C">
            <w:pPr>
              <w:tabs>
                <w:tab w:val="left" w:pos="884"/>
                <w:tab w:val="left" w:pos="1196"/>
              </w:tabs>
              <w:spacing w:after="0" w:line="240" w:lineRule="auto"/>
              <w:jc w:val="both"/>
              <w:rPr>
                <w:rFonts w:ascii="Times New Roman" w:hAnsi="Times New Roman"/>
                <w:sz w:val="24"/>
                <w:szCs w:val="24"/>
                <w:lang w:val="ro-RO"/>
              </w:rPr>
            </w:pPr>
          </w:p>
          <w:p w14:paraId="649F7D15" w14:textId="77777777" w:rsidR="00E31DA5" w:rsidRDefault="00E31DA5" w:rsidP="00B53C0C">
            <w:pPr>
              <w:tabs>
                <w:tab w:val="left" w:pos="884"/>
                <w:tab w:val="left" w:pos="1196"/>
              </w:tabs>
              <w:spacing w:after="0" w:line="240" w:lineRule="auto"/>
              <w:jc w:val="both"/>
              <w:rPr>
                <w:rFonts w:ascii="Times New Roman" w:hAnsi="Times New Roman"/>
                <w:sz w:val="24"/>
                <w:szCs w:val="24"/>
                <w:lang w:val="ro-RO"/>
              </w:rPr>
            </w:pPr>
          </w:p>
          <w:p w14:paraId="55CE784C" w14:textId="77777777" w:rsidR="00E31DA5" w:rsidRDefault="00E31DA5" w:rsidP="00B53C0C">
            <w:pPr>
              <w:tabs>
                <w:tab w:val="left" w:pos="884"/>
                <w:tab w:val="left" w:pos="1196"/>
              </w:tabs>
              <w:spacing w:after="0" w:line="240" w:lineRule="auto"/>
              <w:jc w:val="both"/>
              <w:rPr>
                <w:rFonts w:ascii="Times New Roman" w:hAnsi="Times New Roman"/>
                <w:sz w:val="24"/>
                <w:szCs w:val="24"/>
                <w:lang w:val="ro-RO"/>
              </w:rPr>
            </w:pPr>
          </w:p>
          <w:p w14:paraId="6141335D" w14:textId="77777777" w:rsidR="00E31DA5" w:rsidRDefault="00E31DA5" w:rsidP="00B53C0C">
            <w:pPr>
              <w:tabs>
                <w:tab w:val="left" w:pos="884"/>
                <w:tab w:val="left" w:pos="1196"/>
              </w:tabs>
              <w:spacing w:after="0" w:line="240" w:lineRule="auto"/>
              <w:jc w:val="both"/>
              <w:rPr>
                <w:rFonts w:ascii="Times New Roman" w:hAnsi="Times New Roman"/>
                <w:sz w:val="24"/>
                <w:szCs w:val="24"/>
                <w:lang w:val="ro-RO"/>
              </w:rPr>
            </w:pPr>
          </w:p>
          <w:p w14:paraId="26DF2D64" w14:textId="77777777" w:rsidR="00E31DA5" w:rsidRPr="00463286" w:rsidRDefault="00894225" w:rsidP="00B53C0C">
            <w:pPr>
              <w:tabs>
                <w:tab w:val="left" w:pos="884"/>
                <w:tab w:val="left" w:pos="1196"/>
              </w:tabs>
              <w:spacing w:after="0" w:line="240" w:lineRule="auto"/>
              <w:jc w:val="both"/>
              <w:rPr>
                <w:rFonts w:ascii="Times New Roman" w:hAnsi="Times New Roman"/>
                <w:b/>
                <w:szCs w:val="24"/>
                <w:lang w:val="ro-RO"/>
              </w:rPr>
            </w:pPr>
            <w:r w:rsidRPr="00623ABA">
              <w:rPr>
                <w:rFonts w:ascii="Times New Roman" w:hAnsi="Times New Roman"/>
                <w:b/>
                <w:szCs w:val="24"/>
                <w:lang w:val="ro-RO"/>
              </w:rPr>
              <w:t>Nu se accepta.</w:t>
            </w:r>
          </w:p>
          <w:p w14:paraId="0A366F64" w14:textId="59981451" w:rsidR="00894225" w:rsidRPr="00651C54" w:rsidRDefault="00894225" w:rsidP="00B53C0C">
            <w:pPr>
              <w:tabs>
                <w:tab w:val="left" w:pos="884"/>
                <w:tab w:val="left" w:pos="1196"/>
              </w:tabs>
              <w:spacing w:after="0" w:line="240" w:lineRule="auto"/>
              <w:jc w:val="both"/>
              <w:rPr>
                <w:rFonts w:ascii="Times New Roman" w:hAnsi="Times New Roman"/>
                <w:sz w:val="24"/>
                <w:szCs w:val="24"/>
                <w:lang w:val="ro-RO"/>
              </w:rPr>
            </w:pPr>
            <w:r w:rsidRPr="00463286">
              <w:rPr>
                <w:rFonts w:ascii="Times New Roman" w:hAnsi="Times New Roman"/>
                <w:szCs w:val="24"/>
                <w:lang w:val="ro-RO"/>
              </w:rPr>
              <w:t xml:space="preserve">Anexa respectiva nu prevede </w:t>
            </w:r>
            <w:r w:rsidR="00463286" w:rsidRPr="00463286">
              <w:rPr>
                <w:rFonts w:ascii="Times New Roman" w:hAnsi="Times New Roman"/>
                <w:szCs w:val="24"/>
                <w:lang w:val="ro-RO"/>
              </w:rPr>
              <w:t>imaginele etichetei.</w:t>
            </w:r>
          </w:p>
        </w:tc>
      </w:tr>
      <w:tr w:rsidR="00C73D84" w:rsidRPr="006579BC" w14:paraId="68C3287F" w14:textId="77777777" w:rsidTr="006579BC">
        <w:trPr>
          <w:trHeight w:val="1343"/>
        </w:trPr>
        <w:tc>
          <w:tcPr>
            <w:tcW w:w="3145" w:type="dxa"/>
            <w:tcBorders>
              <w:top w:val="single" w:sz="4" w:space="0" w:color="auto"/>
            </w:tcBorders>
          </w:tcPr>
          <w:p w14:paraId="68315113" w14:textId="51E075BD" w:rsidR="00C73D84" w:rsidRPr="00DA5230" w:rsidRDefault="00DC7290" w:rsidP="00DC7290">
            <w:pPr>
              <w:tabs>
                <w:tab w:val="left" w:pos="884"/>
                <w:tab w:val="left" w:pos="1196"/>
              </w:tabs>
              <w:spacing w:after="0" w:line="240" w:lineRule="auto"/>
              <w:rPr>
                <w:rFonts w:ascii="Times New Roman" w:hAnsi="Times New Roman"/>
                <w:sz w:val="24"/>
                <w:szCs w:val="24"/>
                <w:lang w:val="ro-RO"/>
              </w:rPr>
            </w:pPr>
            <w:r w:rsidRPr="00DA5230">
              <w:rPr>
                <w:rFonts w:ascii="Times New Roman" w:hAnsi="Times New Roman"/>
                <w:b/>
                <w:sz w:val="24"/>
                <w:szCs w:val="24"/>
                <w:lang w:val="ro-RO"/>
              </w:rPr>
              <w:lastRenderedPageBreak/>
              <w:t>Ministerul Infrastructurii și Dezvoltării Regionale</w:t>
            </w:r>
            <w:r w:rsidR="00C73D84" w:rsidRPr="00DA5230">
              <w:rPr>
                <w:rFonts w:ascii="Times New Roman" w:hAnsi="Times New Roman"/>
                <w:b/>
                <w:sz w:val="24"/>
                <w:szCs w:val="24"/>
                <w:lang w:val="ro-RO"/>
              </w:rPr>
              <w:t xml:space="preserve">                      </w:t>
            </w:r>
            <w:r w:rsidR="00C73D84" w:rsidRPr="00DA5230">
              <w:rPr>
                <w:rFonts w:ascii="Times New Roman" w:hAnsi="Times New Roman"/>
                <w:sz w:val="24"/>
                <w:szCs w:val="24"/>
                <w:lang w:val="ro-RO"/>
              </w:rPr>
              <w:t xml:space="preserve">nr. </w:t>
            </w:r>
            <w:r w:rsidR="006579BC">
              <w:rPr>
                <w:rFonts w:ascii="Times New Roman" w:hAnsi="Times New Roman"/>
                <w:sz w:val="24"/>
                <w:szCs w:val="24"/>
                <w:lang w:val="ro-RO"/>
              </w:rPr>
              <w:t>21</w:t>
            </w:r>
            <w:r w:rsidRPr="00DA5230">
              <w:rPr>
                <w:rFonts w:ascii="Times New Roman" w:hAnsi="Times New Roman"/>
                <w:sz w:val="24"/>
                <w:szCs w:val="24"/>
                <w:lang w:val="ro-RO"/>
              </w:rPr>
              <w:t>-</w:t>
            </w:r>
            <w:r w:rsidR="006579BC">
              <w:rPr>
                <w:rFonts w:ascii="Times New Roman" w:hAnsi="Times New Roman"/>
                <w:sz w:val="24"/>
                <w:szCs w:val="24"/>
                <w:lang w:val="ro-RO"/>
              </w:rPr>
              <w:t>5175</w:t>
            </w:r>
            <w:r w:rsidR="00C73D84" w:rsidRPr="00DA5230">
              <w:rPr>
                <w:rFonts w:ascii="Times New Roman" w:hAnsi="Times New Roman"/>
                <w:sz w:val="24"/>
                <w:szCs w:val="24"/>
                <w:lang w:val="ro-RO"/>
              </w:rPr>
              <w:t xml:space="preserve"> din </w:t>
            </w:r>
            <w:r w:rsidRPr="00DA5230">
              <w:rPr>
                <w:rFonts w:ascii="Times New Roman" w:hAnsi="Times New Roman"/>
                <w:sz w:val="24"/>
                <w:szCs w:val="24"/>
                <w:lang w:val="ro-RO"/>
              </w:rPr>
              <w:t>03.</w:t>
            </w:r>
            <w:r w:rsidR="006579BC">
              <w:rPr>
                <w:rFonts w:ascii="Times New Roman" w:hAnsi="Times New Roman"/>
                <w:sz w:val="24"/>
                <w:szCs w:val="24"/>
                <w:lang w:val="ro-RO"/>
              </w:rPr>
              <w:t>10.</w:t>
            </w:r>
            <w:r w:rsidRPr="00DA5230">
              <w:rPr>
                <w:rFonts w:ascii="Times New Roman" w:hAnsi="Times New Roman"/>
                <w:sz w:val="24"/>
                <w:szCs w:val="24"/>
                <w:lang w:val="ro-RO"/>
              </w:rPr>
              <w:t>2024</w:t>
            </w:r>
          </w:p>
          <w:p w14:paraId="470022AA" w14:textId="77777777" w:rsidR="00383FE0" w:rsidRPr="00DA5230" w:rsidRDefault="00383FE0" w:rsidP="00DC7290">
            <w:pPr>
              <w:tabs>
                <w:tab w:val="left" w:pos="884"/>
                <w:tab w:val="left" w:pos="1196"/>
              </w:tabs>
              <w:spacing w:after="0" w:line="240" w:lineRule="auto"/>
              <w:rPr>
                <w:rFonts w:ascii="Times New Roman" w:hAnsi="Times New Roman"/>
                <w:sz w:val="24"/>
                <w:szCs w:val="24"/>
                <w:lang w:val="ro-RO"/>
              </w:rPr>
            </w:pPr>
          </w:p>
          <w:p w14:paraId="0943BD34" w14:textId="053C5B6C" w:rsidR="00383FE0" w:rsidRPr="00DA5230" w:rsidRDefault="00383FE0" w:rsidP="00DC7290">
            <w:pPr>
              <w:tabs>
                <w:tab w:val="left" w:pos="884"/>
                <w:tab w:val="left" w:pos="1196"/>
              </w:tabs>
              <w:spacing w:after="0" w:line="240" w:lineRule="auto"/>
              <w:rPr>
                <w:rFonts w:ascii="Times New Roman" w:hAnsi="Times New Roman"/>
                <w:sz w:val="24"/>
                <w:szCs w:val="24"/>
                <w:lang w:val="ro-RO"/>
              </w:rPr>
            </w:pPr>
          </w:p>
        </w:tc>
        <w:tc>
          <w:tcPr>
            <w:tcW w:w="6602" w:type="dxa"/>
            <w:tcBorders>
              <w:top w:val="single" w:sz="4" w:space="0" w:color="auto"/>
            </w:tcBorders>
          </w:tcPr>
          <w:p w14:paraId="1E927F56" w14:textId="73E7B306" w:rsidR="00383FE0" w:rsidRPr="002455E7" w:rsidRDefault="006579BC" w:rsidP="00D94695">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Urmare examinării proiectului hotărârii de Guvern </w:t>
            </w:r>
            <w:r w:rsidRPr="002455E7">
              <w:rPr>
                <w:rFonts w:ascii="Times New Roman" w:hAnsi="Times New Roman"/>
                <w:i/>
                <w:lang w:val="pt-BR"/>
              </w:rPr>
              <w:t>cu privire la modificarea Hotărârii Guvernului nr. 1003/2014 pentru aprobarea regulamentelor privind cerințele de etichetare energetică a unor produse cu impact energetic</w:t>
            </w:r>
            <w:r w:rsidRPr="002455E7">
              <w:rPr>
                <w:rFonts w:ascii="Times New Roman" w:hAnsi="Times New Roman"/>
                <w:lang w:val="pt-BR"/>
              </w:rPr>
              <w:t xml:space="preserve"> </w:t>
            </w:r>
            <w:r w:rsidRPr="002455E7">
              <w:rPr>
                <w:rFonts w:ascii="Times New Roman" w:hAnsi="Times New Roman"/>
                <w:b/>
                <w:lang w:val="pt-BR"/>
              </w:rPr>
              <w:t xml:space="preserve">(număr unic 814/MEn/2024), </w:t>
            </w:r>
            <w:r w:rsidRPr="002455E7">
              <w:rPr>
                <w:rFonts w:ascii="Times New Roman" w:hAnsi="Times New Roman"/>
                <w:lang w:val="pt-BR"/>
              </w:rPr>
              <w:t>în limita competențelor funcționale, comunicăm lipsă de obiecții și propuneri.</w:t>
            </w:r>
          </w:p>
        </w:tc>
        <w:tc>
          <w:tcPr>
            <w:tcW w:w="4581" w:type="dxa"/>
            <w:tcBorders>
              <w:top w:val="single" w:sz="4" w:space="0" w:color="auto"/>
            </w:tcBorders>
            <w:shd w:val="clear" w:color="auto" w:fill="FFFFFF" w:themeFill="background1"/>
          </w:tcPr>
          <w:p w14:paraId="2AF088F7" w14:textId="5B707B70" w:rsidR="00757CC5" w:rsidRPr="00757CC5" w:rsidRDefault="006579BC" w:rsidP="00181FFA">
            <w:pPr>
              <w:shd w:val="clear" w:color="auto" w:fill="FFFFFF"/>
              <w:spacing w:after="0" w:line="214" w:lineRule="atLeast"/>
              <w:jc w:val="both"/>
              <w:rPr>
                <w:rFonts w:ascii="Times New Roman" w:hAnsi="Times New Roman"/>
                <w:b/>
                <w:bCs/>
                <w:sz w:val="24"/>
                <w:szCs w:val="24"/>
                <w:lang w:val="ro-RO"/>
              </w:rPr>
            </w:pPr>
            <w:r>
              <w:rPr>
                <w:rFonts w:ascii="Times New Roman" w:hAnsi="Times New Roman"/>
                <w:b/>
                <w:bCs/>
                <w:sz w:val="24"/>
                <w:szCs w:val="24"/>
                <w:lang w:val="ro-RO"/>
              </w:rPr>
              <w:t>Se acceptă</w:t>
            </w:r>
          </w:p>
        </w:tc>
      </w:tr>
      <w:tr w:rsidR="00B53C0C" w:rsidRPr="00CC0B29" w14:paraId="0EB27A6E" w14:textId="77777777" w:rsidTr="00DC7290">
        <w:trPr>
          <w:trHeight w:val="350"/>
        </w:trPr>
        <w:tc>
          <w:tcPr>
            <w:tcW w:w="3145" w:type="dxa"/>
          </w:tcPr>
          <w:p w14:paraId="080504B3" w14:textId="71A74B9D" w:rsidR="003F1B7D" w:rsidRPr="00DA5230" w:rsidRDefault="003F1B7D" w:rsidP="00B53C0C">
            <w:pPr>
              <w:tabs>
                <w:tab w:val="left" w:pos="884"/>
                <w:tab w:val="left" w:pos="1196"/>
              </w:tabs>
              <w:spacing w:after="0" w:line="240" w:lineRule="auto"/>
              <w:rPr>
                <w:rFonts w:ascii="Times New Roman" w:hAnsi="Times New Roman"/>
                <w:b/>
                <w:sz w:val="24"/>
                <w:szCs w:val="24"/>
                <w:lang w:val="ro-RO"/>
              </w:rPr>
            </w:pPr>
            <w:r w:rsidRPr="00DA5230">
              <w:rPr>
                <w:rFonts w:ascii="Times New Roman" w:hAnsi="Times New Roman"/>
                <w:b/>
                <w:sz w:val="24"/>
                <w:szCs w:val="24"/>
                <w:lang w:val="ro-RO"/>
              </w:rPr>
              <w:t>Camera de Comerț și Industrie</w:t>
            </w:r>
            <w:r w:rsidR="001319A5">
              <w:rPr>
                <w:rFonts w:ascii="Times New Roman" w:hAnsi="Times New Roman"/>
                <w:b/>
                <w:sz w:val="24"/>
                <w:szCs w:val="24"/>
                <w:lang w:val="ro-RO"/>
              </w:rPr>
              <w:t xml:space="preserve"> a RM</w:t>
            </w:r>
            <w:r w:rsidR="00B53C0C" w:rsidRPr="00DA5230">
              <w:rPr>
                <w:rFonts w:ascii="Times New Roman" w:hAnsi="Times New Roman"/>
                <w:b/>
                <w:sz w:val="24"/>
                <w:szCs w:val="24"/>
                <w:lang w:val="ro-RO"/>
              </w:rPr>
              <w:t xml:space="preserve">        </w:t>
            </w:r>
          </w:p>
          <w:p w14:paraId="745ABF7B" w14:textId="64F34FB3" w:rsidR="00B53C0C" w:rsidRPr="00DA5230" w:rsidRDefault="00B53C0C" w:rsidP="00383FE0">
            <w:pPr>
              <w:tabs>
                <w:tab w:val="left" w:pos="884"/>
                <w:tab w:val="left" w:pos="1196"/>
              </w:tabs>
              <w:spacing w:after="0" w:line="240" w:lineRule="auto"/>
              <w:rPr>
                <w:rFonts w:ascii="Times New Roman" w:hAnsi="Times New Roman"/>
                <w:b/>
                <w:sz w:val="24"/>
                <w:szCs w:val="24"/>
                <w:lang w:val="ro-RO"/>
              </w:rPr>
            </w:pPr>
          </w:p>
        </w:tc>
        <w:tc>
          <w:tcPr>
            <w:tcW w:w="6602" w:type="dxa"/>
          </w:tcPr>
          <w:p w14:paraId="04ED3936" w14:textId="07F8DD74" w:rsidR="00B53C0C" w:rsidRPr="00DA5230" w:rsidRDefault="001319A5" w:rsidP="00016419">
            <w:pPr>
              <w:tabs>
                <w:tab w:val="left" w:pos="884"/>
                <w:tab w:val="left" w:pos="1196"/>
              </w:tabs>
              <w:spacing w:after="0" w:line="240" w:lineRule="auto"/>
              <w:jc w:val="both"/>
              <w:rPr>
                <w:rFonts w:ascii="Times New Roman" w:hAnsi="Times New Roman"/>
                <w:lang w:val="ro-RO"/>
              </w:rPr>
            </w:pPr>
            <w:r>
              <w:rPr>
                <w:rFonts w:ascii="Times New Roman" w:hAnsi="Times New Roman"/>
                <w:lang w:val="ro-RO"/>
              </w:rPr>
              <w:t>Lipsă aviz</w:t>
            </w:r>
          </w:p>
        </w:tc>
        <w:tc>
          <w:tcPr>
            <w:tcW w:w="4581" w:type="dxa"/>
          </w:tcPr>
          <w:p w14:paraId="1BB876CE" w14:textId="45D0C917" w:rsidR="00B53C0C" w:rsidRPr="005A179E" w:rsidRDefault="001319A5" w:rsidP="00B53C0C">
            <w:pPr>
              <w:tabs>
                <w:tab w:val="left" w:pos="884"/>
                <w:tab w:val="left" w:pos="1196"/>
              </w:tabs>
              <w:spacing w:after="0" w:line="240" w:lineRule="auto"/>
              <w:jc w:val="both"/>
              <w:rPr>
                <w:rFonts w:ascii="Times New Roman" w:hAnsi="Times New Roman"/>
                <w:b/>
                <w:bCs/>
                <w:sz w:val="24"/>
                <w:szCs w:val="24"/>
                <w:lang w:val="ro-RO"/>
              </w:rPr>
            </w:pPr>
            <w:r>
              <w:rPr>
                <w:rFonts w:ascii="Times New Roman" w:hAnsi="Times New Roman"/>
                <w:b/>
                <w:bCs/>
                <w:sz w:val="24"/>
                <w:szCs w:val="24"/>
                <w:lang w:val="ro-RO"/>
              </w:rPr>
              <w:t>Se ia act</w:t>
            </w:r>
          </w:p>
        </w:tc>
      </w:tr>
      <w:tr w:rsidR="00E46833" w:rsidRPr="00F94567" w14:paraId="414C0E18" w14:textId="77777777" w:rsidTr="00DC7290">
        <w:trPr>
          <w:trHeight w:val="350"/>
        </w:trPr>
        <w:tc>
          <w:tcPr>
            <w:tcW w:w="3145" w:type="dxa"/>
          </w:tcPr>
          <w:p w14:paraId="51D804D5" w14:textId="77777777" w:rsidR="00F94567" w:rsidRDefault="00F94567" w:rsidP="00F94567">
            <w:pPr>
              <w:tabs>
                <w:tab w:val="left" w:pos="884"/>
                <w:tab w:val="left" w:pos="1196"/>
              </w:tabs>
              <w:spacing w:after="0" w:line="240" w:lineRule="auto"/>
              <w:rPr>
                <w:rFonts w:ascii="Times New Roman" w:hAnsi="Times New Roman"/>
                <w:sz w:val="24"/>
                <w:szCs w:val="24"/>
                <w:lang w:val="ro-RO"/>
              </w:rPr>
            </w:pPr>
            <w:r w:rsidRPr="002455E7">
              <w:rPr>
                <w:rFonts w:ascii="Times New Roman" w:hAnsi="Times New Roman"/>
                <w:b/>
                <w:sz w:val="24"/>
                <w:szCs w:val="24"/>
                <w:lang w:val="pt-BR"/>
              </w:rPr>
              <w:t>Inspectoratul de Stat pentru Supravegherea Produselor Nealimentare și Protecția Consumatorilor</w:t>
            </w:r>
            <w:r w:rsidRPr="002455E7">
              <w:rPr>
                <w:rFonts w:ascii="Times New Roman" w:hAnsi="Times New Roman"/>
                <w:lang w:val="pt-BR"/>
              </w:rPr>
              <w:t xml:space="preserve"> </w:t>
            </w:r>
          </w:p>
          <w:p w14:paraId="27CCD19F" w14:textId="673E3FE2" w:rsidR="00E46833" w:rsidRPr="00DA5230" w:rsidRDefault="007244BD" w:rsidP="00F94567">
            <w:pPr>
              <w:tabs>
                <w:tab w:val="left" w:pos="884"/>
                <w:tab w:val="left" w:pos="1196"/>
              </w:tabs>
              <w:spacing w:after="0" w:line="240" w:lineRule="auto"/>
              <w:rPr>
                <w:rFonts w:ascii="Times New Roman" w:hAnsi="Times New Roman"/>
                <w:sz w:val="24"/>
                <w:szCs w:val="24"/>
                <w:lang w:val="ro-RO"/>
              </w:rPr>
            </w:pPr>
            <w:r w:rsidRPr="00DA5230">
              <w:rPr>
                <w:rFonts w:ascii="Times New Roman" w:hAnsi="Times New Roman"/>
                <w:sz w:val="24"/>
                <w:szCs w:val="24"/>
                <w:lang w:val="ro-RO"/>
              </w:rPr>
              <w:t>n</w:t>
            </w:r>
            <w:r w:rsidR="00E46833" w:rsidRPr="00DA5230">
              <w:rPr>
                <w:rFonts w:ascii="Times New Roman" w:hAnsi="Times New Roman"/>
                <w:sz w:val="24"/>
                <w:szCs w:val="24"/>
                <w:lang w:val="ro-RO"/>
              </w:rPr>
              <w:t>r.</w:t>
            </w:r>
            <w:r w:rsidR="00F94567">
              <w:rPr>
                <w:rFonts w:ascii="Times New Roman" w:hAnsi="Times New Roman"/>
                <w:sz w:val="24"/>
                <w:szCs w:val="24"/>
                <w:lang w:val="ro-RO"/>
              </w:rPr>
              <w:t>27/11-3357</w:t>
            </w:r>
            <w:r w:rsidR="00E46833" w:rsidRPr="00DA5230">
              <w:rPr>
                <w:rFonts w:ascii="Times New Roman" w:hAnsi="Times New Roman"/>
                <w:sz w:val="24"/>
                <w:szCs w:val="24"/>
                <w:lang w:val="ro-RO"/>
              </w:rPr>
              <w:t xml:space="preserve"> din </w:t>
            </w:r>
            <w:r w:rsidR="00F94567">
              <w:rPr>
                <w:rFonts w:ascii="Times New Roman" w:hAnsi="Times New Roman"/>
                <w:sz w:val="24"/>
                <w:szCs w:val="24"/>
                <w:lang w:val="ro-RO"/>
              </w:rPr>
              <w:t>30.09</w:t>
            </w:r>
            <w:r w:rsidR="00E46833" w:rsidRPr="00DA5230">
              <w:rPr>
                <w:rFonts w:ascii="Times New Roman" w:hAnsi="Times New Roman"/>
                <w:sz w:val="24"/>
                <w:szCs w:val="24"/>
                <w:lang w:val="ro-RO"/>
              </w:rPr>
              <w:t>.2024</w:t>
            </w:r>
          </w:p>
        </w:tc>
        <w:tc>
          <w:tcPr>
            <w:tcW w:w="6602" w:type="dxa"/>
          </w:tcPr>
          <w:p w14:paraId="491271AB" w14:textId="3F322B6D" w:rsidR="00F94567" w:rsidRPr="002455E7" w:rsidRDefault="00F94567"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Inspectoratul de Stat pentru Supravegherea Produselor Nealimentar</w:t>
            </w:r>
            <w:r w:rsidR="00623ABA" w:rsidRPr="002455E7">
              <w:rPr>
                <w:rFonts w:ascii="Times New Roman" w:hAnsi="Times New Roman"/>
                <w:lang w:val="pt-BR"/>
              </w:rPr>
              <w:t>e și Protecția Consumatorilor (</w:t>
            </w:r>
            <w:r w:rsidRPr="002455E7">
              <w:rPr>
                <w:rFonts w:ascii="Times New Roman" w:hAnsi="Times New Roman"/>
                <w:lang w:val="pt-BR"/>
              </w:rPr>
              <w:t xml:space="preserve">ISSPNPC) a analizat </w:t>
            </w:r>
            <w:r w:rsidRPr="002455E7">
              <w:rPr>
                <w:rFonts w:ascii="Times New Roman" w:hAnsi="Times New Roman"/>
                <w:i/>
                <w:lang w:val="pt-BR"/>
              </w:rPr>
              <w:t>proiectul hotărârii Guvernului pentru modificarea Hotărârii Guvernului nr.1003/2014 pentru aprobarea regulamentelor privind cerințele de etichetare energetică a unor produse cu impact energetic (număr unic 814/MEn/2024).</w:t>
            </w:r>
          </w:p>
          <w:p w14:paraId="77929654" w14:textId="639F84DC" w:rsidR="00E46833" w:rsidRPr="002455E7" w:rsidRDefault="00F94567"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În acest sens, ISSPNPC în urma analizării </w:t>
            </w:r>
            <w:r w:rsidRPr="002455E7">
              <w:rPr>
                <w:rFonts w:ascii="Times New Roman" w:hAnsi="Times New Roman"/>
                <w:i/>
                <w:lang w:val="pt-BR"/>
              </w:rPr>
              <w:t xml:space="preserve">proiectului hotărârii Guvernului pentru modificarea Hotărârii Guvernului nr.1003/2014 pentru aprobarea regulamentelor privind cerințele de etichetare energetică a unor produse cu impact energetic (număr unic </w:t>
            </w:r>
            <w:r w:rsidRPr="002455E7">
              <w:rPr>
                <w:rFonts w:ascii="Times New Roman" w:hAnsi="Times New Roman"/>
                <w:i/>
                <w:lang w:val="pt-BR"/>
              </w:rPr>
              <w:lastRenderedPageBreak/>
              <w:t>814/MEn/2024)</w:t>
            </w:r>
            <w:r w:rsidRPr="002455E7">
              <w:rPr>
                <w:rFonts w:ascii="Times New Roman" w:hAnsi="Times New Roman"/>
                <w:lang w:val="pt-BR"/>
              </w:rPr>
              <w:t xml:space="preserve"> comunica lipsa de propuneri sau obiecții asupra proiectului actului normativ.</w:t>
            </w:r>
          </w:p>
        </w:tc>
        <w:tc>
          <w:tcPr>
            <w:tcW w:w="4581" w:type="dxa"/>
          </w:tcPr>
          <w:p w14:paraId="4D9DFEFD" w14:textId="486CB5F5" w:rsidR="00E46833" w:rsidRPr="0094008C" w:rsidRDefault="00F94567" w:rsidP="00B53C0C">
            <w:pPr>
              <w:tabs>
                <w:tab w:val="left" w:pos="884"/>
                <w:tab w:val="left" w:pos="1196"/>
              </w:tabs>
              <w:spacing w:after="0" w:line="240" w:lineRule="auto"/>
              <w:jc w:val="both"/>
              <w:rPr>
                <w:rFonts w:ascii="Times New Roman" w:hAnsi="Times New Roman"/>
                <w:b/>
                <w:bCs/>
                <w:iCs/>
                <w:sz w:val="24"/>
                <w:szCs w:val="24"/>
                <w:lang w:val="ro-RO"/>
              </w:rPr>
            </w:pPr>
            <w:r w:rsidRPr="0094008C">
              <w:rPr>
                <w:rFonts w:ascii="Times New Roman" w:hAnsi="Times New Roman"/>
                <w:b/>
                <w:bCs/>
                <w:iCs/>
                <w:sz w:val="24"/>
                <w:szCs w:val="24"/>
                <w:lang w:val="ro-RO"/>
              </w:rPr>
              <w:lastRenderedPageBreak/>
              <w:t>Se acceptă</w:t>
            </w:r>
          </w:p>
        </w:tc>
      </w:tr>
      <w:tr w:rsidR="00A404C3" w:rsidRPr="002455E7" w14:paraId="593AF04D" w14:textId="77777777" w:rsidTr="00DC7290">
        <w:trPr>
          <w:trHeight w:val="350"/>
        </w:trPr>
        <w:tc>
          <w:tcPr>
            <w:tcW w:w="3145" w:type="dxa"/>
          </w:tcPr>
          <w:p w14:paraId="218E636A" w14:textId="77777777" w:rsidR="00A404C3" w:rsidRDefault="00A404C3" w:rsidP="00F94567">
            <w:pPr>
              <w:tabs>
                <w:tab w:val="left" w:pos="884"/>
                <w:tab w:val="left" w:pos="1196"/>
              </w:tabs>
              <w:spacing w:after="0" w:line="240" w:lineRule="auto"/>
              <w:rPr>
                <w:rFonts w:ascii="Times New Roman" w:hAnsi="Times New Roman"/>
                <w:b/>
                <w:sz w:val="24"/>
                <w:szCs w:val="24"/>
                <w:lang w:val="en-GB"/>
              </w:rPr>
            </w:pPr>
            <w:r w:rsidRPr="00A404C3">
              <w:rPr>
                <w:rFonts w:ascii="Times New Roman" w:hAnsi="Times New Roman"/>
                <w:b/>
                <w:sz w:val="24"/>
                <w:szCs w:val="24"/>
                <w:lang w:val="en-GB"/>
              </w:rPr>
              <w:t>SRL Premium House</w:t>
            </w:r>
          </w:p>
          <w:p w14:paraId="0C0CD68E" w14:textId="36824314" w:rsidR="008C0522" w:rsidRPr="008C0522" w:rsidRDefault="008C0522" w:rsidP="00F94567">
            <w:pPr>
              <w:tabs>
                <w:tab w:val="left" w:pos="884"/>
                <w:tab w:val="left" w:pos="1196"/>
              </w:tabs>
              <w:spacing w:after="0" w:line="240" w:lineRule="auto"/>
              <w:rPr>
                <w:rFonts w:ascii="Times New Roman" w:hAnsi="Times New Roman"/>
                <w:i/>
                <w:szCs w:val="24"/>
                <w:lang w:val="en-GB"/>
              </w:rPr>
            </w:pPr>
            <w:r w:rsidRPr="008C0522">
              <w:rPr>
                <w:rFonts w:ascii="Times New Roman" w:hAnsi="Times New Roman"/>
                <w:i/>
                <w:szCs w:val="24"/>
                <w:lang w:val="en-GB"/>
              </w:rPr>
              <w:t xml:space="preserve">din 02 </w:t>
            </w:r>
            <w:proofErr w:type="spellStart"/>
            <w:r w:rsidRPr="008C0522">
              <w:rPr>
                <w:rFonts w:ascii="Times New Roman" w:hAnsi="Times New Roman"/>
                <w:i/>
                <w:szCs w:val="24"/>
                <w:lang w:val="en-GB"/>
              </w:rPr>
              <w:t>decembrie</w:t>
            </w:r>
            <w:proofErr w:type="spellEnd"/>
            <w:r w:rsidRPr="008C0522">
              <w:rPr>
                <w:rFonts w:ascii="Times New Roman" w:hAnsi="Times New Roman"/>
                <w:i/>
                <w:szCs w:val="24"/>
                <w:lang w:val="en-GB"/>
              </w:rPr>
              <w:t xml:space="preserve"> 2024 </w:t>
            </w:r>
          </w:p>
        </w:tc>
        <w:tc>
          <w:tcPr>
            <w:tcW w:w="6602" w:type="dxa"/>
          </w:tcPr>
          <w:p w14:paraId="139304B1" w14:textId="77777777" w:rsidR="00DC01A8" w:rsidRPr="002455E7" w:rsidRDefault="008C0522"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NOTA DE FUNDAMENTARE la proiectul Hotărârii Guvernului pentru modificarea Hotărârii Guvernului nr. 1003/2014 pentru aprobarea regulamentelor privind cerințele de etichetare energetică a unor produse cu impact energetic </w:t>
            </w:r>
          </w:p>
          <w:p w14:paraId="7C930520" w14:textId="062A25D3" w:rsidR="00A404C3" w:rsidRPr="003C7469" w:rsidRDefault="008C0522" w:rsidP="003C7469">
            <w:pPr>
              <w:pStyle w:val="Listparagraf"/>
              <w:numPr>
                <w:ilvl w:val="0"/>
                <w:numId w:val="21"/>
              </w:numPr>
              <w:tabs>
                <w:tab w:val="left" w:pos="884"/>
                <w:tab w:val="left" w:pos="1196"/>
              </w:tabs>
              <w:spacing w:after="0" w:line="240" w:lineRule="auto"/>
              <w:jc w:val="both"/>
              <w:rPr>
                <w:lang w:val="ro-MD"/>
              </w:rPr>
            </w:pPr>
            <w:r w:rsidRPr="002455E7">
              <w:rPr>
                <w:lang w:val="pt-BR"/>
              </w:rPr>
              <w:t>[Pagina 4] Considerăm că în lista de grupe de produse/ echipamente specificate în HG 1003/2014 pentru aprobarea regulamentelor privind cerințele de etichetare energetică a unor produse cu impact energetic, lipsesc: a) mașini de spălat rufe de uz comercial și mașini de spălat și uscat rufe de uz comercial; și b) mașini de spălat vase de uz comercial. Ori este necesară o anumită claritate pentru cazurile când o afacere utilizează mașini de spălat / uscat rufe și/sau mașini de spălat vase rezidențiale, însă în scop comercial. Rațiunea survine din faptul că domeniul HORECA, cât și alte afaceri din prezent (cum sunt de exemplu spălătoriile de haine) folosesc la fel echipamente care au un impact energetic de luat în calcul când vine vorba de consum, iar adițional proprietarii de afaceri / persoanele responsabile din companiile private nu pot fi private de dreptul la informare privind etichetarea energetică când aleg echipamente de genul dat.</w:t>
            </w:r>
          </w:p>
          <w:p w14:paraId="7A4D650A" w14:textId="77777777" w:rsidR="003C7469" w:rsidRDefault="003C7469" w:rsidP="003C7469">
            <w:pPr>
              <w:tabs>
                <w:tab w:val="left" w:pos="884"/>
                <w:tab w:val="left" w:pos="1196"/>
              </w:tabs>
              <w:spacing w:after="0" w:line="240" w:lineRule="auto"/>
              <w:jc w:val="both"/>
              <w:rPr>
                <w:lang w:val="ro-MD"/>
              </w:rPr>
            </w:pPr>
          </w:p>
          <w:p w14:paraId="60CD2175" w14:textId="77777777" w:rsidR="003C7469" w:rsidRDefault="003C7469" w:rsidP="003C7469">
            <w:pPr>
              <w:tabs>
                <w:tab w:val="left" w:pos="884"/>
                <w:tab w:val="left" w:pos="1196"/>
              </w:tabs>
              <w:spacing w:after="0" w:line="240" w:lineRule="auto"/>
              <w:jc w:val="both"/>
              <w:rPr>
                <w:lang w:val="ro-MD"/>
              </w:rPr>
            </w:pPr>
          </w:p>
          <w:p w14:paraId="0C0940E6" w14:textId="77777777" w:rsidR="006416C8" w:rsidRDefault="006416C8" w:rsidP="003C7469">
            <w:pPr>
              <w:tabs>
                <w:tab w:val="left" w:pos="884"/>
                <w:tab w:val="left" w:pos="1196"/>
              </w:tabs>
              <w:spacing w:after="0" w:line="240" w:lineRule="auto"/>
              <w:jc w:val="both"/>
              <w:rPr>
                <w:lang w:val="ro-MD"/>
              </w:rPr>
            </w:pPr>
          </w:p>
          <w:p w14:paraId="01A03465" w14:textId="77777777" w:rsidR="006416C8" w:rsidRDefault="006416C8" w:rsidP="003C7469">
            <w:pPr>
              <w:tabs>
                <w:tab w:val="left" w:pos="884"/>
                <w:tab w:val="left" w:pos="1196"/>
              </w:tabs>
              <w:spacing w:after="0" w:line="240" w:lineRule="auto"/>
              <w:jc w:val="both"/>
              <w:rPr>
                <w:lang w:val="ro-MD"/>
              </w:rPr>
            </w:pPr>
          </w:p>
          <w:p w14:paraId="6EDBD865" w14:textId="77777777" w:rsidR="006416C8" w:rsidRDefault="006416C8" w:rsidP="003C7469">
            <w:pPr>
              <w:tabs>
                <w:tab w:val="left" w:pos="884"/>
                <w:tab w:val="left" w:pos="1196"/>
              </w:tabs>
              <w:spacing w:after="0" w:line="240" w:lineRule="auto"/>
              <w:jc w:val="both"/>
              <w:rPr>
                <w:lang w:val="ro-MD"/>
              </w:rPr>
            </w:pPr>
          </w:p>
          <w:p w14:paraId="55301550" w14:textId="77777777" w:rsidR="003C7469" w:rsidRDefault="003C7469" w:rsidP="003C7469">
            <w:pPr>
              <w:tabs>
                <w:tab w:val="left" w:pos="884"/>
                <w:tab w:val="left" w:pos="1196"/>
              </w:tabs>
              <w:spacing w:after="0" w:line="240" w:lineRule="auto"/>
              <w:jc w:val="both"/>
              <w:rPr>
                <w:lang w:val="ro-MD"/>
              </w:rPr>
            </w:pPr>
          </w:p>
          <w:p w14:paraId="30F2A250" w14:textId="77777777" w:rsidR="003C7469" w:rsidRDefault="003C7469" w:rsidP="003C7469">
            <w:pPr>
              <w:tabs>
                <w:tab w:val="left" w:pos="884"/>
                <w:tab w:val="left" w:pos="1196"/>
              </w:tabs>
              <w:spacing w:after="0" w:line="240" w:lineRule="auto"/>
              <w:jc w:val="both"/>
              <w:rPr>
                <w:lang w:val="ro-MD"/>
              </w:rPr>
            </w:pPr>
          </w:p>
          <w:p w14:paraId="11BB1818" w14:textId="77777777" w:rsidR="003C7469" w:rsidRDefault="003C7469" w:rsidP="003C7469">
            <w:pPr>
              <w:tabs>
                <w:tab w:val="left" w:pos="884"/>
                <w:tab w:val="left" w:pos="1196"/>
              </w:tabs>
              <w:spacing w:after="0" w:line="240" w:lineRule="auto"/>
              <w:jc w:val="both"/>
              <w:rPr>
                <w:lang w:val="ro-MD"/>
              </w:rPr>
            </w:pPr>
          </w:p>
          <w:p w14:paraId="4E8153DF" w14:textId="77777777" w:rsidR="003C7469" w:rsidRDefault="003C7469" w:rsidP="003C7469">
            <w:pPr>
              <w:tabs>
                <w:tab w:val="left" w:pos="884"/>
                <w:tab w:val="left" w:pos="1196"/>
              </w:tabs>
              <w:spacing w:after="0" w:line="240" w:lineRule="auto"/>
              <w:jc w:val="both"/>
              <w:rPr>
                <w:lang w:val="ro-MD"/>
              </w:rPr>
            </w:pPr>
          </w:p>
          <w:p w14:paraId="0C615ACB" w14:textId="77777777" w:rsidR="000223F4" w:rsidRDefault="000223F4" w:rsidP="003C7469">
            <w:pPr>
              <w:tabs>
                <w:tab w:val="left" w:pos="884"/>
                <w:tab w:val="left" w:pos="1196"/>
              </w:tabs>
              <w:spacing w:after="0" w:line="240" w:lineRule="auto"/>
              <w:jc w:val="both"/>
              <w:rPr>
                <w:lang w:val="ro-MD"/>
              </w:rPr>
            </w:pPr>
          </w:p>
          <w:p w14:paraId="1F4C5D18" w14:textId="77777777" w:rsidR="000223F4" w:rsidRDefault="000223F4" w:rsidP="003C7469">
            <w:pPr>
              <w:tabs>
                <w:tab w:val="left" w:pos="884"/>
                <w:tab w:val="left" w:pos="1196"/>
              </w:tabs>
              <w:spacing w:after="0" w:line="240" w:lineRule="auto"/>
              <w:jc w:val="both"/>
              <w:rPr>
                <w:lang w:val="ro-MD"/>
              </w:rPr>
            </w:pPr>
          </w:p>
          <w:p w14:paraId="36669CFA" w14:textId="77777777" w:rsidR="000223F4" w:rsidRDefault="000223F4" w:rsidP="003C7469">
            <w:pPr>
              <w:tabs>
                <w:tab w:val="left" w:pos="884"/>
                <w:tab w:val="left" w:pos="1196"/>
              </w:tabs>
              <w:spacing w:after="0" w:line="240" w:lineRule="auto"/>
              <w:jc w:val="both"/>
              <w:rPr>
                <w:lang w:val="ro-MD"/>
              </w:rPr>
            </w:pPr>
          </w:p>
          <w:p w14:paraId="4F8856E3" w14:textId="77777777" w:rsidR="000223F4" w:rsidRDefault="000223F4" w:rsidP="003C7469">
            <w:pPr>
              <w:tabs>
                <w:tab w:val="left" w:pos="884"/>
                <w:tab w:val="left" w:pos="1196"/>
              </w:tabs>
              <w:spacing w:after="0" w:line="240" w:lineRule="auto"/>
              <w:jc w:val="both"/>
              <w:rPr>
                <w:lang w:val="ro-MD"/>
              </w:rPr>
            </w:pPr>
          </w:p>
          <w:p w14:paraId="65AB876F" w14:textId="77777777" w:rsidR="003C7469" w:rsidRDefault="003C7469" w:rsidP="003C7469">
            <w:pPr>
              <w:tabs>
                <w:tab w:val="left" w:pos="884"/>
                <w:tab w:val="left" w:pos="1196"/>
              </w:tabs>
              <w:spacing w:after="0" w:line="240" w:lineRule="auto"/>
              <w:jc w:val="both"/>
              <w:rPr>
                <w:lang w:val="ro-MD"/>
              </w:rPr>
            </w:pPr>
          </w:p>
          <w:p w14:paraId="04A026E6" w14:textId="77777777" w:rsidR="003C7469" w:rsidRPr="003C7469" w:rsidRDefault="003C7469" w:rsidP="003C7469">
            <w:pPr>
              <w:tabs>
                <w:tab w:val="left" w:pos="884"/>
                <w:tab w:val="left" w:pos="1196"/>
              </w:tabs>
              <w:spacing w:after="0" w:line="240" w:lineRule="auto"/>
              <w:jc w:val="both"/>
              <w:rPr>
                <w:lang w:val="ro-MD"/>
              </w:rPr>
            </w:pPr>
          </w:p>
          <w:p w14:paraId="3A4BC34D" w14:textId="77777777" w:rsidR="00DC01A8" w:rsidRPr="002455E7" w:rsidRDefault="00DC01A8" w:rsidP="00E46833">
            <w:pPr>
              <w:tabs>
                <w:tab w:val="left" w:pos="884"/>
                <w:tab w:val="left" w:pos="1196"/>
              </w:tabs>
              <w:spacing w:after="0" w:line="240" w:lineRule="auto"/>
              <w:jc w:val="both"/>
              <w:rPr>
                <w:rFonts w:ascii="Times New Roman" w:hAnsi="Times New Roman"/>
                <w:lang w:val="pt-BR"/>
              </w:rPr>
            </w:pPr>
          </w:p>
          <w:p w14:paraId="3F249E12" w14:textId="079043CF" w:rsidR="00DC01A8" w:rsidRDefault="00DC01A8" w:rsidP="00E46833">
            <w:pPr>
              <w:tabs>
                <w:tab w:val="left" w:pos="884"/>
                <w:tab w:val="left" w:pos="1196"/>
              </w:tabs>
              <w:spacing w:after="0" w:line="240" w:lineRule="auto"/>
              <w:jc w:val="both"/>
              <w:rPr>
                <w:rFonts w:ascii="Times New Roman" w:hAnsi="Times New Roman"/>
                <w:lang w:val="ro-MD"/>
              </w:rPr>
            </w:pPr>
            <w:r w:rsidRPr="002455E7">
              <w:rPr>
                <w:rFonts w:ascii="Times New Roman" w:hAnsi="Times New Roman"/>
                <w:lang w:val="pt-BR"/>
              </w:rPr>
              <w:t xml:space="preserve">2. [Pagina 8] h) o fișă electronică cu informații despre produs, având formatul și conținutul informativ stabilite în anexa V, este pusă la dispoziția comercianților pentru fiecare model de echipament. Și [Pagina 10] Anexa V. Informațiile care trebuie furnizate în cazurile în care se consideră că utilizatorii finali nu pot vedea produsul expus decât pe internet. Sunt stabilite care informații se prezintă consumatorului în condițiile în care aceștia nu pot vedea produsele expuse decât pe internet. Punctul h) face trimitere la Anexa V, care în fond nu conține formatul și conținutul exact, ci doar o formulare vagă despre careva ”informații”. Am vedea mai oportun cazul când fie litera h), fie Anexa V, ca include o detaliere mai exacta, fie va include mențiunea unei fișe cu date tehnice și chiar încercări de laborator. Deasemenea, a se face distincție clară între fișă electronică cu informații despre produs, când vorbim de o fișă comerciala, pentru reclame, și o fișă tehnică pentru ingineri cu o sumedenie de parametri, ori există mai multe tipuri de fișe. </w:t>
            </w:r>
          </w:p>
          <w:p w14:paraId="0B01A9FC" w14:textId="77777777" w:rsidR="00264975" w:rsidRDefault="00264975" w:rsidP="00E46833">
            <w:pPr>
              <w:tabs>
                <w:tab w:val="left" w:pos="884"/>
                <w:tab w:val="left" w:pos="1196"/>
              </w:tabs>
              <w:spacing w:after="0" w:line="240" w:lineRule="auto"/>
              <w:jc w:val="both"/>
              <w:rPr>
                <w:rFonts w:ascii="Times New Roman" w:hAnsi="Times New Roman"/>
                <w:lang w:val="ro-MD"/>
              </w:rPr>
            </w:pPr>
          </w:p>
          <w:p w14:paraId="63837A20" w14:textId="77777777" w:rsidR="00264975" w:rsidRPr="00264975" w:rsidRDefault="00264975" w:rsidP="00E46833">
            <w:pPr>
              <w:tabs>
                <w:tab w:val="left" w:pos="884"/>
                <w:tab w:val="left" w:pos="1196"/>
              </w:tabs>
              <w:spacing w:after="0" w:line="240" w:lineRule="auto"/>
              <w:jc w:val="both"/>
              <w:rPr>
                <w:rFonts w:ascii="Times New Roman" w:hAnsi="Times New Roman"/>
                <w:lang w:val="ro-MD"/>
              </w:rPr>
            </w:pPr>
          </w:p>
          <w:p w14:paraId="4485FFB7" w14:textId="77777777" w:rsidR="00DC01A8" w:rsidRPr="002455E7" w:rsidRDefault="00DC01A8" w:rsidP="00E46833">
            <w:pPr>
              <w:tabs>
                <w:tab w:val="left" w:pos="884"/>
                <w:tab w:val="left" w:pos="1196"/>
              </w:tabs>
              <w:spacing w:after="0" w:line="240" w:lineRule="auto"/>
              <w:jc w:val="both"/>
              <w:rPr>
                <w:rFonts w:ascii="Times New Roman" w:hAnsi="Times New Roman"/>
                <w:lang w:val="pt-BR"/>
              </w:rPr>
            </w:pPr>
          </w:p>
          <w:p w14:paraId="6F2679FE" w14:textId="2D424A42" w:rsidR="00DC01A8" w:rsidRPr="002455E7" w:rsidRDefault="00DC01A8"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3. [Pagina 8] În cazul IV. Responsabilitățile comercianților de echipament cu impact energetic pe piața Republicii Moldova, am recomanda adăugarea regulii să pună la dispoziția publicului fișa tehnică a produsului ce conține date tehnice privind măsurarea, testarea în laboratoare și alți parametri tehnici care de altfel sunt esențiali pentru un inginer în proiectarea corectă și reală a unei clădiri NZEB/ZEB, a unui sistem/echipament, sau pentru un auditor energetic atunci când realizează analiza unei clădiri – specialiști care nu pot avea încredere în reclame și descriere a produsului ”doar ce îi convine comerciantului”, ci trebuie să aibă acces la toate datele tehnice aferente produsului. </w:t>
            </w:r>
          </w:p>
          <w:p w14:paraId="632786CA" w14:textId="77777777" w:rsidR="00DC01A8" w:rsidRDefault="00DC01A8" w:rsidP="00E46833">
            <w:pPr>
              <w:tabs>
                <w:tab w:val="left" w:pos="884"/>
                <w:tab w:val="left" w:pos="1196"/>
              </w:tabs>
              <w:spacing w:after="0" w:line="240" w:lineRule="auto"/>
              <w:jc w:val="both"/>
              <w:rPr>
                <w:rFonts w:ascii="Times New Roman" w:hAnsi="Times New Roman"/>
                <w:lang w:val="ro-MD"/>
              </w:rPr>
            </w:pPr>
          </w:p>
          <w:p w14:paraId="2E34DA74"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64278A71"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2B673573"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3A4BE03F"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2C612589"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13F716BB"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060C4F49"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3E092E83"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179ECBE4"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30E3E55E"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6EDD5974"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540D29DA"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0A17BFA0"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5E5C9AA9"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7E0EA6B2" w14:textId="77777777" w:rsidR="00585690" w:rsidRDefault="00585690" w:rsidP="00E46833">
            <w:pPr>
              <w:tabs>
                <w:tab w:val="left" w:pos="884"/>
                <w:tab w:val="left" w:pos="1196"/>
              </w:tabs>
              <w:spacing w:after="0" w:line="240" w:lineRule="auto"/>
              <w:jc w:val="both"/>
              <w:rPr>
                <w:rFonts w:ascii="Times New Roman" w:hAnsi="Times New Roman"/>
                <w:lang w:val="ro-MD"/>
              </w:rPr>
            </w:pPr>
          </w:p>
          <w:p w14:paraId="233B5D5F" w14:textId="77777777" w:rsidR="00B443C9" w:rsidRDefault="00B443C9" w:rsidP="00E46833">
            <w:pPr>
              <w:tabs>
                <w:tab w:val="left" w:pos="884"/>
                <w:tab w:val="left" w:pos="1196"/>
              </w:tabs>
              <w:spacing w:after="0" w:line="240" w:lineRule="auto"/>
              <w:jc w:val="both"/>
              <w:rPr>
                <w:rFonts w:ascii="Times New Roman" w:hAnsi="Times New Roman"/>
                <w:lang w:val="ro-MD"/>
              </w:rPr>
            </w:pPr>
          </w:p>
          <w:p w14:paraId="555B60D4" w14:textId="77777777" w:rsidR="00B443C9" w:rsidRDefault="00B443C9" w:rsidP="00E46833">
            <w:pPr>
              <w:tabs>
                <w:tab w:val="left" w:pos="884"/>
                <w:tab w:val="left" w:pos="1196"/>
              </w:tabs>
              <w:spacing w:after="0" w:line="240" w:lineRule="auto"/>
              <w:jc w:val="both"/>
              <w:rPr>
                <w:rFonts w:ascii="Times New Roman" w:hAnsi="Times New Roman"/>
                <w:lang w:val="ro-MD"/>
              </w:rPr>
            </w:pPr>
          </w:p>
          <w:p w14:paraId="36D3EDF2" w14:textId="77777777" w:rsidR="00B443C9" w:rsidRDefault="00B443C9" w:rsidP="00E46833">
            <w:pPr>
              <w:tabs>
                <w:tab w:val="left" w:pos="884"/>
                <w:tab w:val="left" w:pos="1196"/>
              </w:tabs>
              <w:spacing w:after="0" w:line="240" w:lineRule="auto"/>
              <w:jc w:val="both"/>
              <w:rPr>
                <w:rFonts w:ascii="Times New Roman" w:hAnsi="Times New Roman"/>
                <w:lang w:val="ro-MD"/>
              </w:rPr>
            </w:pPr>
          </w:p>
          <w:p w14:paraId="17C7E8AA" w14:textId="77777777" w:rsidR="00B443C9" w:rsidRDefault="00B443C9" w:rsidP="00E46833">
            <w:pPr>
              <w:tabs>
                <w:tab w:val="left" w:pos="884"/>
                <w:tab w:val="left" w:pos="1196"/>
              </w:tabs>
              <w:spacing w:after="0" w:line="240" w:lineRule="auto"/>
              <w:jc w:val="both"/>
              <w:rPr>
                <w:rFonts w:ascii="Times New Roman" w:hAnsi="Times New Roman"/>
                <w:lang w:val="ro-MD"/>
              </w:rPr>
            </w:pPr>
          </w:p>
          <w:p w14:paraId="7E663EE0" w14:textId="77777777" w:rsidR="00B443C9" w:rsidRDefault="00B443C9" w:rsidP="00E46833">
            <w:pPr>
              <w:tabs>
                <w:tab w:val="left" w:pos="884"/>
                <w:tab w:val="left" w:pos="1196"/>
              </w:tabs>
              <w:spacing w:after="0" w:line="240" w:lineRule="auto"/>
              <w:jc w:val="both"/>
              <w:rPr>
                <w:rFonts w:ascii="Times New Roman" w:hAnsi="Times New Roman"/>
                <w:lang w:val="ro-MD"/>
              </w:rPr>
            </w:pPr>
          </w:p>
          <w:p w14:paraId="62D3C12A" w14:textId="77777777" w:rsidR="00B443C9" w:rsidRDefault="00B443C9" w:rsidP="00E46833">
            <w:pPr>
              <w:tabs>
                <w:tab w:val="left" w:pos="884"/>
                <w:tab w:val="left" w:pos="1196"/>
              </w:tabs>
              <w:spacing w:after="0" w:line="240" w:lineRule="auto"/>
              <w:jc w:val="both"/>
              <w:rPr>
                <w:rFonts w:ascii="Times New Roman" w:hAnsi="Times New Roman"/>
                <w:lang w:val="ro-MD"/>
              </w:rPr>
            </w:pPr>
          </w:p>
          <w:p w14:paraId="01673A3A" w14:textId="77777777" w:rsidR="00585690" w:rsidRPr="00585690" w:rsidRDefault="00585690" w:rsidP="00E46833">
            <w:pPr>
              <w:tabs>
                <w:tab w:val="left" w:pos="884"/>
                <w:tab w:val="left" w:pos="1196"/>
              </w:tabs>
              <w:spacing w:after="0" w:line="240" w:lineRule="auto"/>
              <w:jc w:val="both"/>
              <w:rPr>
                <w:rFonts w:ascii="Times New Roman" w:hAnsi="Times New Roman"/>
                <w:lang w:val="ro-MD"/>
              </w:rPr>
            </w:pPr>
          </w:p>
          <w:p w14:paraId="62FF2D7D" w14:textId="77777777" w:rsidR="00DC01A8" w:rsidRPr="002455E7" w:rsidRDefault="00DC01A8"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4. [Pagina 18] Din categoria respectivă de echipamente cele mai cunoscute și utilizate în Republica Moldova sunt următoarele produse: </w:t>
            </w:r>
          </w:p>
          <w:p w14:paraId="59C4C1F4" w14:textId="77777777" w:rsidR="00DC01A8" w:rsidRPr="002455E7" w:rsidRDefault="00DC01A8"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cazanele pe biocombustibil solid, i.e. pe pelete și brichete, precum și </w:t>
            </w:r>
          </w:p>
          <w:p w14:paraId="0E5FD004" w14:textId="77777777" w:rsidR="00DC01A8" w:rsidRPr="002455E7" w:rsidRDefault="00DC01A8"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”căminele” pe pelete. </w:t>
            </w:r>
          </w:p>
          <w:p w14:paraId="571E1C77" w14:textId="77777777" w:rsidR="001A5886" w:rsidRPr="002455E7" w:rsidRDefault="00DC01A8"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Ambele produse sunt prezentate în Figura 8 alăturată. Acestea din urmă au fost instalate activ în perioada 2010 - 2018, grație suportul partenerilor de Dezvoltare, în special, atât în sectorul rezidențial, cât și public. Dacă studiem Directiva (UE) 2024/1275 a Parlamentului European și a Consiliului din 24 aprilie 2024 privind performanța energetică a clădirilor (reformare), care va trebui transpusă în legislația R.M., vedem că combustibilii fosili NU mai au loc în viitorul european. Înțelegem că pentru realitățile tării noastre aceste programe în trecut au fost bune, însă considerăm că este greșit de susținut în continuare aceste tipuri de echipamente/produse ce folosesc combustibilii fosili. Printre altele din Directivă: </w:t>
            </w:r>
          </w:p>
          <w:p w14:paraId="06E720C7" w14:textId="6BE12A0A" w:rsidR="001A5886" w:rsidRPr="002455E7" w:rsidRDefault="00DC01A8"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lastRenderedPageBreak/>
              <w:t xml:space="preserve">(5) planul REPowerEU cuprins în Comunicarea Comisiei din 18 mai 2022 intitulată „Planul REPowerEU” a prezentat un set suplimentar de acțiuni menite să economisească energie, să diversifice aprovizionarea, să înlocuiască rapid combustibilii fosili prin accelerarea tranziției Europei către o energie curată și să combine în mod inteligent investițiile și reformele... Comunicarea a menționat, de asemenea, măsurile de impozitare ca mijloace pentru a institui stimulente pentru economiile de energie și a reduce consumul de combustibili fosili. </w:t>
            </w:r>
          </w:p>
          <w:p w14:paraId="5D63ACE8" w14:textId="496370B1" w:rsidR="001A5886" w:rsidRPr="002455E7" w:rsidRDefault="00DC01A8"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(14) Prin urmare, statele membre ar trebui să indice în planurile lor naționale de renovare a clădirilor politicile și măsurile lor naționale de eliminare treptată a combustibililor fosili pentru încălzire și răcire. Acestea ar trebui să depună eforturi pentru a elimina treptat cazanele autonome pe bază de combustibili fosili și, într-o primă etapă, începând din 2025, nu ar trebui să acorde niciun stimulent financiar pentru instalarea de cazane autonome pe bază de combustibili fosili, cu excepția celor selectate pentru investiții, înainte de 2025...</w:t>
            </w:r>
          </w:p>
          <w:p w14:paraId="265F335D" w14:textId="53ED15A0" w:rsidR="00DC01A8" w:rsidRPr="002455E7" w:rsidRDefault="00DC01A8"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(32) Există o nevoie urgentă de a reduce dependența de combustibilii fosili în clădiri și de a accelera eforturile de decarbonizare și electrificare a consumului de energie al acestora...</w:t>
            </w:r>
          </w:p>
          <w:p w14:paraId="57263964" w14:textId="77777777" w:rsidR="00DC01A8" w:rsidRPr="002455E7" w:rsidRDefault="00DC01A8" w:rsidP="00E46833">
            <w:pPr>
              <w:tabs>
                <w:tab w:val="left" w:pos="884"/>
                <w:tab w:val="left" w:pos="1196"/>
              </w:tabs>
              <w:spacing w:after="0" w:line="240" w:lineRule="auto"/>
              <w:jc w:val="both"/>
              <w:rPr>
                <w:rFonts w:ascii="Times New Roman" w:hAnsi="Times New Roman"/>
                <w:lang w:val="pt-BR"/>
              </w:rPr>
            </w:pPr>
          </w:p>
          <w:p w14:paraId="2F8DF41C" w14:textId="77777777" w:rsidR="001A5886" w:rsidRPr="002455E7" w:rsidRDefault="001A5886"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5. [Pagina 20] Mențiunea ” Respectiv, o gospodărie ar putea înregistra un consum sporit de energie electrică în condițiile instalării unui sistem de ventilație” considerăm că este eronată, chiar FALSĂ! Centralele de ventilație cu recuperare de căldură, de exemplu cu debite uzuale sub 600 m3/h, chiar și cu o recuperare de căldură de circa 75%, au o putere electrică specifică de aproximativ 0.45 Wh/m3. Conform datelor B.N.S. din 2022, 61.9% din gospodării au între 55-99 m2. Luând o medie maximală pentru o casă de 100 m2, la o înălțime uzuală de 2.80 metri, am avea un volum de aer de 280 m3, care ventilați la 0.5 schimburi de aer pe oră (mai mult decât e sarcina de igienă de 0.3 schimburi), am avea circa 140 m3/aer pe oră care înmulțind la 0.45 Wh/m3 avem 63 W pe oră, x24 ore 1512 W pe zi, x30 ile = 4536 W ori 45.36 kWh de energie electrică, care la un cost actual de 2.34 mdl, avem 106 lei pe luna, pentru a ventila o casă de 100 m2 la 0,5 schimburi pe oră!!! ORI, prin deschiderea ferestrelor pentru ventilare naturală și prin folosirea gurilor </w:t>
            </w:r>
            <w:r w:rsidRPr="002455E7">
              <w:rPr>
                <w:rFonts w:ascii="Times New Roman" w:hAnsi="Times New Roman"/>
                <w:lang w:val="pt-BR"/>
              </w:rPr>
              <w:lastRenderedPageBreak/>
              <w:t xml:space="preserve">de evacuare și admisie a aerului natural, se pierde o cantitate mult prea mare de energie / căldură, care costă mult mai mult pentru a fi substituită de echipamentele de încălzire, decât dacă era să avem o centrală de ventilație cu recuperare de căldură de minim 75% ce asigura aer proaspăt 24/7! </w:t>
            </w:r>
          </w:p>
          <w:p w14:paraId="0030C37F" w14:textId="77777777" w:rsidR="00695B1C" w:rsidRPr="002455E7" w:rsidRDefault="00695B1C" w:rsidP="00E46833">
            <w:pPr>
              <w:tabs>
                <w:tab w:val="left" w:pos="884"/>
                <w:tab w:val="left" w:pos="1196"/>
              </w:tabs>
              <w:spacing w:after="0" w:line="240" w:lineRule="auto"/>
              <w:jc w:val="both"/>
              <w:rPr>
                <w:rFonts w:ascii="Times New Roman" w:hAnsi="Times New Roman"/>
                <w:lang w:val="pt-BR"/>
              </w:rPr>
            </w:pPr>
          </w:p>
          <w:p w14:paraId="13D6DC03" w14:textId="77777777" w:rsidR="001A5886" w:rsidRPr="002455E7" w:rsidRDefault="001A5886"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2. Proiect REE – REGULAMENT cu privire la etichetarea energetică a aparatelor pentru încălzire locală </w:t>
            </w:r>
          </w:p>
          <w:p w14:paraId="72ADF5E5" w14:textId="77777777" w:rsidR="00EE268F" w:rsidRPr="002455E7" w:rsidRDefault="001A5886"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1. [Pagina 13] Informațiile din fișa produsului aferentă aparatului pentru încălzire locală, specificate la Pct. 1 ce conține 8 aliniate, legat de Fișa produsului, în cazul în care furnizorul este o companie dintro țară non-membru-UE (de exemplu China), și acea companie nu are certificările/acreditările necesare pentru a realiza testările și emite o fișă despre produs conform legislației UE, informațiile oferite de acel furnizor, vor putea sau nu incluse în fișa produsului? </w:t>
            </w:r>
          </w:p>
          <w:p w14:paraId="4045326D" w14:textId="77777777" w:rsidR="00EE268F" w:rsidRPr="002455E7" w:rsidRDefault="001A5886"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Dacă nu, va putea importatorul moldovean să realizeze pe cheltuiala proprie analiza produsului/echipamentului la o altă companie terță (de exemplu din UE) de unde să obțină datele reale și autentice despre produs? Daca da, în ce condiții? Vor avea aceste date noi prioritate față de cele de la furnizor? Considerăm că pot exista a) Probleme de acest gen sau b) Cazuri când informațiile prezentate de furnizor vor fi false/denaturate (ori se cunoaște în prezent faptul că în unele țări non-UE, în special de pe continentul asiatic, unele companii pot ”scrie” ce dorești în fișele despre produs). </w:t>
            </w:r>
          </w:p>
          <w:p w14:paraId="1FF420EE" w14:textId="16BF3447" w:rsidR="00EE268F" w:rsidRPr="002455E7" w:rsidRDefault="001A5886"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Iar acest aspect ține dealtfel de toate produsele/echipamentele din toate Proiectele noilor regulamente vizate spre consultare, nu doar din proiectul acestui regulament. </w:t>
            </w:r>
          </w:p>
          <w:p w14:paraId="5C22AEC1" w14:textId="77777777" w:rsidR="00EE268F" w:rsidRDefault="00EE268F" w:rsidP="00E46833">
            <w:pPr>
              <w:tabs>
                <w:tab w:val="left" w:pos="884"/>
                <w:tab w:val="left" w:pos="1196"/>
              </w:tabs>
              <w:spacing w:after="0" w:line="240" w:lineRule="auto"/>
              <w:jc w:val="both"/>
              <w:rPr>
                <w:rFonts w:ascii="Times New Roman" w:hAnsi="Times New Roman"/>
                <w:lang w:val="ro-MD"/>
              </w:rPr>
            </w:pPr>
          </w:p>
          <w:p w14:paraId="7B81D326" w14:textId="77777777" w:rsidR="005850D7" w:rsidRDefault="005850D7" w:rsidP="00E46833">
            <w:pPr>
              <w:tabs>
                <w:tab w:val="left" w:pos="884"/>
                <w:tab w:val="left" w:pos="1196"/>
              </w:tabs>
              <w:spacing w:after="0" w:line="240" w:lineRule="auto"/>
              <w:jc w:val="both"/>
              <w:rPr>
                <w:rFonts w:ascii="Times New Roman" w:hAnsi="Times New Roman"/>
                <w:lang w:val="ro-MD"/>
              </w:rPr>
            </w:pPr>
          </w:p>
          <w:p w14:paraId="7056BB7F"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77B89A7D"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58CE6BDA"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30133054"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746780FF"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649DB2B7"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2E75DEA9"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405C0147"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209A6887"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0EAA61BA"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2A99B2B0"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0322648A"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6022F77C"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34E21975"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0E5177AC"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5C79D5F0"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386D7207"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2844F2B3"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6A25EB48"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23F457A2"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7FD0E57D"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1C7BFE06"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5F31103E"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249F2542"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28668BC7"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6F53DF02"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197A6C69"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26126A50"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319A16AA"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471F664E"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37B3C4EB"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4A85E158"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0CAA286C"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295EC241" w14:textId="77777777" w:rsidR="008F716C" w:rsidRDefault="008F716C" w:rsidP="00E46833">
            <w:pPr>
              <w:tabs>
                <w:tab w:val="left" w:pos="884"/>
                <w:tab w:val="left" w:pos="1196"/>
              </w:tabs>
              <w:spacing w:after="0" w:line="240" w:lineRule="auto"/>
              <w:jc w:val="both"/>
              <w:rPr>
                <w:rFonts w:ascii="Times New Roman" w:hAnsi="Times New Roman"/>
                <w:lang w:val="ro-MD"/>
              </w:rPr>
            </w:pPr>
          </w:p>
          <w:p w14:paraId="76864D0F" w14:textId="77777777" w:rsidR="005850D7" w:rsidRDefault="005850D7" w:rsidP="00E46833">
            <w:pPr>
              <w:tabs>
                <w:tab w:val="left" w:pos="884"/>
                <w:tab w:val="left" w:pos="1196"/>
              </w:tabs>
              <w:spacing w:after="0" w:line="240" w:lineRule="auto"/>
              <w:jc w:val="both"/>
              <w:rPr>
                <w:rFonts w:ascii="Times New Roman" w:hAnsi="Times New Roman"/>
                <w:lang w:val="ro-MD"/>
              </w:rPr>
            </w:pPr>
          </w:p>
          <w:p w14:paraId="5ABFE2B9" w14:textId="77777777" w:rsidR="005850D7" w:rsidRDefault="005850D7" w:rsidP="00E46833">
            <w:pPr>
              <w:tabs>
                <w:tab w:val="left" w:pos="884"/>
                <w:tab w:val="left" w:pos="1196"/>
              </w:tabs>
              <w:spacing w:after="0" w:line="240" w:lineRule="auto"/>
              <w:jc w:val="both"/>
              <w:rPr>
                <w:rFonts w:ascii="Times New Roman" w:hAnsi="Times New Roman"/>
                <w:lang w:val="ro-MD"/>
              </w:rPr>
            </w:pPr>
          </w:p>
          <w:p w14:paraId="09FD760F" w14:textId="77777777" w:rsidR="005850D7" w:rsidRDefault="005850D7" w:rsidP="00E46833">
            <w:pPr>
              <w:tabs>
                <w:tab w:val="left" w:pos="884"/>
                <w:tab w:val="left" w:pos="1196"/>
              </w:tabs>
              <w:spacing w:after="0" w:line="240" w:lineRule="auto"/>
              <w:jc w:val="both"/>
              <w:rPr>
                <w:rFonts w:ascii="Times New Roman" w:hAnsi="Times New Roman"/>
                <w:lang w:val="ro-MD"/>
              </w:rPr>
            </w:pPr>
          </w:p>
          <w:p w14:paraId="2756E08B" w14:textId="77777777" w:rsidR="005850D7" w:rsidRDefault="005850D7" w:rsidP="00E46833">
            <w:pPr>
              <w:tabs>
                <w:tab w:val="left" w:pos="884"/>
                <w:tab w:val="left" w:pos="1196"/>
              </w:tabs>
              <w:spacing w:after="0" w:line="240" w:lineRule="auto"/>
              <w:jc w:val="both"/>
              <w:rPr>
                <w:rFonts w:ascii="Times New Roman" w:hAnsi="Times New Roman"/>
                <w:lang w:val="ro-MD"/>
              </w:rPr>
            </w:pPr>
          </w:p>
          <w:p w14:paraId="184A9E42" w14:textId="77777777" w:rsidR="005850D7" w:rsidRDefault="005850D7" w:rsidP="00E46833">
            <w:pPr>
              <w:tabs>
                <w:tab w:val="left" w:pos="884"/>
                <w:tab w:val="left" w:pos="1196"/>
              </w:tabs>
              <w:spacing w:after="0" w:line="240" w:lineRule="auto"/>
              <w:jc w:val="both"/>
              <w:rPr>
                <w:rFonts w:ascii="Times New Roman" w:hAnsi="Times New Roman"/>
                <w:lang w:val="ro-MD"/>
              </w:rPr>
            </w:pPr>
          </w:p>
          <w:p w14:paraId="5B9F52C8" w14:textId="77777777" w:rsidR="005850D7" w:rsidRDefault="005850D7" w:rsidP="00E46833">
            <w:pPr>
              <w:tabs>
                <w:tab w:val="left" w:pos="884"/>
                <w:tab w:val="left" w:pos="1196"/>
              </w:tabs>
              <w:spacing w:after="0" w:line="240" w:lineRule="auto"/>
              <w:jc w:val="both"/>
              <w:rPr>
                <w:rFonts w:ascii="Times New Roman" w:hAnsi="Times New Roman"/>
                <w:lang w:val="ro-MD"/>
              </w:rPr>
            </w:pPr>
          </w:p>
          <w:p w14:paraId="12EBAC3B" w14:textId="77777777" w:rsidR="005850D7" w:rsidRPr="005850D7" w:rsidRDefault="005850D7" w:rsidP="00E46833">
            <w:pPr>
              <w:tabs>
                <w:tab w:val="left" w:pos="884"/>
                <w:tab w:val="left" w:pos="1196"/>
              </w:tabs>
              <w:spacing w:after="0" w:line="240" w:lineRule="auto"/>
              <w:jc w:val="both"/>
              <w:rPr>
                <w:rFonts w:ascii="Times New Roman" w:hAnsi="Times New Roman"/>
                <w:lang w:val="ro-MD"/>
              </w:rPr>
            </w:pPr>
          </w:p>
          <w:p w14:paraId="25F837F4" w14:textId="77777777" w:rsidR="00EE268F" w:rsidRPr="002455E7" w:rsidRDefault="001A5886"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lastRenderedPageBreak/>
              <w:t xml:space="preserve">3. Proiect REE – REGULAMENT cu privire la etichetarea energetică a unităților de ventilație rezidențiale </w:t>
            </w:r>
          </w:p>
          <w:p w14:paraId="68AF2F7C" w14:textId="77777777" w:rsidR="00EE268F" w:rsidRPr="002455E7" w:rsidRDefault="001A5886"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1. Din păcate nu vedem o delimitare de nici un fel între unități de ventilație centralizate și descentralizate. Chiar și cu funcția de recuperarea de căldură, acestea sunt complet 2 sisteme de ventilație rezidențiale diferite! Acelea centralizate reprezintă în sine un sistem complex din unitatea internă, tubulaturi, cutii de distribuție, atenuatoare de zgomot, grile etc; pe când un ventilator descentralizat reprezintă doar un singur tub care se montează într-un perete și atât! </w:t>
            </w:r>
          </w:p>
          <w:p w14:paraId="2703FBBF" w14:textId="3E875406" w:rsidR="001A5886" w:rsidRPr="002455E7" w:rsidRDefault="001A5886"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2. [Pagina 2], Noțiunea de la pct. 4 alin. 2) „unitate de ventilație rezidențială” (UVR) – o unitate de ventilație în care: (a) debitul maxim nu depășește 250 m3/h; (b) debitul maxim este între 250 și 1 000 m3/h, iar producătorul declară utilizarea prevăzută ca fiind exclusiv pentru un aparat de ventilație rezidențial;</w:t>
            </w:r>
          </w:p>
          <w:p w14:paraId="2568B51D" w14:textId="77777777" w:rsidR="00E07CA8" w:rsidRPr="002455E7" w:rsidRDefault="00EE268F"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Reieșind din faptul că pot exista UVR descentralizate ce sunt sub 250 m3/h și pot fi pentru uz comercial sau de alt tip decât rezidențial, considerăm greșit introducerea tuturor unităților de ventilație cu debite sub 250 m3/h în cele rezidențiale. De exemplu Institutul de Case Pasive din Germania în clasificarea sistemelor de ventilație folosește în primul rând delimitarea între sisteme centralizate și descentralizate, cât și cele de evacuare doar; în al doilea rând există limita de 600 m3/h (cel mai des pentru rezidențial se folosesc sisteme până în 600 m3/h, iar comercial sau cu altă destinație de peste 600 m3/h), iar în al treilea rând deja declarațiile producătorului privind destinația utilizării. </w:t>
            </w:r>
          </w:p>
          <w:p w14:paraId="302E3A24" w14:textId="77777777" w:rsidR="00E07CA8" w:rsidRPr="002455E7" w:rsidRDefault="00EE268F"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3. [Pagina 2] Noțiunea de la pct. 4 alin. 7) „consum specific de energie (CSE)” [exprimat în kWh/(m2.a)] – un coeficient de exprimare a energiei consumate pentru ventilație per m2 de suprafață de podea încălzită dintr-o locuință sau o clădire, calculat pentru UVR în conformitate cu anexa nr. 7; după părerea noastră conține noțiunea ”podea încălzită” în mod eronat și care poate fi interpretat greșit! Noțiunea de ”podea încălzită” reprezintă în mod uzual suprafața pardoselii unei încăperi/locuințe ce are sistem de încălzire în pardoseală, fie cu agent termic, fie electric / radiant. Nu toate încăperile vor avea ”podele calde”, existând multe locuințe ce vor folosite alte sisteme de încălzire (calorifere, cu aer, sobe etc) și vor avea sistem de ventilație. </w:t>
            </w:r>
          </w:p>
          <w:p w14:paraId="61055A56" w14:textId="77777777" w:rsidR="00E07CA8" w:rsidRPr="002455E7" w:rsidRDefault="00EE268F"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lastRenderedPageBreak/>
              <w:t xml:space="preserve">Mult mai oportun ar fi de folosite o noțiune de genul ”suprafața din interiorul unei locuințe încălzite”, care implicit implică o gamă mai largă de cazuri când o locuință este încălzită și folosește UVR. </w:t>
            </w:r>
          </w:p>
          <w:p w14:paraId="20296E22" w14:textId="77777777" w:rsidR="00E07CA8" w:rsidRPr="002455E7" w:rsidRDefault="00EE268F"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4. [Pagina 3] Noțiunea de la pct. 4 alin. 12) „randamentul termic al unui SRC rezidențial (</w:t>
            </w:r>
            <w:r w:rsidRPr="00EE268F">
              <w:rPr>
                <w:rFonts w:ascii="Times New Roman" w:hAnsi="Times New Roman"/>
              </w:rPr>
              <w:t>η</w:t>
            </w:r>
            <w:r w:rsidRPr="002455E7">
              <w:rPr>
                <w:rFonts w:ascii="Times New Roman" w:hAnsi="Times New Roman"/>
                <w:lang w:val="pt-BR"/>
              </w:rPr>
              <w:t xml:space="preserve">t)” – raportul dintre câștigul în temperatură al aerului aspirat și pierderea de temperatură a aerului evacuat, ambele fiind în funcție de temperatura exterioară, măsurată cu SRC în condiții de vreme uscată și în condiții atmosferice standard, cu un debit masic echilibrat, o diferență de temperatură de 13 K între interior și exterior, fără corecția aportului termic de la motoarele ventilatoarelor; </w:t>
            </w:r>
          </w:p>
          <w:p w14:paraId="55BF9473" w14:textId="31AEF63E" w:rsidR="00E07CA8" w:rsidRPr="002455E7" w:rsidRDefault="00EE268F"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Considerăm oportun de introdus ca raportul să ia în calcul și temperatura interioară, ori dacă o să discutați cu orice inginer specialist pe sisteme de ventilație cu recuperare de căldură, o să vedeți că contează fix atât de mult și temperatura interioară, ori este evident faptul că cu cât temperatura interioară este mai mică sau mai mare, cu atât aceasta are o cantitate mai mare/mică de energie. </w:t>
            </w:r>
          </w:p>
          <w:p w14:paraId="53D3D57F" w14:textId="00B25DA8" w:rsidR="00E07CA8" w:rsidRPr="002455E7" w:rsidRDefault="00EE268F"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Nu credem că e oportun nici diferența de 13K între interior și exterior, ori de exemplu la -10 °C exterior, la interior nu vor fi în mod normal +3°C dacă vorbim de clădiri locuibile/folosite în diverse activități. </w:t>
            </w:r>
          </w:p>
          <w:p w14:paraId="0C79462A" w14:textId="238581DE" w:rsidR="00E07CA8" w:rsidRPr="002455E7" w:rsidRDefault="00EE268F"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Ca și comparație, puteți studia orice centrala de ventilație certificată ca și component Passive House (website cu baza de date https://database.passivehouse.com/ ) și veți vedea de exemplu la criteriul de confort că o centrală de ventilație cu recuperare de căldură, la +20°C la interior și la -10°C la exterior, centrala este obligată să introducă în casă un aer de minim ≥ 16.5 °C! </w:t>
            </w:r>
          </w:p>
          <w:p w14:paraId="01C9E26B" w14:textId="77777777" w:rsidR="00E07CA8" w:rsidRPr="002455E7" w:rsidRDefault="00EE268F"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5. Nu există reglementări privind consumul de energie când vorbim de protecția la îngheț! La general orice sistem de ventilație este pasibil să aibă o protecție la îngheț (electrică sau hidraulică) care la anumite temperaturi aceasta se activează pentru a pre-încălzi aerul din exterior și proteja recuperatorul de ventilare. În dependență de puterea acestuia, el are un consum, care în fișele tehnice ale unităților de ventilare a producătorilor serioși, includ informație și despre tipul și consumul protecției la îngheț! </w:t>
            </w:r>
          </w:p>
          <w:p w14:paraId="4A2AE1DE" w14:textId="77777777" w:rsidR="00E07CA8" w:rsidRPr="002455E7" w:rsidRDefault="00EE268F"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6. [Pagina 18] Există o informație eronată privind temperatura exterioară luată în calcul. </w:t>
            </w:r>
          </w:p>
          <w:p w14:paraId="16F97220" w14:textId="77777777" w:rsidR="001A5886" w:rsidRPr="002455E7" w:rsidRDefault="00EE268F"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lastRenderedPageBreak/>
              <w:t>— Qdefr este energia anuală de încălzire per m2 de suprafață încălzită [kWh/m2.a] pentru dezghețare, bazată pe o rezistență electrică de încălzire variabilă.</w:t>
            </w:r>
          </w:p>
          <w:p w14:paraId="231B56CA" w14:textId="77777777" w:rsidR="00E07CA8" w:rsidRDefault="00E07CA8" w:rsidP="00E46833">
            <w:pPr>
              <w:tabs>
                <w:tab w:val="left" w:pos="884"/>
                <w:tab w:val="left" w:pos="1196"/>
              </w:tabs>
              <w:spacing w:after="0" w:line="240" w:lineRule="auto"/>
              <w:jc w:val="both"/>
              <w:rPr>
                <w:rFonts w:ascii="Times New Roman" w:hAnsi="Times New Roman"/>
                <w:lang w:val="en-GB"/>
              </w:rPr>
            </w:pPr>
            <w:r w:rsidRPr="00E07CA8">
              <w:rPr>
                <w:rFonts w:ascii="Times New Roman" w:hAnsi="Times New Roman"/>
                <w:noProof/>
                <w:lang w:val="en-US" w:eastAsia="en-US"/>
              </w:rPr>
              <w:drawing>
                <wp:inline distT="0" distB="0" distL="0" distR="0" wp14:anchorId="20887C3A" wp14:editId="184ECF8A">
                  <wp:extent cx="2366963" cy="30308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95728" cy="306770"/>
                          </a:xfrm>
                          <a:prstGeom prst="rect">
                            <a:avLst/>
                          </a:prstGeom>
                        </pic:spPr>
                      </pic:pic>
                    </a:graphicData>
                  </a:graphic>
                </wp:inline>
              </w:drawing>
            </w:r>
          </w:p>
          <w:p w14:paraId="5F272434" w14:textId="77777777" w:rsidR="00E07CA8" w:rsidRPr="002455E7" w:rsidRDefault="00E07CA8"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unde: </w:t>
            </w:r>
          </w:p>
          <w:p w14:paraId="7B9A1538" w14:textId="77777777" w:rsidR="00E07CA8" w:rsidRPr="002455E7" w:rsidRDefault="00E07CA8"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tdefr este durata perioadei de dezghețare, adică atunci când temperatura exterioară este sub – 4 °C [h/a]: și </w:t>
            </w:r>
          </w:p>
          <w:p w14:paraId="2163E5C4" w14:textId="77777777" w:rsidR="00F9373E" w:rsidRPr="002455E7" w:rsidRDefault="00E07CA8"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 </w:t>
            </w:r>
            <w:r w:rsidRPr="00E07CA8">
              <w:rPr>
                <w:rFonts w:ascii="Times New Roman" w:hAnsi="Times New Roman"/>
              </w:rPr>
              <w:t>ΔΤ</w:t>
            </w:r>
            <w:r w:rsidRPr="002455E7">
              <w:rPr>
                <w:rFonts w:ascii="Times New Roman" w:hAnsi="Times New Roman"/>
                <w:lang w:val="pt-BR"/>
              </w:rPr>
              <w:t xml:space="preserve">defr este diferența medie, în K, dintre temperatura exterioară și – 4 °C pe parcursul perioadei de dezghețare. </w:t>
            </w:r>
          </w:p>
          <w:p w14:paraId="0D361DE2" w14:textId="77777777" w:rsidR="00F9373E" w:rsidRPr="002455E7" w:rsidRDefault="00E07CA8"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În realitate, fiecare unitate de ventilație în dependență de model, tip, producător, are valori diferite când vorbim de limitele negative de temperatură când se pornește funcția de dezghețare (unele la - 2°C, altele la -6°C și tot așa). Nu am recomanda de introdus valoarea temperaturii de -4°C ca imperativă, ci mai real ar fi de menționat că se face trimitere la datele din fișa tehnică a produsului, iar când acestea lipsesc, se poate lua ca repet -4°C. </w:t>
            </w:r>
          </w:p>
          <w:p w14:paraId="5ADB2D0A" w14:textId="77777777" w:rsidR="00E07CA8" w:rsidRPr="002455E7" w:rsidRDefault="00E07CA8"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7. La general nu vedem nici o remarcă / date / cerințe când vorbim de protecția împotriva zgomotului anume pe ”Introducere aer (dB)” și ”Extracție aer (db)”, doar mențiuni de protecție la sunet per general. Chiar dacă eticheta poate avea doar o anumită valoare, considerăm oportun ca fișele tehnice să aibă date și despre parametrii de zgomot la Introducere/Extracție aer, care apropo sunt obligatorii când se proiectează o casă pasivă conform standardului Passive House. </w:t>
            </w:r>
          </w:p>
          <w:p w14:paraId="638FAA13" w14:textId="62B85BEA" w:rsidR="00F9373E" w:rsidRPr="002455E7" w:rsidRDefault="00F9373E" w:rsidP="00E46833">
            <w:pPr>
              <w:tabs>
                <w:tab w:val="left" w:pos="884"/>
                <w:tab w:val="left" w:pos="1196"/>
              </w:tabs>
              <w:spacing w:after="0" w:line="240" w:lineRule="auto"/>
              <w:jc w:val="both"/>
              <w:rPr>
                <w:rFonts w:ascii="Times New Roman" w:hAnsi="Times New Roman"/>
                <w:lang w:val="pt-BR"/>
              </w:rPr>
            </w:pPr>
            <w:r w:rsidRPr="002455E7">
              <w:rPr>
                <w:rFonts w:ascii="Times New Roman" w:hAnsi="Times New Roman"/>
                <w:lang w:val="pt-BR"/>
              </w:rPr>
              <w:t xml:space="preserve">In rest, salutam initiativa de modificarea a Hotărârii Guvernului nr. 1003/2014 pentru aprobarea regulamentelor privind cerințele de etichetare energetică a unor produse cu impact energetic. </w:t>
            </w:r>
          </w:p>
        </w:tc>
        <w:tc>
          <w:tcPr>
            <w:tcW w:w="4581" w:type="dxa"/>
          </w:tcPr>
          <w:p w14:paraId="244DBDE6" w14:textId="77777777" w:rsidR="00B0068F" w:rsidRDefault="00B0068F" w:rsidP="00B53C0C">
            <w:pPr>
              <w:tabs>
                <w:tab w:val="left" w:pos="884"/>
                <w:tab w:val="left" w:pos="1196"/>
              </w:tabs>
              <w:spacing w:after="0" w:line="240" w:lineRule="auto"/>
              <w:jc w:val="both"/>
              <w:rPr>
                <w:rFonts w:ascii="Times New Roman" w:hAnsi="Times New Roman"/>
                <w:bCs/>
                <w:iCs/>
                <w:sz w:val="24"/>
                <w:szCs w:val="24"/>
                <w:highlight w:val="yellow"/>
                <w:lang w:val="ro-RO"/>
              </w:rPr>
            </w:pPr>
          </w:p>
          <w:p w14:paraId="698E8A3E" w14:textId="77777777" w:rsidR="00B0068F" w:rsidRDefault="00B0068F" w:rsidP="00B53C0C">
            <w:pPr>
              <w:tabs>
                <w:tab w:val="left" w:pos="884"/>
                <w:tab w:val="left" w:pos="1196"/>
              </w:tabs>
              <w:spacing w:after="0" w:line="240" w:lineRule="auto"/>
              <w:jc w:val="both"/>
              <w:rPr>
                <w:rFonts w:ascii="Times New Roman" w:hAnsi="Times New Roman"/>
                <w:bCs/>
                <w:iCs/>
                <w:sz w:val="24"/>
                <w:szCs w:val="24"/>
                <w:highlight w:val="yellow"/>
                <w:lang w:val="ro-RO"/>
              </w:rPr>
            </w:pPr>
          </w:p>
          <w:p w14:paraId="4F80A17D" w14:textId="77777777" w:rsidR="00B0068F" w:rsidRDefault="00B0068F" w:rsidP="00B53C0C">
            <w:pPr>
              <w:tabs>
                <w:tab w:val="left" w:pos="884"/>
                <w:tab w:val="left" w:pos="1196"/>
              </w:tabs>
              <w:spacing w:after="0" w:line="240" w:lineRule="auto"/>
              <w:jc w:val="both"/>
              <w:rPr>
                <w:rFonts w:ascii="Times New Roman" w:hAnsi="Times New Roman"/>
                <w:bCs/>
                <w:iCs/>
                <w:sz w:val="24"/>
                <w:szCs w:val="24"/>
                <w:highlight w:val="yellow"/>
                <w:lang w:val="ro-RO"/>
              </w:rPr>
            </w:pPr>
          </w:p>
          <w:p w14:paraId="29C21951" w14:textId="77777777" w:rsidR="00B0068F" w:rsidRDefault="00B0068F" w:rsidP="00B53C0C">
            <w:pPr>
              <w:tabs>
                <w:tab w:val="left" w:pos="884"/>
                <w:tab w:val="left" w:pos="1196"/>
              </w:tabs>
              <w:spacing w:after="0" w:line="240" w:lineRule="auto"/>
              <w:jc w:val="both"/>
              <w:rPr>
                <w:rFonts w:ascii="Times New Roman" w:hAnsi="Times New Roman"/>
                <w:bCs/>
                <w:iCs/>
                <w:sz w:val="24"/>
                <w:szCs w:val="24"/>
                <w:highlight w:val="yellow"/>
                <w:lang w:val="ro-RO"/>
              </w:rPr>
            </w:pPr>
          </w:p>
          <w:p w14:paraId="20B2C7FE" w14:textId="53639B6E" w:rsidR="008B2BDF" w:rsidRPr="003F4755" w:rsidRDefault="00E93EB6" w:rsidP="008B2BDF">
            <w:pPr>
              <w:tabs>
                <w:tab w:val="left" w:pos="884"/>
                <w:tab w:val="left" w:pos="1196"/>
              </w:tabs>
              <w:spacing w:after="0" w:line="240" w:lineRule="auto"/>
              <w:jc w:val="both"/>
              <w:rPr>
                <w:rFonts w:ascii="Times New Roman" w:hAnsi="Times New Roman"/>
                <w:b/>
                <w:bCs/>
                <w:iCs/>
                <w:sz w:val="24"/>
                <w:szCs w:val="24"/>
                <w:lang w:val="ro-RO"/>
              </w:rPr>
            </w:pPr>
            <w:r w:rsidRPr="003F4755">
              <w:rPr>
                <w:rFonts w:ascii="Times New Roman" w:hAnsi="Times New Roman"/>
                <w:b/>
                <w:bCs/>
                <w:iCs/>
                <w:sz w:val="24"/>
                <w:szCs w:val="24"/>
                <w:lang w:val="ro-RO"/>
              </w:rPr>
              <w:t xml:space="preserve">1. </w:t>
            </w:r>
            <w:r w:rsidR="008B2BDF" w:rsidRPr="003F4755">
              <w:rPr>
                <w:rFonts w:ascii="Times New Roman" w:hAnsi="Times New Roman"/>
                <w:b/>
                <w:bCs/>
                <w:iCs/>
                <w:sz w:val="24"/>
                <w:szCs w:val="24"/>
                <w:lang w:val="ro-RO"/>
              </w:rPr>
              <w:t xml:space="preserve">Nu se acceptă. </w:t>
            </w:r>
          </w:p>
          <w:p w14:paraId="68FA4028" w14:textId="1B35357C" w:rsidR="00A404C3" w:rsidRPr="003F4755" w:rsidRDefault="00B0068F" w:rsidP="0044335D">
            <w:pPr>
              <w:tabs>
                <w:tab w:val="left" w:pos="884"/>
                <w:tab w:val="left" w:pos="1196"/>
              </w:tabs>
              <w:spacing w:after="0" w:line="240" w:lineRule="auto"/>
              <w:jc w:val="both"/>
              <w:rPr>
                <w:rFonts w:ascii="Times New Roman" w:hAnsi="Times New Roman"/>
                <w:bCs/>
                <w:iCs/>
                <w:sz w:val="24"/>
                <w:szCs w:val="24"/>
                <w:lang w:val="ro-RO"/>
              </w:rPr>
            </w:pPr>
            <w:r w:rsidRPr="003F4755">
              <w:rPr>
                <w:rFonts w:ascii="Times New Roman" w:hAnsi="Times New Roman"/>
                <w:bCs/>
                <w:iCs/>
                <w:sz w:val="24"/>
                <w:szCs w:val="24"/>
                <w:lang w:val="ro-RO"/>
              </w:rPr>
              <w:t xml:space="preserve">Propunerea de a include mașinile de spălat rufe și uscat rufe de uz comercial în lista de produse supuse etichetării energetice, deși este o </w:t>
            </w:r>
            <w:r w:rsidR="005E24C9" w:rsidRPr="003F4755">
              <w:rPr>
                <w:rFonts w:ascii="Times New Roman" w:hAnsi="Times New Roman"/>
                <w:bCs/>
                <w:iCs/>
                <w:sz w:val="24"/>
                <w:szCs w:val="24"/>
                <w:lang w:val="ro-RO"/>
              </w:rPr>
              <w:t xml:space="preserve">propunere </w:t>
            </w:r>
            <w:proofErr w:type="spellStart"/>
            <w:r w:rsidR="005E24C9" w:rsidRPr="003F4755">
              <w:rPr>
                <w:rFonts w:ascii="Times New Roman" w:hAnsi="Times New Roman"/>
                <w:bCs/>
                <w:iCs/>
                <w:sz w:val="24"/>
                <w:szCs w:val="24"/>
                <w:lang w:val="ro-RO"/>
              </w:rPr>
              <w:t>judicioas</w:t>
            </w:r>
            <w:proofErr w:type="spellEnd"/>
            <w:r w:rsidR="005E24C9" w:rsidRPr="003F4755">
              <w:rPr>
                <w:rFonts w:ascii="Times New Roman" w:hAnsi="Times New Roman"/>
                <w:bCs/>
                <w:iCs/>
                <w:sz w:val="24"/>
                <w:szCs w:val="24"/>
                <w:lang w:val="ro-MD"/>
              </w:rPr>
              <w:t>ă</w:t>
            </w:r>
            <w:r w:rsidR="00165F0A" w:rsidRPr="003F4755">
              <w:rPr>
                <w:rFonts w:ascii="Times New Roman" w:hAnsi="Times New Roman"/>
                <w:bCs/>
                <w:iCs/>
                <w:sz w:val="24"/>
                <w:szCs w:val="24"/>
                <w:lang w:val="ro-MD"/>
              </w:rPr>
              <w:t xml:space="preserve"> și de apreciat, având în vedere că este înaintată de un agent economic</w:t>
            </w:r>
            <w:r w:rsidRPr="003F4755">
              <w:rPr>
                <w:rFonts w:ascii="Times New Roman" w:hAnsi="Times New Roman"/>
                <w:bCs/>
                <w:iCs/>
                <w:sz w:val="24"/>
                <w:szCs w:val="24"/>
                <w:lang w:val="ro-RO"/>
              </w:rPr>
              <w:t>, depășește cadrul modificărilor aduse Hotărârii de Guvern nr. 1003/2014</w:t>
            </w:r>
            <w:r w:rsidR="003F4755">
              <w:rPr>
                <w:rFonts w:ascii="Times New Roman" w:hAnsi="Times New Roman"/>
                <w:bCs/>
                <w:iCs/>
                <w:sz w:val="24"/>
                <w:szCs w:val="24"/>
                <w:lang w:val="ro-RO"/>
              </w:rPr>
              <w:t xml:space="preserve"> prin transpunerea </w:t>
            </w:r>
            <w:r w:rsidR="003F4755" w:rsidRPr="0044335D">
              <w:rPr>
                <w:rFonts w:ascii="Times New Roman" w:hAnsi="Times New Roman"/>
                <w:bCs/>
                <w:i/>
                <w:sz w:val="24"/>
                <w:szCs w:val="24"/>
                <w:lang w:val="ro-RO"/>
              </w:rPr>
              <w:t>Regulamentului</w:t>
            </w:r>
            <w:r w:rsidR="0044335D" w:rsidRPr="002455E7">
              <w:rPr>
                <w:i/>
                <w:lang w:val="ro-RO"/>
              </w:rPr>
              <w:t xml:space="preserve"> </w:t>
            </w:r>
            <w:r w:rsidR="0044335D" w:rsidRPr="0044335D">
              <w:rPr>
                <w:rFonts w:ascii="Times New Roman" w:hAnsi="Times New Roman"/>
                <w:bCs/>
                <w:i/>
                <w:sz w:val="24"/>
                <w:szCs w:val="24"/>
                <w:lang w:val="ro-RO"/>
              </w:rPr>
              <w:t>2019/20</w:t>
            </w:r>
            <w:r w:rsidR="00415BE7">
              <w:rPr>
                <w:rFonts w:ascii="Times New Roman" w:hAnsi="Times New Roman"/>
                <w:bCs/>
                <w:i/>
                <w:sz w:val="24"/>
                <w:szCs w:val="24"/>
                <w:lang w:val="ro-RO"/>
              </w:rPr>
              <w:t xml:space="preserve">14 </w:t>
            </w:r>
            <w:r w:rsidR="00415BE7" w:rsidRPr="00415BE7">
              <w:rPr>
                <w:rFonts w:ascii="Times New Roman" w:hAnsi="Times New Roman"/>
                <w:bCs/>
                <w:i/>
                <w:sz w:val="24"/>
                <w:szCs w:val="24"/>
                <w:lang w:val="ro-RO"/>
              </w:rPr>
              <w:t>în ceea ce privește etichetarea energetică a mașinilor de spălat rufe de uz casnic și a mașinilor de spălat și uscat rufe de uz casnic</w:t>
            </w:r>
            <w:r w:rsidR="00BC195A">
              <w:rPr>
                <w:rFonts w:ascii="Times New Roman" w:hAnsi="Times New Roman"/>
                <w:bCs/>
                <w:iCs/>
                <w:sz w:val="24"/>
                <w:szCs w:val="24"/>
                <w:lang w:val="ro-RO"/>
              </w:rPr>
              <w:t>.</w:t>
            </w:r>
          </w:p>
          <w:p w14:paraId="2D6627AA" w14:textId="7A6A5C7E" w:rsidR="002F2311" w:rsidRDefault="00CD23D0" w:rsidP="000D7260">
            <w:pPr>
              <w:tabs>
                <w:tab w:val="left" w:pos="884"/>
                <w:tab w:val="left" w:pos="1196"/>
              </w:tabs>
              <w:spacing w:after="0" w:line="240" w:lineRule="auto"/>
              <w:jc w:val="both"/>
              <w:rPr>
                <w:rFonts w:ascii="Times New Roman" w:hAnsi="Times New Roman"/>
                <w:bCs/>
                <w:iCs/>
                <w:sz w:val="24"/>
                <w:szCs w:val="24"/>
                <w:lang w:val="ro-RO"/>
              </w:rPr>
            </w:pPr>
            <w:r w:rsidRPr="002455E7">
              <w:rPr>
                <w:rFonts w:ascii="Times New Roman" w:hAnsi="Times New Roman"/>
                <w:bCs/>
                <w:iCs/>
                <w:sz w:val="24"/>
                <w:szCs w:val="24"/>
                <w:lang w:val="ro-RO"/>
              </w:rPr>
              <w:t xml:space="preserve">Cu toate acestea, </w:t>
            </w:r>
            <w:r>
              <w:rPr>
                <w:rFonts w:ascii="Times New Roman" w:hAnsi="Times New Roman"/>
                <w:bCs/>
                <w:iCs/>
                <w:sz w:val="24"/>
                <w:szCs w:val="24"/>
                <w:lang w:val="ro-RO"/>
              </w:rPr>
              <w:t>comercianții, agenții economici</w:t>
            </w:r>
            <w:r w:rsidR="003C7469">
              <w:rPr>
                <w:rFonts w:ascii="Times New Roman" w:hAnsi="Times New Roman"/>
                <w:bCs/>
                <w:iCs/>
                <w:sz w:val="24"/>
                <w:szCs w:val="24"/>
                <w:lang w:val="ro-RO"/>
              </w:rPr>
              <w:t xml:space="preserve"> care utilizează astfel d echipamente, sunt în drept și încurajați să </w:t>
            </w:r>
            <w:r w:rsidRPr="00CD23D0">
              <w:rPr>
                <w:rFonts w:ascii="Times New Roman" w:hAnsi="Times New Roman"/>
                <w:bCs/>
                <w:iCs/>
                <w:sz w:val="24"/>
                <w:szCs w:val="24"/>
                <w:lang w:val="ro-RO"/>
              </w:rPr>
              <w:t xml:space="preserve"> respecte standarde</w:t>
            </w:r>
            <w:r w:rsidR="003C7469">
              <w:rPr>
                <w:rFonts w:ascii="Times New Roman" w:hAnsi="Times New Roman"/>
                <w:bCs/>
                <w:iCs/>
                <w:sz w:val="24"/>
                <w:szCs w:val="24"/>
                <w:lang w:val="ro-RO"/>
              </w:rPr>
              <w:t>le</w:t>
            </w:r>
            <w:r w:rsidRPr="00CD23D0">
              <w:rPr>
                <w:rFonts w:ascii="Times New Roman" w:hAnsi="Times New Roman"/>
                <w:bCs/>
                <w:iCs/>
                <w:sz w:val="24"/>
                <w:szCs w:val="24"/>
                <w:lang w:val="ro-RO"/>
              </w:rPr>
              <w:t xml:space="preserve"> voluntare de eficiență energetică și de mediu</w:t>
            </w:r>
            <w:r w:rsidR="003C7469">
              <w:rPr>
                <w:rFonts w:ascii="Times New Roman" w:hAnsi="Times New Roman"/>
                <w:bCs/>
                <w:iCs/>
                <w:sz w:val="24"/>
                <w:szCs w:val="24"/>
                <w:lang w:val="ro-RO"/>
              </w:rPr>
              <w:t xml:space="preserve"> aplicabile unităților de spălat </w:t>
            </w:r>
            <w:proofErr w:type="spellStart"/>
            <w:r w:rsidR="003C7469">
              <w:rPr>
                <w:rFonts w:ascii="Times New Roman" w:hAnsi="Times New Roman"/>
                <w:bCs/>
                <w:iCs/>
                <w:sz w:val="24"/>
                <w:szCs w:val="24"/>
                <w:lang w:val="ro-RO"/>
              </w:rPr>
              <w:t>ruge</w:t>
            </w:r>
            <w:proofErr w:type="spellEnd"/>
            <w:r w:rsidR="003C7469">
              <w:rPr>
                <w:rFonts w:ascii="Times New Roman" w:hAnsi="Times New Roman"/>
                <w:bCs/>
                <w:iCs/>
                <w:sz w:val="24"/>
                <w:szCs w:val="24"/>
                <w:lang w:val="ro-RO"/>
              </w:rPr>
              <w:t xml:space="preserve"> de uz comercial</w:t>
            </w:r>
            <w:r w:rsidRPr="00CD23D0">
              <w:rPr>
                <w:rFonts w:ascii="Times New Roman" w:hAnsi="Times New Roman"/>
                <w:bCs/>
                <w:iCs/>
                <w:sz w:val="24"/>
                <w:szCs w:val="24"/>
                <w:lang w:val="ro-RO"/>
              </w:rPr>
              <w:t>, precum cele stabilite de programul Energy Star sau alte certificări ecologice recunoscute</w:t>
            </w:r>
            <w:r w:rsidR="003C7469">
              <w:rPr>
                <w:rFonts w:ascii="Times New Roman" w:hAnsi="Times New Roman"/>
                <w:bCs/>
                <w:iCs/>
                <w:sz w:val="24"/>
                <w:szCs w:val="24"/>
                <w:lang w:val="ro-RO"/>
              </w:rPr>
              <w:t>.</w:t>
            </w:r>
          </w:p>
          <w:p w14:paraId="341C3C8A" w14:textId="02B5DE1F" w:rsidR="003C7469" w:rsidRDefault="003C7469" w:rsidP="000D7260">
            <w:pPr>
              <w:tabs>
                <w:tab w:val="left" w:pos="884"/>
                <w:tab w:val="left" w:pos="1196"/>
              </w:tabs>
              <w:spacing w:after="0" w:line="240" w:lineRule="auto"/>
              <w:jc w:val="both"/>
              <w:rPr>
                <w:rFonts w:ascii="Times New Roman" w:hAnsi="Times New Roman"/>
                <w:bCs/>
                <w:iCs/>
                <w:sz w:val="24"/>
                <w:szCs w:val="24"/>
                <w:highlight w:val="yellow"/>
                <w:lang w:val="ro-RO"/>
              </w:rPr>
            </w:pPr>
            <w:r>
              <w:rPr>
                <w:rFonts w:ascii="Times New Roman" w:hAnsi="Times New Roman"/>
                <w:bCs/>
                <w:iCs/>
                <w:sz w:val="24"/>
                <w:szCs w:val="24"/>
                <w:lang w:val="ro-RO"/>
              </w:rPr>
              <w:t xml:space="preserve">În prezent, autoritățile transpun în legislația națională normele ale căror implementare sunt obligatorii </w:t>
            </w:r>
            <w:proofErr w:type="spellStart"/>
            <w:r>
              <w:rPr>
                <w:rFonts w:ascii="Times New Roman" w:hAnsi="Times New Roman"/>
                <w:bCs/>
                <w:iCs/>
                <w:sz w:val="24"/>
                <w:szCs w:val="24"/>
                <w:lang w:val="ro-RO"/>
              </w:rPr>
              <w:t>pentur</w:t>
            </w:r>
            <w:proofErr w:type="spellEnd"/>
            <w:r>
              <w:rPr>
                <w:rFonts w:ascii="Times New Roman" w:hAnsi="Times New Roman"/>
                <w:bCs/>
                <w:iCs/>
                <w:sz w:val="24"/>
                <w:szCs w:val="24"/>
                <w:lang w:val="ro-RO"/>
              </w:rPr>
              <w:t xml:space="preserve"> Republica Moldova, urmând ca transpunerea altor </w:t>
            </w:r>
            <w:r w:rsidR="000223F4">
              <w:rPr>
                <w:rFonts w:ascii="Times New Roman" w:hAnsi="Times New Roman"/>
                <w:bCs/>
                <w:iCs/>
                <w:sz w:val="24"/>
                <w:szCs w:val="24"/>
                <w:lang w:val="ro-RO"/>
              </w:rPr>
              <w:t>regulamente</w:t>
            </w:r>
            <w:r w:rsidR="004C5C7A">
              <w:rPr>
                <w:rFonts w:ascii="Times New Roman" w:hAnsi="Times New Roman"/>
                <w:bCs/>
                <w:iCs/>
                <w:sz w:val="24"/>
                <w:szCs w:val="24"/>
                <w:lang w:val="ro-RO"/>
              </w:rPr>
              <w:t xml:space="preserve"> și/sau standarde</w:t>
            </w:r>
            <w:r w:rsidR="000223F4">
              <w:rPr>
                <w:rFonts w:ascii="Times New Roman" w:hAnsi="Times New Roman"/>
                <w:bCs/>
                <w:iCs/>
                <w:sz w:val="24"/>
                <w:szCs w:val="24"/>
                <w:lang w:val="ro-RO"/>
              </w:rPr>
              <w:t xml:space="preserve"> (precum ar fi </w:t>
            </w:r>
            <w:proofErr w:type="spellStart"/>
            <w:r w:rsidR="004C5C7A">
              <w:rPr>
                <w:rFonts w:ascii="Times New Roman" w:hAnsi="Times New Roman"/>
                <w:bCs/>
                <w:iCs/>
                <w:sz w:val="24"/>
                <w:szCs w:val="24"/>
                <w:lang w:val="ro-RO"/>
              </w:rPr>
              <w:t>strandardul</w:t>
            </w:r>
            <w:proofErr w:type="spellEnd"/>
            <w:r w:rsidR="004C5C7A">
              <w:rPr>
                <w:rFonts w:ascii="Times New Roman" w:hAnsi="Times New Roman"/>
                <w:bCs/>
                <w:iCs/>
                <w:sz w:val="24"/>
                <w:szCs w:val="24"/>
                <w:lang w:val="ro-RO"/>
              </w:rPr>
              <w:t xml:space="preserve"> Energy Star pentru </w:t>
            </w:r>
            <w:r w:rsidR="006F4E42">
              <w:rPr>
                <w:rFonts w:ascii="Times New Roman" w:hAnsi="Times New Roman"/>
                <w:bCs/>
                <w:iCs/>
                <w:sz w:val="24"/>
                <w:szCs w:val="24"/>
                <w:lang w:val="ro-RO"/>
              </w:rPr>
              <w:t>mașinile de spălat rufe</w:t>
            </w:r>
            <w:r w:rsidR="000223F4">
              <w:rPr>
                <w:rFonts w:ascii="Times New Roman" w:hAnsi="Times New Roman"/>
                <w:bCs/>
                <w:iCs/>
                <w:sz w:val="24"/>
                <w:szCs w:val="24"/>
                <w:lang w:val="ro-RO"/>
              </w:rPr>
              <w:t>)</w:t>
            </w:r>
            <w:r w:rsidR="006F4E42">
              <w:rPr>
                <w:rFonts w:ascii="Times New Roman" w:hAnsi="Times New Roman"/>
                <w:bCs/>
                <w:iCs/>
                <w:sz w:val="24"/>
                <w:szCs w:val="24"/>
                <w:lang w:val="ro-RO"/>
              </w:rPr>
              <w:t xml:space="preserve"> să </w:t>
            </w:r>
            <w:r w:rsidR="006F4E42">
              <w:rPr>
                <w:rFonts w:ascii="Times New Roman" w:hAnsi="Times New Roman"/>
                <w:bCs/>
                <w:iCs/>
                <w:sz w:val="24"/>
                <w:szCs w:val="24"/>
                <w:lang w:val="ro-RO"/>
              </w:rPr>
              <w:lastRenderedPageBreak/>
              <w:t xml:space="preserve">aibă loc exclusiv în urma efectuării unei analize detaliate a impactului </w:t>
            </w:r>
            <w:r w:rsidR="006416C8">
              <w:rPr>
                <w:rFonts w:ascii="Times New Roman" w:hAnsi="Times New Roman"/>
                <w:bCs/>
                <w:iCs/>
                <w:sz w:val="24"/>
                <w:szCs w:val="24"/>
                <w:lang w:val="ro-RO"/>
              </w:rPr>
              <w:t>adoptării unor asemenea politici.</w:t>
            </w:r>
          </w:p>
          <w:p w14:paraId="4F4ADD4F" w14:textId="77777777" w:rsidR="002F2311" w:rsidRPr="00264975" w:rsidRDefault="002F2311" w:rsidP="000D7260">
            <w:pPr>
              <w:tabs>
                <w:tab w:val="left" w:pos="884"/>
                <w:tab w:val="left" w:pos="1196"/>
              </w:tabs>
              <w:spacing w:after="0" w:line="240" w:lineRule="auto"/>
              <w:jc w:val="both"/>
              <w:rPr>
                <w:rFonts w:ascii="Times New Roman" w:hAnsi="Times New Roman"/>
                <w:bCs/>
                <w:iCs/>
                <w:sz w:val="24"/>
                <w:szCs w:val="24"/>
                <w:lang w:val="ro-RO"/>
              </w:rPr>
            </w:pPr>
          </w:p>
          <w:p w14:paraId="2207105D" w14:textId="43F5687E" w:rsidR="002F2311" w:rsidRPr="00264975" w:rsidRDefault="002F2311" w:rsidP="000D7260">
            <w:pPr>
              <w:tabs>
                <w:tab w:val="left" w:pos="884"/>
                <w:tab w:val="left" w:pos="1196"/>
              </w:tabs>
              <w:spacing w:after="0" w:line="240" w:lineRule="auto"/>
              <w:jc w:val="both"/>
              <w:rPr>
                <w:rFonts w:ascii="Times New Roman" w:hAnsi="Times New Roman"/>
                <w:b/>
                <w:bCs/>
                <w:iCs/>
                <w:sz w:val="24"/>
                <w:szCs w:val="24"/>
                <w:lang w:val="ro-RO"/>
              </w:rPr>
            </w:pPr>
            <w:r w:rsidRPr="00264975">
              <w:rPr>
                <w:rFonts w:ascii="Times New Roman" w:hAnsi="Times New Roman"/>
                <w:b/>
                <w:bCs/>
                <w:iCs/>
                <w:sz w:val="24"/>
                <w:szCs w:val="24"/>
                <w:lang w:val="ro-RO"/>
              </w:rPr>
              <w:t xml:space="preserve">Nu se acceptă. </w:t>
            </w:r>
          </w:p>
          <w:p w14:paraId="60CB3321" w14:textId="5F523114" w:rsidR="002F2311" w:rsidRPr="00264975" w:rsidRDefault="006416C8" w:rsidP="00A74D4A">
            <w:pPr>
              <w:tabs>
                <w:tab w:val="left" w:pos="884"/>
                <w:tab w:val="left" w:pos="1196"/>
              </w:tabs>
              <w:spacing w:after="0" w:line="240" w:lineRule="auto"/>
              <w:jc w:val="both"/>
              <w:rPr>
                <w:rFonts w:ascii="Times New Roman" w:hAnsi="Times New Roman"/>
                <w:bCs/>
                <w:iCs/>
                <w:sz w:val="24"/>
                <w:szCs w:val="24"/>
                <w:lang w:val="ro-RO"/>
              </w:rPr>
            </w:pPr>
            <w:r w:rsidRPr="00264975">
              <w:rPr>
                <w:rFonts w:ascii="Times New Roman" w:hAnsi="Times New Roman"/>
                <w:bCs/>
                <w:iCs/>
                <w:sz w:val="24"/>
                <w:szCs w:val="24"/>
                <w:lang w:val="ro-RO"/>
              </w:rPr>
              <w:t>Deși propunerile sunt binevenite, totuși, p</w:t>
            </w:r>
            <w:r w:rsidR="002F2311" w:rsidRPr="00264975">
              <w:rPr>
                <w:rFonts w:ascii="Times New Roman" w:hAnsi="Times New Roman"/>
                <w:bCs/>
                <w:iCs/>
                <w:sz w:val="24"/>
                <w:szCs w:val="24"/>
                <w:lang w:val="ro-RO"/>
              </w:rPr>
              <w:t xml:space="preserve">revederile </w:t>
            </w:r>
            <w:r w:rsidR="008B2BDF" w:rsidRPr="00264975">
              <w:rPr>
                <w:rFonts w:ascii="Times New Roman" w:hAnsi="Times New Roman"/>
                <w:bCs/>
                <w:iCs/>
                <w:sz w:val="24"/>
                <w:szCs w:val="24"/>
                <w:lang w:val="ro-RO"/>
              </w:rPr>
              <w:t>ce țin de fișa</w:t>
            </w:r>
            <w:r w:rsidR="002F2311" w:rsidRPr="00264975">
              <w:rPr>
                <w:rFonts w:ascii="Times New Roman" w:hAnsi="Times New Roman"/>
                <w:bCs/>
                <w:iCs/>
                <w:sz w:val="24"/>
                <w:szCs w:val="24"/>
                <w:lang w:val="ro-RO"/>
              </w:rPr>
              <w:t xml:space="preserve"> cu informații</w:t>
            </w:r>
            <w:r w:rsidR="008B2BDF" w:rsidRPr="00264975">
              <w:rPr>
                <w:rFonts w:ascii="Times New Roman" w:hAnsi="Times New Roman"/>
                <w:bCs/>
                <w:iCs/>
                <w:sz w:val="24"/>
                <w:szCs w:val="24"/>
                <w:lang w:val="ro-RO"/>
              </w:rPr>
              <w:t xml:space="preserve"> sunt transpuse </w:t>
            </w:r>
            <w:r w:rsidR="00442827" w:rsidRPr="00264975">
              <w:rPr>
                <w:rFonts w:ascii="Times New Roman" w:hAnsi="Times New Roman"/>
                <w:bCs/>
                <w:iCs/>
                <w:sz w:val="24"/>
                <w:szCs w:val="24"/>
                <w:lang w:val="ro-RO"/>
              </w:rPr>
              <w:t xml:space="preserve">astfel încât să </w:t>
            </w:r>
            <w:proofErr w:type="spellStart"/>
            <w:r w:rsidR="00442827" w:rsidRPr="00264975">
              <w:rPr>
                <w:rFonts w:ascii="Times New Roman" w:hAnsi="Times New Roman"/>
                <w:bCs/>
                <w:iCs/>
                <w:sz w:val="24"/>
                <w:szCs w:val="24"/>
                <w:lang w:val="ro-RO"/>
              </w:rPr>
              <w:t>corepundă</w:t>
            </w:r>
            <w:proofErr w:type="spellEnd"/>
            <w:r w:rsidR="00442827" w:rsidRPr="00264975">
              <w:rPr>
                <w:rFonts w:ascii="Times New Roman" w:hAnsi="Times New Roman"/>
                <w:bCs/>
                <w:iCs/>
                <w:sz w:val="24"/>
                <w:szCs w:val="24"/>
                <w:lang w:val="ro-RO"/>
              </w:rPr>
              <w:t xml:space="preserve"> deplin prevederilor </w:t>
            </w:r>
            <w:r w:rsidR="00A74D4A" w:rsidRPr="00264975">
              <w:rPr>
                <w:rFonts w:ascii="Times New Roman" w:hAnsi="Times New Roman"/>
                <w:bCs/>
                <w:iCs/>
                <w:sz w:val="24"/>
                <w:szCs w:val="24"/>
                <w:lang w:val="ro-RO"/>
              </w:rPr>
              <w:t>Regulamentul</w:t>
            </w:r>
            <w:r w:rsidR="00442827" w:rsidRPr="00264975">
              <w:rPr>
                <w:rFonts w:ascii="Times New Roman" w:hAnsi="Times New Roman"/>
                <w:bCs/>
                <w:iCs/>
                <w:sz w:val="24"/>
                <w:szCs w:val="24"/>
                <w:lang w:val="ro-RO"/>
              </w:rPr>
              <w:t xml:space="preserve">ui UE relevant, iar unde este cazul, </w:t>
            </w:r>
            <w:r w:rsidR="00264975" w:rsidRPr="00264975">
              <w:rPr>
                <w:rFonts w:ascii="Times New Roman" w:hAnsi="Times New Roman"/>
                <w:bCs/>
                <w:iCs/>
                <w:sz w:val="24"/>
                <w:szCs w:val="24"/>
                <w:lang w:val="ro-RO"/>
              </w:rPr>
              <w:t xml:space="preserve">cu luarea în considerare a modificărilor adaptate în urma deciziilor </w:t>
            </w:r>
            <w:r w:rsidR="00651EA2" w:rsidRPr="00264975">
              <w:rPr>
                <w:rFonts w:ascii="Times New Roman" w:hAnsi="Times New Roman"/>
                <w:bCs/>
                <w:iCs/>
                <w:sz w:val="24"/>
                <w:szCs w:val="24"/>
                <w:lang w:val="ro-RO"/>
              </w:rPr>
              <w:t>Consiliului Ministerial al Comunității Energetice.</w:t>
            </w:r>
            <w:r w:rsidR="00A74D4A" w:rsidRPr="00264975">
              <w:rPr>
                <w:rFonts w:ascii="Times New Roman" w:hAnsi="Times New Roman"/>
                <w:bCs/>
                <w:iCs/>
                <w:sz w:val="24"/>
                <w:szCs w:val="24"/>
                <w:lang w:val="ro-RO"/>
              </w:rPr>
              <w:t xml:space="preserve"> </w:t>
            </w:r>
          </w:p>
          <w:p w14:paraId="273F11F2" w14:textId="77777777" w:rsidR="00E93EB6" w:rsidRDefault="00E93EB6" w:rsidP="00A74D4A">
            <w:pPr>
              <w:tabs>
                <w:tab w:val="left" w:pos="884"/>
                <w:tab w:val="left" w:pos="1196"/>
              </w:tabs>
              <w:spacing w:after="0" w:line="240" w:lineRule="auto"/>
              <w:jc w:val="both"/>
              <w:rPr>
                <w:rFonts w:ascii="Times New Roman" w:hAnsi="Times New Roman"/>
                <w:bCs/>
                <w:iCs/>
                <w:sz w:val="24"/>
                <w:szCs w:val="24"/>
                <w:highlight w:val="yellow"/>
                <w:lang w:val="ro-RO"/>
              </w:rPr>
            </w:pPr>
          </w:p>
          <w:p w14:paraId="53E530DB" w14:textId="77777777" w:rsidR="00E93EB6" w:rsidRDefault="00E93EB6" w:rsidP="00A74D4A">
            <w:pPr>
              <w:tabs>
                <w:tab w:val="left" w:pos="884"/>
                <w:tab w:val="left" w:pos="1196"/>
              </w:tabs>
              <w:spacing w:after="0" w:line="240" w:lineRule="auto"/>
              <w:jc w:val="both"/>
              <w:rPr>
                <w:rFonts w:ascii="Times New Roman" w:hAnsi="Times New Roman"/>
                <w:bCs/>
                <w:iCs/>
                <w:sz w:val="24"/>
                <w:szCs w:val="24"/>
                <w:highlight w:val="yellow"/>
                <w:lang w:val="ro-RO"/>
              </w:rPr>
            </w:pPr>
          </w:p>
          <w:p w14:paraId="266F1E9B" w14:textId="77777777" w:rsidR="00E93EB6" w:rsidRDefault="00E93EB6" w:rsidP="00A74D4A">
            <w:pPr>
              <w:tabs>
                <w:tab w:val="left" w:pos="884"/>
                <w:tab w:val="left" w:pos="1196"/>
              </w:tabs>
              <w:spacing w:after="0" w:line="240" w:lineRule="auto"/>
              <w:jc w:val="both"/>
              <w:rPr>
                <w:rFonts w:ascii="Times New Roman" w:hAnsi="Times New Roman"/>
                <w:bCs/>
                <w:iCs/>
                <w:sz w:val="24"/>
                <w:szCs w:val="24"/>
                <w:highlight w:val="yellow"/>
                <w:lang w:val="ro-RO"/>
              </w:rPr>
            </w:pPr>
          </w:p>
          <w:p w14:paraId="691A6607" w14:textId="77777777" w:rsidR="00E93EB6" w:rsidRDefault="00E93EB6" w:rsidP="00A74D4A">
            <w:pPr>
              <w:tabs>
                <w:tab w:val="left" w:pos="884"/>
                <w:tab w:val="left" w:pos="1196"/>
              </w:tabs>
              <w:spacing w:after="0" w:line="240" w:lineRule="auto"/>
              <w:jc w:val="both"/>
              <w:rPr>
                <w:rFonts w:ascii="Times New Roman" w:hAnsi="Times New Roman"/>
                <w:bCs/>
                <w:iCs/>
                <w:sz w:val="24"/>
                <w:szCs w:val="24"/>
                <w:highlight w:val="yellow"/>
                <w:lang w:val="ro-RO"/>
              </w:rPr>
            </w:pPr>
          </w:p>
          <w:p w14:paraId="2092B464" w14:textId="77777777" w:rsidR="00E93EB6" w:rsidRDefault="00E93EB6" w:rsidP="00A74D4A">
            <w:pPr>
              <w:tabs>
                <w:tab w:val="left" w:pos="884"/>
                <w:tab w:val="left" w:pos="1196"/>
              </w:tabs>
              <w:spacing w:after="0" w:line="240" w:lineRule="auto"/>
              <w:jc w:val="both"/>
              <w:rPr>
                <w:rFonts w:ascii="Times New Roman" w:hAnsi="Times New Roman"/>
                <w:bCs/>
                <w:iCs/>
                <w:sz w:val="24"/>
                <w:szCs w:val="24"/>
                <w:highlight w:val="yellow"/>
                <w:lang w:val="ro-RO"/>
              </w:rPr>
            </w:pPr>
          </w:p>
          <w:p w14:paraId="5399C43B" w14:textId="77777777" w:rsidR="00E93EB6" w:rsidRDefault="00E93EB6" w:rsidP="00A74D4A">
            <w:pPr>
              <w:tabs>
                <w:tab w:val="left" w:pos="884"/>
                <w:tab w:val="left" w:pos="1196"/>
              </w:tabs>
              <w:spacing w:after="0" w:line="240" w:lineRule="auto"/>
              <w:jc w:val="both"/>
              <w:rPr>
                <w:rFonts w:ascii="Times New Roman" w:hAnsi="Times New Roman"/>
                <w:bCs/>
                <w:iCs/>
                <w:sz w:val="24"/>
                <w:szCs w:val="24"/>
                <w:highlight w:val="yellow"/>
                <w:lang w:val="ro-RO"/>
              </w:rPr>
            </w:pPr>
          </w:p>
          <w:p w14:paraId="4A26ECD2" w14:textId="77777777" w:rsidR="00264975" w:rsidRDefault="00264975" w:rsidP="00A74D4A">
            <w:pPr>
              <w:tabs>
                <w:tab w:val="left" w:pos="884"/>
                <w:tab w:val="left" w:pos="1196"/>
              </w:tabs>
              <w:spacing w:after="0" w:line="240" w:lineRule="auto"/>
              <w:jc w:val="both"/>
              <w:rPr>
                <w:rFonts w:ascii="Times New Roman" w:hAnsi="Times New Roman"/>
                <w:bCs/>
                <w:iCs/>
                <w:sz w:val="24"/>
                <w:szCs w:val="24"/>
                <w:highlight w:val="yellow"/>
                <w:lang w:val="ro-RO"/>
              </w:rPr>
            </w:pPr>
          </w:p>
          <w:p w14:paraId="4D09F95A" w14:textId="07C2372E" w:rsidR="00E93EB6" w:rsidRPr="00221765" w:rsidRDefault="004239D6" w:rsidP="00E93EB6">
            <w:pPr>
              <w:tabs>
                <w:tab w:val="left" w:pos="884"/>
                <w:tab w:val="left" w:pos="1196"/>
              </w:tabs>
              <w:spacing w:after="0" w:line="240" w:lineRule="auto"/>
              <w:jc w:val="both"/>
              <w:rPr>
                <w:rFonts w:ascii="Times New Roman" w:hAnsi="Times New Roman"/>
                <w:b/>
                <w:bCs/>
                <w:iCs/>
                <w:sz w:val="24"/>
                <w:szCs w:val="24"/>
                <w:lang w:val="ro-RO"/>
              </w:rPr>
            </w:pPr>
            <w:r w:rsidRPr="00221765">
              <w:rPr>
                <w:rFonts w:ascii="Times New Roman" w:hAnsi="Times New Roman"/>
                <w:b/>
                <w:bCs/>
                <w:iCs/>
                <w:sz w:val="24"/>
                <w:szCs w:val="24"/>
                <w:lang w:val="ro-RO"/>
              </w:rPr>
              <w:t>3</w:t>
            </w:r>
            <w:r w:rsidR="00E93EB6" w:rsidRPr="00221765">
              <w:rPr>
                <w:rFonts w:ascii="Times New Roman" w:hAnsi="Times New Roman"/>
                <w:b/>
                <w:bCs/>
                <w:iCs/>
                <w:sz w:val="24"/>
                <w:szCs w:val="24"/>
                <w:lang w:val="ro-RO"/>
              </w:rPr>
              <w:t xml:space="preserve">. Nu se acceptă. </w:t>
            </w:r>
          </w:p>
          <w:p w14:paraId="38993964" w14:textId="11427A1E" w:rsidR="00E93EB6" w:rsidRDefault="004239D6" w:rsidP="004239D6">
            <w:pPr>
              <w:tabs>
                <w:tab w:val="left" w:pos="884"/>
                <w:tab w:val="left" w:pos="1196"/>
              </w:tabs>
              <w:spacing w:after="0" w:line="240" w:lineRule="auto"/>
              <w:jc w:val="both"/>
              <w:rPr>
                <w:rFonts w:ascii="Times New Roman" w:hAnsi="Times New Roman"/>
                <w:bCs/>
                <w:iCs/>
                <w:sz w:val="24"/>
                <w:szCs w:val="24"/>
                <w:lang w:val="ro-RO"/>
              </w:rPr>
            </w:pPr>
            <w:r w:rsidRPr="00221765">
              <w:rPr>
                <w:rFonts w:ascii="Times New Roman" w:hAnsi="Times New Roman"/>
                <w:bCs/>
                <w:iCs/>
                <w:sz w:val="24"/>
                <w:szCs w:val="24"/>
                <w:lang w:val="ro-RO"/>
              </w:rPr>
              <w:t>Introducerea acestei prevederi ar constitui o extindere nejustificată a scopului inițial al Hotărârii Guvern</w:t>
            </w:r>
            <w:r w:rsidR="00B8613F" w:rsidRPr="00221765">
              <w:rPr>
                <w:rFonts w:ascii="Times New Roman" w:hAnsi="Times New Roman"/>
                <w:bCs/>
                <w:iCs/>
                <w:sz w:val="24"/>
                <w:szCs w:val="24"/>
                <w:lang w:val="ro-RO"/>
              </w:rPr>
              <w:t>ului</w:t>
            </w:r>
            <w:r w:rsidR="007B7941" w:rsidRPr="00221765">
              <w:rPr>
                <w:rFonts w:ascii="Times New Roman" w:hAnsi="Times New Roman"/>
                <w:bCs/>
                <w:iCs/>
                <w:sz w:val="24"/>
                <w:szCs w:val="24"/>
                <w:lang w:val="ro-RO"/>
              </w:rPr>
              <w:t>, ce ar depăși cadrul de reglementare stabilit de Regulamentul UE</w:t>
            </w:r>
            <w:r w:rsidR="003E22B6" w:rsidRPr="00221765">
              <w:rPr>
                <w:rFonts w:ascii="Times New Roman" w:hAnsi="Times New Roman"/>
                <w:bCs/>
                <w:iCs/>
                <w:sz w:val="24"/>
                <w:szCs w:val="24"/>
                <w:lang w:val="ro-RO"/>
              </w:rPr>
              <w:t xml:space="preserve"> relevant</w:t>
            </w:r>
            <w:r w:rsidRPr="00221765">
              <w:rPr>
                <w:rFonts w:ascii="Times New Roman" w:hAnsi="Times New Roman"/>
                <w:bCs/>
                <w:iCs/>
                <w:sz w:val="24"/>
                <w:szCs w:val="24"/>
                <w:lang w:val="ro-RO"/>
              </w:rPr>
              <w:t xml:space="preserve">. </w:t>
            </w:r>
            <w:r w:rsidR="00ED62EA" w:rsidRPr="00221765">
              <w:rPr>
                <w:rFonts w:ascii="Times New Roman" w:hAnsi="Times New Roman"/>
                <w:bCs/>
                <w:iCs/>
                <w:sz w:val="24"/>
                <w:szCs w:val="24"/>
                <w:lang w:val="ro-RO"/>
              </w:rPr>
              <w:t xml:space="preserve">Pentru a nu </w:t>
            </w:r>
            <w:proofErr w:type="spellStart"/>
            <w:r w:rsidR="00ED62EA" w:rsidRPr="00221765">
              <w:rPr>
                <w:rFonts w:ascii="Times New Roman" w:hAnsi="Times New Roman"/>
                <w:bCs/>
                <w:iCs/>
                <w:sz w:val="24"/>
                <w:szCs w:val="24"/>
                <w:lang w:val="ro-RO"/>
              </w:rPr>
              <w:t>suprareglementa</w:t>
            </w:r>
            <w:proofErr w:type="spellEnd"/>
            <w:r w:rsidR="00ED62EA" w:rsidRPr="00221765">
              <w:rPr>
                <w:rFonts w:ascii="Times New Roman" w:hAnsi="Times New Roman"/>
                <w:bCs/>
                <w:iCs/>
                <w:sz w:val="24"/>
                <w:szCs w:val="24"/>
                <w:lang w:val="ro-RO"/>
              </w:rPr>
              <w:t xml:space="preserve"> cadrul normati</w:t>
            </w:r>
            <w:r w:rsidR="003E22B6" w:rsidRPr="00221765">
              <w:rPr>
                <w:rFonts w:ascii="Times New Roman" w:hAnsi="Times New Roman"/>
                <w:bCs/>
                <w:iCs/>
                <w:sz w:val="24"/>
                <w:szCs w:val="24"/>
                <w:lang w:val="ro-RO"/>
              </w:rPr>
              <w:t>v</w:t>
            </w:r>
            <w:r w:rsidR="00ED62EA" w:rsidRPr="00221765">
              <w:rPr>
                <w:rFonts w:ascii="Times New Roman" w:hAnsi="Times New Roman"/>
                <w:bCs/>
                <w:iCs/>
                <w:sz w:val="24"/>
                <w:szCs w:val="24"/>
                <w:lang w:val="ro-RO"/>
              </w:rPr>
              <w:t>, p</w:t>
            </w:r>
            <w:r w:rsidR="00E93EB6" w:rsidRPr="00221765">
              <w:rPr>
                <w:rFonts w:ascii="Times New Roman" w:hAnsi="Times New Roman"/>
                <w:bCs/>
                <w:iCs/>
                <w:sz w:val="24"/>
                <w:szCs w:val="24"/>
                <w:lang w:val="ro-RO"/>
              </w:rPr>
              <w:t xml:space="preserve">revederile referitoare la responsabilitățile comercianților sunt transpuse exact în conformitate cu </w:t>
            </w:r>
            <w:r w:rsidR="003E22B6" w:rsidRPr="00221765">
              <w:rPr>
                <w:rFonts w:ascii="Times New Roman" w:hAnsi="Times New Roman"/>
                <w:bCs/>
                <w:iCs/>
                <w:sz w:val="24"/>
                <w:szCs w:val="24"/>
                <w:lang w:val="ro-RO"/>
              </w:rPr>
              <w:t>actul</w:t>
            </w:r>
            <w:r w:rsidR="00E93EB6" w:rsidRPr="00221765">
              <w:rPr>
                <w:rFonts w:ascii="Times New Roman" w:hAnsi="Times New Roman"/>
                <w:bCs/>
                <w:iCs/>
                <w:sz w:val="24"/>
                <w:szCs w:val="24"/>
                <w:lang w:val="ro-RO"/>
              </w:rPr>
              <w:t xml:space="preserve"> UE, </w:t>
            </w:r>
            <w:r w:rsidR="003E22B6" w:rsidRPr="00221765">
              <w:rPr>
                <w:rFonts w:ascii="Times New Roman" w:hAnsi="Times New Roman"/>
                <w:bCs/>
                <w:iCs/>
                <w:sz w:val="24"/>
                <w:szCs w:val="24"/>
                <w:lang w:val="ro-RO"/>
              </w:rPr>
              <w:t>cu luarea în considerare a v</w:t>
            </w:r>
            <w:r w:rsidR="00E93EB6" w:rsidRPr="00221765">
              <w:rPr>
                <w:rFonts w:ascii="Times New Roman" w:hAnsi="Times New Roman"/>
                <w:bCs/>
                <w:iCs/>
                <w:sz w:val="24"/>
                <w:szCs w:val="24"/>
                <w:lang w:val="ro-RO"/>
              </w:rPr>
              <w:t xml:space="preserve">ersiunii adaptate </w:t>
            </w:r>
            <w:r w:rsidR="003E22B6" w:rsidRPr="00221765">
              <w:rPr>
                <w:rFonts w:ascii="Times New Roman" w:hAnsi="Times New Roman"/>
                <w:bCs/>
                <w:iCs/>
                <w:sz w:val="24"/>
                <w:szCs w:val="24"/>
                <w:lang w:val="ro-RO"/>
              </w:rPr>
              <w:t>pr</w:t>
            </w:r>
            <w:r w:rsidR="00E93EB6" w:rsidRPr="00221765">
              <w:rPr>
                <w:rFonts w:ascii="Times New Roman" w:hAnsi="Times New Roman"/>
                <w:bCs/>
                <w:iCs/>
                <w:sz w:val="24"/>
                <w:szCs w:val="24"/>
                <w:lang w:val="ro-RO"/>
              </w:rPr>
              <w:t>in decizia Consiliului Ministerial al Comunității Energetice</w:t>
            </w:r>
            <w:r w:rsidR="00D6684F" w:rsidRPr="00221765">
              <w:rPr>
                <w:rFonts w:ascii="Times New Roman" w:hAnsi="Times New Roman"/>
                <w:bCs/>
                <w:iCs/>
                <w:sz w:val="24"/>
                <w:szCs w:val="24"/>
                <w:lang w:val="ro-RO"/>
              </w:rPr>
              <w:t xml:space="preserve">. </w:t>
            </w:r>
            <w:r w:rsidRPr="00221765">
              <w:rPr>
                <w:rFonts w:ascii="Times New Roman" w:hAnsi="Times New Roman"/>
                <w:bCs/>
                <w:iCs/>
                <w:sz w:val="24"/>
                <w:szCs w:val="24"/>
                <w:lang w:val="ro-RO"/>
              </w:rPr>
              <w:t xml:space="preserve"> </w:t>
            </w:r>
            <w:r w:rsidR="003E22B6" w:rsidRPr="00221765">
              <w:rPr>
                <w:rFonts w:ascii="Times New Roman" w:hAnsi="Times New Roman"/>
                <w:bCs/>
                <w:iCs/>
                <w:sz w:val="24"/>
                <w:szCs w:val="24"/>
                <w:lang w:val="ro-RO"/>
              </w:rPr>
              <w:br/>
            </w:r>
            <w:r w:rsidR="003E22B6" w:rsidRPr="00221765">
              <w:rPr>
                <w:rFonts w:ascii="Times New Roman" w:hAnsi="Times New Roman"/>
                <w:bCs/>
                <w:iCs/>
                <w:sz w:val="24"/>
                <w:szCs w:val="24"/>
                <w:lang w:val="ro-RO"/>
              </w:rPr>
              <w:lastRenderedPageBreak/>
              <w:t xml:space="preserve">Cu toate acestea, </w:t>
            </w:r>
            <w:r w:rsidR="00564F8B" w:rsidRPr="00221765">
              <w:rPr>
                <w:rFonts w:ascii="Times New Roman" w:hAnsi="Times New Roman"/>
                <w:bCs/>
                <w:iCs/>
                <w:sz w:val="24"/>
                <w:szCs w:val="24"/>
                <w:lang w:val="ro-RO"/>
              </w:rPr>
              <w:t xml:space="preserve">portalul EPREL al Comisie Europene, precum și paginile web ale producătorilor </w:t>
            </w:r>
            <w:r w:rsidR="00633249" w:rsidRPr="00221765">
              <w:rPr>
                <w:rFonts w:ascii="Times New Roman" w:hAnsi="Times New Roman"/>
                <w:bCs/>
                <w:iCs/>
                <w:sz w:val="24"/>
                <w:szCs w:val="24"/>
                <w:lang w:val="ro-RO"/>
              </w:rPr>
              <w:t xml:space="preserve">de echipamente, include date tehnice cu privire la performanțele acestora. </w:t>
            </w:r>
            <w:r w:rsidR="0090679F" w:rsidRPr="00221765">
              <w:rPr>
                <w:rFonts w:ascii="Times New Roman" w:hAnsi="Times New Roman"/>
                <w:bCs/>
                <w:iCs/>
                <w:sz w:val="24"/>
                <w:szCs w:val="24"/>
                <w:lang w:val="ro-RO"/>
              </w:rPr>
              <w:t xml:space="preserve">Veridicitatea datelor publicate de producătorii europeni, or a producătorilor de echipamente </w:t>
            </w:r>
            <w:proofErr w:type="spellStart"/>
            <w:r w:rsidR="0090679F" w:rsidRPr="00221765">
              <w:rPr>
                <w:rFonts w:ascii="Times New Roman" w:hAnsi="Times New Roman"/>
                <w:bCs/>
                <w:iCs/>
                <w:sz w:val="24"/>
                <w:szCs w:val="24"/>
                <w:lang w:val="ro-RO"/>
              </w:rPr>
              <w:t>pentur</w:t>
            </w:r>
            <w:proofErr w:type="spellEnd"/>
            <w:r w:rsidR="0090679F" w:rsidRPr="00221765">
              <w:rPr>
                <w:rFonts w:ascii="Times New Roman" w:hAnsi="Times New Roman"/>
                <w:bCs/>
                <w:iCs/>
                <w:sz w:val="24"/>
                <w:szCs w:val="24"/>
                <w:lang w:val="ro-RO"/>
              </w:rPr>
              <w:t xml:space="preserve"> piața europeană, nu poate fi </w:t>
            </w:r>
            <w:r w:rsidR="00D603F1" w:rsidRPr="00221765">
              <w:rPr>
                <w:rFonts w:ascii="Times New Roman" w:hAnsi="Times New Roman"/>
                <w:bCs/>
                <w:iCs/>
                <w:sz w:val="24"/>
                <w:szCs w:val="24"/>
                <w:lang w:val="ro-RO"/>
              </w:rPr>
              <w:t xml:space="preserve">pusă la îndoială. A se vedea cazul </w:t>
            </w:r>
            <w:proofErr w:type="spellStart"/>
            <w:r w:rsidR="00097609" w:rsidRPr="00221765">
              <w:rPr>
                <w:rFonts w:ascii="Times New Roman" w:hAnsi="Times New Roman"/>
                <w:bCs/>
                <w:i/>
                <w:sz w:val="24"/>
                <w:szCs w:val="24"/>
                <w:lang w:val="ro-RO"/>
              </w:rPr>
              <w:t>Dyson</w:t>
            </w:r>
            <w:proofErr w:type="spellEnd"/>
            <w:r w:rsidR="00097609" w:rsidRPr="00221765">
              <w:rPr>
                <w:rFonts w:ascii="Times New Roman" w:hAnsi="Times New Roman"/>
                <w:bCs/>
                <w:i/>
                <w:sz w:val="24"/>
                <w:szCs w:val="24"/>
                <w:lang w:val="ro-RO"/>
              </w:rPr>
              <w:t xml:space="preserve"> Ltd </w:t>
            </w:r>
            <w:proofErr w:type="spellStart"/>
            <w:r w:rsidR="00097609" w:rsidRPr="00221765">
              <w:rPr>
                <w:rFonts w:ascii="Times New Roman" w:hAnsi="Times New Roman"/>
                <w:bCs/>
                <w:i/>
                <w:sz w:val="24"/>
                <w:szCs w:val="24"/>
                <w:lang w:val="ro-RO"/>
              </w:rPr>
              <w:t>and</w:t>
            </w:r>
            <w:proofErr w:type="spellEnd"/>
            <w:r w:rsidR="00097609" w:rsidRPr="00221765">
              <w:rPr>
                <w:rFonts w:ascii="Times New Roman" w:hAnsi="Times New Roman"/>
                <w:bCs/>
                <w:i/>
                <w:sz w:val="24"/>
                <w:szCs w:val="24"/>
                <w:lang w:val="ro-RO"/>
              </w:rPr>
              <w:t xml:space="preserve"> </w:t>
            </w:r>
            <w:proofErr w:type="spellStart"/>
            <w:r w:rsidR="00097609" w:rsidRPr="00221765">
              <w:rPr>
                <w:rFonts w:ascii="Times New Roman" w:hAnsi="Times New Roman"/>
                <w:bCs/>
                <w:i/>
                <w:sz w:val="24"/>
                <w:szCs w:val="24"/>
                <w:lang w:val="ro-RO"/>
              </w:rPr>
              <w:t>Others</w:t>
            </w:r>
            <w:proofErr w:type="spellEnd"/>
            <w:r w:rsidR="00097609" w:rsidRPr="00221765">
              <w:rPr>
                <w:rFonts w:ascii="Times New Roman" w:hAnsi="Times New Roman"/>
                <w:bCs/>
                <w:i/>
                <w:sz w:val="24"/>
                <w:szCs w:val="24"/>
                <w:lang w:val="ro-RO"/>
              </w:rPr>
              <w:t xml:space="preserve"> v European </w:t>
            </w:r>
            <w:proofErr w:type="spellStart"/>
            <w:r w:rsidR="00097609" w:rsidRPr="00221765">
              <w:rPr>
                <w:rFonts w:ascii="Times New Roman" w:hAnsi="Times New Roman"/>
                <w:bCs/>
                <w:i/>
                <w:sz w:val="24"/>
                <w:szCs w:val="24"/>
                <w:lang w:val="ro-RO"/>
              </w:rPr>
              <w:t>Commission</w:t>
            </w:r>
            <w:proofErr w:type="spellEnd"/>
            <w:r w:rsidR="00097609" w:rsidRPr="00221765">
              <w:rPr>
                <w:rFonts w:ascii="Times New Roman" w:hAnsi="Times New Roman"/>
                <w:bCs/>
                <w:iCs/>
                <w:sz w:val="24"/>
                <w:szCs w:val="24"/>
                <w:lang w:val="ro-RO"/>
              </w:rPr>
              <w:t xml:space="preserve">, </w:t>
            </w:r>
            <w:r w:rsidR="00F362C9" w:rsidRPr="00221765">
              <w:rPr>
                <w:rFonts w:ascii="Times New Roman" w:hAnsi="Times New Roman"/>
                <w:bCs/>
                <w:iCs/>
                <w:sz w:val="24"/>
                <w:szCs w:val="24"/>
                <w:lang w:val="ro-RO"/>
              </w:rPr>
              <w:t xml:space="preserve">care reprezintă o </w:t>
            </w:r>
            <w:r w:rsidR="00585690" w:rsidRPr="00221765">
              <w:rPr>
                <w:rFonts w:ascii="Times New Roman" w:hAnsi="Times New Roman"/>
                <w:bCs/>
                <w:iCs/>
                <w:sz w:val="24"/>
                <w:szCs w:val="24"/>
                <w:lang w:val="ro-RO"/>
              </w:rPr>
              <w:t xml:space="preserve">demonstrare a </w:t>
            </w:r>
            <w:r w:rsidR="00F8050C" w:rsidRPr="00221765">
              <w:rPr>
                <w:rFonts w:ascii="Times New Roman" w:hAnsi="Times New Roman"/>
                <w:bCs/>
                <w:iCs/>
                <w:sz w:val="24"/>
                <w:szCs w:val="24"/>
                <w:lang w:val="ro-RO"/>
              </w:rPr>
              <w:t xml:space="preserve">modului în care reglementările aferente etichetării energetice </w:t>
            </w:r>
            <w:r w:rsidR="008E7CE9">
              <w:rPr>
                <w:rFonts w:ascii="Times New Roman" w:hAnsi="Times New Roman"/>
                <w:bCs/>
                <w:iCs/>
                <w:sz w:val="24"/>
                <w:szCs w:val="24"/>
                <w:lang w:val="ro-RO"/>
              </w:rPr>
              <w:t xml:space="preserve">pun producătorii în competiție, </w:t>
            </w:r>
            <w:r w:rsidR="0031737C">
              <w:rPr>
                <w:rFonts w:ascii="Times New Roman" w:hAnsi="Times New Roman"/>
                <w:bCs/>
                <w:iCs/>
                <w:sz w:val="24"/>
                <w:szCs w:val="24"/>
                <w:lang w:val="ro-RO"/>
              </w:rPr>
              <w:t>ș</w:t>
            </w:r>
            <w:r w:rsidR="008E7CE9">
              <w:rPr>
                <w:rFonts w:ascii="Times New Roman" w:hAnsi="Times New Roman"/>
                <w:bCs/>
                <w:iCs/>
                <w:sz w:val="24"/>
                <w:szCs w:val="24"/>
                <w:lang w:val="ro-RO"/>
              </w:rPr>
              <w:t>i-i impune să</w:t>
            </w:r>
            <w:r w:rsidR="0031737C">
              <w:rPr>
                <w:rFonts w:ascii="Times New Roman" w:hAnsi="Times New Roman"/>
                <w:bCs/>
                <w:iCs/>
                <w:sz w:val="24"/>
                <w:szCs w:val="24"/>
                <w:lang w:val="ro-RO"/>
              </w:rPr>
              <w:t xml:space="preserve"> îmbunătățească </w:t>
            </w:r>
            <w:r w:rsidR="00370DA1">
              <w:rPr>
                <w:rFonts w:ascii="Times New Roman" w:hAnsi="Times New Roman"/>
                <w:bCs/>
                <w:iCs/>
                <w:sz w:val="24"/>
                <w:szCs w:val="24"/>
                <w:lang w:val="ro-RO"/>
              </w:rPr>
              <w:t>performanțele produselor sale în mod continuu. Acest lucru nu poate avea loc fără o transparență maximă a indicatorilor tehnici</w:t>
            </w:r>
            <w:r w:rsidR="00B443C9">
              <w:rPr>
                <w:rFonts w:ascii="Times New Roman" w:hAnsi="Times New Roman"/>
                <w:bCs/>
                <w:iCs/>
                <w:sz w:val="24"/>
                <w:szCs w:val="24"/>
                <w:lang w:val="ro-RO"/>
              </w:rPr>
              <w:t xml:space="preserve"> </w:t>
            </w:r>
            <w:proofErr w:type="spellStart"/>
            <w:r w:rsidR="00B443C9">
              <w:rPr>
                <w:rFonts w:ascii="Times New Roman" w:hAnsi="Times New Roman"/>
                <w:bCs/>
                <w:iCs/>
                <w:sz w:val="24"/>
                <w:szCs w:val="24"/>
                <w:lang w:val="ro-RO"/>
              </w:rPr>
              <w:t>aferebți</w:t>
            </w:r>
            <w:proofErr w:type="spellEnd"/>
            <w:r w:rsidR="00B443C9">
              <w:rPr>
                <w:rFonts w:ascii="Times New Roman" w:hAnsi="Times New Roman"/>
                <w:bCs/>
                <w:iCs/>
                <w:sz w:val="24"/>
                <w:szCs w:val="24"/>
                <w:lang w:val="ro-RO"/>
              </w:rPr>
              <w:t xml:space="preserve"> fiecărui </w:t>
            </w:r>
            <w:proofErr w:type="spellStart"/>
            <w:r w:rsidR="00B443C9">
              <w:rPr>
                <w:rFonts w:ascii="Times New Roman" w:hAnsi="Times New Roman"/>
                <w:bCs/>
                <w:iCs/>
                <w:sz w:val="24"/>
                <w:szCs w:val="24"/>
                <w:lang w:val="ro-RO"/>
              </w:rPr>
              <w:t>părodus</w:t>
            </w:r>
            <w:proofErr w:type="spellEnd"/>
            <w:r w:rsidR="00B443C9">
              <w:rPr>
                <w:rFonts w:ascii="Times New Roman" w:hAnsi="Times New Roman"/>
                <w:bCs/>
                <w:iCs/>
                <w:sz w:val="24"/>
                <w:szCs w:val="24"/>
                <w:lang w:val="ro-RO"/>
              </w:rPr>
              <w:t xml:space="preserve"> în parte.</w:t>
            </w:r>
            <w:r w:rsidR="008E7CE9">
              <w:rPr>
                <w:rFonts w:ascii="Times New Roman" w:hAnsi="Times New Roman"/>
                <w:bCs/>
                <w:iCs/>
                <w:sz w:val="24"/>
                <w:szCs w:val="24"/>
                <w:lang w:val="ro-RO"/>
              </w:rPr>
              <w:t xml:space="preserve"> </w:t>
            </w:r>
            <w:r w:rsidR="00F362C9">
              <w:rPr>
                <w:rFonts w:ascii="Times New Roman" w:hAnsi="Times New Roman"/>
                <w:bCs/>
                <w:iCs/>
                <w:sz w:val="24"/>
                <w:szCs w:val="24"/>
                <w:lang w:val="ro-RO"/>
              </w:rPr>
              <w:t xml:space="preserve"> </w:t>
            </w:r>
            <w:r w:rsidR="00097609">
              <w:rPr>
                <w:rFonts w:ascii="Times New Roman" w:hAnsi="Times New Roman"/>
                <w:bCs/>
                <w:iCs/>
                <w:sz w:val="24"/>
                <w:szCs w:val="24"/>
                <w:lang w:val="ro-RO"/>
              </w:rPr>
              <w:t xml:space="preserve"> </w:t>
            </w:r>
          </w:p>
          <w:p w14:paraId="29E9DE3B" w14:textId="77777777" w:rsidR="004D575D" w:rsidRDefault="004D575D" w:rsidP="004239D6">
            <w:pPr>
              <w:tabs>
                <w:tab w:val="left" w:pos="884"/>
                <w:tab w:val="left" w:pos="1196"/>
              </w:tabs>
              <w:spacing w:after="0" w:line="240" w:lineRule="auto"/>
              <w:jc w:val="both"/>
              <w:rPr>
                <w:rFonts w:ascii="Times New Roman" w:hAnsi="Times New Roman"/>
                <w:bCs/>
                <w:iCs/>
                <w:sz w:val="24"/>
                <w:szCs w:val="24"/>
                <w:lang w:val="ro-RO"/>
              </w:rPr>
            </w:pPr>
          </w:p>
          <w:p w14:paraId="591DDFA4" w14:textId="77777777" w:rsidR="004D575D" w:rsidRDefault="004D575D" w:rsidP="004239D6">
            <w:pPr>
              <w:tabs>
                <w:tab w:val="left" w:pos="884"/>
                <w:tab w:val="left" w:pos="1196"/>
              </w:tabs>
              <w:spacing w:after="0" w:line="240" w:lineRule="auto"/>
              <w:jc w:val="both"/>
              <w:rPr>
                <w:rFonts w:ascii="Times New Roman" w:hAnsi="Times New Roman"/>
                <w:bCs/>
                <w:iCs/>
                <w:sz w:val="24"/>
                <w:szCs w:val="24"/>
                <w:lang w:val="ro-RO"/>
              </w:rPr>
            </w:pPr>
          </w:p>
          <w:p w14:paraId="6A198219" w14:textId="0B8B6E16" w:rsidR="004D575D" w:rsidRPr="00D26D10" w:rsidRDefault="004D575D" w:rsidP="004D575D">
            <w:pPr>
              <w:tabs>
                <w:tab w:val="left" w:pos="884"/>
                <w:tab w:val="left" w:pos="1196"/>
              </w:tabs>
              <w:spacing w:after="0" w:line="240" w:lineRule="auto"/>
              <w:jc w:val="both"/>
              <w:rPr>
                <w:rFonts w:ascii="Times New Roman" w:hAnsi="Times New Roman"/>
                <w:b/>
                <w:bCs/>
                <w:iCs/>
                <w:sz w:val="24"/>
                <w:szCs w:val="24"/>
                <w:lang w:val="ro-RO"/>
              </w:rPr>
            </w:pPr>
            <w:r w:rsidRPr="00D26D10">
              <w:rPr>
                <w:rFonts w:ascii="Times New Roman" w:hAnsi="Times New Roman"/>
                <w:b/>
                <w:bCs/>
                <w:iCs/>
                <w:sz w:val="24"/>
                <w:szCs w:val="24"/>
                <w:lang w:val="ro-RO"/>
              </w:rPr>
              <w:t xml:space="preserve">4. Nu se acceptă. </w:t>
            </w:r>
          </w:p>
          <w:p w14:paraId="799C4CD7" w14:textId="030C9242" w:rsidR="004D575D" w:rsidRPr="00D26D10" w:rsidRDefault="004D575D" w:rsidP="004239D6">
            <w:pPr>
              <w:tabs>
                <w:tab w:val="left" w:pos="884"/>
                <w:tab w:val="left" w:pos="1196"/>
              </w:tabs>
              <w:spacing w:after="0" w:line="240" w:lineRule="auto"/>
              <w:jc w:val="both"/>
              <w:rPr>
                <w:rFonts w:ascii="Times New Roman" w:hAnsi="Times New Roman"/>
                <w:bCs/>
                <w:iCs/>
                <w:sz w:val="24"/>
                <w:szCs w:val="24"/>
                <w:lang w:val="ro-MD"/>
              </w:rPr>
            </w:pPr>
            <w:r w:rsidRPr="002455E7">
              <w:rPr>
                <w:rFonts w:ascii="Times New Roman" w:hAnsi="Times New Roman"/>
                <w:bCs/>
                <w:iCs/>
                <w:sz w:val="24"/>
                <w:szCs w:val="24"/>
                <w:lang w:val="pt-BR"/>
              </w:rPr>
              <w:t xml:space="preserve">Modificarea propusă nu </w:t>
            </w:r>
            <w:r w:rsidR="00FE2B4C" w:rsidRPr="00D26D10">
              <w:rPr>
                <w:rFonts w:ascii="Times New Roman" w:hAnsi="Times New Roman"/>
                <w:bCs/>
                <w:iCs/>
                <w:sz w:val="24"/>
                <w:szCs w:val="24"/>
                <w:lang w:val="ro-MD"/>
              </w:rPr>
              <w:t>poate fi luat</w:t>
            </w:r>
            <w:r w:rsidR="00051D28">
              <w:rPr>
                <w:rFonts w:ascii="Times New Roman" w:hAnsi="Times New Roman"/>
                <w:bCs/>
                <w:iCs/>
                <w:sz w:val="24"/>
                <w:szCs w:val="24"/>
                <w:lang w:val="ro-MD"/>
              </w:rPr>
              <w:t>ă</w:t>
            </w:r>
            <w:r w:rsidR="00FE2B4C" w:rsidRPr="00D26D10">
              <w:rPr>
                <w:rFonts w:ascii="Times New Roman" w:hAnsi="Times New Roman"/>
                <w:bCs/>
                <w:iCs/>
                <w:sz w:val="24"/>
                <w:szCs w:val="24"/>
                <w:lang w:val="ro-MD"/>
              </w:rPr>
              <w:t xml:space="preserve"> în considerare în cadrul exercițiului respectiv de transpunere a Regulamentului în cauză.</w:t>
            </w:r>
          </w:p>
          <w:p w14:paraId="3A55F917" w14:textId="154C4FC4" w:rsidR="0037482E" w:rsidRPr="002455E7" w:rsidRDefault="0037482E" w:rsidP="004239D6">
            <w:pPr>
              <w:tabs>
                <w:tab w:val="left" w:pos="884"/>
                <w:tab w:val="left" w:pos="1196"/>
              </w:tabs>
              <w:spacing w:after="0" w:line="240" w:lineRule="auto"/>
              <w:jc w:val="both"/>
              <w:rPr>
                <w:rFonts w:ascii="Times New Roman" w:hAnsi="Times New Roman"/>
                <w:bCs/>
                <w:iCs/>
                <w:sz w:val="24"/>
                <w:szCs w:val="24"/>
                <w:lang w:val="pt-BR"/>
              </w:rPr>
            </w:pPr>
            <w:r w:rsidRPr="00D26D10">
              <w:rPr>
                <w:rFonts w:ascii="Times New Roman" w:hAnsi="Times New Roman"/>
                <w:bCs/>
                <w:iCs/>
                <w:sz w:val="24"/>
                <w:szCs w:val="24"/>
                <w:lang w:val="ro-MD"/>
              </w:rPr>
              <w:t xml:space="preserve">Precizăm însă că Regulamentul nu </w:t>
            </w:r>
            <w:r w:rsidR="00D96FC6" w:rsidRPr="00D26D10">
              <w:rPr>
                <w:rFonts w:ascii="Times New Roman" w:hAnsi="Times New Roman"/>
                <w:bCs/>
                <w:iCs/>
                <w:sz w:val="24"/>
                <w:szCs w:val="24"/>
                <w:lang w:val="ro-MD"/>
              </w:rPr>
              <w:t>urmărește promovarea unor anumite echipamente în defavoarea acestora, ci mai degrabă, impune producătorii și comercianții să informeze consumatorul final despre performanțele reale ale produselor sale, astfel ca decizia finală de achiziție a unui produs de către client/consumator, să fie una pe cât de</w:t>
            </w:r>
            <w:r w:rsidR="00D450A1" w:rsidRPr="00D26D10">
              <w:rPr>
                <w:rFonts w:ascii="Times New Roman" w:hAnsi="Times New Roman"/>
                <w:bCs/>
                <w:iCs/>
                <w:sz w:val="24"/>
                <w:szCs w:val="24"/>
                <w:lang w:val="ro-MD"/>
              </w:rPr>
              <w:t xml:space="preserve"> bine informată pe cât acest lucru este posibil.</w:t>
            </w:r>
            <w:r w:rsidR="00D450A1" w:rsidRPr="00D26D10">
              <w:rPr>
                <w:rFonts w:ascii="Times New Roman" w:hAnsi="Times New Roman"/>
                <w:bCs/>
                <w:iCs/>
                <w:sz w:val="24"/>
                <w:szCs w:val="24"/>
                <w:lang w:val="ro-MD"/>
              </w:rPr>
              <w:br/>
              <w:t xml:space="preserve">Guvernul Republicii </w:t>
            </w:r>
            <w:proofErr w:type="spellStart"/>
            <w:r w:rsidR="00D450A1" w:rsidRPr="00D26D10">
              <w:rPr>
                <w:rFonts w:ascii="Times New Roman" w:hAnsi="Times New Roman"/>
                <w:bCs/>
                <w:iCs/>
                <w:sz w:val="24"/>
                <w:szCs w:val="24"/>
                <w:lang w:val="ro-MD"/>
              </w:rPr>
              <w:t>Modlova</w:t>
            </w:r>
            <w:proofErr w:type="spellEnd"/>
            <w:r w:rsidR="00D450A1" w:rsidRPr="00D26D10">
              <w:rPr>
                <w:rFonts w:ascii="Times New Roman" w:hAnsi="Times New Roman"/>
                <w:bCs/>
                <w:iCs/>
                <w:sz w:val="24"/>
                <w:szCs w:val="24"/>
                <w:lang w:val="ro-MD"/>
              </w:rPr>
              <w:t xml:space="preserve"> deține alte </w:t>
            </w:r>
            <w:r w:rsidR="00D450A1" w:rsidRPr="00D26D10">
              <w:rPr>
                <w:rFonts w:ascii="Times New Roman" w:hAnsi="Times New Roman"/>
                <w:bCs/>
                <w:iCs/>
                <w:sz w:val="24"/>
                <w:szCs w:val="24"/>
                <w:lang w:val="ro-MD"/>
              </w:rPr>
              <w:lastRenderedPageBreak/>
              <w:t>instrumente</w:t>
            </w:r>
            <w:r w:rsidR="00D26D10" w:rsidRPr="00D26D10">
              <w:rPr>
                <w:rFonts w:ascii="Times New Roman" w:hAnsi="Times New Roman"/>
                <w:bCs/>
                <w:iCs/>
                <w:sz w:val="24"/>
                <w:szCs w:val="24"/>
                <w:lang w:val="ro-MD"/>
              </w:rPr>
              <w:t>, inclusiv de politici,</w:t>
            </w:r>
            <w:r w:rsidR="00D450A1" w:rsidRPr="00D26D10">
              <w:rPr>
                <w:rFonts w:ascii="Times New Roman" w:hAnsi="Times New Roman"/>
                <w:bCs/>
                <w:iCs/>
                <w:sz w:val="24"/>
                <w:szCs w:val="24"/>
                <w:lang w:val="ro-MD"/>
              </w:rPr>
              <w:t xml:space="preserve"> prin care admiterea pe piață, sau mai degrabă încurajarea consumatorilor </w:t>
            </w:r>
            <w:r w:rsidR="00D26D10" w:rsidRPr="00D26D10">
              <w:rPr>
                <w:rFonts w:ascii="Times New Roman" w:hAnsi="Times New Roman"/>
                <w:bCs/>
                <w:iCs/>
                <w:sz w:val="24"/>
                <w:szCs w:val="24"/>
                <w:lang w:val="ro-MD"/>
              </w:rPr>
              <w:t>să opteze pentru produse și soluții sustenabile, poate fi implementată.</w:t>
            </w:r>
          </w:p>
          <w:p w14:paraId="43BB171B" w14:textId="77777777" w:rsidR="008D3191" w:rsidRPr="002455E7" w:rsidRDefault="008D3191" w:rsidP="004239D6">
            <w:pPr>
              <w:tabs>
                <w:tab w:val="left" w:pos="884"/>
                <w:tab w:val="left" w:pos="1196"/>
              </w:tabs>
              <w:spacing w:after="0" w:line="240" w:lineRule="auto"/>
              <w:jc w:val="both"/>
              <w:rPr>
                <w:rFonts w:ascii="Times New Roman" w:hAnsi="Times New Roman"/>
                <w:bCs/>
                <w:iCs/>
                <w:sz w:val="24"/>
                <w:szCs w:val="24"/>
                <w:highlight w:val="yellow"/>
                <w:lang w:val="pt-BR"/>
              </w:rPr>
            </w:pPr>
          </w:p>
          <w:p w14:paraId="689CF82F" w14:textId="77777777" w:rsidR="008D3191" w:rsidRPr="002455E7" w:rsidRDefault="008D3191" w:rsidP="004239D6">
            <w:pPr>
              <w:tabs>
                <w:tab w:val="left" w:pos="884"/>
                <w:tab w:val="left" w:pos="1196"/>
              </w:tabs>
              <w:spacing w:after="0" w:line="240" w:lineRule="auto"/>
              <w:jc w:val="both"/>
              <w:rPr>
                <w:rFonts w:ascii="Times New Roman" w:hAnsi="Times New Roman"/>
                <w:bCs/>
                <w:iCs/>
                <w:sz w:val="24"/>
                <w:szCs w:val="24"/>
                <w:highlight w:val="yellow"/>
                <w:lang w:val="pt-BR"/>
              </w:rPr>
            </w:pPr>
          </w:p>
          <w:p w14:paraId="7472E4D9" w14:textId="77777777" w:rsidR="008D3191" w:rsidRPr="002455E7" w:rsidRDefault="008D3191" w:rsidP="004239D6">
            <w:pPr>
              <w:tabs>
                <w:tab w:val="left" w:pos="884"/>
                <w:tab w:val="left" w:pos="1196"/>
              </w:tabs>
              <w:spacing w:after="0" w:line="240" w:lineRule="auto"/>
              <w:jc w:val="both"/>
              <w:rPr>
                <w:rFonts w:ascii="Times New Roman" w:hAnsi="Times New Roman"/>
                <w:bCs/>
                <w:iCs/>
                <w:sz w:val="24"/>
                <w:szCs w:val="24"/>
                <w:highlight w:val="yellow"/>
                <w:lang w:val="pt-BR"/>
              </w:rPr>
            </w:pPr>
          </w:p>
          <w:p w14:paraId="17DBCBA9" w14:textId="77777777" w:rsidR="008D3191" w:rsidRPr="002455E7" w:rsidRDefault="008D3191" w:rsidP="004239D6">
            <w:pPr>
              <w:tabs>
                <w:tab w:val="left" w:pos="884"/>
                <w:tab w:val="left" w:pos="1196"/>
              </w:tabs>
              <w:spacing w:after="0" w:line="240" w:lineRule="auto"/>
              <w:jc w:val="both"/>
              <w:rPr>
                <w:rFonts w:ascii="Times New Roman" w:hAnsi="Times New Roman"/>
                <w:bCs/>
                <w:iCs/>
                <w:sz w:val="24"/>
                <w:szCs w:val="24"/>
                <w:highlight w:val="yellow"/>
                <w:lang w:val="pt-BR"/>
              </w:rPr>
            </w:pPr>
          </w:p>
          <w:p w14:paraId="1168184B" w14:textId="77777777" w:rsidR="008D3191" w:rsidRPr="002455E7" w:rsidRDefault="008D3191" w:rsidP="004239D6">
            <w:pPr>
              <w:tabs>
                <w:tab w:val="left" w:pos="884"/>
                <w:tab w:val="left" w:pos="1196"/>
              </w:tabs>
              <w:spacing w:after="0" w:line="240" w:lineRule="auto"/>
              <w:jc w:val="both"/>
              <w:rPr>
                <w:rFonts w:ascii="Times New Roman" w:hAnsi="Times New Roman"/>
                <w:bCs/>
                <w:iCs/>
                <w:sz w:val="24"/>
                <w:szCs w:val="24"/>
                <w:highlight w:val="yellow"/>
                <w:lang w:val="pt-BR"/>
              </w:rPr>
            </w:pPr>
          </w:p>
          <w:p w14:paraId="6BC2A054" w14:textId="77777777" w:rsidR="008D3191" w:rsidRPr="002455E7" w:rsidRDefault="008D3191" w:rsidP="004239D6">
            <w:pPr>
              <w:tabs>
                <w:tab w:val="left" w:pos="884"/>
                <w:tab w:val="left" w:pos="1196"/>
              </w:tabs>
              <w:spacing w:after="0" w:line="240" w:lineRule="auto"/>
              <w:jc w:val="both"/>
              <w:rPr>
                <w:rFonts w:ascii="Times New Roman" w:hAnsi="Times New Roman"/>
                <w:bCs/>
                <w:iCs/>
                <w:sz w:val="24"/>
                <w:szCs w:val="24"/>
                <w:highlight w:val="yellow"/>
                <w:lang w:val="pt-BR"/>
              </w:rPr>
            </w:pPr>
          </w:p>
          <w:p w14:paraId="66D37A33" w14:textId="77777777" w:rsidR="008D3191" w:rsidRPr="002455E7" w:rsidRDefault="008D3191" w:rsidP="004239D6">
            <w:pPr>
              <w:tabs>
                <w:tab w:val="left" w:pos="884"/>
                <w:tab w:val="left" w:pos="1196"/>
              </w:tabs>
              <w:spacing w:after="0" w:line="240" w:lineRule="auto"/>
              <w:jc w:val="both"/>
              <w:rPr>
                <w:rFonts w:ascii="Times New Roman" w:hAnsi="Times New Roman"/>
                <w:bCs/>
                <w:iCs/>
                <w:sz w:val="24"/>
                <w:szCs w:val="24"/>
                <w:highlight w:val="yellow"/>
                <w:lang w:val="pt-BR"/>
              </w:rPr>
            </w:pPr>
          </w:p>
          <w:p w14:paraId="61713FE5" w14:textId="77777777" w:rsidR="008D3191" w:rsidRPr="002455E7" w:rsidRDefault="008D3191" w:rsidP="004239D6">
            <w:pPr>
              <w:tabs>
                <w:tab w:val="left" w:pos="884"/>
                <w:tab w:val="left" w:pos="1196"/>
              </w:tabs>
              <w:spacing w:after="0" w:line="240" w:lineRule="auto"/>
              <w:jc w:val="both"/>
              <w:rPr>
                <w:rFonts w:ascii="Times New Roman" w:hAnsi="Times New Roman"/>
                <w:bCs/>
                <w:iCs/>
                <w:sz w:val="24"/>
                <w:szCs w:val="24"/>
                <w:highlight w:val="yellow"/>
                <w:lang w:val="pt-BR"/>
              </w:rPr>
            </w:pPr>
          </w:p>
          <w:p w14:paraId="1AA9B2F3" w14:textId="77777777" w:rsidR="008D3191" w:rsidRPr="002455E7" w:rsidRDefault="008D3191" w:rsidP="004239D6">
            <w:pPr>
              <w:tabs>
                <w:tab w:val="left" w:pos="884"/>
                <w:tab w:val="left" w:pos="1196"/>
              </w:tabs>
              <w:spacing w:after="0" w:line="240" w:lineRule="auto"/>
              <w:jc w:val="both"/>
              <w:rPr>
                <w:rFonts w:ascii="Times New Roman" w:hAnsi="Times New Roman"/>
                <w:bCs/>
                <w:iCs/>
                <w:sz w:val="24"/>
                <w:szCs w:val="24"/>
                <w:highlight w:val="yellow"/>
                <w:lang w:val="pt-BR"/>
              </w:rPr>
            </w:pPr>
          </w:p>
          <w:p w14:paraId="4FB33DB8" w14:textId="77777777" w:rsidR="008D3191" w:rsidRPr="002455E7" w:rsidRDefault="008D3191" w:rsidP="004239D6">
            <w:pPr>
              <w:tabs>
                <w:tab w:val="left" w:pos="884"/>
                <w:tab w:val="left" w:pos="1196"/>
              </w:tabs>
              <w:spacing w:after="0" w:line="240" w:lineRule="auto"/>
              <w:jc w:val="both"/>
              <w:rPr>
                <w:rFonts w:ascii="Times New Roman" w:hAnsi="Times New Roman"/>
                <w:bCs/>
                <w:iCs/>
                <w:sz w:val="24"/>
                <w:szCs w:val="24"/>
                <w:highlight w:val="yellow"/>
                <w:lang w:val="pt-BR"/>
              </w:rPr>
            </w:pPr>
          </w:p>
          <w:p w14:paraId="64E41DC2" w14:textId="77777777" w:rsidR="008D3191" w:rsidRPr="002455E7" w:rsidRDefault="008D3191" w:rsidP="004239D6">
            <w:pPr>
              <w:tabs>
                <w:tab w:val="left" w:pos="884"/>
                <w:tab w:val="left" w:pos="1196"/>
              </w:tabs>
              <w:spacing w:after="0" w:line="240" w:lineRule="auto"/>
              <w:jc w:val="both"/>
              <w:rPr>
                <w:rFonts w:ascii="Times New Roman" w:hAnsi="Times New Roman"/>
                <w:bCs/>
                <w:iCs/>
                <w:sz w:val="24"/>
                <w:szCs w:val="24"/>
                <w:highlight w:val="yellow"/>
                <w:lang w:val="pt-BR"/>
              </w:rPr>
            </w:pPr>
          </w:p>
          <w:p w14:paraId="7B5FF6BA" w14:textId="77777777" w:rsidR="008D3191" w:rsidRPr="002455E7" w:rsidRDefault="008D3191" w:rsidP="004239D6">
            <w:pPr>
              <w:tabs>
                <w:tab w:val="left" w:pos="884"/>
                <w:tab w:val="left" w:pos="1196"/>
              </w:tabs>
              <w:spacing w:after="0" w:line="240" w:lineRule="auto"/>
              <w:jc w:val="both"/>
              <w:rPr>
                <w:rFonts w:ascii="Times New Roman" w:hAnsi="Times New Roman"/>
                <w:bCs/>
                <w:iCs/>
                <w:sz w:val="24"/>
                <w:szCs w:val="24"/>
                <w:highlight w:val="yellow"/>
                <w:lang w:val="pt-BR"/>
              </w:rPr>
            </w:pPr>
          </w:p>
          <w:p w14:paraId="314EA5DD" w14:textId="77777777" w:rsidR="008D3191" w:rsidRPr="002455E7" w:rsidRDefault="008D3191" w:rsidP="004239D6">
            <w:pPr>
              <w:tabs>
                <w:tab w:val="left" w:pos="884"/>
                <w:tab w:val="left" w:pos="1196"/>
              </w:tabs>
              <w:spacing w:after="0" w:line="240" w:lineRule="auto"/>
              <w:jc w:val="both"/>
              <w:rPr>
                <w:rFonts w:ascii="Times New Roman" w:hAnsi="Times New Roman"/>
                <w:bCs/>
                <w:iCs/>
                <w:sz w:val="24"/>
                <w:szCs w:val="24"/>
                <w:highlight w:val="yellow"/>
                <w:lang w:val="pt-BR"/>
              </w:rPr>
            </w:pPr>
          </w:p>
          <w:p w14:paraId="69213F7B" w14:textId="77777777" w:rsidR="00695B1C" w:rsidRPr="0097547B" w:rsidRDefault="00695B1C" w:rsidP="004239D6">
            <w:pPr>
              <w:tabs>
                <w:tab w:val="left" w:pos="884"/>
                <w:tab w:val="left" w:pos="1196"/>
              </w:tabs>
              <w:spacing w:after="0" w:line="240" w:lineRule="auto"/>
              <w:jc w:val="both"/>
              <w:rPr>
                <w:rFonts w:ascii="Times New Roman" w:hAnsi="Times New Roman"/>
                <w:b/>
                <w:bCs/>
                <w:iCs/>
                <w:color w:val="000000" w:themeColor="text1"/>
                <w:sz w:val="24"/>
                <w:szCs w:val="24"/>
                <w:lang w:val="ro-MD"/>
              </w:rPr>
            </w:pPr>
            <w:r w:rsidRPr="0097547B">
              <w:rPr>
                <w:rFonts w:ascii="Times New Roman" w:hAnsi="Times New Roman"/>
                <w:b/>
                <w:bCs/>
                <w:iCs/>
                <w:color w:val="000000" w:themeColor="text1"/>
                <w:sz w:val="24"/>
                <w:szCs w:val="24"/>
                <w:lang w:val="ro-RO"/>
              </w:rPr>
              <w:t>Se accept</w:t>
            </w:r>
            <w:r w:rsidRPr="0097547B">
              <w:rPr>
                <w:rFonts w:ascii="Times New Roman" w:hAnsi="Times New Roman"/>
                <w:b/>
                <w:bCs/>
                <w:iCs/>
                <w:color w:val="000000" w:themeColor="text1"/>
                <w:sz w:val="24"/>
                <w:szCs w:val="24"/>
                <w:lang w:val="ro-MD"/>
              </w:rPr>
              <w:t>ă.</w:t>
            </w:r>
          </w:p>
          <w:p w14:paraId="6075C4BC" w14:textId="1F2BE521" w:rsidR="008D3191" w:rsidRPr="0097547B" w:rsidRDefault="00695B1C" w:rsidP="004239D6">
            <w:pPr>
              <w:tabs>
                <w:tab w:val="left" w:pos="884"/>
                <w:tab w:val="left" w:pos="1196"/>
              </w:tabs>
              <w:spacing w:after="0" w:line="240" w:lineRule="auto"/>
              <w:jc w:val="both"/>
              <w:rPr>
                <w:rFonts w:ascii="Times New Roman" w:hAnsi="Times New Roman"/>
                <w:iCs/>
                <w:color w:val="FF0000"/>
                <w:sz w:val="24"/>
                <w:szCs w:val="24"/>
                <w:highlight w:val="yellow"/>
                <w:lang w:val="ro-MD"/>
              </w:rPr>
            </w:pPr>
            <w:r w:rsidRPr="0097547B">
              <w:rPr>
                <w:rFonts w:ascii="Times New Roman" w:hAnsi="Times New Roman"/>
                <w:iCs/>
                <w:color w:val="000000" w:themeColor="text1"/>
                <w:sz w:val="24"/>
                <w:szCs w:val="24"/>
                <w:lang w:val="ro-MD"/>
              </w:rPr>
              <w:t xml:space="preserve">S-a făcut referire în nota informativă la o creștere </w:t>
            </w:r>
            <w:r w:rsidR="008421DB" w:rsidRPr="0097547B">
              <w:rPr>
                <w:rFonts w:ascii="Times New Roman" w:hAnsi="Times New Roman"/>
                <w:iCs/>
                <w:color w:val="000000" w:themeColor="text1"/>
                <w:sz w:val="24"/>
                <w:szCs w:val="24"/>
                <w:lang w:val="ro-MD"/>
              </w:rPr>
              <w:t xml:space="preserve">ușoară a consumului de energie electrică, a cărei cost este incomensurabil cu beneficiile majore oferite de un sistem de ventilare </w:t>
            </w:r>
            <w:r w:rsidR="0097547B" w:rsidRPr="0097547B">
              <w:rPr>
                <w:rFonts w:ascii="Times New Roman" w:hAnsi="Times New Roman"/>
                <w:iCs/>
                <w:color w:val="000000" w:themeColor="text1"/>
                <w:sz w:val="24"/>
                <w:szCs w:val="24"/>
                <w:lang w:val="ro-MD"/>
              </w:rPr>
              <w:t>instalat într-un edificiu rezidențial.</w:t>
            </w:r>
            <w:r w:rsidRPr="0097547B">
              <w:rPr>
                <w:rFonts w:ascii="Times New Roman" w:hAnsi="Times New Roman"/>
                <w:iCs/>
                <w:color w:val="FF0000"/>
                <w:sz w:val="24"/>
                <w:szCs w:val="24"/>
                <w:highlight w:val="yellow"/>
                <w:lang w:val="ro-MD"/>
              </w:rPr>
              <w:br/>
            </w:r>
          </w:p>
          <w:p w14:paraId="7E3B3204"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111CE232"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540EA44E"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44AA37E3"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0D16F9BA"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03E3D5DF"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7DF0ED2D"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748DE36B"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60D6F9ED"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326824BF"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7301C0EA"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7114C5B2"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72EB4155"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3DFF4F54" w14:textId="31A4816F" w:rsidR="00253BC1" w:rsidRPr="00F66EE6" w:rsidRDefault="00770BDC" w:rsidP="00253BC1">
            <w:pPr>
              <w:tabs>
                <w:tab w:val="left" w:pos="884"/>
                <w:tab w:val="left" w:pos="1196"/>
              </w:tabs>
              <w:spacing w:after="0" w:line="240" w:lineRule="auto"/>
              <w:jc w:val="both"/>
              <w:rPr>
                <w:rFonts w:ascii="Times New Roman" w:hAnsi="Times New Roman"/>
                <w:b/>
                <w:bCs/>
                <w:iCs/>
                <w:sz w:val="24"/>
                <w:szCs w:val="24"/>
                <w:lang w:val="ro-RO"/>
              </w:rPr>
            </w:pPr>
            <w:r w:rsidRPr="00F66EE6">
              <w:rPr>
                <w:rFonts w:ascii="Times New Roman" w:hAnsi="Times New Roman"/>
                <w:b/>
                <w:bCs/>
                <w:iCs/>
                <w:sz w:val="24"/>
                <w:szCs w:val="24"/>
                <w:lang w:val="ro-RO"/>
              </w:rPr>
              <w:t>S</w:t>
            </w:r>
            <w:r w:rsidR="00253BC1" w:rsidRPr="00F66EE6">
              <w:rPr>
                <w:rFonts w:ascii="Times New Roman" w:hAnsi="Times New Roman"/>
                <w:b/>
                <w:bCs/>
                <w:iCs/>
                <w:sz w:val="24"/>
                <w:szCs w:val="24"/>
                <w:lang w:val="ro-RO"/>
              </w:rPr>
              <w:t>e acceptă</w:t>
            </w:r>
            <w:r w:rsidRPr="00F66EE6">
              <w:rPr>
                <w:rFonts w:ascii="Times New Roman" w:hAnsi="Times New Roman"/>
                <w:b/>
                <w:bCs/>
                <w:iCs/>
                <w:sz w:val="24"/>
                <w:szCs w:val="24"/>
                <w:lang w:val="ro-RO"/>
              </w:rPr>
              <w:t xml:space="preserve"> parțial</w:t>
            </w:r>
            <w:r w:rsidR="00253BC1" w:rsidRPr="00F66EE6">
              <w:rPr>
                <w:rFonts w:ascii="Times New Roman" w:hAnsi="Times New Roman"/>
                <w:b/>
                <w:bCs/>
                <w:iCs/>
                <w:sz w:val="24"/>
                <w:szCs w:val="24"/>
                <w:lang w:val="ro-RO"/>
              </w:rPr>
              <w:t xml:space="preserve">. </w:t>
            </w:r>
          </w:p>
          <w:p w14:paraId="483D6AEB" w14:textId="77777777" w:rsidR="00904CF2" w:rsidRPr="00F66EE6" w:rsidRDefault="00253BC1" w:rsidP="00253BC1">
            <w:pPr>
              <w:tabs>
                <w:tab w:val="left" w:pos="884"/>
                <w:tab w:val="left" w:pos="1196"/>
              </w:tabs>
              <w:spacing w:after="0" w:line="240" w:lineRule="auto"/>
              <w:jc w:val="both"/>
              <w:rPr>
                <w:rFonts w:ascii="Times New Roman" w:hAnsi="Times New Roman"/>
                <w:bCs/>
                <w:iCs/>
                <w:sz w:val="24"/>
                <w:szCs w:val="24"/>
                <w:lang w:val="ro-RO"/>
              </w:rPr>
            </w:pPr>
            <w:r w:rsidRPr="00F66EE6">
              <w:rPr>
                <w:rFonts w:ascii="Times New Roman" w:hAnsi="Times New Roman"/>
                <w:bCs/>
                <w:iCs/>
                <w:sz w:val="24"/>
                <w:szCs w:val="24"/>
                <w:lang w:val="ro-RO"/>
              </w:rPr>
              <w:t xml:space="preserve">Prevederile ce țin de </w:t>
            </w:r>
            <w:r w:rsidR="00904CF2" w:rsidRPr="00F66EE6">
              <w:rPr>
                <w:rFonts w:ascii="Times New Roman" w:hAnsi="Times New Roman"/>
                <w:bCs/>
                <w:iCs/>
                <w:sz w:val="24"/>
                <w:szCs w:val="24"/>
                <w:lang w:val="ro-RO"/>
              </w:rPr>
              <w:t xml:space="preserve">obligativitatea părților vizate de Regulament de a publica anumite informații în </w:t>
            </w:r>
            <w:r w:rsidRPr="00F66EE6">
              <w:rPr>
                <w:rFonts w:ascii="Times New Roman" w:hAnsi="Times New Roman"/>
                <w:bCs/>
                <w:iCs/>
                <w:sz w:val="24"/>
                <w:szCs w:val="24"/>
                <w:lang w:val="ro-RO"/>
              </w:rPr>
              <w:t xml:space="preserve">fișa </w:t>
            </w:r>
            <w:r w:rsidR="00946510" w:rsidRPr="00F66EE6">
              <w:rPr>
                <w:rFonts w:ascii="Times New Roman" w:hAnsi="Times New Roman"/>
                <w:bCs/>
                <w:iCs/>
                <w:sz w:val="24"/>
                <w:szCs w:val="24"/>
                <w:lang w:val="ro-RO"/>
              </w:rPr>
              <w:t xml:space="preserve">produsului </w:t>
            </w:r>
            <w:r w:rsidRPr="00F66EE6">
              <w:rPr>
                <w:rFonts w:ascii="Times New Roman" w:hAnsi="Times New Roman"/>
                <w:bCs/>
                <w:iCs/>
                <w:sz w:val="24"/>
                <w:szCs w:val="24"/>
                <w:lang w:val="ro-RO"/>
              </w:rPr>
              <w:t xml:space="preserve">sunt transpuse </w:t>
            </w:r>
            <w:r w:rsidR="00904CF2" w:rsidRPr="00F66EE6">
              <w:rPr>
                <w:rFonts w:ascii="Times New Roman" w:hAnsi="Times New Roman"/>
                <w:bCs/>
                <w:iCs/>
                <w:sz w:val="24"/>
                <w:szCs w:val="24"/>
                <w:lang w:val="ro-RO"/>
              </w:rPr>
              <w:t xml:space="preserve">în strictă conformitate cu </w:t>
            </w:r>
            <w:r w:rsidRPr="00F66EE6">
              <w:rPr>
                <w:rFonts w:ascii="Times New Roman" w:hAnsi="Times New Roman"/>
                <w:bCs/>
                <w:iCs/>
                <w:sz w:val="24"/>
                <w:szCs w:val="24"/>
                <w:lang w:val="ro-RO"/>
              </w:rPr>
              <w:t>Regulamentul UE</w:t>
            </w:r>
            <w:r w:rsidR="00904CF2" w:rsidRPr="00F66EE6">
              <w:rPr>
                <w:rFonts w:ascii="Times New Roman" w:hAnsi="Times New Roman"/>
                <w:bCs/>
                <w:iCs/>
                <w:sz w:val="24"/>
                <w:szCs w:val="24"/>
                <w:lang w:val="ro-RO"/>
              </w:rPr>
              <w:t xml:space="preserve"> relevant (a</w:t>
            </w:r>
            <w:r w:rsidRPr="00F66EE6">
              <w:rPr>
                <w:rFonts w:ascii="Times New Roman" w:hAnsi="Times New Roman"/>
                <w:bCs/>
                <w:iCs/>
                <w:sz w:val="24"/>
                <w:szCs w:val="24"/>
                <w:lang w:val="ro-RO"/>
              </w:rPr>
              <w:t>daptate prin decizia Consiliului Ministerial al Comunității Energetice</w:t>
            </w:r>
            <w:r w:rsidR="00904CF2" w:rsidRPr="00F66EE6">
              <w:rPr>
                <w:rFonts w:ascii="Times New Roman" w:hAnsi="Times New Roman"/>
                <w:bCs/>
                <w:iCs/>
                <w:sz w:val="24"/>
                <w:szCs w:val="24"/>
                <w:lang w:val="ro-RO"/>
              </w:rPr>
              <w:t>)</w:t>
            </w:r>
            <w:r w:rsidRPr="00F66EE6">
              <w:rPr>
                <w:rFonts w:ascii="Times New Roman" w:hAnsi="Times New Roman"/>
                <w:bCs/>
                <w:iCs/>
                <w:sz w:val="24"/>
                <w:szCs w:val="24"/>
                <w:lang w:val="ro-RO"/>
              </w:rPr>
              <w:t>.</w:t>
            </w:r>
            <w:r w:rsidR="00904CF2" w:rsidRPr="00F66EE6">
              <w:rPr>
                <w:rFonts w:ascii="Times New Roman" w:hAnsi="Times New Roman"/>
                <w:bCs/>
                <w:iCs/>
                <w:sz w:val="24"/>
                <w:szCs w:val="24"/>
                <w:lang w:val="ro-RO"/>
              </w:rPr>
              <w:t xml:space="preserve"> </w:t>
            </w:r>
          </w:p>
          <w:p w14:paraId="7CEBBFD6" w14:textId="77777777" w:rsidR="00904CF2" w:rsidRPr="00F66EE6" w:rsidRDefault="00904CF2" w:rsidP="00253BC1">
            <w:pPr>
              <w:tabs>
                <w:tab w:val="left" w:pos="884"/>
                <w:tab w:val="left" w:pos="1196"/>
              </w:tabs>
              <w:spacing w:after="0" w:line="240" w:lineRule="auto"/>
              <w:jc w:val="both"/>
              <w:rPr>
                <w:rFonts w:ascii="Times New Roman" w:hAnsi="Times New Roman"/>
                <w:bCs/>
                <w:iCs/>
                <w:sz w:val="24"/>
                <w:szCs w:val="24"/>
                <w:lang w:val="ro-RO"/>
              </w:rPr>
            </w:pPr>
            <w:r w:rsidRPr="00F66EE6">
              <w:rPr>
                <w:rFonts w:ascii="Times New Roman" w:hAnsi="Times New Roman"/>
                <w:bCs/>
                <w:iCs/>
                <w:sz w:val="24"/>
                <w:szCs w:val="24"/>
                <w:lang w:val="ro-RO"/>
              </w:rPr>
              <w:t>Întrebările formulate în aviza fac obiectul unui demers separat adresat Ministerului sau altor instituții responsabile de implementarea HG nr. 1003/2014.</w:t>
            </w:r>
          </w:p>
          <w:p w14:paraId="228B7C88" w14:textId="0392A8C3" w:rsidR="007E55BF" w:rsidRPr="007E55BF" w:rsidRDefault="007A314B" w:rsidP="007E55BF">
            <w:pPr>
              <w:tabs>
                <w:tab w:val="left" w:pos="884"/>
                <w:tab w:val="left" w:pos="1196"/>
              </w:tabs>
              <w:spacing w:after="0" w:line="240" w:lineRule="auto"/>
              <w:jc w:val="both"/>
              <w:rPr>
                <w:rFonts w:ascii="Times New Roman" w:hAnsi="Times New Roman"/>
                <w:bCs/>
                <w:iCs/>
                <w:sz w:val="24"/>
                <w:szCs w:val="24"/>
                <w:lang w:val="ro-RO"/>
              </w:rPr>
            </w:pPr>
            <w:r w:rsidRPr="00F66EE6">
              <w:rPr>
                <w:rFonts w:ascii="Times New Roman" w:hAnsi="Times New Roman"/>
                <w:bCs/>
                <w:iCs/>
                <w:sz w:val="24"/>
                <w:szCs w:val="24"/>
                <w:lang w:val="ro-RO"/>
              </w:rPr>
              <w:t xml:space="preserve">Cu toate acestea, </w:t>
            </w:r>
            <w:r w:rsidR="005C5FCD" w:rsidRPr="00F66EE6">
              <w:rPr>
                <w:rFonts w:ascii="Times New Roman" w:hAnsi="Times New Roman"/>
                <w:bCs/>
                <w:iCs/>
                <w:sz w:val="24"/>
                <w:szCs w:val="24"/>
                <w:lang w:val="ro-RO"/>
              </w:rPr>
              <w:t>conform</w:t>
            </w:r>
            <w:r w:rsidR="005C5FCD" w:rsidRPr="005C5FCD">
              <w:rPr>
                <w:rFonts w:ascii="Times New Roman" w:hAnsi="Times New Roman"/>
                <w:bCs/>
                <w:iCs/>
                <w:sz w:val="24"/>
                <w:szCs w:val="24"/>
                <w:lang w:val="ro-RO"/>
              </w:rPr>
              <w:t xml:space="preserve"> Regulamentului (UE) 2015/1188</w:t>
            </w:r>
            <w:r w:rsidR="005C5FCD">
              <w:rPr>
                <w:rFonts w:ascii="Times New Roman" w:hAnsi="Times New Roman"/>
                <w:bCs/>
                <w:iCs/>
                <w:sz w:val="24"/>
                <w:szCs w:val="24"/>
                <w:lang w:val="ro-RO"/>
              </w:rPr>
              <w:t xml:space="preserve">, transpus </w:t>
            </w:r>
            <w:r w:rsidR="005C5FCD">
              <w:rPr>
                <w:rFonts w:ascii="Times New Roman" w:hAnsi="Times New Roman"/>
                <w:bCs/>
                <w:iCs/>
                <w:sz w:val="24"/>
                <w:szCs w:val="24"/>
                <w:lang w:val="ro-MD"/>
              </w:rPr>
              <w:t>în legislația națională</w:t>
            </w:r>
            <w:r w:rsidR="005C5FCD" w:rsidRPr="005C5FCD">
              <w:rPr>
                <w:rFonts w:ascii="Times New Roman" w:hAnsi="Times New Roman"/>
                <w:bCs/>
                <w:iCs/>
                <w:sz w:val="24"/>
                <w:szCs w:val="24"/>
                <w:lang w:val="ro-RO"/>
              </w:rPr>
              <w:t xml:space="preserve">, responsabilitatea furnizării fișei produsului pentru aparatele de încălzire locală revine furnizorului care introduce produsul pe piața </w:t>
            </w:r>
            <w:r w:rsidR="005C5FCD">
              <w:rPr>
                <w:rFonts w:ascii="Times New Roman" w:hAnsi="Times New Roman"/>
                <w:bCs/>
                <w:iCs/>
                <w:sz w:val="24"/>
                <w:szCs w:val="24"/>
                <w:lang w:val="ro-RO"/>
              </w:rPr>
              <w:t>Republicii Moldova (sau a UE)</w:t>
            </w:r>
            <w:r w:rsidR="005C5FCD" w:rsidRPr="005C5FCD">
              <w:rPr>
                <w:rFonts w:ascii="Times New Roman" w:hAnsi="Times New Roman"/>
                <w:bCs/>
                <w:iCs/>
                <w:sz w:val="24"/>
                <w:szCs w:val="24"/>
                <w:lang w:val="ro-RO"/>
              </w:rPr>
              <w:t xml:space="preserve">. </w:t>
            </w:r>
            <w:r w:rsidR="007E55BF">
              <w:rPr>
                <w:rFonts w:ascii="Times New Roman" w:hAnsi="Times New Roman"/>
                <w:bCs/>
                <w:iCs/>
                <w:sz w:val="24"/>
                <w:szCs w:val="24"/>
                <w:lang w:val="ro-RO"/>
              </w:rPr>
              <w:t xml:space="preserve">Conform Legii nr. 306/2023 </w:t>
            </w:r>
            <w:r w:rsidR="007E55BF" w:rsidRPr="007E55BF">
              <w:rPr>
                <w:rFonts w:ascii="Times New Roman" w:hAnsi="Times New Roman"/>
                <w:bCs/>
                <w:iCs/>
                <w:sz w:val="24"/>
                <w:szCs w:val="24"/>
                <w:lang w:val="ro-RO"/>
              </w:rPr>
              <w:t>privind etichetarea produselor</w:t>
            </w:r>
            <w:r w:rsidR="007E55BF">
              <w:rPr>
                <w:rFonts w:ascii="Times New Roman" w:hAnsi="Times New Roman"/>
                <w:bCs/>
                <w:iCs/>
                <w:sz w:val="24"/>
                <w:szCs w:val="24"/>
                <w:lang w:val="ro-RO"/>
              </w:rPr>
              <w:t xml:space="preserve">, </w:t>
            </w:r>
            <w:r w:rsidR="007E55BF" w:rsidRPr="009845C3">
              <w:rPr>
                <w:rFonts w:ascii="Times New Roman" w:hAnsi="Times New Roman"/>
                <w:bCs/>
                <w:i/>
                <w:sz w:val="24"/>
                <w:szCs w:val="24"/>
                <w:lang w:val="ro-RO"/>
              </w:rPr>
              <w:t xml:space="preserve">furnizorul este </w:t>
            </w:r>
            <w:r w:rsidR="009845C3" w:rsidRPr="009845C3">
              <w:rPr>
                <w:rFonts w:ascii="Times New Roman" w:hAnsi="Times New Roman"/>
                <w:bCs/>
                <w:i/>
                <w:sz w:val="24"/>
                <w:szCs w:val="24"/>
                <w:lang w:val="ro-RO"/>
              </w:rPr>
              <w:t>producător stabilit în Republica Moldova, reprezentant autorizat al unui producător cu sediul în afara Republicii Moldova sau importator care introduce un produs pe piața Republicii Moldova</w:t>
            </w:r>
            <w:r w:rsidR="009845C3">
              <w:rPr>
                <w:rFonts w:ascii="Times New Roman" w:hAnsi="Times New Roman"/>
                <w:bCs/>
                <w:i/>
                <w:sz w:val="24"/>
                <w:szCs w:val="24"/>
                <w:lang w:val="ro-RO"/>
              </w:rPr>
              <w:t>.</w:t>
            </w:r>
          </w:p>
          <w:p w14:paraId="598E9192" w14:textId="77777777" w:rsidR="005C5FCD" w:rsidRPr="005C5FCD" w:rsidRDefault="005C5FCD" w:rsidP="005C5FCD">
            <w:pPr>
              <w:tabs>
                <w:tab w:val="left" w:pos="884"/>
                <w:tab w:val="left" w:pos="1196"/>
              </w:tabs>
              <w:spacing w:after="0" w:line="240" w:lineRule="auto"/>
              <w:jc w:val="both"/>
              <w:rPr>
                <w:rFonts w:ascii="Times New Roman" w:hAnsi="Times New Roman"/>
                <w:bCs/>
                <w:iCs/>
                <w:sz w:val="24"/>
                <w:szCs w:val="24"/>
                <w:lang w:val="ro-RO"/>
              </w:rPr>
            </w:pPr>
          </w:p>
          <w:p w14:paraId="4D737EE1" w14:textId="0E818C74" w:rsidR="005C5FCD" w:rsidRPr="005C5FCD" w:rsidRDefault="005C5FCD" w:rsidP="005C5FCD">
            <w:pPr>
              <w:tabs>
                <w:tab w:val="left" w:pos="884"/>
                <w:tab w:val="left" w:pos="1196"/>
              </w:tabs>
              <w:spacing w:after="0" w:line="240" w:lineRule="auto"/>
              <w:jc w:val="both"/>
              <w:rPr>
                <w:rFonts w:ascii="Times New Roman" w:hAnsi="Times New Roman"/>
                <w:bCs/>
                <w:iCs/>
                <w:sz w:val="24"/>
                <w:szCs w:val="24"/>
                <w:lang w:val="ro-RO"/>
              </w:rPr>
            </w:pPr>
            <w:r w:rsidRPr="005C5FCD">
              <w:rPr>
                <w:rFonts w:ascii="Times New Roman" w:hAnsi="Times New Roman"/>
                <w:bCs/>
                <w:iCs/>
                <w:sz w:val="24"/>
                <w:szCs w:val="24"/>
                <w:lang w:val="ro-RO"/>
              </w:rPr>
              <w:lastRenderedPageBreak/>
              <w:t xml:space="preserve">În situația în care </w:t>
            </w:r>
            <w:r w:rsidR="009845C3">
              <w:rPr>
                <w:rFonts w:ascii="Times New Roman" w:hAnsi="Times New Roman"/>
                <w:bCs/>
                <w:iCs/>
                <w:sz w:val="24"/>
                <w:szCs w:val="24"/>
                <w:lang w:val="ro-RO"/>
              </w:rPr>
              <w:t xml:space="preserve">producătorul </w:t>
            </w:r>
            <w:r w:rsidRPr="005C5FCD">
              <w:rPr>
                <w:rFonts w:ascii="Times New Roman" w:hAnsi="Times New Roman"/>
                <w:bCs/>
                <w:iCs/>
                <w:sz w:val="24"/>
                <w:szCs w:val="24"/>
                <w:lang w:val="ro-RO"/>
              </w:rPr>
              <w:t>dintr-o țară non-UE</w:t>
            </w:r>
            <w:r w:rsidR="009845C3">
              <w:rPr>
                <w:rFonts w:ascii="Times New Roman" w:hAnsi="Times New Roman"/>
                <w:bCs/>
                <w:iCs/>
                <w:sz w:val="24"/>
                <w:szCs w:val="24"/>
                <w:lang w:val="ro-RO"/>
              </w:rPr>
              <w:t xml:space="preserve"> </w:t>
            </w:r>
            <w:r w:rsidRPr="005C5FCD">
              <w:rPr>
                <w:rFonts w:ascii="Times New Roman" w:hAnsi="Times New Roman"/>
                <w:bCs/>
                <w:iCs/>
                <w:sz w:val="24"/>
                <w:szCs w:val="24"/>
                <w:lang w:val="ro-RO"/>
              </w:rPr>
              <w:t xml:space="preserve"> nu deține certificările sau acreditările necesare pentru a efectua testările conform legislației UE, responsabilitatea asigurării conformității produsului revine importatorului din UE sau Republica Moldova. Acesta trebuie să se asigure că produsul respectă cerințele de</w:t>
            </w:r>
            <w:r w:rsidR="00970064">
              <w:rPr>
                <w:rFonts w:ascii="Times New Roman" w:hAnsi="Times New Roman"/>
                <w:bCs/>
                <w:iCs/>
                <w:sz w:val="24"/>
                <w:szCs w:val="24"/>
                <w:lang w:val="ro-RO"/>
              </w:rPr>
              <w:t xml:space="preserve"> etichetare energetică, dacă este cazul cele de</w:t>
            </w:r>
            <w:r w:rsidRPr="005C5FCD">
              <w:rPr>
                <w:rFonts w:ascii="Times New Roman" w:hAnsi="Times New Roman"/>
                <w:bCs/>
                <w:iCs/>
                <w:sz w:val="24"/>
                <w:szCs w:val="24"/>
                <w:lang w:val="ro-RO"/>
              </w:rPr>
              <w:t xml:space="preserve"> proiectare </w:t>
            </w:r>
            <w:proofErr w:type="spellStart"/>
            <w:r w:rsidRPr="005C5FCD">
              <w:rPr>
                <w:rFonts w:ascii="Times New Roman" w:hAnsi="Times New Roman"/>
                <w:bCs/>
                <w:iCs/>
                <w:sz w:val="24"/>
                <w:szCs w:val="24"/>
                <w:lang w:val="ro-RO"/>
              </w:rPr>
              <w:t>ecologică</w:t>
            </w:r>
            <w:r w:rsidR="00970064">
              <w:rPr>
                <w:rFonts w:ascii="Times New Roman" w:hAnsi="Times New Roman"/>
                <w:bCs/>
                <w:iCs/>
                <w:sz w:val="24"/>
                <w:szCs w:val="24"/>
                <w:lang w:val="ro-RO"/>
              </w:rPr>
              <w:t>m</w:t>
            </w:r>
            <w:proofErr w:type="spellEnd"/>
            <w:r w:rsidR="00970064">
              <w:rPr>
                <w:rFonts w:ascii="Times New Roman" w:hAnsi="Times New Roman"/>
                <w:bCs/>
                <w:iCs/>
                <w:sz w:val="24"/>
                <w:szCs w:val="24"/>
                <w:lang w:val="ro-RO"/>
              </w:rPr>
              <w:t xml:space="preserve"> </w:t>
            </w:r>
            <w:r w:rsidRPr="005C5FCD">
              <w:rPr>
                <w:rFonts w:ascii="Times New Roman" w:hAnsi="Times New Roman"/>
                <w:bCs/>
                <w:iCs/>
                <w:sz w:val="24"/>
                <w:szCs w:val="24"/>
                <w:lang w:val="ro-RO"/>
              </w:rPr>
              <w:t>și că informațiile din fișa produsului sunt corecte și conforme cu legislația în vigoare.</w:t>
            </w:r>
          </w:p>
          <w:p w14:paraId="62D76CB5" w14:textId="77777777" w:rsidR="005C5FCD" w:rsidRPr="005C5FCD" w:rsidRDefault="005C5FCD" w:rsidP="005C5FCD">
            <w:pPr>
              <w:tabs>
                <w:tab w:val="left" w:pos="884"/>
                <w:tab w:val="left" w:pos="1196"/>
              </w:tabs>
              <w:spacing w:after="0" w:line="240" w:lineRule="auto"/>
              <w:jc w:val="both"/>
              <w:rPr>
                <w:rFonts w:ascii="Times New Roman" w:hAnsi="Times New Roman"/>
                <w:bCs/>
                <w:iCs/>
                <w:sz w:val="24"/>
                <w:szCs w:val="24"/>
                <w:lang w:val="ro-RO"/>
              </w:rPr>
            </w:pPr>
          </w:p>
          <w:p w14:paraId="7D7235F7" w14:textId="0CC7C300" w:rsidR="005C5FCD" w:rsidRPr="005C5FCD" w:rsidRDefault="005C5FCD" w:rsidP="005C5FCD">
            <w:pPr>
              <w:tabs>
                <w:tab w:val="left" w:pos="884"/>
                <w:tab w:val="left" w:pos="1196"/>
              </w:tabs>
              <w:spacing w:after="0" w:line="240" w:lineRule="auto"/>
              <w:jc w:val="both"/>
              <w:rPr>
                <w:rFonts w:ascii="Times New Roman" w:hAnsi="Times New Roman"/>
                <w:bCs/>
                <w:iCs/>
                <w:sz w:val="24"/>
                <w:szCs w:val="24"/>
                <w:lang w:val="ro-RO"/>
              </w:rPr>
            </w:pPr>
            <w:r w:rsidRPr="005C5FCD">
              <w:rPr>
                <w:rFonts w:ascii="Times New Roman" w:hAnsi="Times New Roman"/>
                <w:bCs/>
                <w:iCs/>
                <w:sz w:val="24"/>
                <w:szCs w:val="24"/>
                <w:lang w:val="ro-RO"/>
              </w:rPr>
              <w:t xml:space="preserve">Importatorul </w:t>
            </w:r>
            <w:r w:rsidR="00B174FA">
              <w:rPr>
                <w:rFonts w:ascii="Times New Roman" w:hAnsi="Times New Roman"/>
                <w:bCs/>
                <w:iCs/>
                <w:sz w:val="24"/>
                <w:szCs w:val="24"/>
                <w:lang w:val="ro-RO"/>
              </w:rPr>
              <w:t>din Republica Moldova</w:t>
            </w:r>
            <w:r w:rsidRPr="005C5FCD">
              <w:rPr>
                <w:rFonts w:ascii="Times New Roman" w:hAnsi="Times New Roman"/>
                <w:bCs/>
                <w:iCs/>
                <w:sz w:val="24"/>
                <w:szCs w:val="24"/>
                <w:lang w:val="ro-RO"/>
              </w:rPr>
              <w:t xml:space="preserve"> poate, pe cheltuiala proprie, să solicite testarea produsului la un laborator terț acreditat (de exemplu, din UE) pentru a obține date reale și autentice despre produs. </w:t>
            </w:r>
            <w:r w:rsidR="00F23A5D">
              <w:rPr>
                <w:rFonts w:ascii="Times New Roman" w:hAnsi="Times New Roman"/>
                <w:bCs/>
                <w:iCs/>
                <w:sz w:val="24"/>
                <w:szCs w:val="24"/>
                <w:lang w:val="ro-RO"/>
              </w:rPr>
              <w:t xml:space="preserve">Este relevant de precizat aici că respectivele proceduri trebuie să respecte </w:t>
            </w:r>
            <w:proofErr w:type="spellStart"/>
            <w:r w:rsidR="00C92553">
              <w:rPr>
                <w:rFonts w:ascii="Times New Roman" w:hAnsi="Times New Roman"/>
                <w:bCs/>
                <w:iCs/>
                <w:sz w:val="24"/>
                <w:szCs w:val="24"/>
                <w:lang w:val="ro-RO"/>
              </w:rPr>
              <w:t>stnadardele</w:t>
            </w:r>
            <w:proofErr w:type="spellEnd"/>
            <w:r w:rsidR="00C92553">
              <w:rPr>
                <w:rFonts w:ascii="Times New Roman" w:hAnsi="Times New Roman"/>
                <w:bCs/>
                <w:iCs/>
                <w:sz w:val="24"/>
                <w:szCs w:val="24"/>
                <w:lang w:val="ro-RO"/>
              </w:rPr>
              <w:t xml:space="preserve"> armonizate specifice fiecărui tip de produs, în </w:t>
            </w:r>
            <w:proofErr w:type="spellStart"/>
            <w:r w:rsidR="00C92553">
              <w:rPr>
                <w:rFonts w:ascii="Times New Roman" w:hAnsi="Times New Roman"/>
                <w:bCs/>
                <w:iCs/>
                <w:sz w:val="24"/>
                <w:szCs w:val="24"/>
                <w:lang w:val="ro-RO"/>
              </w:rPr>
              <w:t>condițiil</w:t>
            </w:r>
            <w:proofErr w:type="spellEnd"/>
            <w:r w:rsidR="00C92553">
              <w:rPr>
                <w:rFonts w:ascii="Times New Roman" w:hAnsi="Times New Roman"/>
                <w:bCs/>
                <w:iCs/>
                <w:sz w:val="24"/>
                <w:szCs w:val="24"/>
                <w:lang w:val="ro-RO"/>
              </w:rPr>
              <w:t xml:space="preserve"> în care asemenea sunt adoptate.</w:t>
            </w:r>
          </w:p>
          <w:p w14:paraId="218D393F" w14:textId="77777777" w:rsidR="005C5FCD" w:rsidRPr="005C5FCD" w:rsidRDefault="005C5FCD" w:rsidP="005C5FCD">
            <w:pPr>
              <w:tabs>
                <w:tab w:val="left" w:pos="884"/>
                <w:tab w:val="left" w:pos="1196"/>
              </w:tabs>
              <w:spacing w:after="0" w:line="240" w:lineRule="auto"/>
              <w:jc w:val="both"/>
              <w:rPr>
                <w:rFonts w:ascii="Times New Roman" w:hAnsi="Times New Roman"/>
                <w:bCs/>
                <w:iCs/>
                <w:sz w:val="24"/>
                <w:szCs w:val="24"/>
                <w:lang w:val="ro-RO"/>
              </w:rPr>
            </w:pPr>
          </w:p>
          <w:p w14:paraId="41D9EABF" w14:textId="78352902" w:rsidR="005C5FCD" w:rsidRPr="005C5FCD" w:rsidRDefault="005C5FCD" w:rsidP="005C5FCD">
            <w:pPr>
              <w:tabs>
                <w:tab w:val="left" w:pos="884"/>
                <w:tab w:val="left" w:pos="1196"/>
              </w:tabs>
              <w:spacing w:after="0" w:line="240" w:lineRule="auto"/>
              <w:jc w:val="both"/>
              <w:rPr>
                <w:rFonts w:ascii="Times New Roman" w:hAnsi="Times New Roman"/>
                <w:bCs/>
                <w:iCs/>
                <w:sz w:val="24"/>
                <w:szCs w:val="24"/>
                <w:lang w:val="ro-RO"/>
              </w:rPr>
            </w:pPr>
            <w:r w:rsidRPr="005C5FCD">
              <w:rPr>
                <w:rFonts w:ascii="Times New Roman" w:hAnsi="Times New Roman"/>
                <w:bCs/>
                <w:iCs/>
                <w:sz w:val="24"/>
                <w:szCs w:val="24"/>
                <w:lang w:val="ro-RO"/>
              </w:rPr>
              <w:t xml:space="preserve">Este esențial ca importatorul să păstreze documentația tehnică și rapoartele de testare pentru a demonstra conformitatea produsului în cazul unor controale ulterioare. Această abordare asigură respectarea legislației și protejează consumatorii împotriva informațiilor false sau </w:t>
            </w:r>
            <w:r w:rsidR="005850D7">
              <w:rPr>
                <w:rFonts w:ascii="Times New Roman" w:hAnsi="Times New Roman"/>
                <w:bCs/>
                <w:iCs/>
                <w:sz w:val="24"/>
                <w:szCs w:val="24"/>
                <w:lang w:val="ro-RO"/>
              </w:rPr>
              <w:t xml:space="preserve">vădit </w:t>
            </w:r>
            <w:r w:rsidRPr="005C5FCD">
              <w:rPr>
                <w:rFonts w:ascii="Times New Roman" w:hAnsi="Times New Roman"/>
                <w:bCs/>
                <w:iCs/>
                <w:sz w:val="24"/>
                <w:szCs w:val="24"/>
                <w:lang w:val="ro-RO"/>
              </w:rPr>
              <w:t>denaturate.</w:t>
            </w:r>
          </w:p>
          <w:p w14:paraId="712F6687"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58A9C780"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15969FF1" w14:textId="77777777" w:rsidR="00F66EE6" w:rsidRPr="00F66EE6" w:rsidRDefault="00F66EE6" w:rsidP="00F66EE6">
            <w:pPr>
              <w:tabs>
                <w:tab w:val="left" w:pos="884"/>
                <w:tab w:val="left" w:pos="1196"/>
              </w:tabs>
              <w:spacing w:after="0" w:line="240" w:lineRule="auto"/>
              <w:jc w:val="both"/>
              <w:rPr>
                <w:rFonts w:ascii="Times New Roman" w:hAnsi="Times New Roman"/>
                <w:b/>
                <w:bCs/>
                <w:iCs/>
                <w:sz w:val="24"/>
                <w:szCs w:val="24"/>
                <w:lang w:val="ro-RO"/>
              </w:rPr>
            </w:pPr>
            <w:r w:rsidRPr="00F66EE6">
              <w:rPr>
                <w:rFonts w:ascii="Times New Roman" w:hAnsi="Times New Roman"/>
                <w:b/>
                <w:bCs/>
                <w:iCs/>
                <w:sz w:val="24"/>
                <w:szCs w:val="24"/>
                <w:lang w:val="ro-RO"/>
              </w:rPr>
              <w:lastRenderedPageBreak/>
              <w:t xml:space="preserve">Nu se acceptă. </w:t>
            </w:r>
          </w:p>
          <w:p w14:paraId="2EC83815" w14:textId="4A331C92" w:rsidR="00946510" w:rsidRPr="00F66EE6" w:rsidRDefault="00F66EE6" w:rsidP="00F66EE6">
            <w:pPr>
              <w:tabs>
                <w:tab w:val="left" w:pos="884"/>
                <w:tab w:val="left" w:pos="1196"/>
              </w:tabs>
              <w:spacing w:after="0" w:line="240" w:lineRule="auto"/>
              <w:jc w:val="both"/>
              <w:rPr>
                <w:rFonts w:ascii="Times New Roman" w:hAnsi="Times New Roman"/>
                <w:iCs/>
                <w:color w:val="FF0000"/>
                <w:sz w:val="24"/>
                <w:szCs w:val="24"/>
                <w:highlight w:val="yellow"/>
                <w:lang w:val="ro-RO"/>
              </w:rPr>
            </w:pPr>
            <w:r w:rsidRPr="00F66EE6">
              <w:rPr>
                <w:rFonts w:ascii="Times New Roman" w:hAnsi="Times New Roman"/>
                <w:iCs/>
                <w:sz w:val="24"/>
                <w:szCs w:val="24"/>
                <w:lang w:val="ro-RO"/>
              </w:rPr>
              <w:t xml:space="preserve">Deși propunerile sunt binevenite, totuși, prevederile </w:t>
            </w:r>
            <w:r w:rsidR="007A7D2B">
              <w:rPr>
                <w:rFonts w:ascii="Times New Roman" w:hAnsi="Times New Roman"/>
                <w:iCs/>
                <w:sz w:val="24"/>
                <w:szCs w:val="24"/>
                <w:lang w:val="ro-RO"/>
              </w:rPr>
              <w:t xml:space="preserve">stabilite de Regulament, cât și în anexele acestuia, </w:t>
            </w:r>
            <w:r w:rsidRPr="00F66EE6">
              <w:rPr>
                <w:rFonts w:ascii="Times New Roman" w:hAnsi="Times New Roman"/>
                <w:iCs/>
                <w:sz w:val="24"/>
                <w:szCs w:val="24"/>
                <w:lang w:val="ro-RO"/>
              </w:rPr>
              <w:t xml:space="preserve">sunt transpuse astfel încât să </w:t>
            </w:r>
            <w:proofErr w:type="spellStart"/>
            <w:r w:rsidRPr="00F66EE6">
              <w:rPr>
                <w:rFonts w:ascii="Times New Roman" w:hAnsi="Times New Roman"/>
                <w:iCs/>
                <w:sz w:val="24"/>
                <w:szCs w:val="24"/>
                <w:lang w:val="ro-RO"/>
              </w:rPr>
              <w:t>corepundă</w:t>
            </w:r>
            <w:proofErr w:type="spellEnd"/>
            <w:r w:rsidRPr="00F66EE6">
              <w:rPr>
                <w:rFonts w:ascii="Times New Roman" w:hAnsi="Times New Roman"/>
                <w:iCs/>
                <w:sz w:val="24"/>
                <w:szCs w:val="24"/>
                <w:lang w:val="ro-RO"/>
              </w:rPr>
              <w:t xml:space="preserve"> deplin prevederilor Regulamentului UE relevant, iar unde este cazul, cu luarea în considerare a modificărilor adaptate în urma deciziilor Consiliului Ministerial al Comunității Energetice</w:t>
            </w:r>
          </w:p>
          <w:p w14:paraId="2509801F" w14:textId="77777777" w:rsidR="00946510" w:rsidRDefault="00946510"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4231C891"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0BAE16E3"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04C5414C"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660EB68A" w14:textId="77777777" w:rsidR="00253BC1" w:rsidRDefault="00253BC1" w:rsidP="004239D6">
            <w:pPr>
              <w:tabs>
                <w:tab w:val="left" w:pos="884"/>
                <w:tab w:val="left" w:pos="1196"/>
              </w:tabs>
              <w:spacing w:after="0" w:line="240" w:lineRule="auto"/>
              <w:jc w:val="both"/>
              <w:rPr>
                <w:rFonts w:ascii="Times New Roman" w:hAnsi="Times New Roman"/>
                <w:b/>
                <w:bCs/>
                <w:iCs/>
                <w:color w:val="FF0000"/>
                <w:sz w:val="24"/>
                <w:szCs w:val="24"/>
                <w:highlight w:val="yellow"/>
                <w:lang w:val="ro-RO"/>
              </w:rPr>
            </w:pPr>
          </w:p>
          <w:p w14:paraId="197C865A" w14:textId="1E66BA88" w:rsidR="00253BC1" w:rsidRPr="00253BC1" w:rsidRDefault="00253BC1" w:rsidP="004239D6">
            <w:pPr>
              <w:tabs>
                <w:tab w:val="left" w:pos="884"/>
                <w:tab w:val="left" w:pos="1196"/>
              </w:tabs>
              <w:spacing w:after="0" w:line="240" w:lineRule="auto"/>
              <w:jc w:val="both"/>
              <w:rPr>
                <w:rFonts w:ascii="Times New Roman" w:hAnsi="Times New Roman"/>
                <w:b/>
                <w:bCs/>
                <w:iCs/>
                <w:sz w:val="24"/>
                <w:szCs w:val="24"/>
                <w:highlight w:val="yellow"/>
                <w:lang w:val="ro-RO"/>
              </w:rPr>
            </w:pPr>
          </w:p>
        </w:tc>
      </w:tr>
    </w:tbl>
    <w:p w14:paraId="570BF549" w14:textId="77777777" w:rsidR="00241DDE" w:rsidRPr="00DA5230" w:rsidRDefault="00241DDE">
      <w:pPr>
        <w:rPr>
          <w:lang w:val="ro-RO"/>
        </w:rPr>
      </w:pPr>
    </w:p>
    <w:p w14:paraId="00CDD434" w14:textId="77777777" w:rsidR="00CE4A23" w:rsidRPr="00DA5230" w:rsidRDefault="00CE4A23">
      <w:pPr>
        <w:rPr>
          <w:lang w:val="ro-RO"/>
        </w:rPr>
      </w:pPr>
    </w:p>
    <w:sectPr w:rsidR="00CE4A23" w:rsidRPr="00DA5230" w:rsidSect="005677E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C5C"/>
    <w:multiLevelType w:val="hybridMultilevel"/>
    <w:tmpl w:val="432696D6"/>
    <w:lvl w:ilvl="0" w:tplc="95A09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C2C3B"/>
    <w:multiLevelType w:val="hybridMultilevel"/>
    <w:tmpl w:val="8F0E8472"/>
    <w:lvl w:ilvl="0" w:tplc="9F82C0F2">
      <w:start w:val="1"/>
      <w:numFmt w:val="decimal"/>
      <w:lvlText w:val="%1."/>
      <w:lvlJc w:val="left"/>
      <w:pPr>
        <w:ind w:left="525" w:hanging="360"/>
      </w:pPr>
      <w:rPr>
        <w:rFonts w:ascii="Times New Roman" w:hAnsi="Times New Roman" w:hint="default"/>
        <w:b/>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2" w15:restartNumberingAfterBreak="0">
    <w:nsid w:val="0AA053CE"/>
    <w:multiLevelType w:val="hybridMultilevel"/>
    <w:tmpl w:val="24346974"/>
    <w:lvl w:ilvl="0" w:tplc="D2F80E90">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 w15:restartNumberingAfterBreak="0">
    <w:nsid w:val="0E935062"/>
    <w:multiLevelType w:val="hybridMultilevel"/>
    <w:tmpl w:val="9EA005BE"/>
    <w:lvl w:ilvl="0" w:tplc="A0BCDC8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 w15:restartNumberingAfterBreak="0">
    <w:nsid w:val="11DB2281"/>
    <w:multiLevelType w:val="hybridMultilevel"/>
    <w:tmpl w:val="AAE0CB5A"/>
    <w:lvl w:ilvl="0" w:tplc="D8A619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508E1"/>
    <w:multiLevelType w:val="hybridMultilevel"/>
    <w:tmpl w:val="3FFE3D96"/>
    <w:lvl w:ilvl="0" w:tplc="2C04F672">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19BD2525"/>
    <w:multiLevelType w:val="hybridMultilevel"/>
    <w:tmpl w:val="B002CED8"/>
    <w:lvl w:ilvl="0" w:tplc="BD70E256">
      <w:start w:val="1"/>
      <w:numFmt w:val="decimal"/>
      <w:lvlText w:val="%1."/>
      <w:lvlJc w:val="left"/>
      <w:pPr>
        <w:ind w:left="525" w:hanging="360"/>
      </w:pPr>
      <w:rPr>
        <w:rFonts w:hint="default"/>
        <w:i w:val="0"/>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7" w15:restartNumberingAfterBreak="0">
    <w:nsid w:val="21200021"/>
    <w:multiLevelType w:val="hybridMultilevel"/>
    <w:tmpl w:val="C1F0CB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27A60"/>
    <w:multiLevelType w:val="hybridMultilevel"/>
    <w:tmpl w:val="F2345826"/>
    <w:lvl w:ilvl="0" w:tplc="5EDA27A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3FE03788"/>
    <w:multiLevelType w:val="hybridMultilevel"/>
    <w:tmpl w:val="D0AC0BBE"/>
    <w:lvl w:ilvl="0" w:tplc="BCE0984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A272F"/>
    <w:multiLevelType w:val="hybridMultilevel"/>
    <w:tmpl w:val="155C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D18A9"/>
    <w:multiLevelType w:val="hybridMultilevel"/>
    <w:tmpl w:val="CD84CD7C"/>
    <w:lvl w:ilvl="0" w:tplc="38EC42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F410D"/>
    <w:multiLevelType w:val="hybridMultilevel"/>
    <w:tmpl w:val="813426D8"/>
    <w:lvl w:ilvl="0" w:tplc="B296C290">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15:restartNumberingAfterBreak="0">
    <w:nsid w:val="63BA241F"/>
    <w:multiLevelType w:val="hybridMultilevel"/>
    <w:tmpl w:val="BD888CDE"/>
    <w:lvl w:ilvl="0" w:tplc="9EE684B6">
      <w:start w:val="1"/>
      <w:numFmt w:val="lowerLetter"/>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4" w15:restartNumberingAfterBreak="0">
    <w:nsid w:val="67E63DA9"/>
    <w:multiLevelType w:val="hybridMultilevel"/>
    <w:tmpl w:val="B1BE359C"/>
    <w:lvl w:ilvl="0" w:tplc="06FA1D3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C6180"/>
    <w:multiLevelType w:val="hybridMultilevel"/>
    <w:tmpl w:val="85DCCD1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71841B86"/>
    <w:multiLevelType w:val="hybridMultilevel"/>
    <w:tmpl w:val="E4BA45F8"/>
    <w:lvl w:ilvl="0" w:tplc="5BCC1D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6A0204"/>
    <w:multiLevelType w:val="hybridMultilevel"/>
    <w:tmpl w:val="31E0C082"/>
    <w:lvl w:ilvl="0" w:tplc="86D8B4D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8" w15:restartNumberingAfterBreak="0">
    <w:nsid w:val="78A657BA"/>
    <w:multiLevelType w:val="hybridMultilevel"/>
    <w:tmpl w:val="A5F05322"/>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7B0A7B49"/>
    <w:multiLevelType w:val="hybridMultilevel"/>
    <w:tmpl w:val="B16280F8"/>
    <w:lvl w:ilvl="0" w:tplc="E3CE1772">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0" w15:restartNumberingAfterBreak="0">
    <w:nsid w:val="7F4E3069"/>
    <w:multiLevelType w:val="hybridMultilevel"/>
    <w:tmpl w:val="6D26DFDA"/>
    <w:lvl w:ilvl="0" w:tplc="956A7CCE">
      <w:start w:val="1"/>
      <w:numFmt w:val="lowerLetter"/>
      <w:lvlText w:val="%1)"/>
      <w:lvlJc w:val="left"/>
      <w:pPr>
        <w:ind w:left="36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549221137">
    <w:abstractNumId w:val="15"/>
  </w:num>
  <w:num w:numId="2" w16cid:durableId="1760637924">
    <w:abstractNumId w:val="4"/>
  </w:num>
  <w:num w:numId="3" w16cid:durableId="2010598582">
    <w:abstractNumId w:val="11"/>
  </w:num>
  <w:num w:numId="4" w16cid:durableId="1135373173">
    <w:abstractNumId w:val="0"/>
  </w:num>
  <w:num w:numId="5" w16cid:durableId="764690611">
    <w:abstractNumId w:val="9"/>
  </w:num>
  <w:num w:numId="6" w16cid:durableId="262499782">
    <w:abstractNumId w:val="10"/>
  </w:num>
  <w:num w:numId="7" w16cid:durableId="1249390339">
    <w:abstractNumId w:val="6"/>
  </w:num>
  <w:num w:numId="8" w16cid:durableId="223876594">
    <w:abstractNumId w:val="1"/>
  </w:num>
  <w:num w:numId="9" w16cid:durableId="1489324537">
    <w:abstractNumId w:val="16"/>
  </w:num>
  <w:num w:numId="10" w16cid:durableId="998534739">
    <w:abstractNumId w:val="5"/>
  </w:num>
  <w:num w:numId="11" w16cid:durableId="681516024">
    <w:abstractNumId w:val="19"/>
  </w:num>
  <w:num w:numId="12" w16cid:durableId="2102070068">
    <w:abstractNumId w:val="13"/>
  </w:num>
  <w:num w:numId="13" w16cid:durableId="631907954">
    <w:abstractNumId w:val="20"/>
  </w:num>
  <w:num w:numId="14" w16cid:durableId="1721393223">
    <w:abstractNumId w:val="8"/>
  </w:num>
  <w:num w:numId="15" w16cid:durableId="985088225">
    <w:abstractNumId w:val="2"/>
  </w:num>
  <w:num w:numId="16" w16cid:durableId="2076312874">
    <w:abstractNumId w:val="12"/>
  </w:num>
  <w:num w:numId="17" w16cid:durableId="1415660280">
    <w:abstractNumId w:val="7"/>
  </w:num>
  <w:num w:numId="18" w16cid:durableId="432670549">
    <w:abstractNumId w:val="3"/>
  </w:num>
  <w:num w:numId="19" w16cid:durableId="1183738550">
    <w:abstractNumId w:val="17"/>
  </w:num>
  <w:num w:numId="20" w16cid:durableId="719128912">
    <w:abstractNumId w:val="14"/>
  </w:num>
  <w:num w:numId="21" w16cid:durableId="6172974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21"/>
    <w:rsid w:val="00001C42"/>
    <w:rsid w:val="00002339"/>
    <w:rsid w:val="000023D0"/>
    <w:rsid w:val="0000374E"/>
    <w:rsid w:val="00005577"/>
    <w:rsid w:val="00006A47"/>
    <w:rsid w:val="00006D57"/>
    <w:rsid w:val="00007A09"/>
    <w:rsid w:val="00007C72"/>
    <w:rsid w:val="0001069F"/>
    <w:rsid w:val="00010CB5"/>
    <w:rsid w:val="00010EC8"/>
    <w:rsid w:val="00014D0F"/>
    <w:rsid w:val="000151A2"/>
    <w:rsid w:val="00016419"/>
    <w:rsid w:val="00016B38"/>
    <w:rsid w:val="00016C0F"/>
    <w:rsid w:val="00017EB8"/>
    <w:rsid w:val="000223F4"/>
    <w:rsid w:val="00022923"/>
    <w:rsid w:val="00022AFB"/>
    <w:rsid w:val="00025CE6"/>
    <w:rsid w:val="0002785E"/>
    <w:rsid w:val="00032E4D"/>
    <w:rsid w:val="00033AC0"/>
    <w:rsid w:val="00033BEC"/>
    <w:rsid w:val="0003417D"/>
    <w:rsid w:val="00034D8C"/>
    <w:rsid w:val="00036C89"/>
    <w:rsid w:val="000375E5"/>
    <w:rsid w:val="000376AE"/>
    <w:rsid w:val="00040372"/>
    <w:rsid w:val="00040607"/>
    <w:rsid w:val="000441FA"/>
    <w:rsid w:val="000449C4"/>
    <w:rsid w:val="000451E5"/>
    <w:rsid w:val="000471DE"/>
    <w:rsid w:val="00047481"/>
    <w:rsid w:val="00047CE0"/>
    <w:rsid w:val="00051232"/>
    <w:rsid w:val="00051D28"/>
    <w:rsid w:val="00054E5B"/>
    <w:rsid w:val="00055E7C"/>
    <w:rsid w:val="000563EA"/>
    <w:rsid w:val="00056B63"/>
    <w:rsid w:val="00057732"/>
    <w:rsid w:val="0006100C"/>
    <w:rsid w:val="000618B0"/>
    <w:rsid w:val="00061D59"/>
    <w:rsid w:val="00061EBD"/>
    <w:rsid w:val="00062C3F"/>
    <w:rsid w:val="0006503F"/>
    <w:rsid w:val="00065B7F"/>
    <w:rsid w:val="00065F62"/>
    <w:rsid w:val="00066480"/>
    <w:rsid w:val="000664E1"/>
    <w:rsid w:val="00067AB8"/>
    <w:rsid w:val="000710F3"/>
    <w:rsid w:val="000712D0"/>
    <w:rsid w:val="000740B5"/>
    <w:rsid w:val="00075147"/>
    <w:rsid w:val="00075C4E"/>
    <w:rsid w:val="00080914"/>
    <w:rsid w:val="00081236"/>
    <w:rsid w:val="000812E8"/>
    <w:rsid w:val="00083BEF"/>
    <w:rsid w:val="00083C84"/>
    <w:rsid w:val="000855FD"/>
    <w:rsid w:val="00085D9F"/>
    <w:rsid w:val="0008622F"/>
    <w:rsid w:val="000863A0"/>
    <w:rsid w:val="00087550"/>
    <w:rsid w:val="00090157"/>
    <w:rsid w:val="000901FC"/>
    <w:rsid w:val="00091A40"/>
    <w:rsid w:val="000932BD"/>
    <w:rsid w:val="0009358F"/>
    <w:rsid w:val="0009645E"/>
    <w:rsid w:val="00097609"/>
    <w:rsid w:val="000A17A1"/>
    <w:rsid w:val="000A1932"/>
    <w:rsid w:val="000A1A85"/>
    <w:rsid w:val="000A218A"/>
    <w:rsid w:val="000A4B77"/>
    <w:rsid w:val="000A53C1"/>
    <w:rsid w:val="000A6967"/>
    <w:rsid w:val="000B1329"/>
    <w:rsid w:val="000B17B9"/>
    <w:rsid w:val="000B17BF"/>
    <w:rsid w:val="000B189D"/>
    <w:rsid w:val="000B2C81"/>
    <w:rsid w:val="000B2EF1"/>
    <w:rsid w:val="000B35EB"/>
    <w:rsid w:val="000B54CB"/>
    <w:rsid w:val="000B7277"/>
    <w:rsid w:val="000B7881"/>
    <w:rsid w:val="000B7E30"/>
    <w:rsid w:val="000C15EA"/>
    <w:rsid w:val="000C232D"/>
    <w:rsid w:val="000C2B40"/>
    <w:rsid w:val="000C7CC4"/>
    <w:rsid w:val="000D1520"/>
    <w:rsid w:val="000D2698"/>
    <w:rsid w:val="000D36E3"/>
    <w:rsid w:val="000D45A2"/>
    <w:rsid w:val="000D4D60"/>
    <w:rsid w:val="000D5252"/>
    <w:rsid w:val="000D5836"/>
    <w:rsid w:val="000D67BC"/>
    <w:rsid w:val="000D6F54"/>
    <w:rsid w:val="000D7260"/>
    <w:rsid w:val="000D7976"/>
    <w:rsid w:val="000E261A"/>
    <w:rsid w:val="000E2E0D"/>
    <w:rsid w:val="000E4FD3"/>
    <w:rsid w:val="000E599D"/>
    <w:rsid w:val="000E5C91"/>
    <w:rsid w:val="000E7553"/>
    <w:rsid w:val="000F0197"/>
    <w:rsid w:val="000F06EC"/>
    <w:rsid w:val="000F633B"/>
    <w:rsid w:val="00102D46"/>
    <w:rsid w:val="0010405F"/>
    <w:rsid w:val="00105E1C"/>
    <w:rsid w:val="00106CDD"/>
    <w:rsid w:val="00106D15"/>
    <w:rsid w:val="0011037E"/>
    <w:rsid w:val="00111EAA"/>
    <w:rsid w:val="00112088"/>
    <w:rsid w:val="001143D4"/>
    <w:rsid w:val="001147B6"/>
    <w:rsid w:val="00123338"/>
    <w:rsid w:val="00127719"/>
    <w:rsid w:val="00127BB0"/>
    <w:rsid w:val="00130025"/>
    <w:rsid w:val="001319A5"/>
    <w:rsid w:val="001321F6"/>
    <w:rsid w:val="00132B79"/>
    <w:rsid w:val="0013366B"/>
    <w:rsid w:val="001353CC"/>
    <w:rsid w:val="00135644"/>
    <w:rsid w:val="00137974"/>
    <w:rsid w:val="00140E5A"/>
    <w:rsid w:val="00141B6B"/>
    <w:rsid w:val="00143C9E"/>
    <w:rsid w:val="001466CB"/>
    <w:rsid w:val="00146975"/>
    <w:rsid w:val="00147966"/>
    <w:rsid w:val="001507EC"/>
    <w:rsid w:val="00152C2E"/>
    <w:rsid w:val="00153CEE"/>
    <w:rsid w:val="00154AD9"/>
    <w:rsid w:val="0015567F"/>
    <w:rsid w:val="0016128B"/>
    <w:rsid w:val="00162FEB"/>
    <w:rsid w:val="0016345A"/>
    <w:rsid w:val="00164E6D"/>
    <w:rsid w:val="00165F0A"/>
    <w:rsid w:val="00167069"/>
    <w:rsid w:val="0016753E"/>
    <w:rsid w:val="001714CE"/>
    <w:rsid w:val="00171E40"/>
    <w:rsid w:val="00172E1F"/>
    <w:rsid w:val="0017434B"/>
    <w:rsid w:val="00174380"/>
    <w:rsid w:val="00174DBE"/>
    <w:rsid w:val="00177451"/>
    <w:rsid w:val="001777A2"/>
    <w:rsid w:val="001804BB"/>
    <w:rsid w:val="00180B4F"/>
    <w:rsid w:val="00181FFA"/>
    <w:rsid w:val="0018606E"/>
    <w:rsid w:val="00187924"/>
    <w:rsid w:val="00187A9B"/>
    <w:rsid w:val="00187DB3"/>
    <w:rsid w:val="001911A4"/>
    <w:rsid w:val="00191DFA"/>
    <w:rsid w:val="001930C8"/>
    <w:rsid w:val="00193B27"/>
    <w:rsid w:val="00195215"/>
    <w:rsid w:val="00195F20"/>
    <w:rsid w:val="00195F4D"/>
    <w:rsid w:val="001971DC"/>
    <w:rsid w:val="001A164C"/>
    <w:rsid w:val="001A1E60"/>
    <w:rsid w:val="001A4B40"/>
    <w:rsid w:val="001A542E"/>
    <w:rsid w:val="001A5886"/>
    <w:rsid w:val="001A6B17"/>
    <w:rsid w:val="001A6B5B"/>
    <w:rsid w:val="001A7335"/>
    <w:rsid w:val="001A7A96"/>
    <w:rsid w:val="001B0FF4"/>
    <w:rsid w:val="001B300B"/>
    <w:rsid w:val="001B330F"/>
    <w:rsid w:val="001B4366"/>
    <w:rsid w:val="001B54BC"/>
    <w:rsid w:val="001B550D"/>
    <w:rsid w:val="001B5940"/>
    <w:rsid w:val="001B6376"/>
    <w:rsid w:val="001B6832"/>
    <w:rsid w:val="001B6846"/>
    <w:rsid w:val="001C1CC9"/>
    <w:rsid w:val="001C27EC"/>
    <w:rsid w:val="001C34F6"/>
    <w:rsid w:val="001C3774"/>
    <w:rsid w:val="001C37FF"/>
    <w:rsid w:val="001C430D"/>
    <w:rsid w:val="001C59AA"/>
    <w:rsid w:val="001C61D3"/>
    <w:rsid w:val="001C6435"/>
    <w:rsid w:val="001C6912"/>
    <w:rsid w:val="001C6F14"/>
    <w:rsid w:val="001C7F91"/>
    <w:rsid w:val="001D00C4"/>
    <w:rsid w:val="001D18F1"/>
    <w:rsid w:val="001D3E51"/>
    <w:rsid w:val="001D5728"/>
    <w:rsid w:val="001D5AC2"/>
    <w:rsid w:val="001D5FE3"/>
    <w:rsid w:val="001D7277"/>
    <w:rsid w:val="001E22AA"/>
    <w:rsid w:val="001E5A53"/>
    <w:rsid w:val="001F005C"/>
    <w:rsid w:val="001F00E9"/>
    <w:rsid w:val="001F2111"/>
    <w:rsid w:val="001F21A3"/>
    <w:rsid w:val="001F3272"/>
    <w:rsid w:val="001F67D9"/>
    <w:rsid w:val="001F7B6E"/>
    <w:rsid w:val="001F7E90"/>
    <w:rsid w:val="002004BC"/>
    <w:rsid w:val="00201AFF"/>
    <w:rsid w:val="00203324"/>
    <w:rsid w:val="00203360"/>
    <w:rsid w:val="00204A79"/>
    <w:rsid w:val="00205913"/>
    <w:rsid w:val="00206ACE"/>
    <w:rsid w:val="00207F15"/>
    <w:rsid w:val="002100A3"/>
    <w:rsid w:val="00210703"/>
    <w:rsid w:val="002114C5"/>
    <w:rsid w:val="00211529"/>
    <w:rsid w:val="002115FC"/>
    <w:rsid w:val="00213CC0"/>
    <w:rsid w:val="00215762"/>
    <w:rsid w:val="002167FF"/>
    <w:rsid w:val="00216F01"/>
    <w:rsid w:val="0021716C"/>
    <w:rsid w:val="0021735B"/>
    <w:rsid w:val="0021763E"/>
    <w:rsid w:val="00217F77"/>
    <w:rsid w:val="00221320"/>
    <w:rsid w:val="00221765"/>
    <w:rsid w:val="00221FC9"/>
    <w:rsid w:val="00223678"/>
    <w:rsid w:val="00223B2F"/>
    <w:rsid w:val="002247A6"/>
    <w:rsid w:val="002324C7"/>
    <w:rsid w:val="00233310"/>
    <w:rsid w:val="0023431F"/>
    <w:rsid w:val="00234CF7"/>
    <w:rsid w:val="002376B3"/>
    <w:rsid w:val="0023774C"/>
    <w:rsid w:val="002412A8"/>
    <w:rsid w:val="00241CA9"/>
    <w:rsid w:val="00241DBE"/>
    <w:rsid w:val="00241DDE"/>
    <w:rsid w:val="00242F79"/>
    <w:rsid w:val="002455E7"/>
    <w:rsid w:val="002458E2"/>
    <w:rsid w:val="00247478"/>
    <w:rsid w:val="0024766F"/>
    <w:rsid w:val="002478B4"/>
    <w:rsid w:val="00250C8F"/>
    <w:rsid w:val="00253BC1"/>
    <w:rsid w:val="002543FD"/>
    <w:rsid w:val="00255FEF"/>
    <w:rsid w:val="00256B74"/>
    <w:rsid w:val="0026029D"/>
    <w:rsid w:val="0026125B"/>
    <w:rsid w:val="00263F5E"/>
    <w:rsid w:val="00264975"/>
    <w:rsid w:val="00265013"/>
    <w:rsid w:val="00266404"/>
    <w:rsid w:val="002674EF"/>
    <w:rsid w:val="00267C3A"/>
    <w:rsid w:val="00267CC0"/>
    <w:rsid w:val="00267EFB"/>
    <w:rsid w:val="00270580"/>
    <w:rsid w:val="00271943"/>
    <w:rsid w:val="00271B57"/>
    <w:rsid w:val="00273539"/>
    <w:rsid w:val="002739AD"/>
    <w:rsid w:val="002754AA"/>
    <w:rsid w:val="00275F2A"/>
    <w:rsid w:val="002765C1"/>
    <w:rsid w:val="0027727B"/>
    <w:rsid w:val="00280676"/>
    <w:rsid w:val="0028328A"/>
    <w:rsid w:val="0028391A"/>
    <w:rsid w:val="00283C7B"/>
    <w:rsid w:val="00285036"/>
    <w:rsid w:val="00285564"/>
    <w:rsid w:val="00285BD6"/>
    <w:rsid w:val="00287FD9"/>
    <w:rsid w:val="00290837"/>
    <w:rsid w:val="00291449"/>
    <w:rsid w:val="00291BF7"/>
    <w:rsid w:val="00292B6E"/>
    <w:rsid w:val="00295539"/>
    <w:rsid w:val="00295B2A"/>
    <w:rsid w:val="00297872"/>
    <w:rsid w:val="0029795A"/>
    <w:rsid w:val="00297AF9"/>
    <w:rsid w:val="002A430F"/>
    <w:rsid w:val="002A434B"/>
    <w:rsid w:val="002A560C"/>
    <w:rsid w:val="002A6220"/>
    <w:rsid w:val="002B0642"/>
    <w:rsid w:val="002B228F"/>
    <w:rsid w:val="002B2BF3"/>
    <w:rsid w:val="002B569B"/>
    <w:rsid w:val="002B67F5"/>
    <w:rsid w:val="002B70A4"/>
    <w:rsid w:val="002C0810"/>
    <w:rsid w:val="002C0A2D"/>
    <w:rsid w:val="002C1022"/>
    <w:rsid w:val="002C2674"/>
    <w:rsid w:val="002C31EF"/>
    <w:rsid w:val="002C3B43"/>
    <w:rsid w:val="002C5E44"/>
    <w:rsid w:val="002C629F"/>
    <w:rsid w:val="002C6F85"/>
    <w:rsid w:val="002C75F2"/>
    <w:rsid w:val="002C7E97"/>
    <w:rsid w:val="002D089D"/>
    <w:rsid w:val="002D0C3A"/>
    <w:rsid w:val="002D2E70"/>
    <w:rsid w:val="002D30A7"/>
    <w:rsid w:val="002D3296"/>
    <w:rsid w:val="002D3DAF"/>
    <w:rsid w:val="002D522F"/>
    <w:rsid w:val="002D614B"/>
    <w:rsid w:val="002D6A6C"/>
    <w:rsid w:val="002E2828"/>
    <w:rsid w:val="002E2D3C"/>
    <w:rsid w:val="002F019A"/>
    <w:rsid w:val="002F1A10"/>
    <w:rsid w:val="002F2311"/>
    <w:rsid w:val="002F26C3"/>
    <w:rsid w:val="002F4B8E"/>
    <w:rsid w:val="002F603A"/>
    <w:rsid w:val="002F6E81"/>
    <w:rsid w:val="002F7C9E"/>
    <w:rsid w:val="00301833"/>
    <w:rsid w:val="00301D56"/>
    <w:rsid w:val="00301DF6"/>
    <w:rsid w:val="00302BCB"/>
    <w:rsid w:val="003038A2"/>
    <w:rsid w:val="003069A3"/>
    <w:rsid w:val="00310A27"/>
    <w:rsid w:val="0031102D"/>
    <w:rsid w:val="00311511"/>
    <w:rsid w:val="003116A5"/>
    <w:rsid w:val="00315100"/>
    <w:rsid w:val="003153BF"/>
    <w:rsid w:val="003154DE"/>
    <w:rsid w:val="00315F24"/>
    <w:rsid w:val="003163B4"/>
    <w:rsid w:val="0031737C"/>
    <w:rsid w:val="003178A0"/>
    <w:rsid w:val="00320522"/>
    <w:rsid w:val="003207E1"/>
    <w:rsid w:val="00321182"/>
    <w:rsid w:val="00323930"/>
    <w:rsid w:val="003240E2"/>
    <w:rsid w:val="00327D9C"/>
    <w:rsid w:val="00330D32"/>
    <w:rsid w:val="003310FE"/>
    <w:rsid w:val="00334D5D"/>
    <w:rsid w:val="00336C04"/>
    <w:rsid w:val="00337FEA"/>
    <w:rsid w:val="00340D37"/>
    <w:rsid w:val="00341718"/>
    <w:rsid w:val="00343D7F"/>
    <w:rsid w:val="003442D4"/>
    <w:rsid w:val="003454B9"/>
    <w:rsid w:val="003454EA"/>
    <w:rsid w:val="00346BFC"/>
    <w:rsid w:val="003504FF"/>
    <w:rsid w:val="00354F24"/>
    <w:rsid w:val="003556C9"/>
    <w:rsid w:val="00360A7B"/>
    <w:rsid w:val="003614DA"/>
    <w:rsid w:val="003617DF"/>
    <w:rsid w:val="00363CCE"/>
    <w:rsid w:val="00363FD3"/>
    <w:rsid w:val="00364BD1"/>
    <w:rsid w:val="00365322"/>
    <w:rsid w:val="003656D8"/>
    <w:rsid w:val="00366544"/>
    <w:rsid w:val="003671F1"/>
    <w:rsid w:val="00367954"/>
    <w:rsid w:val="00367EA1"/>
    <w:rsid w:val="00370DA1"/>
    <w:rsid w:val="003727AC"/>
    <w:rsid w:val="00374573"/>
    <w:rsid w:val="003745D7"/>
    <w:rsid w:val="0037482E"/>
    <w:rsid w:val="00374B19"/>
    <w:rsid w:val="00383732"/>
    <w:rsid w:val="00383AD5"/>
    <w:rsid w:val="00383FE0"/>
    <w:rsid w:val="003842DC"/>
    <w:rsid w:val="0038457D"/>
    <w:rsid w:val="003849B8"/>
    <w:rsid w:val="00384E19"/>
    <w:rsid w:val="003853C1"/>
    <w:rsid w:val="00385E98"/>
    <w:rsid w:val="00386B07"/>
    <w:rsid w:val="00386E9A"/>
    <w:rsid w:val="003909AA"/>
    <w:rsid w:val="00390BDE"/>
    <w:rsid w:val="00392BAC"/>
    <w:rsid w:val="00392DA1"/>
    <w:rsid w:val="003938F9"/>
    <w:rsid w:val="00394BCB"/>
    <w:rsid w:val="00395AEB"/>
    <w:rsid w:val="0039623A"/>
    <w:rsid w:val="003A0215"/>
    <w:rsid w:val="003A05AB"/>
    <w:rsid w:val="003A2340"/>
    <w:rsid w:val="003A32E9"/>
    <w:rsid w:val="003A6DD2"/>
    <w:rsid w:val="003A7C30"/>
    <w:rsid w:val="003B035B"/>
    <w:rsid w:val="003B067D"/>
    <w:rsid w:val="003B0723"/>
    <w:rsid w:val="003B0D8A"/>
    <w:rsid w:val="003B1B0D"/>
    <w:rsid w:val="003B1B75"/>
    <w:rsid w:val="003B315B"/>
    <w:rsid w:val="003B6399"/>
    <w:rsid w:val="003B7460"/>
    <w:rsid w:val="003C0CF2"/>
    <w:rsid w:val="003C1F53"/>
    <w:rsid w:val="003C4019"/>
    <w:rsid w:val="003C4BD7"/>
    <w:rsid w:val="003C51FA"/>
    <w:rsid w:val="003C546B"/>
    <w:rsid w:val="003C65EF"/>
    <w:rsid w:val="003C708F"/>
    <w:rsid w:val="003C7469"/>
    <w:rsid w:val="003C779F"/>
    <w:rsid w:val="003D4914"/>
    <w:rsid w:val="003D61B2"/>
    <w:rsid w:val="003D66D7"/>
    <w:rsid w:val="003D6A96"/>
    <w:rsid w:val="003E00D5"/>
    <w:rsid w:val="003E0700"/>
    <w:rsid w:val="003E1D4D"/>
    <w:rsid w:val="003E22B6"/>
    <w:rsid w:val="003E35AA"/>
    <w:rsid w:val="003E3662"/>
    <w:rsid w:val="003E3E2B"/>
    <w:rsid w:val="003E57D0"/>
    <w:rsid w:val="003E5B74"/>
    <w:rsid w:val="003E5F6A"/>
    <w:rsid w:val="003E788B"/>
    <w:rsid w:val="003F1B7D"/>
    <w:rsid w:val="003F34E5"/>
    <w:rsid w:val="003F3B3F"/>
    <w:rsid w:val="003F4755"/>
    <w:rsid w:val="0040033D"/>
    <w:rsid w:val="004020EE"/>
    <w:rsid w:val="004023CD"/>
    <w:rsid w:val="0040364C"/>
    <w:rsid w:val="00404D9A"/>
    <w:rsid w:val="00405495"/>
    <w:rsid w:val="0040721C"/>
    <w:rsid w:val="0041007A"/>
    <w:rsid w:val="00410330"/>
    <w:rsid w:val="004111D6"/>
    <w:rsid w:val="004113B6"/>
    <w:rsid w:val="00411582"/>
    <w:rsid w:val="0041311B"/>
    <w:rsid w:val="0041550E"/>
    <w:rsid w:val="00415BE7"/>
    <w:rsid w:val="00415F26"/>
    <w:rsid w:val="00421943"/>
    <w:rsid w:val="0042310B"/>
    <w:rsid w:val="004239D6"/>
    <w:rsid w:val="00423B51"/>
    <w:rsid w:val="004246EA"/>
    <w:rsid w:val="00424BEE"/>
    <w:rsid w:val="00424F1F"/>
    <w:rsid w:val="004250A3"/>
    <w:rsid w:val="00425663"/>
    <w:rsid w:val="00425FC6"/>
    <w:rsid w:val="00426480"/>
    <w:rsid w:val="00426B49"/>
    <w:rsid w:val="0042753C"/>
    <w:rsid w:val="00430E4E"/>
    <w:rsid w:val="00431151"/>
    <w:rsid w:val="00431703"/>
    <w:rsid w:val="00432311"/>
    <w:rsid w:val="00434213"/>
    <w:rsid w:val="004372A1"/>
    <w:rsid w:val="00442827"/>
    <w:rsid w:val="0044335D"/>
    <w:rsid w:val="00444A0F"/>
    <w:rsid w:val="00445887"/>
    <w:rsid w:val="0044741B"/>
    <w:rsid w:val="00451450"/>
    <w:rsid w:val="00452FB4"/>
    <w:rsid w:val="0045340B"/>
    <w:rsid w:val="00454541"/>
    <w:rsid w:val="004555A2"/>
    <w:rsid w:val="00456F4B"/>
    <w:rsid w:val="004624E4"/>
    <w:rsid w:val="00463286"/>
    <w:rsid w:val="0046378F"/>
    <w:rsid w:val="00465025"/>
    <w:rsid w:val="00466323"/>
    <w:rsid w:val="00470C72"/>
    <w:rsid w:val="004721A3"/>
    <w:rsid w:val="0047425B"/>
    <w:rsid w:val="004742F8"/>
    <w:rsid w:val="00474B60"/>
    <w:rsid w:val="00477F12"/>
    <w:rsid w:val="00481F2E"/>
    <w:rsid w:val="00482259"/>
    <w:rsid w:val="0048289A"/>
    <w:rsid w:val="0048799B"/>
    <w:rsid w:val="00487B76"/>
    <w:rsid w:val="004946D5"/>
    <w:rsid w:val="00494B70"/>
    <w:rsid w:val="004950D0"/>
    <w:rsid w:val="00495AAE"/>
    <w:rsid w:val="00496E6D"/>
    <w:rsid w:val="004975E9"/>
    <w:rsid w:val="004A16FB"/>
    <w:rsid w:val="004A33B4"/>
    <w:rsid w:val="004A3B6C"/>
    <w:rsid w:val="004A3B9F"/>
    <w:rsid w:val="004A5A5D"/>
    <w:rsid w:val="004A7D8B"/>
    <w:rsid w:val="004A7EE3"/>
    <w:rsid w:val="004B039F"/>
    <w:rsid w:val="004B123F"/>
    <w:rsid w:val="004B3D9F"/>
    <w:rsid w:val="004B486A"/>
    <w:rsid w:val="004B6799"/>
    <w:rsid w:val="004B6825"/>
    <w:rsid w:val="004B701A"/>
    <w:rsid w:val="004C044B"/>
    <w:rsid w:val="004C0BF0"/>
    <w:rsid w:val="004C0F36"/>
    <w:rsid w:val="004C2F40"/>
    <w:rsid w:val="004C3820"/>
    <w:rsid w:val="004C5C7A"/>
    <w:rsid w:val="004D0C5B"/>
    <w:rsid w:val="004D3985"/>
    <w:rsid w:val="004D408C"/>
    <w:rsid w:val="004D575D"/>
    <w:rsid w:val="004D5EA3"/>
    <w:rsid w:val="004D7DC0"/>
    <w:rsid w:val="004E0557"/>
    <w:rsid w:val="004E4106"/>
    <w:rsid w:val="004E54A6"/>
    <w:rsid w:val="004E5DE0"/>
    <w:rsid w:val="004F0569"/>
    <w:rsid w:val="004F0B82"/>
    <w:rsid w:val="004F2344"/>
    <w:rsid w:val="004F2409"/>
    <w:rsid w:val="004F35C9"/>
    <w:rsid w:val="004F4F14"/>
    <w:rsid w:val="004F5238"/>
    <w:rsid w:val="004F601F"/>
    <w:rsid w:val="00500233"/>
    <w:rsid w:val="00501D52"/>
    <w:rsid w:val="0050764A"/>
    <w:rsid w:val="0050788E"/>
    <w:rsid w:val="00510F45"/>
    <w:rsid w:val="00511A16"/>
    <w:rsid w:val="00512145"/>
    <w:rsid w:val="00512D92"/>
    <w:rsid w:val="00514152"/>
    <w:rsid w:val="005143B9"/>
    <w:rsid w:val="00515AAB"/>
    <w:rsid w:val="00516230"/>
    <w:rsid w:val="005170ED"/>
    <w:rsid w:val="00521E6C"/>
    <w:rsid w:val="005226D6"/>
    <w:rsid w:val="005246E8"/>
    <w:rsid w:val="00525053"/>
    <w:rsid w:val="00527644"/>
    <w:rsid w:val="00527963"/>
    <w:rsid w:val="00530AE3"/>
    <w:rsid w:val="005346DB"/>
    <w:rsid w:val="005366FF"/>
    <w:rsid w:val="00536BAC"/>
    <w:rsid w:val="005370B1"/>
    <w:rsid w:val="00542461"/>
    <w:rsid w:val="0054298F"/>
    <w:rsid w:val="005429A1"/>
    <w:rsid w:val="00546833"/>
    <w:rsid w:val="00550C37"/>
    <w:rsid w:val="0055316F"/>
    <w:rsid w:val="00553483"/>
    <w:rsid w:val="005544F3"/>
    <w:rsid w:val="00554C20"/>
    <w:rsid w:val="005553B3"/>
    <w:rsid w:val="00556F0B"/>
    <w:rsid w:val="00560C90"/>
    <w:rsid w:val="00561AD4"/>
    <w:rsid w:val="00561EE2"/>
    <w:rsid w:val="0056361C"/>
    <w:rsid w:val="00564F8B"/>
    <w:rsid w:val="005669E6"/>
    <w:rsid w:val="00566DEA"/>
    <w:rsid w:val="00567406"/>
    <w:rsid w:val="005677E9"/>
    <w:rsid w:val="005706B9"/>
    <w:rsid w:val="00570B82"/>
    <w:rsid w:val="00573601"/>
    <w:rsid w:val="005736D9"/>
    <w:rsid w:val="0057628E"/>
    <w:rsid w:val="005804D1"/>
    <w:rsid w:val="00580999"/>
    <w:rsid w:val="00582A2B"/>
    <w:rsid w:val="0058383E"/>
    <w:rsid w:val="0058400E"/>
    <w:rsid w:val="005850D7"/>
    <w:rsid w:val="00585690"/>
    <w:rsid w:val="00586D97"/>
    <w:rsid w:val="00587313"/>
    <w:rsid w:val="0059377A"/>
    <w:rsid w:val="00593E74"/>
    <w:rsid w:val="0059405F"/>
    <w:rsid w:val="0059539B"/>
    <w:rsid w:val="00597701"/>
    <w:rsid w:val="005A179E"/>
    <w:rsid w:val="005A2BCC"/>
    <w:rsid w:val="005A2C52"/>
    <w:rsid w:val="005A308C"/>
    <w:rsid w:val="005A3263"/>
    <w:rsid w:val="005A3C33"/>
    <w:rsid w:val="005A50DD"/>
    <w:rsid w:val="005A5483"/>
    <w:rsid w:val="005B466B"/>
    <w:rsid w:val="005B496E"/>
    <w:rsid w:val="005B5E44"/>
    <w:rsid w:val="005B5FA9"/>
    <w:rsid w:val="005B660C"/>
    <w:rsid w:val="005C131D"/>
    <w:rsid w:val="005C1D7C"/>
    <w:rsid w:val="005C2061"/>
    <w:rsid w:val="005C4A1E"/>
    <w:rsid w:val="005C5BEC"/>
    <w:rsid w:val="005C5FCD"/>
    <w:rsid w:val="005D44E0"/>
    <w:rsid w:val="005D5BC9"/>
    <w:rsid w:val="005D5FF9"/>
    <w:rsid w:val="005D7353"/>
    <w:rsid w:val="005E1F84"/>
    <w:rsid w:val="005E24C9"/>
    <w:rsid w:val="005E38D2"/>
    <w:rsid w:val="005E4AFE"/>
    <w:rsid w:val="005E69BE"/>
    <w:rsid w:val="005E6C66"/>
    <w:rsid w:val="005F08B0"/>
    <w:rsid w:val="005F08CC"/>
    <w:rsid w:val="005F0F4C"/>
    <w:rsid w:val="005F0FD6"/>
    <w:rsid w:val="005F1157"/>
    <w:rsid w:val="005F20EC"/>
    <w:rsid w:val="005F21B0"/>
    <w:rsid w:val="005F3B43"/>
    <w:rsid w:val="005F5046"/>
    <w:rsid w:val="005F6475"/>
    <w:rsid w:val="005F7B00"/>
    <w:rsid w:val="00601EBB"/>
    <w:rsid w:val="00603FB9"/>
    <w:rsid w:val="00604D03"/>
    <w:rsid w:val="0060532B"/>
    <w:rsid w:val="00605874"/>
    <w:rsid w:val="006100A4"/>
    <w:rsid w:val="0061015D"/>
    <w:rsid w:val="00610DBB"/>
    <w:rsid w:val="006121A4"/>
    <w:rsid w:val="00612924"/>
    <w:rsid w:val="00613338"/>
    <w:rsid w:val="0061375B"/>
    <w:rsid w:val="00614A45"/>
    <w:rsid w:val="00614C83"/>
    <w:rsid w:val="00614FFE"/>
    <w:rsid w:val="006163FB"/>
    <w:rsid w:val="006171A5"/>
    <w:rsid w:val="00620E87"/>
    <w:rsid w:val="00621BD7"/>
    <w:rsid w:val="006225D7"/>
    <w:rsid w:val="00623ABA"/>
    <w:rsid w:val="0062459A"/>
    <w:rsid w:val="006256CD"/>
    <w:rsid w:val="00633249"/>
    <w:rsid w:val="00633CC9"/>
    <w:rsid w:val="00634DA4"/>
    <w:rsid w:val="0063526F"/>
    <w:rsid w:val="00635D11"/>
    <w:rsid w:val="006362A1"/>
    <w:rsid w:val="006416C8"/>
    <w:rsid w:val="00641A84"/>
    <w:rsid w:val="006450CF"/>
    <w:rsid w:val="00645191"/>
    <w:rsid w:val="006459D1"/>
    <w:rsid w:val="00645A3E"/>
    <w:rsid w:val="00646413"/>
    <w:rsid w:val="00646479"/>
    <w:rsid w:val="00650FD5"/>
    <w:rsid w:val="006515CE"/>
    <w:rsid w:val="00651A19"/>
    <w:rsid w:val="00651C54"/>
    <w:rsid w:val="00651EA2"/>
    <w:rsid w:val="006550EE"/>
    <w:rsid w:val="00655460"/>
    <w:rsid w:val="00655A81"/>
    <w:rsid w:val="00656891"/>
    <w:rsid w:val="00656E40"/>
    <w:rsid w:val="00656E61"/>
    <w:rsid w:val="00656EB5"/>
    <w:rsid w:val="006579BC"/>
    <w:rsid w:val="006621E0"/>
    <w:rsid w:val="0066247F"/>
    <w:rsid w:val="006626DB"/>
    <w:rsid w:val="006647D3"/>
    <w:rsid w:val="00664E0D"/>
    <w:rsid w:val="0067058B"/>
    <w:rsid w:val="006708B1"/>
    <w:rsid w:val="006710E2"/>
    <w:rsid w:val="00672398"/>
    <w:rsid w:val="0067267A"/>
    <w:rsid w:val="006756FF"/>
    <w:rsid w:val="006760BB"/>
    <w:rsid w:val="006776F6"/>
    <w:rsid w:val="0068046B"/>
    <w:rsid w:val="006809E4"/>
    <w:rsid w:val="00682952"/>
    <w:rsid w:val="00683276"/>
    <w:rsid w:val="006834F0"/>
    <w:rsid w:val="00686128"/>
    <w:rsid w:val="00687093"/>
    <w:rsid w:val="006871E2"/>
    <w:rsid w:val="00690A17"/>
    <w:rsid w:val="00691ABA"/>
    <w:rsid w:val="006921F0"/>
    <w:rsid w:val="0069342A"/>
    <w:rsid w:val="0069375D"/>
    <w:rsid w:val="00693E29"/>
    <w:rsid w:val="00693F9C"/>
    <w:rsid w:val="00694650"/>
    <w:rsid w:val="00694AE4"/>
    <w:rsid w:val="00695B1C"/>
    <w:rsid w:val="006A101E"/>
    <w:rsid w:val="006A2B37"/>
    <w:rsid w:val="006A2FF8"/>
    <w:rsid w:val="006A3859"/>
    <w:rsid w:val="006A4950"/>
    <w:rsid w:val="006A4B2C"/>
    <w:rsid w:val="006A4F58"/>
    <w:rsid w:val="006A628B"/>
    <w:rsid w:val="006B0B4F"/>
    <w:rsid w:val="006B1C6A"/>
    <w:rsid w:val="006B2C9E"/>
    <w:rsid w:val="006B4809"/>
    <w:rsid w:val="006B4836"/>
    <w:rsid w:val="006B4A48"/>
    <w:rsid w:val="006B5FBF"/>
    <w:rsid w:val="006B6384"/>
    <w:rsid w:val="006B7324"/>
    <w:rsid w:val="006B77CA"/>
    <w:rsid w:val="006C1EA9"/>
    <w:rsid w:val="006C1FFD"/>
    <w:rsid w:val="006C2132"/>
    <w:rsid w:val="006C3046"/>
    <w:rsid w:val="006C3B5D"/>
    <w:rsid w:val="006C5057"/>
    <w:rsid w:val="006C55C3"/>
    <w:rsid w:val="006D1DFA"/>
    <w:rsid w:val="006D1E5A"/>
    <w:rsid w:val="006D1EA2"/>
    <w:rsid w:val="006D1F61"/>
    <w:rsid w:val="006D320C"/>
    <w:rsid w:val="006D3BBD"/>
    <w:rsid w:val="006E0FAD"/>
    <w:rsid w:val="006E22C1"/>
    <w:rsid w:val="006E2717"/>
    <w:rsid w:val="006E4F5A"/>
    <w:rsid w:val="006E5190"/>
    <w:rsid w:val="006E533E"/>
    <w:rsid w:val="006E5C1A"/>
    <w:rsid w:val="006E65BD"/>
    <w:rsid w:val="006E68FD"/>
    <w:rsid w:val="006F0284"/>
    <w:rsid w:val="006F2740"/>
    <w:rsid w:val="006F3E40"/>
    <w:rsid w:val="006F4902"/>
    <w:rsid w:val="006F4E42"/>
    <w:rsid w:val="006F5341"/>
    <w:rsid w:val="006F5CA0"/>
    <w:rsid w:val="006F5FAE"/>
    <w:rsid w:val="006F5FD6"/>
    <w:rsid w:val="00702258"/>
    <w:rsid w:val="00702443"/>
    <w:rsid w:val="00702984"/>
    <w:rsid w:val="00702DA2"/>
    <w:rsid w:val="00704AAD"/>
    <w:rsid w:val="007061CC"/>
    <w:rsid w:val="0071127E"/>
    <w:rsid w:val="00711855"/>
    <w:rsid w:val="00711963"/>
    <w:rsid w:val="00712B42"/>
    <w:rsid w:val="007178FA"/>
    <w:rsid w:val="00717C40"/>
    <w:rsid w:val="00720FB1"/>
    <w:rsid w:val="00722361"/>
    <w:rsid w:val="00722AA0"/>
    <w:rsid w:val="00723A6D"/>
    <w:rsid w:val="007244BD"/>
    <w:rsid w:val="007245EE"/>
    <w:rsid w:val="00725320"/>
    <w:rsid w:val="00725589"/>
    <w:rsid w:val="007274AB"/>
    <w:rsid w:val="00731AF9"/>
    <w:rsid w:val="00732A43"/>
    <w:rsid w:val="007343BA"/>
    <w:rsid w:val="0073478F"/>
    <w:rsid w:val="007350B0"/>
    <w:rsid w:val="00740334"/>
    <w:rsid w:val="00740A80"/>
    <w:rsid w:val="00740E9C"/>
    <w:rsid w:val="00740F31"/>
    <w:rsid w:val="00741104"/>
    <w:rsid w:val="007411A5"/>
    <w:rsid w:val="00741795"/>
    <w:rsid w:val="0074480D"/>
    <w:rsid w:val="00744C1F"/>
    <w:rsid w:val="00746231"/>
    <w:rsid w:val="00747552"/>
    <w:rsid w:val="00750705"/>
    <w:rsid w:val="00750878"/>
    <w:rsid w:val="007526B7"/>
    <w:rsid w:val="007553FD"/>
    <w:rsid w:val="00755B2D"/>
    <w:rsid w:val="007566BF"/>
    <w:rsid w:val="0075738D"/>
    <w:rsid w:val="007576E1"/>
    <w:rsid w:val="00757CC5"/>
    <w:rsid w:val="0076014B"/>
    <w:rsid w:val="00761A4E"/>
    <w:rsid w:val="00762DD0"/>
    <w:rsid w:val="00770BDC"/>
    <w:rsid w:val="00770C7D"/>
    <w:rsid w:val="00770D5A"/>
    <w:rsid w:val="007736B2"/>
    <w:rsid w:val="00775063"/>
    <w:rsid w:val="00775A67"/>
    <w:rsid w:val="00776016"/>
    <w:rsid w:val="0078001B"/>
    <w:rsid w:val="00780C8A"/>
    <w:rsid w:val="00783F05"/>
    <w:rsid w:val="00784325"/>
    <w:rsid w:val="007852C7"/>
    <w:rsid w:val="00787DC8"/>
    <w:rsid w:val="00791667"/>
    <w:rsid w:val="007917E9"/>
    <w:rsid w:val="0079211D"/>
    <w:rsid w:val="0079243B"/>
    <w:rsid w:val="00792FBA"/>
    <w:rsid w:val="007A02C3"/>
    <w:rsid w:val="007A2334"/>
    <w:rsid w:val="007A2C74"/>
    <w:rsid w:val="007A314B"/>
    <w:rsid w:val="007A44CA"/>
    <w:rsid w:val="007A7D2B"/>
    <w:rsid w:val="007B04F7"/>
    <w:rsid w:val="007B717E"/>
    <w:rsid w:val="007B7941"/>
    <w:rsid w:val="007B796B"/>
    <w:rsid w:val="007C0C91"/>
    <w:rsid w:val="007C2434"/>
    <w:rsid w:val="007C279D"/>
    <w:rsid w:val="007C28E4"/>
    <w:rsid w:val="007C2D27"/>
    <w:rsid w:val="007C31DC"/>
    <w:rsid w:val="007C6B5B"/>
    <w:rsid w:val="007C74AE"/>
    <w:rsid w:val="007D09AB"/>
    <w:rsid w:val="007D1939"/>
    <w:rsid w:val="007D24CD"/>
    <w:rsid w:val="007D27BE"/>
    <w:rsid w:val="007D37DC"/>
    <w:rsid w:val="007D3A15"/>
    <w:rsid w:val="007D4510"/>
    <w:rsid w:val="007D593B"/>
    <w:rsid w:val="007D5F22"/>
    <w:rsid w:val="007D6ABB"/>
    <w:rsid w:val="007D73DF"/>
    <w:rsid w:val="007D7E2C"/>
    <w:rsid w:val="007E15E1"/>
    <w:rsid w:val="007E1749"/>
    <w:rsid w:val="007E341E"/>
    <w:rsid w:val="007E3D89"/>
    <w:rsid w:val="007E4907"/>
    <w:rsid w:val="007E55BF"/>
    <w:rsid w:val="007E6185"/>
    <w:rsid w:val="007E636E"/>
    <w:rsid w:val="007E649B"/>
    <w:rsid w:val="007E6B77"/>
    <w:rsid w:val="007F2771"/>
    <w:rsid w:val="007F32B0"/>
    <w:rsid w:val="007F3CD5"/>
    <w:rsid w:val="007F3DDC"/>
    <w:rsid w:val="007F4693"/>
    <w:rsid w:val="007F52F0"/>
    <w:rsid w:val="007F6575"/>
    <w:rsid w:val="007F6745"/>
    <w:rsid w:val="00802864"/>
    <w:rsid w:val="008036CB"/>
    <w:rsid w:val="00804D73"/>
    <w:rsid w:val="00806607"/>
    <w:rsid w:val="00806961"/>
    <w:rsid w:val="008106FE"/>
    <w:rsid w:val="008135C0"/>
    <w:rsid w:val="008136C9"/>
    <w:rsid w:val="008140A2"/>
    <w:rsid w:val="00815158"/>
    <w:rsid w:val="00815FCA"/>
    <w:rsid w:val="008174C6"/>
    <w:rsid w:val="008177B8"/>
    <w:rsid w:val="00817A65"/>
    <w:rsid w:val="008200AE"/>
    <w:rsid w:val="00823B0D"/>
    <w:rsid w:val="0082430B"/>
    <w:rsid w:val="0082530D"/>
    <w:rsid w:val="008253F7"/>
    <w:rsid w:val="00830956"/>
    <w:rsid w:val="008313C4"/>
    <w:rsid w:val="0083178D"/>
    <w:rsid w:val="00832048"/>
    <w:rsid w:val="00832C68"/>
    <w:rsid w:val="00834714"/>
    <w:rsid w:val="0083501C"/>
    <w:rsid w:val="00835DB4"/>
    <w:rsid w:val="00837A4B"/>
    <w:rsid w:val="008421DB"/>
    <w:rsid w:val="00842D6E"/>
    <w:rsid w:val="00844EA8"/>
    <w:rsid w:val="008453EA"/>
    <w:rsid w:val="00847437"/>
    <w:rsid w:val="008508B9"/>
    <w:rsid w:val="00850D46"/>
    <w:rsid w:val="00850E19"/>
    <w:rsid w:val="008510B7"/>
    <w:rsid w:val="0085127C"/>
    <w:rsid w:val="00852BDA"/>
    <w:rsid w:val="00855692"/>
    <w:rsid w:val="00855B7C"/>
    <w:rsid w:val="008565B6"/>
    <w:rsid w:val="008604BF"/>
    <w:rsid w:val="00860B52"/>
    <w:rsid w:val="00861FDD"/>
    <w:rsid w:val="00863127"/>
    <w:rsid w:val="00863950"/>
    <w:rsid w:val="00863ABB"/>
    <w:rsid w:val="00864889"/>
    <w:rsid w:val="00864AC3"/>
    <w:rsid w:val="00864C54"/>
    <w:rsid w:val="00865F9D"/>
    <w:rsid w:val="00867BC0"/>
    <w:rsid w:val="00870FA3"/>
    <w:rsid w:val="00875510"/>
    <w:rsid w:val="00875ED5"/>
    <w:rsid w:val="00882143"/>
    <w:rsid w:val="00882A89"/>
    <w:rsid w:val="00884E5A"/>
    <w:rsid w:val="0088548B"/>
    <w:rsid w:val="00885AA8"/>
    <w:rsid w:val="00886B42"/>
    <w:rsid w:val="00886CDC"/>
    <w:rsid w:val="0089122A"/>
    <w:rsid w:val="00893C77"/>
    <w:rsid w:val="00893DA8"/>
    <w:rsid w:val="00894225"/>
    <w:rsid w:val="0089424C"/>
    <w:rsid w:val="008946AE"/>
    <w:rsid w:val="00894D21"/>
    <w:rsid w:val="00895718"/>
    <w:rsid w:val="00895E6A"/>
    <w:rsid w:val="008965F8"/>
    <w:rsid w:val="0089712B"/>
    <w:rsid w:val="008A0589"/>
    <w:rsid w:val="008A1192"/>
    <w:rsid w:val="008A18E3"/>
    <w:rsid w:val="008A5B91"/>
    <w:rsid w:val="008A5FF4"/>
    <w:rsid w:val="008B0BD4"/>
    <w:rsid w:val="008B2BDF"/>
    <w:rsid w:val="008B2C93"/>
    <w:rsid w:val="008B55B3"/>
    <w:rsid w:val="008B67AC"/>
    <w:rsid w:val="008B739F"/>
    <w:rsid w:val="008B7C8B"/>
    <w:rsid w:val="008C0127"/>
    <w:rsid w:val="008C0522"/>
    <w:rsid w:val="008C0EDD"/>
    <w:rsid w:val="008C245B"/>
    <w:rsid w:val="008C2748"/>
    <w:rsid w:val="008C367A"/>
    <w:rsid w:val="008C3E64"/>
    <w:rsid w:val="008C4145"/>
    <w:rsid w:val="008C56F3"/>
    <w:rsid w:val="008C6E40"/>
    <w:rsid w:val="008C76DD"/>
    <w:rsid w:val="008D03F7"/>
    <w:rsid w:val="008D1AD8"/>
    <w:rsid w:val="008D2354"/>
    <w:rsid w:val="008D2414"/>
    <w:rsid w:val="008D2945"/>
    <w:rsid w:val="008D3191"/>
    <w:rsid w:val="008D3BD3"/>
    <w:rsid w:val="008D4431"/>
    <w:rsid w:val="008D4A5D"/>
    <w:rsid w:val="008E0925"/>
    <w:rsid w:val="008E0DB2"/>
    <w:rsid w:val="008E0F60"/>
    <w:rsid w:val="008E1235"/>
    <w:rsid w:val="008E3E2C"/>
    <w:rsid w:val="008E53A9"/>
    <w:rsid w:val="008E5BA0"/>
    <w:rsid w:val="008E7937"/>
    <w:rsid w:val="008E7CE9"/>
    <w:rsid w:val="008F1368"/>
    <w:rsid w:val="008F1BEA"/>
    <w:rsid w:val="008F1E64"/>
    <w:rsid w:val="008F25BB"/>
    <w:rsid w:val="008F295E"/>
    <w:rsid w:val="008F2B75"/>
    <w:rsid w:val="008F6CC1"/>
    <w:rsid w:val="008F716C"/>
    <w:rsid w:val="008F78AE"/>
    <w:rsid w:val="00900D9F"/>
    <w:rsid w:val="00901434"/>
    <w:rsid w:val="00901D7C"/>
    <w:rsid w:val="0090232E"/>
    <w:rsid w:val="0090237D"/>
    <w:rsid w:val="0090383E"/>
    <w:rsid w:val="00904CF2"/>
    <w:rsid w:val="00905B82"/>
    <w:rsid w:val="00905BF6"/>
    <w:rsid w:val="00906442"/>
    <w:rsid w:val="0090679F"/>
    <w:rsid w:val="0090714B"/>
    <w:rsid w:val="00907276"/>
    <w:rsid w:val="00907D2B"/>
    <w:rsid w:val="009106C0"/>
    <w:rsid w:val="00910DF5"/>
    <w:rsid w:val="00912496"/>
    <w:rsid w:val="00912DB8"/>
    <w:rsid w:val="00913268"/>
    <w:rsid w:val="00914736"/>
    <w:rsid w:val="00915722"/>
    <w:rsid w:val="00915F84"/>
    <w:rsid w:val="009172F1"/>
    <w:rsid w:val="00917B47"/>
    <w:rsid w:val="00921D68"/>
    <w:rsid w:val="00922D61"/>
    <w:rsid w:val="00925CC4"/>
    <w:rsid w:val="00927DDB"/>
    <w:rsid w:val="0093308E"/>
    <w:rsid w:val="00933379"/>
    <w:rsid w:val="009333FD"/>
    <w:rsid w:val="00933A63"/>
    <w:rsid w:val="00934356"/>
    <w:rsid w:val="00935244"/>
    <w:rsid w:val="00936C2A"/>
    <w:rsid w:val="00936E63"/>
    <w:rsid w:val="0094008C"/>
    <w:rsid w:val="009417A7"/>
    <w:rsid w:val="009424C4"/>
    <w:rsid w:val="00942EC7"/>
    <w:rsid w:val="00944EB1"/>
    <w:rsid w:val="00946510"/>
    <w:rsid w:val="00947799"/>
    <w:rsid w:val="0095502B"/>
    <w:rsid w:val="009569DB"/>
    <w:rsid w:val="00960214"/>
    <w:rsid w:val="009603E3"/>
    <w:rsid w:val="0096167F"/>
    <w:rsid w:val="00964228"/>
    <w:rsid w:val="00967692"/>
    <w:rsid w:val="00970064"/>
    <w:rsid w:val="00971326"/>
    <w:rsid w:val="009732D5"/>
    <w:rsid w:val="009735D9"/>
    <w:rsid w:val="009737D3"/>
    <w:rsid w:val="009738C3"/>
    <w:rsid w:val="0097390F"/>
    <w:rsid w:val="00973A15"/>
    <w:rsid w:val="00974981"/>
    <w:rsid w:val="009750DE"/>
    <w:rsid w:val="0097547B"/>
    <w:rsid w:val="00977555"/>
    <w:rsid w:val="00983030"/>
    <w:rsid w:val="00984499"/>
    <w:rsid w:val="009845C3"/>
    <w:rsid w:val="00984F9E"/>
    <w:rsid w:val="00985083"/>
    <w:rsid w:val="00985169"/>
    <w:rsid w:val="00985BF1"/>
    <w:rsid w:val="00987EF8"/>
    <w:rsid w:val="00991196"/>
    <w:rsid w:val="00991421"/>
    <w:rsid w:val="00991A42"/>
    <w:rsid w:val="00992009"/>
    <w:rsid w:val="009925FE"/>
    <w:rsid w:val="00992C41"/>
    <w:rsid w:val="00995918"/>
    <w:rsid w:val="009967E4"/>
    <w:rsid w:val="009A2241"/>
    <w:rsid w:val="009A2A51"/>
    <w:rsid w:val="009A4BF2"/>
    <w:rsid w:val="009A4D6D"/>
    <w:rsid w:val="009A5B78"/>
    <w:rsid w:val="009A6357"/>
    <w:rsid w:val="009A652D"/>
    <w:rsid w:val="009B14AD"/>
    <w:rsid w:val="009B1529"/>
    <w:rsid w:val="009B4079"/>
    <w:rsid w:val="009B425F"/>
    <w:rsid w:val="009B4B79"/>
    <w:rsid w:val="009B6C03"/>
    <w:rsid w:val="009B71AE"/>
    <w:rsid w:val="009B7E8D"/>
    <w:rsid w:val="009C01E1"/>
    <w:rsid w:val="009C0CC6"/>
    <w:rsid w:val="009C0D96"/>
    <w:rsid w:val="009C284B"/>
    <w:rsid w:val="009C4870"/>
    <w:rsid w:val="009C5333"/>
    <w:rsid w:val="009C5854"/>
    <w:rsid w:val="009C6788"/>
    <w:rsid w:val="009C7524"/>
    <w:rsid w:val="009C7887"/>
    <w:rsid w:val="009C7EA1"/>
    <w:rsid w:val="009D258C"/>
    <w:rsid w:val="009D5076"/>
    <w:rsid w:val="009D7D6C"/>
    <w:rsid w:val="009E03A4"/>
    <w:rsid w:val="009E66B0"/>
    <w:rsid w:val="009E6B12"/>
    <w:rsid w:val="009E6C4C"/>
    <w:rsid w:val="009F001C"/>
    <w:rsid w:val="009F0BC7"/>
    <w:rsid w:val="009F29FF"/>
    <w:rsid w:val="009F38AD"/>
    <w:rsid w:val="009F3CB8"/>
    <w:rsid w:val="009F4B78"/>
    <w:rsid w:val="009F5102"/>
    <w:rsid w:val="009F5DB5"/>
    <w:rsid w:val="009F6C90"/>
    <w:rsid w:val="009F72EC"/>
    <w:rsid w:val="009F77FE"/>
    <w:rsid w:val="00A01426"/>
    <w:rsid w:val="00A02081"/>
    <w:rsid w:val="00A025C5"/>
    <w:rsid w:val="00A03AA0"/>
    <w:rsid w:val="00A06470"/>
    <w:rsid w:val="00A0794A"/>
    <w:rsid w:val="00A11209"/>
    <w:rsid w:val="00A13400"/>
    <w:rsid w:val="00A137D3"/>
    <w:rsid w:val="00A13E7E"/>
    <w:rsid w:val="00A156E4"/>
    <w:rsid w:val="00A17C96"/>
    <w:rsid w:val="00A21727"/>
    <w:rsid w:val="00A236F1"/>
    <w:rsid w:val="00A23C5B"/>
    <w:rsid w:val="00A241F9"/>
    <w:rsid w:val="00A2461D"/>
    <w:rsid w:val="00A261D3"/>
    <w:rsid w:val="00A264D2"/>
    <w:rsid w:val="00A26A00"/>
    <w:rsid w:val="00A32758"/>
    <w:rsid w:val="00A34289"/>
    <w:rsid w:val="00A3551E"/>
    <w:rsid w:val="00A35867"/>
    <w:rsid w:val="00A35D9C"/>
    <w:rsid w:val="00A36064"/>
    <w:rsid w:val="00A3610D"/>
    <w:rsid w:val="00A40432"/>
    <w:rsid w:val="00A404C3"/>
    <w:rsid w:val="00A41716"/>
    <w:rsid w:val="00A449F1"/>
    <w:rsid w:val="00A47366"/>
    <w:rsid w:val="00A47B69"/>
    <w:rsid w:val="00A5069D"/>
    <w:rsid w:val="00A518F0"/>
    <w:rsid w:val="00A51BA0"/>
    <w:rsid w:val="00A51FE4"/>
    <w:rsid w:val="00A52716"/>
    <w:rsid w:val="00A527CD"/>
    <w:rsid w:val="00A52CF1"/>
    <w:rsid w:val="00A57E8B"/>
    <w:rsid w:val="00A6026C"/>
    <w:rsid w:val="00A6159D"/>
    <w:rsid w:val="00A6542B"/>
    <w:rsid w:val="00A706DA"/>
    <w:rsid w:val="00A708BD"/>
    <w:rsid w:val="00A71227"/>
    <w:rsid w:val="00A71E97"/>
    <w:rsid w:val="00A7245C"/>
    <w:rsid w:val="00A72600"/>
    <w:rsid w:val="00A749E5"/>
    <w:rsid w:val="00A74D4A"/>
    <w:rsid w:val="00A774EA"/>
    <w:rsid w:val="00A8095E"/>
    <w:rsid w:val="00A809AF"/>
    <w:rsid w:val="00A81A8B"/>
    <w:rsid w:val="00A83832"/>
    <w:rsid w:val="00A85696"/>
    <w:rsid w:val="00A85A60"/>
    <w:rsid w:val="00A923C2"/>
    <w:rsid w:val="00A931CD"/>
    <w:rsid w:val="00A93528"/>
    <w:rsid w:val="00A94024"/>
    <w:rsid w:val="00A94B25"/>
    <w:rsid w:val="00A950F2"/>
    <w:rsid w:val="00A957A7"/>
    <w:rsid w:val="00A959D9"/>
    <w:rsid w:val="00AA3A90"/>
    <w:rsid w:val="00AA598E"/>
    <w:rsid w:val="00AB1D3A"/>
    <w:rsid w:val="00AB4DB9"/>
    <w:rsid w:val="00AB4DBB"/>
    <w:rsid w:val="00AB661F"/>
    <w:rsid w:val="00AB78E8"/>
    <w:rsid w:val="00AB7BAC"/>
    <w:rsid w:val="00AC0900"/>
    <w:rsid w:val="00AC17B8"/>
    <w:rsid w:val="00AC27FE"/>
    <w:rsid w:val="00AC3A4E"/>
    <w:rsid w:val="00AC3D7D"/>
    <w:rsid w:val="00AC44EF"/>
    <w:rsid w:val="00AC4BCD"/>
    <w:rsid w:val="00AC51BE"/>
    <w:rsid w:val="00AC7489"/>
    <w:rsid w:val="00AC756E"/>
    <w:rsid w:val="00AC7CA6"/>
    <w:rsid w:val="00AD2D02"/>
    <w:rsid w:val="00AD4CCF"/>
    <w:rsid w:val="00AD525E"/>
    <w:rsid w:val="00AD6945"/>
    <w:rsid w:val="00AE012A"/>
    <w:rsid w:val="00AE05BC"/>
    <w:rsid w:val="00AE0F04"/>
    <w:rsid w:val="00AE3408"/>
    <w:rsid w:val="00AE3782"/>
    <w:rsid w:val="00AE418B"/>
    <w:rsid w:val="00AE53EA"/>
    <w:rsid w:val="00AE5F0A"/>
    <w:rsid w:val="00AE6A36"/>
    <w:rsid w:val="00AE72A9"/>
    <w:rsid w:val="00AE7333"/>
    <w:rsid w:val="00AF2480"/>
    <w:rsid w:val="00AF2B4E"/>
    <w:rsid w:val="00AF388D"/>
    <w:rsid w:val="00AF3A76"/>
    <w:rsid w:val="00AF3FA8"/>
    <w:rsid w:val="00AF4BA2"/>
    <w:rsid w:val="00AF5B65"/>
    <w:rsid w:val="00AF679A"/>
    <w:rsid w:val="00B0068F"/>
    <w:rsid w:val="00B02933"/>
    <w:rsid w:val="00B038E3"/>
    <w:rsid w:val="00B05E8E"/>
    <w:rsid w:val="00B06A3F"/>
    <w:rsid w:val="00B072C9"/>
    <w:rsid w:val="00B073F1"/>
    <w:rsid w:val="00B10E42"/>
    <w:rsid w:val="00B11E4B"/>
    <w:rsid w:val="00B1257F"/>
    <w:rsid w:val="00B13E5B"/>
    <w:rsid w:val="00B14BAA"/>
    <w:rsid w:val="00B1541F"/>
    <w:rsid w:val="00B1671B"/>
    <w:rsid w:val="00B17447"/>
    <w:rsid w:val="00B174FA"/>
    <w:rsid w:val="00B17AEC"/>
    <w:rsid w:val="00B21B46"/>
    <w:rsid w:val="00B257CF"/>
    <w:rsid w:val="00B25C3E"/>
    <w:rsid w:val="00B27395"/>
    <w:rsid w:val="00B3607C"/>
    <w:rsid w:val="00B4001F"/>
    <w:rsid w:val="00B4014B"/>
    <w:rsid w:val="00B4223D"/>
    <w:rsid w:val="00B43509"/>
    <w:rsid w:val="00B43F07"/>
    <w:rsid w:val="00B443C9"/>
    <w:rsid w:val="00B471E9"/>
    <w:rsid w:val="00B471F0"/>
    <w:rsid w:val="00B47A51"/>
    <w:rsid w:val="00B53C0C"/>
    <w:rsid w:val="00B53D02"/>
    <w:rsid w:val="00B545A2"/>
    <w:rsid w:val="00B546F2"/>
    <w:rsid w:val="00B54C83"/>
    <w:rsid w:val="00B559CB"/>
    <w:rsid w:val="00B5744E"/>
    <w:rsid w:val="00B60C50"/>
    <w:rsid w:val="00B61AAB"/>
    <w:rsid w:val="00B65BF3"/>
    <w:rsid w:val="00B7017C"/>
    <w:rsid w:val="00B70952"/>
    <w:rsid w:val="00B71828"/>
    <w:rsid w:val="00B71D7A"/>
    <w:rsid w:val="00B73B02"/>
    <w:rsid w:val="00B75A9C"/>
    <w:rsid w:val="00B81230"/>
    <w:rsid w:val="00B83134"/>
    <w:rsid w:val="00B83235"/>
    <w:rsid w:val="00B83AA6"/>
    <w:rsid w:val="00B83CCB"/>
    <w:rsid w:val="00B84BA0"/>
    <w:rsid w:val="00B85860"/>
    <w:rsid w:val="00B8613F"/>
    <w:rsid w:val="00B866B8"/>
    <w:rsid w:val="00B86B93"/>
    <w:rsid w:val="00B86EDB"/>
    <w:rsid w:val="00B875DD"/>
    <w:rsid w:val="00B87749"/>
    <w:rsid w:val="00B87C1D"/>
    <w:rsid w:val="00B922AE"/>
    <w:rsid w:val="00B92A21"/>
    <w:rsid w:val="00B93FB2"/>
    <w:rsid w:val="00B95CB3"/>
    <w:rsid w:val="00BA057B"/>
    <w:rsid w:val="00BA1778"/>
    <w:rsid w:val="00BA1AB8"/>
    <w:rsid w:val="00BA265A"/>
    <w:rsid w:val="00BA6933"/>
    <w:rsid w:val="00BB01E7"/>
    <w:rsid w:val="00BB02C6"/>
    <w:rsid w:val="00BB0CBB"/>
    <w:rsid w:val="00BB0F71"/>
    <w:rsid w:val="00BB2F26"/>
    <w:rsid w:val="00BB3E37"/>
    <w:rsid w:val="00BB3EA8"/>
    <w:rsid w:val="00BB5298"/>
    <w:rsid w:val="00BB6AF4"/>
    <w:rsid w:val="00BB71AD"/>
    <w:rsid w:val="00BC195A"/>
    <w:rsid w:val="00BC2CCA"/>
    <w:rsid w:val="00BC36C3"/>
    <w:rsid w:val="00BC4141"/>
    <w:rsid w:val="00BC7491"/>
    <w:rsid w:val="00BD2350"/>
    <w:rsid w:val="00BD35E9"/>
    <w:rsid w:val="00BD5AA4"/>
    <w:rsid w:val="00BE03FF"/>
    <w:rsid w:val="00BE0A38"/>
    <w:rsid w:val="00BE2220"/>
    <w:rsid w:val="00BE261B"/>
    <w:rsid w:val="00BE287B"/>
    <w:rsid w:val="00BE4FD5"/>
    <w:rsid w:val="00BF0109"/>
    <w:rsid w:val="00BF0B9B"/>
    <w:rsid w:val="00BF0C7C"/>
    <w:rsid w:val="00BF26B3"/>
    <w:rsid w:val="00BF30C1"/>
    <w:rsid w:val="00BF3262"/>
    <w:rsid w:val="00BF32B6"/>
    <w:rsid w:val="00BF45AD"/>
    <w:rsid w:val="00BF6F84"/>
    <w:rsid w:val="00C005E2"/>
    <w:rsid w:val="00C0285B"/>
    <w:rsid w:val="00C0389C"/>
    <w:rsid w:val="00C05801"/>
    <w:rsid w:val="00C119F4"/>
    <w:rsid w:val="00C11BD0"/>
    <w:rsid w:val="00C1485C"/>
    <w:rsid w:val="00C14A89"/>
    <w:rsid w:val="00C20666"/>
    <w:rsid w:val="00C21E60"/>
    <w:rsid w:val="00C22E66"/>
    <w:rsid w:val="00C23A1F"/>
    <w:rsid w:val="00C2582F"/>
    <w:rsid w:val="00C265B7"/>
    <w:rsid w:val="00C2754D"/>
    <w:rsid w:val="00C2757E"/>
    <w:rsid w:val="00C30511"/>
    <w:rsid w:val="00C31CC4"/>
    <w:rsid w:val="00C32901"/>
    <w:rsid w:val="00C33C8A"/>
    <w:rsid w:val="00C33D0D"/>
    <w:rsid w:val="00C35E7C"/>
    <w:rsid w:val="00C35EB3"/>
    <w:rsid w:val="00C37E46"/>
    <w:rsid w:val="00C43A6A"/>
    <w:rsid w:val="00C44125"/>
    <w:rsid w:val="00C441B7"/>
    <w:rsid w:val="00C46642"/>
    <w:rsid w:val="00C467AE"/>
    <w:rsid w:val="00C47AA4"/>
    <w:rsid w:val="00C510C2"/>
    <w:rsid w:val="00C51F82"/>
    <w:rsid w:val="00C5228D"/>
    <w:rsid w:val="00C52EEA"/>
    <w:rsid w:val="00C5339F"/>
    <w:rsid w:val="00C537EE"/>
    <w:rsid w:val="00C53E3F"/>
    <w:rsid w:val="00C541D4"/>
    <w:rsid w:val="00C55877"/>
    <w:rsid w:val="00C564CB"/>
    <w:rsid w:val="00C626B5"/>
    <w:rsid w:val="00C627DA"/>
    <w:rsid w:val="00C62CA0"/>
    <w:rsid w:val="00C6300A"/>
    <w:rsid w:val="00C64F21"/>
    <w:rsid w:val="00C6558A"/>
    <w:rsid w:val="00C67FE5"/>
    <w:rsid w:val="00C73C23"/>
    <w:rsid w:val="00C73D84"/>
    <w:rsid w:val="00C76196"/>
    <w:rsid w:val="00C76382"/>
    <w:rsid w:val="00C76B80"/>
    <w:rsid w:val="00C76E7A"/>
    <w:rsid w:val="00C80F96"/>
    <w:rsid w:val="00C827AC"/>
    <w:rsid w:val="00C832C2"/>
    <w:rsid w:val="00C85C28"/>
    <w:rsid w:val="00C861B6"/>
    <w:rsid w:val="00C91BD1"/>
    <w:rsid w:val="00C92553"/>
    <w:rsid w:val="00C92E48"/>
    <w:rsid w:val="00C9372E"/>
    <w:rsid w:val="00C9395C"/>
    <w:rsid w:val="00C95E52"/>
    <w:rsid w:val="00CA00EF"/>
    <w:rsid w:val="00CA229B"/>
    <w:rsid w:val="00CA237A"/>
    <w:rsid w:val="00CA4097"/>
    <w:rsid w:val="00CA45A4"/>
    <w:rsid w:val="00CA566C"/>
    <w:rsid w:val="00CA5BAC"/>
    <w:rsid w:val="00CA64A5"/>
    <w:rsid w:val="00CA6827"/>
    <w:rsid w:val="00CA7186"/>
    <w:rsid w:val="00CA7E55"/>
    <w:rsid w:val="00CB0480"/>
    <w:rsid w:val="00CB06E3"/>
    <w:rsid w:val="00CB0ADD"/>
    <w:rsid w:val="00CB0E99"/>
    <w:rsid w:val="00CB1AD5"/>
    <w:rsid w:val="00CB1DB4"/>
    <w:rsid w:val="00CB2D72"/>
    <w:rsid w:val="00CB2E90"/>
    <w:rsid w:val="00CB699F"/>
    <w:rsid w:val="00CB6BDE"/>
    <w:rsid w:val="00CC0B29"/>
    <w:rsid w:val="00CC0C65"/>
    <w:rsid w:val="00CC1B45"/>
    <w:rsid w:val="00CC2355"/>
    <w:rsid w:val="00CC299A"/>
    <w:rsid w:val="00CC3176"/>
    <w:rsid w:val="00CC47A5"/>
    <w:rsid w:val="00CC5103"/>
    <w:rsid w:val="00CC65C4"/>
    <w:rsid w:val="00CD03B3"/>
    <w:rsid w:val="00CD0DB6"/>
    <w:rsid w:val="00CD151B"/>
    <w:rsid w:val="00CD1DF9"/>
    <w:rsid w:val="00CD23D0"/>
    <w:rsid w:val="00CD2B25"/>
    <w:rsid w:val="00CD2CFA"/>
    <w:rsid w:val="00CD3AD9"/>
    <w:rsid w:val="00CD3EBC"/>
    <w:rsid w:val="00CD6CE0"/>
    <w:rsid w:val="00CE0593"/>
    <w:rsid w:val="00CE2B0A"/>
    <w:rsid w:val="00CE2B75"/>
    <w:rsid w:val="00CE4A23"/>
    <w:rsid w:val="00CE545C"/>
    <w:rsid w:val="00CE62EB"/>
    <w:rsid w:val="00CE6FEC"/>
    <w:rsid w:val="00CF667C"/>
    <w:rsid w:val="00CF7CC8"/>
    <w:rsid w:val="00D01734"/>
    <w:rsid w:val="00D0189B"/>
    <w:rsid w:val="00D036EA"/>
    <w:rsid w:val="00D03B65"/>
    <w:rsid w:val="00D03D41"/>
    <w:rsid w:val="00D0406A"/>
    <w:rsid w:val="00D04DBF"/>
    <w:rsid w:val="00D0505A"/>
    <w:rsid w:val="00D05BA1"/>
    <w:rsid w:val="00D07FD9"/>
    <w:rsid w:val="00D10625"/>
    <w:rsid w:val="00D11659"/>
    <w:rsid w:val="00D128A7"/>
    <w:rsid w:val="00D133DF"/>
    <w:rsid w:val="00D13523"/>
    <w:rsid w:val="00D14C46"/>
    <w:rsid w:val="00D15CE9"/>
    <w:rsid w:val="00D15D71"/>
    <w:rsid w:val="00D16E0A"/>
    <w:rsid w:val="00D20535"/>
    <w:rsid w:val="00D23D65"/>
    <w:rsid w:val="00D261A4"/>
    <w:rsid w:val="00D261D8"/>
    <w:rsid w:val="00D26D10"/>
    <w:rsid w:val="00D303F3"/>
    <w:rsid w:val="00D305E4"/>
    <w:rsid w:val="00D33FA5"/>
    <w:rsid w:val="00D340C3"/>
    <w:rsid w:val="00D36334"/>
    <w:rsid w:val="00D36701"/>
    <w:rsid w:val="00D40416"/>
    <w:rsid w:val="00D40EEF"/>
    <w:rsid w:val="00D41E33"/>
    <w:rsid w:val="00D422A5"/>
    <w:rsid w:val="00D44133"/>
    <w:rsid w:val="00D450A1"/>
    <w:rsid w:val="00D47A97"/>
    <w:rsid w:val="00D47D89"/>
    <w:rsid w:val="00D51C7D"/>
    <w:rsid w:val="00D52EE3"/>
    <w:rsid w:val="00D54581"/>
    <w:rsid w:val="00D55F29"/>
    <w:rsid w:val="00D56B04"/>
    <w:rsid w:val="00D603F1"/>
    <w:rsid w:val="00D604B6"/>
    <w:rsid w:val="00D61EE9"/>
    <w:rsid w:val="00D6300F"/>
    <w:rsid w:val="00D64B8C"/>
    <w:rsid w:val="00D656F1"/>
    <w:rsid w:val="00D66520"/>
    <w:rsid w:val="00D6684F"/>
    <w:rsid w:val="00D705CD"/>
    <w:rsid w:val="00D7078F"/>
    <w:rsid w:val="00D7109B"/>
    <w:rsid w:val="00D7161F"/>
    <w:rsid w:val="00D71CED"/>
    <w:rsid w:val="00D71D09"/>
    <w:rsid w:val="00D73FCD"/>
    <w:rsid w:val="00D776A6"/>
    <w:rsid w:val="00D8005B"/>
    <w:rsid w:val="00D81CE1"/>
    <w:rsid w:val="00D85726"/>
    <w:rsid w:val="00D8581C"/>
    <w:rsid w:val="00D85F9A"/>
    <w:rsid w:val="00D87BFC"/>
    <w:rsid w:val="00D91040"/>
    <w:rsid w:val="00D926BE"/>
    <w:rsid w:val="00D938F4"/>
    <w:rsid w:val="00D945EA"/>
    <w:rsid w:val="00D94695"/>
    <w:rsid w:val="00D95000"/>
    <w:rsid w:val="00D965C8"/>
    <w:rsid w:val="00D96FC6"/>
    <w:rsid w:val="00D973B2"/>
    <w:rsid w:val="00DA1655"/>
    <w:rsid w:val="00DA1FC8"/>
    <w:rsid w:val="00DA49C3"/>
    <w:rsid w:val="00DA4BFE"/>
    <w:rsid w:val="00DA514B"/>
    <w:rsid w:val="00DA5230"/>
    <w:rsid w:val="00DA6111"/>
    <w:rsid w:val="00DA77ED"/>
    <w:rsid w:val="00DB0F85"/>
    <w:rsid w:val="00DB3569"/>
    <w:rsid w:val="00DB4728"/>
    <w:rsid w:val="00DB492F"/>
    <w:rsid w:val="00DB5231"/>
    <w:rsid w:val="00DB5404"/>
    <w:rsid w:val="00DC01A8"/>
    <w:rsid w:val="00DC1EB2"/>
    <w:rsid w:val="00DC34E4"/>
    <w:rsid w:val="00DC4B03"/>
    <w:rsid w:val="00DC54A0"/>
    <w:rsid w:val="00DC671B"/>
    <w:rsid w:val="00DC7290"/>
    <w:rsid w:val="00DD0C2E"/>
    <w:rsid w:val="00DD1865"/>
    <w:rsid w:val="00DD1A1E"/>
    <w:rsid w:val="00DD4077"/>
    <w:rsid w:val="00DD568E"/>
    <w:rsid w:val="00DD58EC"/>
    <w:rsid w:val="00DD5FD3"/>
    <w:rsid w:val="00DD7605"/>
    <w:rsid w:val="00DE0623"/>
    <w:rsid w:val="00DE0E2F"/>
    <w:rsid w:val="00DE3E20"/>
    <w:rsid w:val="00DE48E3"/>
    <w:rsid w:val="00DE4CC6"/>
    <w:rsid w:val="00DE6AF2"/>
    <w:rsid w:val="00DE7029"/>
    <w:rsid w:val="00DF0508"/>
    <w:rsid w:val="00DF26FA"/>
    <w:rsid w:val="00DF2837"/>
    <w:rsid w:val="00DF40B8"/>
    <w:rsid w:val="00DF5AF4"/>
    <w:rsid w:val="00DF743A"/>
    <w:rsid w:val="00DF7659"/>
    <w:rsid w:val="00DF7E30"/>
    <w:rsid w:val="00E01DE6"/>
    <w:rsid w:val="00E029BE"/>
    <w:rsid w:val="00E0346B"/>
    <w:rsid w:val="00E034B6"/>
    <w:rsid w:val="00E03881"/>
    <w:rsid w:val="00E03DDC"/>
    <w:rsid w:val="00E056B9"/>
    <w:rsid w:val="00E0696F"/>
    <w:rsid w:val="00E073DC"/>
    <w:rsid w:val="00E07444"/>
    <w:rsid w:val="00E07CA8"/>
    <w:rsid w:val="00E123BE"/>
    <w:rsid w:val="00E15E49"/>
    <w:rsid w:val="00E21317"/>
    <w:rsid w:val="00E22243"/>
    <w:rsid w:val="00E226E3"/>
    <w:rsid w:val="00E2355E"/>
    <w:rsid w:val="00E246B4"/>
    <w:rsid w:val="00E2690B"/>
    <w:rsid w:val="00E26E6D"/>
    <w:rsid w:val="00E27CE3"/>
    <w:rsid w:val="00E307CA"/>
    <w:rsid w:val="00E31203"/>
    <w:rsid w:val="00E319BA"/>
    <w:rsid w:val="00E31DA5"/>
    <w:rsid w:val="00E327AE"/>
    <w:rsid w:val="00E32B73"/>
    <w:rsid w:val="00E32EFC"/>
    <w:rsid w:val="00E3357C"/>
    <w:rsid w:val="00E3398B"/>
    <w:rsid w:val="00E34BC7"/>
    <w:rsid w:val="00E351DB"/>
    <w:rsid w:val="00E36072"/>
    <w:rsid w:val="00E36651"/>
    <w:rsid w:val="00E36FC0"/>
    <w:rsid w:val="00E37743"/>
    <w:rsid w:val="00E41F7C"/>
    <w:rsid w:val="00E43C47"/>
    <w:rsid w:val="00E44298"/>
    <w:rsid w:val="00E4498A"/>
    <w:rsid w:val="00E45AE8"/>
    <w:rsid w:val="00E45EB3"/>
    <w:rsid w:val="00E46833"/>
    <w:rsid w:val="00E46A51"/>
    <w:rsid w:val="00E4756D"/>
    <w:rsid w:val="00E515EB"/>
    <w:rsid w:val="00E5426D"/>
    <w:rsid w:val="00E572FF"/>
    <w:rsid w:val="00E6044B"/>
    <w:rsid w:val="00E631D3"/>
    <w:rsid w:val="00E65575"/>
    <w:rsid w:val="00E65A95"/>
    <w:rsid w:val="00E65EFF"/>
    <w:rsid w:val="00E70863"/>
    <w:rsid w:val="00E70B53"/>
    <w:rsid w:val="00E71532"/>
    <w:rsid w:val="00E7153C"/>
    <w:rsid w:val="00E71F7A"/>
    <w:rsid w:val="00E73235"/>
    <w:rsid w:val="00E738AD"/>
    <w:rsid w:val="00E73C97"/>
    <w:rsid w:val="00E73DB9"/>
    <w:rsid w:val="00E74491"/>
    <w:rsid w:val="00E74636"/>
    <w:rsid w:val="00E7746C"/>
    <w:rsid w:val="00E81699"/>
    <w:rsid w:val="00E8233B"/>
    <w:rsid w:val="00E83C71"/>
    <w:rsid w:val="00E84CA7"/>
    <w:rsid w:val="00E913DE"/>
    <w:rsid w:val="00E91439"/>
    <w:rsid w:val="00E92BDD"/>
    <w:rsid w:val="00E931E1"/>
    <w:rsid w:val="00E93EB6"/>
    <w:rsid w:val="00E94123"/>
    <w:rsid w:val="00E9507D"/>
    <w:rsid w:val="00EA0F1F"/>
    <w:rsid w:val="00EA2BE0"/>
    <w:rsid w:val="00EA2DF2"/>
    <w:rsid w:val="00EA52A0"/>
    <w:rsid w:val="00EA56F9"/>
    <w:rsid w:val="00EB0E44"/>
    <w:rsid w:val="00EB2659"/>
    <w:rsid w:val="00EB5354"/>
    <w:rsid w:val="00EB6FC1"/>
    <w:rsid w:val="00EB71E5"/>
    <w:rsid w:val="00EC1421"/>
    <w:rsid w:val="00EC18E2"/>
    <w:rsid w:val="00EC1909"/>
    <w:rsid w:val="00ED04A4"/>
    <w:rsid w:val="00ED0A42"/>
    <w:rsid w:val="00ED3B4A"/>
    <w:rsid w:val="00ED3E2C"/>
    <w:rsid w:val="00ED62EA"/>
    <w:rsid w:val="00ED7AF9"/>
    <w:rsid w:val="00EE0A1C"/>
    <w:rsid w:val="00EE19BB"/>
    <w:rsid w:val="00EE1DED"/>
    <w:rsid w:val="00EE2519"/>
    <w:rsid w:val="00EE2647"/>
    <w:rsid w:val="00EE268F"/>
    <w:rsid w:val="00EE2D44"/>
    <w:rsid w:val="00EE675C"/>
    <w:rsid w:val="00EE78F5"/>
    <w:rsid w:val="00EF0837"/>
    <w:rsid w:val="00EF09AE"/>
    <w:rsid w:val="00EF216B"/>
    <w:rsid w:val="00EF3790"/>
    <w:rsid w:val="00EF5FBA"/>
    <w:rsid w:val="00EF6100"/>
    <w:rsid w:val="00EF67D4"/>
    <w:rsid w:val="00EF6A36"/>
    <w:rsid w:val="00EF7384"/>
    <w:rsid w:val="00EF76FB"/>
    <w:rsid w:val="00EF7959"/>
    <w:rsid w:val="00F000DD"/>
    <w:rsid w:val="00F0332F"/>
    <w:rsid w:val="00F037FA"/>
    <w:rsid w:val="00F05DDC"/>
    <w:rsid w:val="00F06135"/>
    <w:rsid w:val="00F10A86"/>
    <w:rsid w:val="00F10D89"/>
    <w:rsid w:val="00F134E6"/>
    <w:rsid w:val="00F16512"/>
    <w:rsid w:val="00F21DD1"/>
    <w:rsid w:val="00F2293F"/>
    <w:rsid w:val="00F23A5D"/>
    <w:rsid w:val="00F248C4"/>
    <w:rsid w:val="00F24BFD"/>
    <w:rsid w:val="00F2619D"/>
    <w:rsid w:val="00F26FEA"/>
    <w:rsid w:val="00F31827"/>
    <w:rsid w:val="00F3474C"/>
    <w:rsid w:val="00F347B0"/>
    <w:rsid w:val="00F362C9"/>
    <w:rsid w:val="00F36BD3"/>
    <w:rsid w:val="00F4009C"/>
    <w:rsid w:val="00F401E7"/>
    <w:rsid w:val="00F41FA8"/>
    <w:rsid w:val="00F43052"/>
    <w:rsid w:val="00F47B85"/>
    <w:rsid w:val="00F5089C"/>
    <w:rsid w:val="00F5357B"/>
    <w:rsid w:val="00F5382D"/>
    <w:rsid w:val="00F53DDA"/>
    <w:rsid w:val="00F54129"/>
    <w:rsid w:val="00F549F4"/>
    <w:rsid w:val="00F54F6D"/>
    <w:rsid w:val="00F55D9A"/>
    <w:rsid w:val="00F567F5"/>
    <w:rsid w:val="00F60AA7"/>
    <w:rsid w:val="00F6140E"/>
    <w:rsid w:val="00F640DC"/>
    <w:rsid w:val="00F64B14"/>
    <w:rsid w:val="00F65084"/>
    <w:rsid w:val="00F6680D"/>
    <w:rsid w:val="00F66B30"/>
    <w:rsid w:val="00F66EE6"/>
    <w:rsid w:val="00F677A7"/>
    <w:rsid w:val="00F701AB"/>
    <w:rsid w:val="00F7159D"/>
    <w:rsid w:val="00F72CCF"/>
    <w:rsid w:val="00F7462F"/>
    <w:rsid w:val="00F75ABC"/>
    <w:rsid w:val="00F8050C"/>
    <w:rsid w:val="00F80E16"/>
    <w:rsid w:val="00F8291E"/>
    <w:rsid w:val="00F85164"/>
    <w:rsid w:val="00F85BBE"/>
    <w:rsid w:val="00F85DBB"/>
    <w:rsid w:val="00F8625F"/>
    <w:rsid w:val="00F868B0"/>
    <w:rsid w:val="00F87CCC"/>
    <w:rsid w:val="00F901DA"/>
    <w:rsid w:val="00F92D41"/>
    <w:rsid w:val="00F92ED4"/>
    <w:rsid w:val="00F936E4"/>
    <w:rsid w:val="00F9373E"/>
    <w:rsid w:val="00F93759"/>
    <w:rsid w:val="00F93ECB"/>
    <w:rsid w:val="00F94567"/>
    <w:rsid w:val="00FA0341"/>
    <w:rsid w:val="00FA201B"/>
    <w:rsid w:val="00FA2568"/>
    <w:rsid w:val="00FA3BE4"/>
    <w:rsid w:val="00FA600A"/>
    <w:rsid w:val="00FB103B"/>
    <w:rsid w:val="00FB117D"/>
    <w:rsid w:val="00FB2765"/>
    <w:rsid w:val="00FB3453"/>
    <w:rsid w:val="00FB6393"/>
    <w:rsid w:val="00FB70E3"/>
    <w:rsid w:val="00FC0355"/>
    <w:rsid w:val="00FC299C"/>
    <w:rsid w:val="00FC449E"/>
    <w:rsid w:val="00FC6134"/>
    <w:rsid w:val="00FC694B"/>
    <w:rsid w:val="00FC6D2D"/>
    <w:rsid w:val="00FC7987"/>
    <w:rsid w:val="00FC7A56"/>
    <w:rsid w:val="00FD153C"/>
    <w:rsid w:val="00FD1778"/>
    <w:rsid w:val="00FD17D3"/>
    <w:rsid w:val="00FD196B"/>
    <w:rsid w:val="00FD1CA0"/>
    <w:rsid w:val="00FD20C0"/>
    <w:rsid w:val="00FD50C3"/>
    <w:rsid w:val="00FD5CD0"/>
    <w:rsid w:val="00FD662A"/>
    <w:rsid w:val="00FD66E1"/>
    <w:rsid w:val="00FD71A8"/>
    <w:rsid w:val="00FD7B92"/>
    <w:rsid w:val="00FE2505"/>
    <w:rsid w:val="00FE286C"/>
    <w:rsid w:val="00FE2B4C"/>
    <w:rsid w:val="00FE2D63"/>
    <w:rsid w:val="00FE43D2"/>
    <w:rsid w:val="00FE444E"/>
    <w:rsid w:val="00FE541E"/>
    <w:rsid w:val="00FE553D"/>
    <w:rsid w:val="00FE7C06"/>
    <w:rsid w:val="00FF10A9"/>
    <w:rsid w:val="00FF4B20"/>
    <w:rsid w:val="00FF6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4F335"/>
  <w15:docId w15:val="{C6E92725-13C9-43F9-964D-CD44BF54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A21"/>
    <w:rPr>
      <w:rFonts w:ascii="Calibri" w:eastAsia="Times New Roman" w:hAnsi="Calibri" w:cs="Times New Roman"/>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92A21"/>
    <w:pPr>
      <w:ind w:left="720"/>
      <w:contextualSpacing/>
    </w:pPr>
    <w:rPr>
      <w:rFonts w:ascii="Times New Roman" w:hAnsi="Times New Roman"/>
      <w:szCs w:val="20"/>
    </w:rPr>
  </w:style>
  <w:style w:type="paragraph" w:customStyle="1" w:styleId="Default">
    <w:name w:val="Default"/>
    <w:rsid w:val="007343B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Fontdeparagrafimplicit"/>
    <w:uiPriority w:val="99"/>
    <w:unhideWhenUsed/>
    <w:rsid w:val="00CB0E99"/>
    <w:rPr>
      <w:color w:val="0000FF" w:themeColor="hyperlink"/>
      <w:u w:val="single"/>
    </w:rPr>
  </w:style>
  <w:style w:type="character" w:customStyle="1" w:styleId="UnresolvedMention1">
    <w:name w:val="Unresolved Mention1"/>
    <w:basedOn w:val="Fontdeparagrafimplicit"/>
    <w:uiPriority w:val="99"/>
    <w:semiHidden/>
    <w:unhideWhenUsed/>
    <w:rsid w:val="00CB0E99"/>
    <w:rPr>
      <w:color w:val="605E5C"/>
      <w:shd w:val="clear" w:color="auto" w:fill="E1DFDD"/>
    </w:rPr>
  </w:style>
  <w:style w:type="character" w:styleId="Robust">
    <w:name w:val="Strong"/>
    <w:basedOn w:val="Fontdeparagrafimplicit"/>
    <w:uiPriority w:val="22"/>
    <w:qFormat/>
    <w:rsid w:val="00DF40B8"/>
    <w:rPr>
      <w:b/>
      <w:bCs/>
    </w:rPr>
  </w:style>
  <w:style w:type="paragraph" w:styleId="TextnBalon">
    <w:name w:val="Balloon Text"/>
    <w:basedOn w:val="Normal"/>
    <w:link w:val="TextnBalonCaracter"/>
    <w:uiPriority w:val="99"/>
    <w:semiHidden/>
    <w:unhideWhenUsed/>
    <w:rsid w:val="004E5DE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E5DE0"/>
    <w:rPr>
      <w:rFonts w:ascii="Segoe UI" w:eastAsia="Times New Roman" w:hAnsi="Segoe UI" w:cs="Segoe UI"/>
      <w:sz w:val="18"/>
      <w:szCs w:val="18"/>
      <w:lang w:val="ru-RU" w:eastAsia="ru-RU"/>
    </w:rPr>
  </w:style>
  <w:style w:type="paragraph" w:styleId="NormalWeb">
    <w:name w:val="Normal (Web)"/>
    <w:basedOn w:val="Normal"/>
    <w:uiPriority w:val="99"/>
    <w:unhideWhenUsed/>
    <w:rsid w:val="000B7881"/>
    <w:pPr>
      <w:spacing w:before="100" w:beforeAutospacing="1" w:after="100" w:afterAutospacing="1" w:line="240" w:lineRule="auto"/>
    </w:pPr>
    <w:rPr>
      <w:rFonts w:ascii="Times New Roman" w:hAnsi="Times New Roman"/>
      <w:sz w:val="24"/>
      <w:szCs w:val="24"/>
      <w:lang w:val="en-US" w:eastAsia="en-US"/>
    </w:rPr>
  </w:style>
  <w:style w:type="table" w:styleId="Tabelgril">
    <w:name w:val="Table Grid"/>
    <w:basedOn w:val="TabelNormal"/>
    <w:uiPriority w:val="59"/>
    <w:rsid w:val="0065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8213">
      <w:bodyDiv w:val="1"/>
      <w:marLeft w:val="0"/>
      <w:marRight w:val="0"/>
      <w:marTop w:val="0"/>
      <w:marBottom w:val="0"/>
      <w:divBdr>
        <w:top w:val="none" w:sz="0" w:space="0" w:color="auto"/>
        <w:left w:val="none" w:sz="0" w:space="0" w:color="auto"/>
        <w:bottom w:val="none" w:sz="0" w:space="0" w:color="auto"/>
        <w:right w:val="none" w:sz="0" w:space="0" w:color="auto"/>
      </w:divBdr>
    </w:div>
    <w:div w:id="314333933">
      <w:bodyDiv w:val="1"/>
      <w:marLeft w:val="0"/>
      <w:marRight w:val="0"/>
      <w:marTop w:val="0"/>
      <w:marBottom w:val="0"/>
      <w:divBdr>
        <w:top w:val="none" w:sz="0" w:space="0" w:color="auto"/>
        <w:left w:val="none" w:sz="0" w:space="0" w:color="auto"/>
        <w:bottom w:val="none" w:sz="0" w:space="0" w:color="auto"/>
        <w:right w:val="none" w:sz="0" w:space="0" w:color="auto"/>
      </w:divBdr>
    </w:div>
    <w:div w:id="949314940">
      <w:bodyDiv w:val="1"/>
      <w:marLeft w:val="0"/>
      <w:marRight w:val="0"/>
      <w:marTop w:val="0"/>
      <w:marBottom w:val="0"/>
      <w:divBdr>
        <w:top w:val="none" w:sz="0" w:space="0" w:color="auto"/>
        <w:left w:val="none" w:sz="0" w:space="0" w:color="auto"/>
        <w:bottom w:val="none" w:sz="0" w:space="0" w:color="auto"/>
        <w:right w:val="none" w:sz="0" w:space="0" w:color="auto"/>
      </w:divBdr>
      <w:divsChild>
        <w:div w:id="854726928">
          <w:marLeft w:val="0"/>
          <w:marRight w:val="0"/>
          <w:marTop w:val="0"/>
          <w:marBottom w:val="0"/>
          <w:divBdr>
            <w:top w:val="none" w:sz="0" w:space="0" w:color="auto"/>
            <w:left w:val="none" w:sz="0" w:space="0" w:color="auto"/>
            <w:bottom w:val="none" w:sz="0" w:space="0" w:color="auto"/>
            <w:right w:val="none" w:sz="0" w:space="0" w:color="auto"/>
          </w:divBdr>
        </w:div>
        <w:div w:id="182670808">
          <w:marLeft w:val="0"/>
          <w:marRight w:val="0"/>
          <w:marTop w:val="0"/>
          <w:marBottom w:val="0"/>
          <w:divBdr>
            <w:top w:val="none" w:sz="0" w:space="0" w:color="auto"/>
            <w:left w:val="none" w:sz="0" w:space="0" w:color="auto"/>
            <w:bottom w:val="none" w:sz="0" w:space="0" w:color="auto"/>
            <w:right w:val="none" w:sz="0" w:space="0" w:color="auto"/>
          </w:divBdr>
        </w:div>
        <w:div w:id="1917667111">
          <w:marLeft w:val="0"/>
          <w:marRight w:val="0"/>
          <w:marTop w:val="0"/>
          <w:marBottom w:val="0"/>
          <w:divBdr>
            <w:top w:val="none" w:sz="0" w:space="0" w:color="auto"/>
            <w:left w:val="none" w:sz="0" w:space="0" w:color="auto"/>
            <w:bottom w:val="none" w:sz="0" w:space="0" w:color="auto"/>
            <w:right w:val="none" w:sz="0" w:space="0" w:color="auto"/>
          </w:divBdr>
        </w:div>
      </w:divsChild>
    </w:div>
    <w:div w:id="1345520866">
      <w:bodyDiv w:val="1"/>
      <w:marLeft w:val="0"/>
      <w:marRight w:val="0"/>
      <w:marTop w:val="0"/>
      <w:marBottom w:val="0"/>
      <w:divBdr>
        <w:top w:val="none" w:sz="0" w:space="0" w:color="auto"/>
        <w:left w:val="none" w:sz="0" w:space="0" w:color="auto"/>
        <w:bottom w:val="none" w:sz="0" w:space="0" w:color="auto"/>
        <w:right w:val="none" w:sz="0" w:space="0" w:color="auto"/>
      </w:divBdr>
    </w:div>
    <w:div w:id="1571963953">
      <w:bodyDiv w:val="1"/>
      <w:marLeft w:val="0"/>
      <w:marRight w:val="0"/>
      <w:marTop w:val="0"/>
      <w:marBottom w:val="0"/>
      <w:divBdr>
        <w:top w:val="none" w:sz="0" w:space="0" w:color="auto"/>
        <w:left w:val="none" w:sz="0" w:space="0" w:color="auto"/>
        <w:bottom w:val="none" w:sz="0" w:space="0" w:color="auto"/>
        <w:right w:val="none" w:sz="0" w:space="0" w:color="auto"/>
      </w:divBdr>
    </w:div>
    <w:div w:id="1610965993">
      <w:bodyDiv w:val="1"/>
      <w:marLeft w:val="0"/>
      <w:marRight w:val="0"/>
      <w:marTop w:val="0"/>
      <w:marBottom w:val="0"/>
      <w:divBdr>
        <w:top w:val="none" w:sz="0" w:space="0" w:color="auto"/>
        <w:left w:val="none" w:sz="0" w:space="0" w:color="auto"/>
        <w:bottom w:val="none" w:sz="0" w:space="0" w:color="auto"/>
        <w:right w:val="none" w:sz="0" w:space="0" w:color="auto"/>
      </w:divBdr>
    </w:div>
    <w:div w:id="1798453467">
      <w:bodyDiv w:val="1"/>
      <w:marLeft w:val="0"/>
      <w:marRight w:val="0"/>
      <w:marTop w:val="0"/>
      <w:marBottom w:val="0"/>
      <w:divBdr>
        <w:top w:val="none" w:sz="0" w:space="0" w:color="auto"/>
        <w:left w:val="none" w:sz="0" w:space="0" w:color="auto"/>
        <w:bottom w:val="none" w:sz="0" w:space="0" w:color="auto"/>
        <w:right w:val="none" w:sz="0" w:space="0" w:color="auto"/>
      </w:divBdr>
    </w:div>
    <w:div w:id="1912151293">
      <w:bodyDiv w:val="1"/>
      <w:marLeft w:val="0"/>
      <w:marRight w:val="0"/>
      <w:marTop w:val="0"/>
      <w:marBottom w:val="0"/>
      <w:divBdr>
        <w:top w:val="none" w:sz="0" w:space="0" w:color="auto"/>
        <w:left w:val="none" w:sz="0" w:space="0" w:color="auto"/>
        <w:bottom w:val="none" w:sz="0" w:space="0" w:color="auto"/>
        <w:right w:val="none" w:sz="0" w:space="0" w:color="auto"/>
      </w:divBdr>
    </w:div>
    <w:div w:id="20189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8F67C-622D-4C58-B364-14DB010E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39</Pages>
  <Words>12355</Words>
  <Characters>70429</Characters>
  <Application>Microsoft Office Word</Application>
  <DocSecurity>0</DocSecurity>
  <Lines>586</Lines>
  <Paragraphs>165</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marcela.mazarenco</dc:creator>
  <cp:lastModifiedBy>Direcția eficiență energetică</cp:lastModifiedBy>
  <cp:revision>175</cp:revision>
  <dcterms:created xsi:type="dcterms:W3CDTF">2024-06-03T06:31:00Z</dcterms:created>
  <dcterms:modified xsi:type="dcterms:W3CDTF">2025-01-31T13:43:00Z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51d84d19cdd1514ebf5289ed559ef4c0ed0098cc100f40edd77c7cf3aaa1ad05</vt:lpwstr>
  </property>
</Properties>
</file>