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904C7" w14:textId="77777777" w:rsidR="009E5D0C" w:rsidRPr="0099278F" w:rsidRDefault="009E5D0C" w:rsidP="009E5D0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5"/>
          <w:szCs w:val="25"/>
        </w:rPr>
      </w:pPr>
      <w:r w:rsidRPr="0099278F">
        <w:rPr>
          <w:b/>
          <w:sz w:val="25"/>
          <w:szCs w:val="25"/>
        </w:rPr>
        <w:t>SINTEZA</w:t>
      </w:r>
    </w:p>
    <w:p w14:paraId="427C5930" w14:textId="77777777" w:rsidR="00AE4B0E" w:rsidRPr="00AE4B0E" w:rsidRDefault="00AE4B0E" w:rsidP="00AE4B0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Cs/>
          <w:sz w:val="25"/>
          <w:szCs w:val="25"/>
          <w:u w:val="single"/>
        </w:rPr>
      </w:pPr>
      <w:bookmarkStart w:id="0" w:name="_Hlk186699205"/>
      <w:r w:rsidRPr="00AE4B0E">
        <w:rPr>
          <w:bCs/>
          <w:sz w:val="25"/>
          <w:szCs w:val="25"/>
          <w:u w:val="single"/>
        </w:rPr>
        <w:t>la proiectul Hotărârii de Guvern cu privire la aprobarea proiectului de lege pentru modificarea Legii nr. 257/2013 privind resortisanții statelor terțe care au obligația deținerii unei vize și resortisanții statelor terțe care sânt exonerați de obligativitatea deținerii unei vize la traversarea frontierei de stat a Republicii Moldova</w:t>
      </w:r>
    </w:p>
    <w:p w14:paraId="2D08DC02" w14:textId="3776533D" w:rsidR="009E5D0C" w:rsidRPr="0099278F" w:rsidRDefault="00AE4B0E" w:rsidP="00AE4B0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5"/>
          <w:szCs w:val="25"/>
        </w:rPr>
      </w:pPr>
      <w:r w:rsidRPr="00AE4B0E">
        <w:rPr>
          <w:bCs/>
          <w:sz w:val="25"/>
          <w:szCs w:val="25"/>
          <w:u w:val="single"/>
        </w:rPr>
        <w:t>(număr unic 875/MAE/2024)</w:t>
      </w:r>
    </w:p>
    <w:tbl>
      <w:tblPr>
        <w:tblStyle w:val="TableGrid"/>
        <w:tblpPr w:leftFromText="180" w:rightFromText="180" w:vertAnchor="text" w:tblpY="1"/>
        <w:tblOverlap w:val="never"/>
        <w:tblW w:w="0" w:type="auto"/>
        <w:tblLook w:val="04A0" w:firstRow="1" w:lastRow="0" w:firstColumn="1" w:lastColumn="0" w:noHBand="0" w:noVBand="1"/>
      </w:tblPr>
      <w:tblGrid>
        <w:gridCol w:w="2643"/>
        <w:gridCol w:w="1238"/>
        <w:gridCol w:w="7367"/>
        <w:gridCol w:w="2746"/>
      </w:tblGrid>
      <w:tr w:rsidR="009E5D0C" w14:paraId="0A0476EA" w14:textId="77777777" w:rsidTr="00AE4B0E">
        <w:tc>
          <w:tcPr>
            <w:tcW w:w="2643" w:type="dxa"/>
          </w:tcPr>
          <w:bookmarkEnd w:id="0"/>
          <w:p w14:paraId="1AA8B347" w14:textId="3564844E" w:rsidR="009E5D0C" w:rsidRDefault="00AE4B0E" w:rsidP="00AE4B0E">
            <w:pPr>
              <w:ind w:firstLine="0"/>
              <w:jc w:val="center"/>
            </w:pPr>
            <w:r w:rsidRPr="0099278F">
              <w:rPr>
                <w:b/>
                <w:sz w:val="25"/>
                <w:szCs w:val="25"/>
              </w:rPr>
              <w:t>Participantul la avizare, consultare publică, expertizare</w:t>
            </w:r>
          </w:p>
        </w:tc>
        <w:tc>
          <w:tcPr>
            <w:tcW w:w="1238" w:type="dxa"/>
          </w:tcPr>
          <w:p w14:paraId="54F262B0" w14:textId="6EE9723D" w:rsidR="009E5D0C" w:rsidRDefault="009E5D0C" w:rsidP="00AE4B0E">
            <w:pPr>
              <w:ind w:firstLine="0"/>
              <w:jc w:val="center"/>
            </w:pPr>
            <w:r w:rsidRPr="0099278F">
              <w:rPr>
                <w:b/>
                <w:sz w:val="25"/>
                <w:szCs w:val="25"/>
              </w:rPr>
              <w:t>Nr. crt.</w:t>
            </w:r>
          </w:p>
        </w:tc>
        <w:tc>
          <w:tcPr>
            <w:tcW w:w="7367" w:type="dxa"/>
          </w:tcPr>
          <w:p w14:paraId="77ABFE24" w14:textId="77777777" w:rsidR="009E5D0C" w:rsidRPr="009E5D0C" w:rsidRDefault="009E5D0C" w:rsidP="00AE4B0E">
            <w:pPr>
              <w:ind w:firstLine="0"/>
              <w:jc w:val="center"/>
              <w:rPr>
                <w:sz w:val="25"/>
                <w:szCs w:val="25"/>
              </w:rPr>
            </w:pPr>
            <w:r w:rsidRPr="009E5D0C">
              <w:rPr>
                <w:b/>
                <w:sz w:val="25"/>
                <w:szCs w:val="25"/>
              </w:rPr>
              <w:t>Conținutul obiecției,</w:t>
            </w:r>
          </w:p>
          <w:p w14:paraId="71C0E71B" w14:textId="1C41987A" w:rsidR="009E5D0C" w:rsidRDefault="009E5D0C" w:rsidP="00AE4B0E">
            <w:pPr>
              <w:ind w:firstLine="0"/>
              <w:jc w:val="center"/>
            </w:pPr>
            <w:r w:rsidRPr="009E5D0C">
              <w:rPr>
                <w:b/>
                <w:sz w:val="25"/>
                <w:szCs w:val="25"/>
              </w:rPr>
              <w:t>propunerii, recomandării, concluziei</w:t>
            </w:r>
          </w:p>
        </w:tc>
        <w:tc>
          <w:tcPr>
            <w:tcW w:w="2746" w:type="dxa"/>
          </w:tcPr>
          <w:p w14:paraId="5907745C" w14:textId="77777777" w:rsidR="009E5D0C" w:rsidRPr="009E5D0C" w:rsidRDefault="009E5D0C" w:rsidP="00AE4B0E">
            <w:pPr>
              <w:ind w:firstLine="0"/>
              <w:jc w:val="center"/>
              <w:rPr>
                <w:sz w:val="25"/>
                <w:szCs w:val="25"/>
              </w:rPr>
            </w:pPr>
            <w:r w:rsidRPr="009E5D0C">
              <w:rPr>
                <w:b/>
                <w:sz w:val="25"/>
                <w:szCs w:val="25"/>
              </w:rPr>
              <w:t>Argumentarea</w:t>
            </w:r>
          </w:p>
          <w:p w14:paraId="106EE99A" w14:textId="0E07DEDE" w:rsidR="009E5D0C" w:rsidRDefault="009E5D0C" w:rsidP="00AE4B0E">
            <w:pPr>
              <w:ind w:firstLine="0"/>
              <w:jc w:val="center"/>
            </w:pPr>
            <w:r w:rsidRPr="009E5D0C">
              <w:rPr>
                <w:b/>
                <w:sz w:val="25"/>
                <w:szCs w:val="25"/>
              </w:rPr>
              <w:t>autorului proiectului</w:t>
            </w:r>
          </w:p>
        </w:tc>
      </w:tr>
      <w:tr w:rsidR="009E5D0C" w14:paraId="18683BE5" w14:textId="77777777" w:rsidTr="00AE4B0E">
        <w:trPr>
          <w:trHeight w:val="386"/>
        </w:trPr>
        <w:tc>
          <w:tcPr>
            <w:tcW w:w="13994" w:type="dxa"/>
            <w:gridSpan w:val="4"/>
          </w:tcPr>
          <w:p w14:paraId="19060E88" w14:textId="5528104D" w:rsidR="009E5D0C" w:rsidRDefault="009E5D0C" w:rsidP="00AE4B0E">
            <w:pPr>
              <w:ind w:firstLine="0"/>
              <w:jc w:val="center"/>
            </w:pPr>
            <w:r w:rsidRPr="0099278F">
              <w:rPr>
                <w:sz w:val="25"/>
                <w:szCs w:val="25"/>
              </w:rPr>
              <w:t>Avizare și consultare publică</w:t>
            </w:r>
          </w:p>
        </w:tc>
      </w:tr>
      <w:tr w:rsidR="009E5D0C" w14:paraId="2F92F3FF" w14:textId="77777777" w:rsidTr="00AE4B0E">
        <w:tc>
          <w:tcPr>
            <w:tcW w:w="2643" w:type="dxa"/>
          </w:tcPr>
          <w:p w14:paraId="4D748C16" w14:textId="77777777" w:rsidR="00AE4B0E" w:rsidRPr="00AE4B0E" w:rsidRDefault="00AE4B0E" w:rsidP="00AE4B0E">
            <w:pPr>
              <w:ind w:firstLine="0"/>
              <w:jc w:val="center"/>
              <w:rPr>
                <w:b/>
                <w:bCs/>
                <w:sz w:val="25"/>
                <w:szCs w:val="25"/>
              </w:rPr>
            </w:pPr>
            <w:r w:rsidRPr="00AE4B0E">
              <w:rPr>
                <w:b/>
                <w:bCs/>
                <w:sz w:val="25"/>
                <w:szCs w:val="25"/>
              </w:rPr>
              <w:t xml:space="preserve">Centrul de Armonizare a Legislației </w:t>
            </w:r>
          </w:p>
          <w:p w14:paraId="0B2EFDA4" w14:textId="77777777" w:rsidR="00AE4B0E" w:rsidRPr="00AE4B0E" w:rsidRDefault="00AE4B0E" w:rsidP="00AE4B0E">
            <w:pPr>
              <w:ind w:firstLine="0"/>
              <w:jc w:val="center"/>
              <w:rPr>
                <w:b/>
                <w:bCs/>
                <w:sz w:val="25"/>
                <w:szCs w:val="25"/>
              </w:rPr>
            </w:pPr>
            <w:r w:rsidRPr="00AE4B0E">
              <w:rPr>
                <w:b/>
                <w:bCs/>
                <w:sz w:val="25"/>
                <w:szCs w:val="25"/>
              </w:rPr>
              <w:t>Cancelaria de Stat</w:t>
            </w:r>
          </w:p>
          <w:p w14:paraId="24C5214C" w14:textId="77777777" w:rsidR="00AE4B0E" w:rsidRPr="00AE4B0E" w:rsidRDefault="00AE4B0E" w:rsidP="00AE4B0E">
            <w:pPr>
              <w:ind w:firstLine="0"/>
              <w:jc w:val="center"/>
              <w:rPr>
                <w:sz w:val="25"/>
                <w:szCs w:val="25"/>
              </w:rPr>
            </w:pPr>
            <w:r w:rsidRPr="00AE4B0E">
              <w:rPr>
                <w:sz w:val="25"/>
                <w:szCs w:val="25"/>
              </w:rPr>
              <w:t xml:space="preserve">(nr. 31/02-69-11833 </w:t>
            </w:r>
          </w:p>
          <w:p w14:paraId="71CE746A" w14:textId="399B143C" w:rsidR="009E5D0C" w:rsidRPr="009E5D0C" w:rsidRDefault="00AE4B0E" w:rsidP="00AE4B0E">
            <w:pPr>
              <w:ind w:firstLine="0"/>
              <w:jc w:val="center"/>
              <w:rPr>
                <w:sz w:val="25"/>
                <w:szCs w:val="25"/>
              </w:rPr>
            </w:pPr>
            <w:r w:rsidRPr="008B4655">
              <w:rPr>
                <w:sz w:val="25"/>
                <w:szCs w:val="25"/>
              </w:rPr>
              <w:t>din 24 octombrie 2024)</w:t>
            </w:r>
          </w:p>
        </w:tc>
        <w:tc>
          <w:tcPr>
            <w:tcW w:w="1238" w:type="dxa"/>
          </w:tcPr>
          <w:p w14:paraId="1854F781" w14:textId="47F9765E" w:rsidR="009E5D0C" w:rsidRPr="009E5D0C" w:rsidRDefault="009E5D0C" w:rsidP="00AE4B0E">
            <w:pPr>
              <w:ind w:firstLine="0"/>
              <w:jc w:val="center"/>
              <w:rPr>
                <w:sz w:val="25"/>
                <w:szCs w:val="25"/>
              </w:rPr>
            </w:pPr>
            <w:r w:rsidRPr="009E5D0C">
              <w:rPr>
                <w:sz w:val="25"/>
                <w:szCs w:val="25"/>
              </w:rPr>
              <w:t>1.</w:t>
            </w:r>
          </w:p>
        </w:tc>
        <w:tc>
          <w:tcPr>
            <w:tcW w:w="7367" w:type="dxa"/>
          </w:tcPr>
          <w:p w14:paraId="0EA7C00C" w14:textId="7DE09E7D" w:rsidR="009E5D0C" w:rsidRDefault="00AE4B0E" w:rsidP="00AE4B0E">
            <w:pPr>
              <w:ind w:firstLine="0"/>
            </w:pPr>
            <w:r w:rsidRPr="00AE4B0E">
              <w:rPr>
                <w:sz w:val="25"/>
                <w:szCs w:val="25"/>
              </w:rPr>
              <w:t>Ca urmare a analizei completărilor legislative propuse, în speță, modificarea regimului de vize pentru resortisanții Republicii Ecuador și Republicii Cuba, menționăm că acestea nu contravin dispozițiilor art. 3 și Anexei I din Regulamentul (UE) 2018/1806. Totodată, modificările propuse privind introducerea excepției de la obligativitatea vizei a posesorilor de pașapoarte diplomatice, de serviciu și speciale pentru resortisanții Republicii Arabe Egipt și Republicii India, nu contravin art. 6 (1) (a) din Regulamentul (UE) 2018/1806.</w:t>
            </w:r>
          </w:p>
        </w:tc>
        <w:tc>
          <w:tcPr>
            <w:tcW w:w="2746" w:type="dxa"/>
          </w:tcPr>
          <w:p w14:paraId="5561D5CD" w14:textId="6C36967A" w:rsidR="009E5D0C" w:rsidRPr="009E5D0C" w:rsidRDefault="009E5D0C" w:rsidP="002B071C">
            <w:pPr>
              <w:pBdr>
                <w:top w:val="none" w:sz="4" w:space="0" w:color="000000"/>
                <w:left w:val="none" w:sz="4" w:space="0" w:color="000000"/>
                <w:bottom w:val="none" w:sz="4" w:space="0" w:color="000000"/>
                <w:right w:val="none" w:sz="4" w:space="0" w:color="000000"/>
              </w:pBdr>
              <w:ind w:firstLine="0"/>
              <w:rPr>
                <w:b/>
                <w:bCs/>
                <w:sz w:val="25"/>
                <w:szCs w:val="25"/>
              </w:rPr>
            </w:pPr>
            <w:r w:rsidRPr="009E5D0C">
              <w:rPr>
                <w:b/>
                <w:bCs/>
                <w:sz w:val="25"/>
                <w:szCs w:val="25"/>
              </w:rPr>
              <w:t xml:space="preserve">Se </w:t>
            </w:r>
            <w:r w:rsidR="00676A54">
              <w:rPr>
                <w:b/>
                <w:bCs/>
                <w:sz w:val="25"/>
                <w:szCs w:val="25"/>
              </w:rPr>
              <w:t>acceptă</w:t>
            </w:r>
          </w:p>
          <w:p w14:paraId="547F37F7" w14:textId="25540C31" w:rsidR="009E5D0C" w:rsidRDefault="009E5D0C" w:rsidP="002B071C">
            <w:pPr>
              <w:ind w:firstLine="0"/>
            </w:pPr>
            <w:r w:rsidRPr="009E5D0C">
              <w:rPr>
                <w:i/>
                <w:iCs/>
                <w:sz w:val="25"/>
                <w:szCs w:val="25"/>
              </w:rPr>
              <w:t>(nu necesită intervenție)</w:t>
            </w:r>
          </w:p>
        </w:tc>
      </w:tr>
      <w:tr w:rsidR="00AE4B0E" w14:paraId="64745CD6" w14:textId="77777777" w:rsidTr="00AE4B0E">
        <w:tc>
          <w:tcPr>
            <w:tcW w:w="2643" w:type="dxa"/>
            <w:vMerge w:val="restart"/>
          </w:tcPr>
          <w:p w14:paraId="1A372D37" w14:textId="77777777" w:rsidR="00AE4B0E" w:rsidRPr="00AE4B0E" w:rsidRDefault="00AE4B0E" w:rsidP="00AE4B0E">
            <w:pPr>
              <w:ind w:firstLine="0"/>
              <w:jc w:val="center"/>
              <w:rPr>
                <w:b/>
                <w:bCs/>
                <w:sz w:val="25"/>
                <w:szCs w:val="25"/>
              </w:rPr>
            </w:pPr>
            <w:r w:rsidRPr="00AE4B0E">
              <w:rPr>
                <w:b/>
                <w:bCs/>
                <w:sz w:val="25"/>
                <w:szCs w:val="25"/>
              </w:rPr>
              <w:t xml:space="preserve">Ministerul Finanțelor </w:t>
            </w:r>
          </w:p>
          <w:p w14:paraId="51CE479C" w14:textId="77777777" w:rsidR="00AE4B0E" w:rsidRPr="00AE4B0E" w:rsidRDefault="00AE4B0E" w:rsidP="00AE4B0E">
            <w:pPr>
              <w:ind w:firstLine="0"/>
              <w:jc w:val="center"/>
              <w:rPr>
                <w:sz w:val="25"/>
                <w:szCs w:val="25"/>
              </w:rPr>
            </w:pPr>
            <w:r w:rsidRPr="00AE4B0E">
              <w:rPr>
                <w:sz w:val="25"/>
                <w:szCs w:val="25"/>
              </w:rPr>
              <w:t>(nr. 07/3-03-193/1683</w:t>
            </w:r>
          </w:p>
          <w:p w14:paraId="35E8B20F" w14:textId="719E0116" w:rsidR="00AE4B0E" w:rsidRPr="009E5D0C" w:rsidRDefault="00AE4B0E" w:rsidP="00AE4B0E">
            <w:pPr>
              <w:ind w:firstLine="0"/>
              <w:jc w:val="center"/>
              <w:rPr>
                <w:sz w:val="25"/>
                <w:szCs w:val="25"/>
              </w:rPr>
            </w:pPr>
            <w:r w:rsidRPr="00AE4B0E">
              <w:rPr>
                <w:sz w:val="25"/>
                <w:szCs w:val="25"/>
              </w:rPr>
              <w:t>din 25 octombrie 2024)</w:t>
            </w:r>
          </w:p>
        </w:tc>
        <w:tc>
          <w:tcPr>
            <w:tcW w:w="1238" w:type="dxa"/>
          </w:tcPr>
          <w:p w14:paraId="3B03BDAB" w14:textId="767B3041" w:rsidR="00AE4B0E" w:rsidRDefault="00AE4B0E" w:rsidP="00AE4B0E">
            <w:pPr>
              <w:ind w:firstLine="0"/>
              <w:jc w:val="center"/>
              <w:rPr>
                <w:sz w:val="25"/>
                <w:szCs w:val="25"/>
              </w:rPr>
            </w:pPr>
            <w:r>
              <w:rPr>
                <w:sz w:val="25"/>
                <w:szCs w:val="25"/>
              </w:rPr>
              <w:t>2.</w:t>
            </w:r>
          </w:p>
        </w:tc>
        <w:tc>
          <w:tcPr>
            <w:tcW w:w="7367" w:type="dxa"/>
          </w:tcPr>
          <w:p w14:paraId="19902942" w14:textId="40EB0B7C" w:rsidR="00AE4B0E" w:rsidRPr="008D12E8" w:rsidRDefault="00AE4B0E" w:rsidP="00AE4B0E">
            <w:pPr>
              <w:ind w:firstLine="0"/>
              <w:rPr>
                <w:sz w:val="25"/>
                <w:szCs w:val="25"/>
              </w:rPr>
            </w:pPr>
            <w:r w:rsidRPr="00AE4B0E">
              <w:rPr>
                <w:sz w:val="25"/>
                <w:szCs w:val="25"/>
              </w:rPr>
              <w:t>Prin prezenta, cu referire la solicitarea Cancelariei de Stat nr. 18-69-11187 din 07.10.2024 privind examinarea proiectului de lege pentru modificarea Legii nr.257/2013 privind resortisanții statelor terțe care au obligația deținerii unei vize și resortisanții statelor terțe care sunt exonerați de obligativitatea deținerii unei vize la traversarea frontierei de stat a Republicii Moldova (număr unic 875/MAE/2024), Ministerul Finanțelor comunică despre susținerea de principiu a proiectului.</w:t>
            </w:r>
          </w:p>
        </w:tc>
        <w:tc>
          <w:tcPr>
            <w:tcW w:w="2746" w:type="dxa"/>
          </w:tcPr>
          <w:p w14:paraId="1E42824F" w14:textId="52F351A0" w:rsidR="00AE4B0E" w:rsidRPr="00AE4B0E" w:rsidRDefault="00AE4B0E" w:rsidP="002B071C">
            <w:pPr>
              <w:pBdr>
                <w:top w:val="none" w:sz="4" w:space="0" w:color="000000"/>
                <w:left w:val="none" w:sz="4" w:space="0" w:color="000000"/>
                <w:bottom w:val="none" w:sz="4" w:space="0" w:color="000000"/>
                <w:right w:val="none" w:sz="4" w:space="0" w:color="000000"/>
              </w:pBdr>
              <w:ind w:firstLine="0"/>
              <w:rPr>
                <w:b/>
                <w:bCs/>
                <w:sz w:val="25"/>
                <w:szCs w:val="25"/>
                <w:lang w:val="ro-RO"/>
              </w:rPr>
            </w:pPr>
            <w:r w:rsidRPr="00AE4B0E">
              <w:rPr>
                <w:b/>
                <w:bCs/>
                <w:sz w:val="25"/>
                <w:szCs w:val="25"/>
                <w:lang w:val="ro-RO"/>
              </w:rPr>
              <w:t xml:space="preserve">Se </w:t>
            </w:r>
            <w:r>
              <w:rPr>
                <w:b/>
                <w:bCs/>
                <w:sz w:val="25"/>
                <w:szCs w:val="25"/>
                <w:lang w:val="ro-RO"/>
              </w:rPr>
              <w:t>acceptă</w:t>
            </w:r>
            <w:r w:rsidRPr="00AE4B0E">
              <w:rPr>
                <w:b/>
                <w:bCs/>
                <w:sz w:val="25"/>
                <w:szCs w:val="25"/>
                <w:lang w:val="ro-RO"/>
              </w:rPr>
              <w:t>.</w:t>
            </w:r>
          </w:p>
          <w:p w14:paraId="4A8B7E2D" w14:textId="788DD122" w:rsidR="00AE4B0E" w:rsidRPr="00786D2F" w:rsidRDefault="00AE4B0E" w:rsidP="002B071C">
            <w:pPr>
              <w:pBdr>
                <w:top w:val="none" w:sz="4" w:space="0" w:color="000000"/>
                <w:left w:val="none" w:sz="4" w:space="0" w:color="000000"/>
                <w:bottom w:val="none" w:sz="4" w:space="0" w:color="000000"/>
                <w:right w:val="none" w:sz="4" w:space="0" w:color="000000"/>
              </w:pBdr>
              <w:ind w:firstLine="0"/>
              <w:rPr>
                <w:sz w:val="25"/>
                <w:szCs w:val="25"/>
              </w:rPr>
            </w:pPr>
            <w:r w:rsidRPr="00AE4B0E">
              <w:rPr>
                <w:i/>
                <w:iCs/>
                <w:sz w:val="25"/>
                <w:szCs w:val="25"/>
                <w:lang w:val="ro-RO"/>
              </w:rPr>
              <w:t>(nu necesită intervenție)</w:t>
            </w:r>
          </w:p>
        </w:tc>
      </w:tr>
      <w:tr w:rsidR="00AE4B0E" w14:paraId="72FF6AB3" w14:textId="77777777" w:rsidTr="00AE4B0E">
        <w:tc>
          <w:tcPr>
            <w:tcW w:w="2643" w:type="dxa"/>
            <w:vMerge/>
          </w:tcPr>
          <w:p w14:paraId="6D90C590" w14:textId="77777777" w:rsidR="00AE4B0E" w:rsidRPr="00AE4B0E" w:rsidRDefault="00AE4B0E" w:rsidP="00AE4B0E">
            <w:pPr>
              <w:ind w:firstLine="0"/>
              <w:jc w:val="center"/>
              <w:rPr>
                <w:b/>
                <w:bCs/>
                <w:sz w:val="25"/>
                <w:szCs w:val="25"/>
              </w:rPr>
            </w:pPr>
          </w:p>
        </w:tc>
        <w:tc>
          <w:tcPr>
            <w:tcW w:w="1238" w:type="dxa"/>
          </w:tcPr>
          <w:p w14:paraId="65F80F1C" w14:textId="58DDEE02" w:rsidR="00AE4B0E" w:rsidRDefault="00AE4B0E" w:rsidP="00AE4B0E">
            <w:pPr>
              <w:ind w:firstLine="0"/>
              <w:jc w:val="center"/>
              <w:rPr>
                <w:sz w:val="25"/>
                <w:szCs w:val="25"/>
              </w:rPr>
            </w:pPr>
            <w:r>
              <w:rPr>
                <w:sz w:val="25"/>
                <w:szCs w:val="25"/>
              </w:rPr>
              <w:t>3.</w:t>
            </w:r>
          </w:p>
        </w:tc>
        <w:tc>
          <w:tcPr>
            <w:tcW w:w="7367" w:type="dxa"/>
          </w:tcPr>
          <w:p w14:paraId="7868914A" w14:textId="6A7AFE89" w:rsidR="00AE4B0E" w:rsidRPr="00AE4B0E" w:rsidRDefault="00AE4B0E" w:rsidP="00AE4B0E">
            <w:pPr>
              <w:ind w:firstLine="0"/>
              <w:rPr>
                <w:sz w:val="25"/>
                <w:szCs w:val="25"/>
              </w:rPr>
            </w:pPr>
            <w:r w:rsidRPr="00AE4B0E">
              <w:rPr>
                <w:sz w:val="25"/>
                <w:szCs w:val="25"/>
              </w:rPr>
              <w:t>Suplimentar, menționăm că la pct. 4. 2 privind impactului financiar din Nota de fundamentare, conform notelor statuate în cadrul Anexei nr.1 din Legea nr.100/2017, autorul urmează să estimeze costurile de implementare a proiectului, și anume impactul asupra bugetului de stat de la încasarea / neîncasarea taxelor pentru eliberarea vizelor în rezultatul introducerii/abolirii regimului de vize.</w:t>
            </w:r>
          </w:p>
        </w:tc>
        <w:tc>
          <w:tcPr>
            <w:tcW w:w="2746" w:type="dxa"/>
          </w:tcPr>
          <w:p w14:paraId="730BC20B" w14:textId="77777777" w:rsidR="00AE4B0E" w:rsidRPr="00AE4B0E" w:rsidRDefault="00AE4B0E" w:rsidP="002B071C">
            <w:pPr>
              <w:pBdr>
                <w:top w:val="none" w:sz="4" w:space="0" w:color="000000"/>
                <w:left w:val="none" w:sz="4" w:space="0" w:color="000000"/>
                <w:bottom w:val="none" w:sz="4" w:space="0" w:color="000000"/>
                <w:right w:val="none" w:sz="4" w:space="0" w:color="000000"/>
              </w:pBdr>
              <w:ind w:firstLine="0"/>
              <w:rPr>
                <w:b/>
                <w:bCs/>
                <w:sz w:val="25"/>
                <w:szCs w:val="25"/>
              </w:rPr>
            </w:pPr>
            <w:r w:rsidRPr="00AE4B0E">
              <w:rPr>
                <w:b/>
                <w:bCs/>
                <w:sz w:val="25"/>
                <w:szCs w:val="25"/>
              </w:rPr>
              <w:t>Se acceptă.</w:t>
            </w:r>
          </w:p>
          <w:p w14:paraId="5E9AC834" w14:textId="252021B3" w:rsidR="00AE4B0E" w:rsidRPr="00AE4B0E" w:rsidRDefault="00AE4B0E" w:rsidP="002B071C">
            <w:pPr>
              <w:pBdr>
                <w:top w:val="none" w:sz="4" w:space="0" w:color="000000"/>
                <w:left w:val="none" w:sz="4" w:space="0" w:color="000000"/>
                <w:bottom w:val="none" w:sz="4" w:space="0" w:color="000000"/>
                <w:right w:val="none" w:sz="4" w:space="0" w:color="000000"/>
              </w:pBdr>
              <w:ind w:firstLine="0"/>
              <w:rPr>
                <w:sz w:val="25"/>
                <w:szCs w:val="25"/>
                <w:lang w:val="ro-RO"/>
              </w:rPr>
            </w:pPr>
            <w:r w:rsidRPr="00AE4B0E">
              <w:rPr>
                <w:i/>
                <w:iCs/>
                <w:sz w:val="25"/>
                <w:szCs w:val="25"/>
              </w:rPr>
              <w:t>(Nota de fundamentare a fost ajustată)</w:t>
            </w:r>
          </w:p>
        </w:tc>
      </w:tr>
      <w:tr w:rsidR="008A1C9B" w14:paraId="4AB4EBAB" w14:textId="77777777" w:rsidTr="00AE4B0E">
        <w:tc>
          <w:tcPr>
            <w:tcW w:w="2643" w:type="dxa"/>
            <w:vMerge w:val="restart"/>
          </w:tcPr>
          <w:p w14:paraId="7C4B71F4" w14:textId="77777777" w:rsidR="008A1C9B" w:rsidRPr="00AE4B0E" w:rsidRDefault="008A1C9B" w:rsidP="00AE4B0E">
            <w:pPr>
              <w:ind w:firstLine="0"/>
              <w:jc w:val="center"/>
              <w:rPr>
                <w:b/>
                <w:bCs/>
                <w:sz w:val="25"/>
                <w:szCs w:val="25"/>
              </w:rPr>
            </w:pPr>
            <w:r w:rsidRPr="00AE4B0E">
              <w:rPr>
                <w:b/>
                <w:bCs/>
                <w:sz w:val="25"/>
                <w:szCs w:val="25"/>
              </w:rPr>
              <w:t>Ministerul Afacerilor Interne</w:t>
            </w:r>
          </w:p>
          <w:p w14:paraId="755F8AA9" w14:textId="77777777" w:rsidR="008A1C9B" w:rsidRPr="00AE4B0E" w:rsidRDefault="008A1C9B" w:rsidP="00AE4B0E">
            <w:pPr>
              <w:ind w:firstLine="0"/>
              <w:jc w:val="center"/>
              <w:rPr>
                <w:sz w:val="25"/>
                <w:szCs w:val="25"/>
              </w:rPr>
            </w:pPr>
            <w:r w:rsidRPr="00AE4B0E">
              <w:rPr>
                <w:sz w:val="25"/>
                <w:szCs w:val="25"/>
              </w:rPr>
              <w:t>(nr. 40/4185</w:t>
            </w:r>
          </w:p>
          <w:p w14:paraId="1E3853C6" w14:textId="6D575A52" w:rsidR="008A1C9B" w:rsidRPr="007A4E26" w:rsidRDefault="008A1C9B" w:rsidP="00AE4B0E">
            <w:pPr>
              <w:ind w:firstLine="0"/>
              <w:jc w:val="center"/>
              <w:rPr>
                <w:sz w:val="25"/>
                <w:szCs w:val="25"/>
              </w:rPr>
            </w:pPr>
            <w:r w:rsidRPr="00AE4B0E">
              <w:rPr>
                <w:sz w:val="25"/>
                <w:szCs w:val="25"/>
              </w:rPr>
              <w:t>din 23 octombrie 2024)</w:t>
            </w:r>
          </w:p>
        </w:tc>
        <w:tc>
          <w:tcPr>
            <w:tcW w:w="1238" w:type="dxa"/>
          </w:tcPr>
          <w:p w14:paraId="71F2A413" w14:textId="776C337F" w:rsidR="008A1C9B" w:rsidRDefault="008A1C9B" w:rsidP="00AE4B0E">
            <w:pPr>
              <w:ind w:firstLine="0"/>
              <w:jc w:val="center"/>
              <w:rPr>
                <w:sz w:val="25"/>
                <w:szCs w:val="25"/>
              </w:rPr>
            </w:pPr>
            <w:r>
              <w:rPr>
                <w:sz w:val="25"/>
                <w:szCs w:val="25"/>
              </w:rPr>
              <w:t>4.</w:t>
            </w:r>
          </w:p>
        </w:tc>
        <w:tc>
          <w:tcPr>
            <w:tcW w:w="7367" w:type="dxa"/>
          </w:tcPr>
          <w:p w14:paraId="048D623E" w14:textId="2F847C71" w:rsidR="008A1C9B" w:rsidRPr="009E5D0C" w:rsidRDefault="008A1C9B" w:rsidP="00AE4B0E">
            <w:pPr>
              <w:ind w:firstLine="0"/>
              <w:rPr>
                <w:sz w:val="25"/>
                <w:szCs w:val="25"/>
              </w:rPr>
            </w:pPr>
            <w:r w:rsidRPr="00AE4B0E">
              <w:rPr>
                <w:sz w:val="25"/>
                <w:szCs w:val="25"/>
              </w:rPr>
              <w:t xml:space="preserve">Se constată o omisiune referitor la Statul Qatar, or la 12 iunie 2022 a fost semnat Acordul între Guvernul Republicii Moldova și Guvernul Statului Qatar privind abolirea vizelor de scurtă ședere pentru titularii pașapoartelor ordinare, ratificat prin Legea nr.269/2022. Acest Acord </w:t>
            </w:r>
            <w:r w:rsidRPr="00AE4B0E">
              <w:rPr>
                <w:sz w:val="25"/>
                <w:szCs w:val="25"/>
              </w:rPr>
              <w:lastRenderedPageBreak/>
              <w:t>este în prezent în vigoare și permite cetățenilor acestui stat să călătorească fără vize în Republica Moldova pentru sejururi de scurtă durată. Astfel, propunem actualizarea corespunzătoare a Anexei nr. 1.</w:t>
            </w:r>
          </w:p>
        </w:tc>
        <w:tc>
          <w:tcPr>
            <w:tcW w:w="2746" w:type="dxa"/>
          </w:tcPr>
          <w:p w14:paraId="3EFEA962" w14:textId="44E4202D" w:rsidR="008A1C9B" w:rsidRPr="008B4655" w:rsidRDefault="008A1C9B" w:rsidP="00AE4B0E">
            <w:pPr>
              <w:pBdr>
                <w:top w:val="none" w:sz="4" w:space="0" w:color="000000"/>
                <w:left w:val="none" w:sz="4" w:space="0" w:color="000000"/>
                <w:bottom w:val="none" w:sz="4" w:space="0" w:color="000000"/>
                <w:right w:val="none" w:sz="4" w:space="0" w:color="000000"/>
              </w:pBdr>
              <w:ind w:firstLine="0"/>
              <w:jc w:val="left"/>
              <w:rPr>
                <w:b/>
                <w:bCs/>
                <w:sz w:val="25"/>
                <w:szCs w:val="25"/>
              </w:rPr>
            </w:pPr>
            <w:r w:rsidRPr="008B4655">
              <w:rPr>
                <w:i/>
                <w:iCs/>
                <w:sz w:val="25"/>
                <w:szCs w:val="25"/>
                <w:u w:val="single"/>
              </w:rPr>
              <w:lastRenderedPageBreak/>
              <w:t>Precizare</w:t>
            </w:r>
            <w:r w:rsidRPr="008B4655">
              <w:rPr>
                <w:i/>
                <w:iCs/>
                <w:sz w:val="25"/>
                <w:szCs w:val="25"/>
              </w:rPr>
              <w:t xml:space="preserve">: </w:t>
            </w:r>
            <w:r w:rsidRPr="008B4655">
              <w:rPr>
                <w:sz w:val="25"/>
                <w:szCs w:val="25"/>
              </w:rPr>
              <w:t xml:space="preserve">deși MAE susține propunerea MAI, în acest sens în 2023 fiind inițiat proiectul </w:t>
            </w:r>
            <w:r w:rsidRPr="008B4655">
              <w:rPr>
                <w:sz w:val="25"/>
                <w:szCs w:val="25"/>
              </w:rPr>
              <w:lastRenderedPageBreak/>
              <w:t>corespunzător de modificare a Legii nr. 257/2013 (</w:t>
            </w:r>
            <w:r w:rsidRPr="008B4655">
              <w:rPr>
                <w:b/>
                <w:bCs/>
                <w:sz w:val="25"/>
                <w:szCs w:val="25"/>
              </w:rPr>
              <w:t>număr unic 170/MAE/2023</w:t>
            </w:r>
            <w:r w:rsidRPr="008B4655">
              <w:rPr>
                <w:sz w:val="25"/>
                <w:szCs w:val="25"/>
              </w:rPr>
              <w:t>), în procesul avizării Centrul de armonizare a legislației a avizat negativ proiectul menționat (2 avize negative:</w:t>
            </w:r>
            <w:r w:rsidRPr="008B4655">
              <w:rPr>
                <w:i/>
                <w:iCs/>
                <w:sz w:val="25"/>
                <w:szCs w:val="25"/>
              </w:rPr>
              <w:t xml:space="preserve"> 31/02-69-2820 din 16 martie 2023 și 1/02-69-7144 din 6 iulie 2023</w:t>
            </w:r>
            <w:r w:rsidRPr="008B4655">
              <w:rPr>
                <w:rStyle w:val="FootnoteReference"/>
                <w:rFonts w:eastAsiaTheme="majorEastAsia"/>
                <w:i/>
                <w:iCs/>
                <w:sz w:val="25"/>
                <w:szCs w:val="25"/>
              </w:rPr>
              <w:footnoteReference w:id="1"/>
            </w:r>
            <w:r w:rsidRPr="008B4655">
              <w:rPr>
                <w:sz w:val="25"/>
                <w:szCs w:val="25"/>
              </w:rPr>
              <w:t>), ceea ce a împiedicat promovarea proiectului la CS pentru includerea în ordinea de zi a ședinței de Guvern pentru aprobare.</w:t>
            </w:r>
          </w:p>
        </w:tc>
      </w:tr>
      <w:tr w:rsidR="008A1C9B" w14:paraId="76706F8E" w14:textId="77777777" w:rsidTr="00AE4B0E">
        <w:tc>
          <w:tcPr>
            <w:tcW w:w="2643" w:type="dxa"/>
            <w:vMerge/>
          </w:tcPr>
          <w:p w14:paraId="4D0F90BA" w14:textId="77777777" w:rsidR="008A1C9B" w:rsidRPr="00AE4B0E" w:rsidRDefault="008A1C9B" w:rsidP="00AE4B0E">
            <w:pPr>
              <w:ind w:firstLine="0"/>
              <w:jc w:val="center"/>
              <w:rPr>
                <w:b/>
                <w:bCs/>
                <w:sz w:val="25"/>
                <w:szCs w:val="25"/>
              </w:rPr>
            </w:pPr>
          </w:p>
        </w:tc>
        <w:tc>
          <w:tcPr>
            <w:tcW w:w="1238" w:type="dxa"/>
          </w:tcPr>
          <w:p w14:paraId="69301FE3" w14:textId="710CC9E0" w:rsidR="008A1C9B" w:rsidRDefault="008A1C9B" w:rsidP="00AE4B0E">
            <w:pPr>
              <w:ind w:firstLine="0"/>
              <w:jc w:val="center"/>
              <w:rPr>
                <w:sz w:val="25"/>
                <w:szCs w:val="25"/>
              </w:rPr>
            </w:pPr>
            <w:r>
              <w:rPr>
                <w:sz w:val="25"/>
                <w:szCs w:val="25"/>
              </w:rPr>
              <w:t>5.</w:t>
            </w:r>
          </w:p>
        </w:tc>
        <w:tc>
          <w:tcPr>
            <w:tcW w:w="7367" w:type="dxa"/>
          </w:tcPr>
          <w:p w14:paraId="2CCE502F" w14:textId="77777777" w:rsidR="008A1C9B" w:rsidRPr="00AE4B0E" w:rsidRDefault="008A1C9B" w:rsidP="00AE4B0E">
            <w:pPr>
              <w:ind w:firstLine="0"/>
              <w:rPr>
                <w:sz w:val="25"/>
                <w:szCs w:val="25"/>
              </w:rPr>
            </w:pPr>
            <w:r w:rsidRPr="00AE4B0E">
              <w:rPr>
                <w:sz w:val="25"/>
                <w:szCs w:val="25"/>
              </w:rPr>
              <w:t xml:space="preserve">Se propune excluderea indicelui 2 din Anexa nr. 1 la următoarele 29 de state: Republica Angola, Republica Benin, Regatul Bhutan, Republica Botswana, Birmania/Republica Uniunea Myanmar, Republica Burundi, Republica Centrafricană, Republica Djibouti, Republica Guineea Ecuatorială, Republica Federală Democratică a Etiopiei, Republica Gambia, Republica Guineea, Republica Guineea-Bissau, Republica Kenya, Republica Populară Democrată Laos, Regatul Lesotho, Republica Malawi, Republica Mozambic, Republica Namibia, Republica Federală Democrată Nepal, Republica Filipine, Republica Rwanda, Republica Senegal, Republica Democratică Socialistă Sri </w:t>
            </w:r>
            <w:r w:rsidRPr="00AE4B0E">
              <w:rPr>
                <w:sz w:val="25"/>
                <w:szCs w:val="25"/>
              </w:rPr>
              <w:lastRenderedPageBreak/>
              <w:t xml:space="preserve">Lanka, Republica Suriname, Republica Unită Tanzania, Republica Uganda, Republica Zambia și Republica Zimbabwe. </w:t>
            </w:r>
          </w:p>
          <w:p w14:paraId="76442C04" w14:textId="01E6D5BF" w:rsidR="008A1C9B" w:rsidRPr="00AE4B0E" w:rsidRDefault="008A1C9B" w:rsidP="00AE4B0E">
            <w:pPr>
              <w:ind w:firstLine="0"/>
              <w:rPr>
                <w:sz w:val="25"/>
                <w:szCs w:val="25"/>
              </w:rPr>
            </w:pPr>
            <w:r w:rsidRPr="00AE4B0E">
              <w:rPr>
                <w:sz w:val="25"/>
                <w:szCs w:val="25"/>
              </w:rPr>
              <w:t xml:space="preserve">Propunerea data rezidă din faptul că acestea sunt incluse în lista statelor ai căror cetățeni necesită invitații pentru perfectarea vizei de intrare în Republica Moldova conform Hotărârii de Guvern nr. 331/2011 cu privire la eliberarea invitațiilor pentru străini, respectiv, se impune necesitatea de uniformizare a cadrului normativ </w:t>
            </w:r>
            <w:proofErr w:type="spellStart"/>
            <w:r w:rsidRPr="00AE4B0E">
              <w:rPr>
                <w:sz w:val="25"/>
                <w:szCs w:val="25"/>
              </w:rPr>
              <w:t>regulatoriu</w:t>
            </w:r>
            <w:proofErr w:type="spellEnd"/>
            <w:r w:rsidRPr="00AE4B0E">
              <w:rPr>
                <w:sz w:val="25"/>
                <w:szCs w:val="25"/>
              </w:rPr>
              <w:t xml:space="preserve"> care stabilește eliberarea de vize cetățenilor din statele enumerate supra.</w:t>
            </w:r>
          </w:p>
        </w:tc>
        <w:tc>
          <w:tcPr>
            <w:tcW w:w="2746" w:type="dxa"/>
          </w:tcPr>
          <w:p w14:paraId="30598C84" w14:textId="183FCC88" w:rsidR="008A1C9B" w:rsidRPr="00D679F8" w:rsidRDefault="008A1C9B" w:rsidP="00D679F8">
            <w:pPr>
              <w:pBdr>
                <w:top w:val="none" w:sz="4" w:space="0" w:color="000000"/>
                <w:left w:val="none" w:sz="4" w:space="0" w:color="000000"/>
                <w:bottom w:val="none" w:sz="4" w:space="0" w:color="000000"/>
                <w:right w:val="none" w:sz="4" w:space="0" w:color="000000"/>
              </w:pBdr>
              <w:ind w:firstLine="0"/>
              <w:rPr>
                <w:i/>
                <w:iCs/>
                <w:sz w:val="25"/>
                <w:szCs w:val="25"/>
                <w:u w:val="single"/>
              </w:rPr>
            </w:pPr>
            <w:r w:rsidRPr="00D679F8">
              <w:rPr>
                <w:i/>
                <w:iCs/>
                <w:sz w:val="25"/>
                <w:szCs w:val="25"/>
              </w:rPr>
              <w:lastRenderedPageBreak/>
              <w:t>Precizare:</w:t>
            </w:r>
            <w:r w:rsidRPr="00D679F8">
              <w:rPr>
                <w:sz w:val="25"/>
                <w:szCs w:val="25"/>
              </w:rPr>
              <w:t xml:space="preserve"> propunerea MAI excedă obiectul de reglementare al proiectului supus procedurii de avizare. Mai mult ca atât, hotărâri ale Guvernului se adoptă pentru asigurarea executării legilor, și nu </w:t>
            </w:r>
            <w:r w:rsidRPr="00D679F8">
              <w:rPr>
                <w:sz w:val="25"/>
                <w:szCs w:val="25"/>
              </w:rPr>
              <w:lastRenderedPageBreak/>
              <w:t xml:space="preserve">legile s-ar ajusta la prevederile unei hotărâri.  </w:t>
            </w:r>
          </w:p>
        </w:tc>
      </w:tr>
      <w:tr w:rsidR="008A1C9B" w14:paraId="29F9477D" w14:textId="77777777" w:rsidTr="00AE4B0E">
        <w:tc>
          <w:tcPr>
            <w:tcW w:w="2643" w:type="dxa"/>
            <w:vMerge/>
          </w:tcPr>
          <w:p w14:paraId="355BACDD" w14:textId="77777777" w:rsidR="008A1C9B" w:rsidRPr="00AE4B0E" w:rsidRDefault="008A1C9B" w:rsidP="00AE4B0E">
            <w:pPr>
              <w:ind w:firstLine="0"/>
              <w:jc w:val="center"/>
              <w:rPr>
                <w:b/>
                <w:bCs/>
                <w:sz w:val="25"/>
                <w:szCs w:val="25"/>
              </w:rPr>
            </w:pPr>
          </w:p>
        </w:tc>
        <w:tc>
          <w:tcPr>
            <w:tcW w:w="1238" w:type="dxa"/>
          </w:tcPr>
          <w:p w14:paraId="19036AFC" w14:textId="0C423D47" w:rsidR="008A1C9B" w:rsidRDefault="008A1C9B" w:rsidP="00AE4B0E">
            <w:pPr>
              <w:ind w:firstLine="0"/>
              <w:jc w:val="center"/>
              <w:rPr>
                <w:sz w:val="25"/>
                <w:szCs w:val="25"/>
              </w:rPr>
            </w:pPr>
            <w:r>
              <w:rPr>
                <w:sz w:val="25"/>
                <w:szCs w:val="25"/>
              </w:rPr>
              <w:t>6.</w:t>
            </w:r>
          </w:p>
        </w:tc>
        <w:tc>
          <w:tcPr>
            <w:tcW w:w="7367" w:type="dxa"/>
          </w:tcPr>
          <w:p w14:paraId="332C1113" w14:textId="1959C881" w:rsidR="008A1C9B" w:rsidRPr="008B4655" w:rsidRDefault="008A1C9B" w:rsidP="00AE4B0E">
            <w:pPr>
              <w:ind w:firstLine="0"/>
              <w:rPr>
                <w:sz w:val="25"/>
                <w:szCs w:val="25"/>
              </w:rPr>
            </w:pPr>
            <w:r w:rsidRPr="008B4655">
              <w:rPr>
                <w:sz w:val="25"/>
                <w:szCs w:val="25"/>
              </w:rPr>
              <w:t>La Capitolul nr. 4 ,,Analiza impactului de reglementare” pct. 4.4. autorul proiectului urmează să revizuiască datele statistice cu privire la introducerea regimului de vize pentru resortisanții Republicii Cuba, întrucât acestea diferă în ambele cazuri, la ieșire și intrare.</w:t>
            </w:r>
          </w:p>
        </w:tc>
        <w:tc>
          <w:tcPr>
            <w:tcW w:w="2746" w:type="dxa"/>
          </w:tcPr>
          <w:p w14:paraId="01116319" w14:textId="77777777" w:rsidR="008A1C9B" w:rsidRPr="008B4655" w:rsidRDefault="008A1C9B" w:rsidP="002B071C">
            <w:pPr>
              <w:pBdr>
                <w:top w:val="none" w:sz="4" w:space="0" w:color="000000"/>
                <w:left w:val="none" w:sz="4" w:space="0" w:color="000000"/>
                <w:bottom w:val="none" w:sz="4" w:space="0" w:color="000000"/>
                <w:right w:val="none" w:sz="4" w:space="0" w:color="000000"/>
              </w:pBdr>
              <w:ind w:firstLine="0"/>
              <w:rPr>
                <w:b/>
                <w:bCs/>
                <w:sz w:val="25"/>
                <w:szCs w:val="25"/>
              </w:rPr>
            </w:pPr>
            <w:r w:rsidRPr="008B4655">
              <w:rPr>
                <w:b/>
                <w:bCs/>
                <w:sz w:val="25"/>
                <w:szCs w:val="25"/>
              </w:rPr>
              <w:t>Se acceptă.</w:t>
            </w:r>
          </w:p>
          <w:p w14:paraId="1313654A" w14:textId="77777777" w:rsidR="008A1C9B" w:rsidRPr="008B4655" w:rsidRDefault="008A1C9B" w:rsidP="002B071C">
            <w:pPr>
              <w:ind w:firstLine="0"/>
              <w:rPr>
                <w:b/>
                <w:bCs/>
                <w:sz w:val="25"/>
                <w:szCs w:val="25"/>
              </w:rPr>
            </w:pPr>
            <w:r w:rsidRPr="008B4655">
              <w:rPr>
                <w:i/>
                <w:iCs/>
                <w:sz w:val="25"/>
                <w:szCs w:val="25"/>
              </w:rPr>
              <w:t>(Nota de fundamentare a fost ajustată)</w:t>
            </w:r>
          </w:p>
          <w:p w14:paraId="3C97E357" w14:textId="246DCB8A" w:rsidR="008A1C9B" w:rsidRPr="008B4655" w:rsidRDefault="008A1C9B" w:rsidP="00AE4B0E">
            <w:pPr>
              <w:pBdr>
                <w:top w:val="none" w:sz="4" w:space="0" w:color="000000"/>
                <w:left w:val="none" w:sz="4" w:space="0" w:color="000000"/>
                <w:bottom w:val="none" w:sz="4" w:space="0" w:color="000000"/>
                <w:right w:val="none" w:sz="4" w:space="0" w:color="000000"/>
              </w:pBdr>
              <w:ind w:firstLine="0"/>
              <w:jc w:val="left"/>
              <w:rPr>
                <w:i/>
                <w:iCs/>
                <w:sz w:val="25"/>
                <w:szCs w:val="25"/>
                <w:u w:val="single"/>
              </w:rPr>
            </w:pPr>
          </w:p>
        </w:tc>
      </w:tr>
      <w:tr w:rsidR="007E0F07" w14:paraId="2234F3EA" w14:textId="77777777" w:rsidTr="00AE4B0E">
        <w:tc>
          <w:tcPr>
            <w:tcW w:w="2643" w:type="dxa"/>
          </w:tcPr>
          <w:p w14:paraId="5AF7C5A6" w14:textId="08AA45CF" w:rsidR="007E0F07" w:rsidRPr="007E0F07" w:rsidRDefault="007E0F07" w:rsidP="00AE4B0E">
            <w:pPr>
              <w:ind w:firstLine="0"/>
              <w:jc w:val="center"/>
              <w:rPr>
                <w:b/>
                <w:bCs/>
                <w:sz w:val="25"/>
                <w:szCs w:val="25"/>
                <w:vertAlign w:val="superscript"/>
              </w:rPr>
            </w:pPr>
            <w:r>
              <w:rPr>
                <w:b/>
                <w:bCs/>
                <w:sz w:val="25"/>
                <w:szCs w:val="25"/>
              </w:rPr>
              <w:t>Comentarii consultare publică</w:t>
            </w:r>
            <w:r>
              <w:rPr>
                <w:rStyle w:val="FootnoteReference"/>
                <w:b/>
                <w:bCs/>
                <w:sz w:val="25"/>
                <w:szCs w:val="25"/>
              </w:rPr>
              <w:footnoteReference w:id="2"/>
            </w:r>
          </w:p>
        </w:tc>
        <w:tc>
          <w:tcPr>
            <w:tcW w:w="1238" w:type="dxa"/>
          </w:tcPr>
          <w:p w14:paraId="6E664E5D" w14:textId="2C918E87" w:rsidR="007E0F07" w:rsidRDefault="007E0F07" w:rsidP="00AE4B0E">
            <w:pPr>
              <w:ind w:firstLine="0"/>
              <w:jc w:val="center"/>
              <w:rPr>
                <w:sz w:val="25"/>
                <w:szCs w:val="25"/>
              </w:rPr>
            </w:pPr>
            <w:r>
              <w:rPr>
                <w:sz w:val="25"/>
                <w:szCs w:val="25"/>
              </w:rPr>
              <w:t>7.</w:t>
            </w:r>
          </w:p>
        </w:tc>
        <w:tc>
          <w:tcPr>
            <w:tcW w:w="7367" w:type="dxa"/>
          </w:tcPr>
          <w:p w14:paraId="65D9368D" w14:textId="6333C722" w:rsidR="007E0F07" w:rsidRPr="008B4655" w:rsidRDefault="007E0F07" w:rsidP="00AE4B0E">
            <w:pPr>
              <w:ind w:firstLine="0"/>
              <w:rPr>
                <w:sz w:val="25"/>
                <w:szCs w:val="25"/>
              </w:rPr>
            </w:pPr>
            <w:r>
              <w:rPr>
                <w:sz w:val="25"/>
                <w:szCs w:val="25"/>
              </w:rPr>
              <w:t>Nu au parvenit.</w:t>
            </w:r>
          </w:p>
        </w:tc>
        <w:tc>
          <w:tcPr>
            <w:tcW w:w="2746" w:type="dxa"/>
          </w:tcPr>
          <w:p w14:paraId="590EA74C" w14:textId="684D5216" w:rsidR="007E0F07" w:rsidRPr="008B4655" w:rsidRDefault="007E0F07" w:rsidP="008B4655">
            <w:pPr>
              <w:pBdr>
                <w:top w:val="none" w:sz="4" w:space="0" w:color="000000"/>
                <w:left w:val="none" w:sz="4" w:space="0" w:color="000000"/>
                <w:bottom w:val="none" w:sz="4" w:space="0" w:color="000000"/>
                <w:right w:val="none" w:sz="4" w:space="0" w:color="000000"/>
              </w:pBdr>
              <w:ind w:firstLine="0"/>
              <w:jc w:val="center"/>
              <w:rPr>
                <w:b/>
                <w:bCs/>
                <w:sz w:val="25"/>
                <w:szCs w:val="25"/>
              </w:rPr>
            </w:pPr>
            <w:r w:rsidRPr="009E5D0C">
              <w:rPr>
                <w:i/>
                <w:iCs/>
                <w:sz w:val="25"/>
                <w:szCs w:val="25"/>
              </w:rPr>
              <w:t>nu necesită intervenție</w:t>
            </w:r>
          </w:p>
        </w:tc>
      </w:tr>
      <w:tr w:rsidR="00AE4B0E" w14:paraId="5DB7B396" w14:textId="77777777" w:rsidTr="00AE161F">
        <w:tc>
          <w:tcPr>
            <w:tcW w:w="13994" w:type="dxa"/>
            <w:gridSpan w:val="4"/>
          </w:tcPr>
          <w:p w14:paraId="694380F9" w14:textId="1D5F4292" w:rsidR="00AE4B0E" w:rsidRPr="007E0F07" w:rsidRDefault="00AE4B0E" w:rsidP="00AE4B0E">
            <w:pPr>
              <w:pBdr>
                <w:top w:val="none" w:sz="4" w:space="0" w:color="000000"/>
                <w:left w:val="none" w:sz="4" w:space="0" w:color="000000"/>
                <w:bottom w:val="none" w:sz="4" w:space="0" w:color="000000"/>
                <w:right w:val="none" w:sz="4" w:space="0" w:color="000000"/>
              </w:pBdr>
              <w:ind w:firstLine="0"/>
              <w:jc w:val="center"/>
              <w:rPr>
                <w:sz w:val="25"/>
                <w:szCs w:val="25"/>
              </w:rPr>
            </w:pPr>
            <w:proofErr w:type="spellStart"/>
            <w:r w:rsidRPr="007E0F07">
              <w:rPr>
                <w:sz w:val="25"/>
                <w:szCs w:val="25"/>
                <w:lang w:val="en-US"/>
              </w:rPr>
              <w:t>Reconfirmarea</w:t>
            </w:r>
            <w:proofErr w:type="spellEnd"/>
            <w:r w:rsidRPr="007E0F07">
              <w:rPr>
                <w:sz w:val="25"/>
                <w:szCs w:val="25"/>
                <w:lang w:val="en-US"/>
              </w:rPr>
              <w:t xml:space="preserve"> </w:t>
            </w:r>
            <w:proofErr w:type="spellStart"/>
            <w:r w:rsidRPr="007E0F07">
              <w:rPr>
                <w:sz w:val="25"/>
                <w:szCs w:val="25"/>
                <w:lang w:val="en-US"/>
              </w:rPr>
              <w:t>avizului</w:t>
            </w:r>
            <w:proofErr w:type="spellEnd"/>
          </w:p>
        </w:tc>
      </w:tr>
      <w:tr w:rsidR="00AE4B0E" w14:paraId="27AA9E5E" w14:textId="77777777" w:rsidTr="00AE4B0E">
        <w:tc>
          <w:tcPr>
            <w:tcW w:w="2643" w:type="dxa"/>
          </w:tcPr>
          <w:p w14:paraId="29A4D4E2" w14:textId="235DCEF3" w:rsidR="00AE4B0E" w:rsidRPr="008B4655" w:rsidRDefault="00AE4B0E" w:rsidP="008B4655">
            <w:pPr>
              <w:ind w:firstLine="22"/>
              <w:jc w:val="center"/>
              <w:rPr>
                <w:b/>
                <w:bCs/>
                <w:color w:val="000000" w:themeColor="text1"/>
                <w:sz w:val="25"/>
                <w:szCs w:val="25"/>
              </w:rPr>
            </w:pPr>
            <w:r w:rsidRPr="008B4655">
              <w:rPr>
                <w:b/>
                <w:bCs/>
                <w:color w:val="000000" w:themeColor="text1"/>
                <w:sz w:val="25"/>
                <w:szCs w:val="25"/>
              </w:rPr>
              <w:t>Ministerul</w:t>
            </w:r>
            <w:r w:rsidR="008B4655" w:rsidRPr="008B4655">
              <w:rPr>
                <w:b/>
                <w:bCs/>
                <w:color w:val="000000" w:themeColor="text1"/>
                <w:sz w:val="25"/>
                <w:szCs w:val="25"/>
              </w:rPr>
              <w:t xml:space="preserve"> </w:t>
            </w:r>
            <w:r w:rsidRPr="008B4655">
              <w:rPr>
                <w:b/>
                <w:bCs/>
                <w:color w:val="000000" w:themeColor="text1"/>
                <w:sz w:val="25"/>
                <w:szCs w:val="25"/>
              </w:rPr>
              <w:t>Afacerilor Interne</w:t>
            </w:r>
          </w:p>
          <w:p w14:paraId="28D3AA58" w14:textId="33879953" w:rsidR="00AE4B0E" w:rsidRDefault="00AE4B0E" w:rsidP="008B4655">
            <w:pPr>
              <w:ind w:firstLine="0"/>
              <w:jc w:val="center"/>
              <w:rPr>
                <w:b/>
                <w:bCs/>
                <w:sz w:val="25"/>
                <w:szCs w:val="25"/>
              </w:rPr>
            </w:pPr>
            <w:r w:rsidRPr="008B4655">
              <w:rPr>
                <w:color w:val="000000" w:themeColor="text1"/>
                <w:sz w:val="25"/>
                <w:szCs w:val="25"/>
              </w:rPr>
              <w:t>(nr. 40/4648 din 26.11.2024)</w:t>
            </w:r>
          </w:p>
        </w:tc>
        <w:tc>
          <w:tcPr>
            <w:tcW w:w="1238" w:type="dxa"/>
          </w:tcPr>
          <w:p w14:paraId="5B3AB40E" w14:textId="4058AAAD" w:rsidR="00AE4B0E" w:rsidRDefault="007E0F07" w:rsidP="00AE4B0E">
            <w:pPr>
              <w:ind w:firstLine="0"/>
              <w:jc w:val="center"/>
              <w:rPr>
                <w:sz w:val="25"/>
                <w:szCs w:val="25"/>
              </w:rPr>
            </w:pPr>
            <w:r>
              <w:rPr>
                <w:sz w:val="25"/>
                <w:szCs w:val="25"/>
              </w:rPr>
              <w:t>8</w:t>
            </w:r>
            <w:r w:rsidR="00AE4B0E">
              <w:rPr>
                <w:sz w:val="25"/>
                <w:szCs w:val="25"/>
              </w:rPr>
              <w:t>.</w:t>
            </w:r>
          </w:p>
        </w:tc>
        <w:tc>
          <w:tcPr>
            <w:tcW w:w="7367" w:type="dxa"/>
          </w:tcPr>
          <w:p w14:paraId="798BCC5A" w14:textId="77777777" w:rsidR="00AE4B0E" w:rsidRPr="008B4655" w:rsidRDefault="00AE4B0E" w:rsidP="00AE4B0E">
            <w:pPr>
              <w:spacing w:after="120"/>
              <w:rPr>
                <w:color w:val="000000" w:themeColor="text1"/>
                <w:sz w:val="25"/>
                <w:szCs w:val="25"/>
              </w:rPr>
            </w:pPr>
            <w:r w:rsidRPr="008B4655">
              <w:rPr>
                <w:color w:val="000000" w:themeColor="text1"/>
                <w:sz w:val="25"/>
                <w:szCs w:val="25"/>
              </w:rPr>
              <w:t xml:space="preserve">Ministerul Afacerilor Interne (MAI) a luat act de documentele remise spre expertizare în contextul modificării </w:t>
            </w:r>
            <w:r w:rsidRPr="008B4655">
              <w:rPr>
                <w:i/>
                <w:iCs/>
                <w:color w:val="000000" w:themeColor="text1"/>
                <w:sz w:val="25"/>
                <w:szCs w:val="25"/>
              </w:rPr>
              <w:t>Legii nr. 257/2013 privind resortisanții statelor terțe care au obligația deținerii unei vize și resortisanții statelor terțe care sunt exonerați de obligativitatea deținerii unei vize la traversarea la traversarea frontierei de stat a Republicii Moldova</w:t>
            </w:r>
            <w:r w:rsidRPr="008B4655">
              <w:rPr>
                <w:color w:val="000000" w:themeColor="text1"/>
                <w:sz w:val="25"/>
                <w:szCs w:val="25"/>
              </w:rPr>
              <w:t xml:space="preserve"> (</w:t>
            </w:r>
            <w:r w:rsidRPr="008B4655">
              <w:rPr>
                <w:b/>
                <w:bCs/>
                <w:color w:val="000000" w:themeColor="text1"/>
                <w:sz w:val="25"/>
                <w:szCs w:val="25"/>
              </w:rPr>
              <w:t>proiect cu număr unic 875/MAE/2024</w:t>
            </w:r>
            <w:r w:rsidRPr="008B4655">
              <w:rPr>
                <w:color w:val="000000" w:themeColor="text1"/>
                <w:sz w:val="25"/>
                <w:szCs w:val="25"/>
              </w:rPr>
              <w:t>) și, în limitele competențelor funcționale, comunică despre menținerea poziției expuse anterior prin avizul nr. 40/4185 din 23 octombrie 2024.</w:t>
            </w:r>
          </w:p>
          <w:p w14:paraId="313B4486" w14:textId="77777777" w:rsidR="00AE4B0E" w:rsidRPr="008B4655" w:rsidRDefault="00AE4B0E" w:rsidP="00AE4B0E">
            <w:pPr>
              <w:spacing w:after="120"/>
              <w:rPr>
                <w:color w:val="000000" w:themeColor="text1"/>
                <w:sz w:val="25"/>
                <w:szCs w:val="25"/>
              </w:rPr>
            </w:pPr>
            <w:r w:rsidRPr="008B4655">
              <w:rPr>
                <w:color w:val="000000" w:themeColor="text1"/>
                <w:sz w:val="25"/>
                <w:szCs w:val="25"/>
              </w:rPr>
              <w:t>Ajustările propuse nu implică inovații legislative majore, ci doar asigurarea coerenței între prevederile legale și situația de facto, astfel încât activitatea angajaților Poliției de Frontieră să fie simplificată, iar aplicarea normelor de reglementează exonerarea și obligația deținerii unei vize la traversarea frontierei de stat a Republicii Moldova, să fie uniformă, atât în actele normative superioare cât și inferioare.</w:t>
            </w:r>
          </w:p>
          <w:p w14:paraId="49C09AE0" w14:textId="77777777" w:rsidR="00AE4B0E" w:rsidRPr="008B4655" w:rsidRDefault="00AE4B0E" w:rsidP="00AE4B0E">
            <w:pPr>
              <w:spacing w:after="120"/>
              <w:rPr>
                <w:color w:val="000000" w:themeColor="text1"/>
                <w:sz w:val="25"/>
                <w:szCs w:val="25"/>
              </w:rPr>
            </w:pPr>
            <w:r w:rsidRPr="008B4655">
              <w:rPr>
                <w:color w:val="000000" w:themeColor="text1"/>
                <w:sz w:val="25"/>
                <w:szCs w:val="25"/>
              </w:rPr>
              <w:t xml:space="preserve">În acest sens, considerăm că propunerile formulate la proiect condiționează necesitatea analizei suplimentare a acestora. Or, corelația actelor normative reprezintă fundamentul unei colaborări eficiente în </w:t>
            </w:r>
            <w:r w:rsidRPr="008B4655">
              <w:rPr>
                <w:color w:val="000000" w:themeColor="text1"/>
                <w:sz w:val="25"/>
                <w:szCs w:val="25"/>
              </w:rPr>
              <w:lastRenderedPageBreak/>
              <w:t>domeniul politicii de vize, în vederea prevenirii suprapunerii sau contradicției legislative, asigurând securitatea juridică atât pentru instituțiile implicate, cât și pentru cetățenii străini afectați de politica de vize.</w:t>
            </w:r>
          </w:p>
          <w:p w14:paraId="761A5EDD" w14:textId="7D02672D" w:rsidR="00AE4B0E" w:rsidRPr="008B4655" w:rsidRDefault="00AE4B0E" w:rsidP="00AE4B0E">
            <w:pPr>
              <w:ind w:firstLine="0"/>
              <w:rPr>
                <w:rFonts w:eastAsiaTheme="minorHAnsi"/>
                <w:sz w:val="25"/>
                <w:szCs w:val="25"/>
              </w:rPr>
            </w:pPr>
            <w:r w:rsidRPr="008B4655">
              <w:rPr>
                <w:color w:val="000000" w:themeColor="text1"/>
                <w:sz w:val="25"/>
                <w:szCs w:val="25"/>
              </w:rPr>
              <w:t>Prin urmare, MAI optează pentru o abordare integrată, în care viziunea diplomatică este armonizată cu cerințele de securitate națională.</w:t>
            </w:r>
          </w:p>
        </w:tc>
        <w:tc>
          <w:tcPr>
            <w:tcW w:w="2746" w:type="dxa"/>
          </w:tcPr>
          <w:p w14:paraId="79F68DBC" w14:textId="77777777" w:rsidR="00AE4B0E" w:rsidRPr="008B4655" w:rsidRDefault="00AE4B0E" w:rsidP="002B071C">
            <w:pPr>
              <w:ind w:firstLine="0"/>
              <w:rPr>
                <w:b/>
                <w:bCs/>
                <w:color w:val="000000" w:themeColor="text1"/>
                <w:sz w:val="25"/>
                <w:szCs w:val="25"/>
              </w:rPr>
            </w:pPr>
            <w:r w:rsidRPr="008B4655">
              <w:rPr>
                <w:b/>
                <w:bCs/>
                <w:color w:val="000000" w:themeColor="text1"/>
                <w:sz w:val="25"/>
                <w:szCs w:val="25"/>
              </w:rPr>
              <w:lastRenderedPageBreak/>
              <w:t>Se acceptă</w:t>
            </w:r>
          </w:p>
          <w:p w14:paraId="6CB6460F" w14:textId="3BD440C7" w:rsidR="00AE4B0E" w:rsidRPr="00882B5B" w:rsidRDefault="00AE4B0E" w:rsidP="002B071C">
            <w:pPr>
              <w:pBdr>
                <w:top w:val="none" w:sz="4" w:space="0" w:color="000000"/>
                <w:left w:val="none" w:sz="4" w:space="0" w:color="000000"/>
                <w:bottom w:val="none" w:sz="4" w:space="0" w:color="000000"/>
                <w:right w:val="none" w:sz="4" w:space="0" w:color="000000"/>
              </w:pBdr>
              <w:ind w:firstLine="0"/>
              <w:rPr>
                <w:i/>
                <w:iCs/>
                <w:sz w:val="25"/>
                <w:szCs w:val="25"/>
              </w:rPr>
            </w:pPr>
            <w:r w:rsidRPr="008B4655">
              <w:rPr>
                <w:i/>
                <w:iCs/>
                <w:color w:val="000000" w:themeColor="text1"/>
                <w:sz w:val="25"/>
                <w:szCs w:val="25"/>
              </w:rPr>
              <w:t xml:space="preserve">(proiectul </w:t>
            </w:r>
            <w:r w:rsidR="00031BBE">
              <w:rPr>
                <w:i/>
                <w:iCs/>
                <w:color w:val="000000" w:themeColor="text1"/>
                <w:sz w:val="25"/>
                <w:szCs w:val="25"/>
              </w:rPr>
              <w:t xml:space="preserve">de lege </w:t>
            </w:r>
            <w:r w:rsidRPr="008B4655">
              <w:rPr>
                <w:i/>
                <w:iCs/>
                <w:color w:val="000000" w:themeColor="text1"/>
                <w:sz w:val="25"/>
                <w:szCs w:val="25"/>
              </w:rPr>
              <w:t>a fost ajustat)</w:t>
            </w:r>
          </w:p>
        </w:tc>
      </w:tr>
      <w:tr w:rsidR="00AE4B0E" w14:paraId="635553B3" w14:textId="77777777" w:rsidTr="00AE4B0E">
        <w:tc>
          <w:tcPr>
            <w:tcW w:w="13994" w:type="dxa"/>
            <w:gridSpan w:val="4"/>
          </w:tcPr>
          <w:p w14:paraId="6D474CAC" w14:textId="679D2B54" w:rsidR="00AE4B0E" w:rsidRPr="007E0F07" w:rsidRDefault="00AE4B0E" w:rsidP="00AE4B0E">
            <w:pPr>
              <w:pBdr>
                <w:top w:val="none" w:sz="4" w:space="0" w:color="000000"/>
                <w:left w:val="none" w:sz="4" w:space="0" w:color="000000"/>
                <w:bottom w:val="none" w:sz="4" w:space="0" w:color="000000"/>
                <w:right w:val="none" w:sz="4" w:space="0" w:color="000000"/>
              </w:pBdr>
              <w:ind w:firstLine="0"/>
              <w:jc w:val="center"/>
              <w:rPr>
                <w:sz w:val="25"/>
                <w:szCs w:val="25"/>
              </w:rPr>
            </w:pPr>
            <w:r w:rsidRPr="007E0F07">
              <w:rPr>
                <w:sz w:val="25"/>
                <w:szCs w:val="25"/>
              </w:rPr>
              <w:t>Expertizare</w:t>
            </w:r>
          </w:p>
        </w:tc>
      </w:tr>
      <w:tr w:rsidR="00AE4B0E" w14:paraId="43F6578D" w14:textId="77777777" w:rsidTr="00AE4B0E">
        <w:trPr>
          <w:trHeight w:val="70"/>
        </w:trPr>
        <w:tc>
          <w:tcPr>
            <w:tcW w:w="2643" w:type="dxa"/>
          </w:tcPr>
          <w:p w14:paraId="343169E8" w14:textId="1BEC05E8" w:rsidR="00AE4B0E" w:rsidRPr="008B4655" w:rsidRDefault="00AE4B0E" w:rsidP="008B4655">
            <w:pPr>
              <w:ind w:firstLine="0"/>
              <w:jc w:val="center"/>
              <w:rPr>
                <w:b/>
                <w:bCs/>
                <w:color w:val="000000" w:themeColor="text1"/>
                <w:sz w:val="25"/>
                <w:szCs w:val="25"/>
              </w:rPr>
            </w:pPr>
            <w:r w:rsidRPr="008B4655">
              <w:rPr>
                <w:b/>
                <w:bCs/>
                <w:color w:val="000000" w:themeColor="text1"/>
                <w:sz w:val="25"/>
                <w:szCs w:val="25"/>
              </w:rPr>
              <w:t>Centrul</w:t>
            </w:r>
            <w:r w:rsidR="008B4655">
              <w:rPr>
                <w:b/>
                <w:bCs/>
                <w:color w:val="000000" w:themeColor="text1"/>
                <w:sz w:val="25"/>
                <w:szCs w:val="25"/>
              </w:rPr>
              <w:t xml:space="preserve"> </w:t>
            </w:r>
            <w:r w:rsidRPr="008B4655">
              <w:rPr>
                <w:b/>
                <w:bCs/>
                <w:color w:val="000000" w:themeColor="text1"/>
                <w:sz w:val="25"/>
                <w:szCs w:val="25"/>
              </w:rPr>
              <w:t>Național Anticorupție</w:t>
            </w:r>
          </w:p>
          <w:p w14:paraId="40CFFBA1" w14:textId="66B8B418" w:rsidR="00AE4B0E" w:rsidRDefault="00AE4B0E" w:rsidP="00AE4B0E">
            <w:pPr>
              <w:ind w:firstLine="0"/>
              <w:jc w:val="center"/>
              <w:rPr>
                <w:b/>
                <w:bCs/>
                <w:color w:val="000000" w:themeColor="text1"/>
                <w:sz w:val="25"/>
                <w:szCs w:val="25"/>
              </w:rPr>
            </w:pPr>
            <w:r w:rsidRPr="008B4655">
              <w:rPr>
                <w:color w:val="000000" w:themeColor="text1"/>
                <w:sz w:val="25"/>
                <w:szCs w:val="25"/>
              </w:rPr>
              <w:t>(nr. 06/2/20744 din 27.11.2024)</w:t>
            </w:r>
          </w:p>
        </w:tc>
        <w:tc>
          <w:tcPr>
            <w:tcW w:w="1238" w:type="dxa"/>
          </w:tcPr>
          <w:p w14:paraId="05F51699" w14:textId="0C3648CD" w:rsidR="00AE4B0E" w:rsidRPr="008B4655" w:rsidRDefault="007E0F07" w:rsidP="008B4655">
            <w:pPr>
              <w:ind w:firstLine="0"/>
              <w:jc w:val="center"/>
              <w:rPr>
                <w:sz w:val="25"/>
                <w:szCs w:val="25"/>
              </w:rPr>
            </w:pPr>
            <w:r>
              <w:rPr>
                <w:sz w:val="25"/>
                <w:szCs w:val="25"/>
              </w:rPr>
              <w:t>9</w:t>
            </w:r>
            <w:r w:rsidR="008B4655">
              <w:rPr>
                <w:sz w:val="25"/>
                <w:szCs w:val="25"/>
              </w:rPr>
              <w:t>.</w:t>
            </w:r>
          </w:p>
        </w:tc>
        <w:tc>
          <w:tcPr>
            <w:tcW w:w="7367" w:type="dxa"/>
          </w:tcPr>
          <w:p w14:paraId="4B3159EE" w14:textId="77777777" w:rsidR="00AE4B0E" w:rsidRPr="008B4655" w:rsidRDefault="00AE4B0E" w:rsidP="008B4655">
            <w:pPr>
              <w:spacing w:after="120"/>
              <w:ind w:firstLine="0"/>
              <w:rPr>
                <w:color w:val="000000" w:themeColor="text1"/>
                <w:sz w:val="25"/>
                <w:szCs w:val="25"/>
              </w:rPr>
            </w:pPr>
            <w:r w:rsidRPr="008B4655">
              <w:rPr>
                <w:color w:val="000000" w:themeColor="text1"/>
                <w:sz w:val="25"/>
                <w:szCs w:val="25"/>
              </w:rPr>
              <w:t>Proiectul legii pentru modificarea Legii nr.257/2013 privind resortisanții statelor terțe care au obligația deținerii unei vize și resortisanții statelor terțe care sânt exonerați de obligativitatea deținerii unei vize la traversarea frontierei de stat a Republicii Moldova a fost elaborat de către Ministerul Afacerilor Externe, în scopul ajustării prevederilor Legii nr.257/2013 la prevederile actelor normative privind ratificarea/denunțarea acordurilor internaționale, precum și respectării recomandărilor Comisiei Europene adresate Republicii Moldova de a se alinia la politica Uniunii Europene în domeniul vizelor.</w:t>
            </w:r>
          </w:p>
          <w:p w14:paraId="3F53D927" w14:textId="77777777" w:rsidR="00AE4B0E" w:rsidRPr="008B4655" w:rsidRDefault="00AE4B0E" w:rsidP="008B4655">
            <w:pPr>
              <w:spacing w:after="120"/>
              <w:ind w:firstLine="0"/>
              <w:rPr>
                <w:color w:val="000000" w:themeColor="text1"/>
                <w:sz w:val="25"/>
                <w:szCs w:val="25"/>
              </w:rPr>
            </w:pPr>
            <w:r w:rsidRPr="008B4655">
              <w:rPr>
                <w:color w:val="000000" w:themeColor="text1"/>
                <w:sz w:val="25"/>
                <w:szCs w:val="25"/>
              </w:rPr>
              <w:t xml:space="preserve">În cadrul procesului de elaborare au fost respectate prevederile legale cu privire la transparența în procesul decizional și proiectul corespunde normelor de tehnică legislativă. </w:t>
            </w:r>
          </w:p>
          <w:p w14:paraId="2670AD85" w14:textId="70DAA1AF" w:rsidR="00AE4B0E" w:rsidRPr="008B4655" w:rsidRDefault="00AE4B0E" w:rsidP="00AE4B0E">
            <w:pPr>
              <w:ind w:firstLine="0"/>
              <w:rPr>
                <w:sz w:val="25"/>
                <w:szCs w:val="25"/>
              </w:rPr>
            </w:pPr>
            <w:r w:rsidRPr="008B4655">
              <w:rPr>
                <w:color w:val="000000" w:themeColor="text1"/>
                <w:sz w:val="25"/>
                <w:szCs w:val="25"/>
              </w:rPr>
              <w:t>Proiectul corespunde interesului public general, deoarece va contribui la respectarea obligațiilor internaționale asumate de Republica Moldova prin acordurile încheiate cu alte state și, totodată, alinierea politicii statului în domeniul vizelor la politicile Uniunii Europe.</w:t>
            </w:r>
          </w:p>
        </w:tc>
        <w:tc>
          <w:tcPr>
            <w:tcW w:w="2746" w:type="dxa"/>
          </w:tcPr>
          <w:p w14:paraId="66E9B6EF" w14:textId="77777777" w:rsidR="00AE4B0E" w:rsidRPr="009E5D0C" w:rsidRDefault="00AE4B0E" w:rsidP="00AE4B0E">
            <w:pPr>
              <w:pBdr>
                <w:top w:val="none" w:sz="4" w:space="0" w:color="000000"/>
                <w:left w:val="none" w:sz="4" w:space="0" w:color="000000"/>
                <w:bottom w:val="none" w:sz="4" w:space="0" w:color="000000"/>
                <w:right w:val="none" w:sz="4" w:space="0" w:color="000000"/>
              </w:pBdr>
              <w:ind w:firstLine="0"/>
              <w:jc w:val="left"/>
              <w:rPr>
                <w:b/>
                <w:bCs/>
                <w:sz w:val="25"/>
                <w:szCs w:val="25"/>
              </w:rPr>
            </w:pPr>
            <w:r w:rsidRPr="009E5D0C">
              <w:rPr>
                <w:b/>
                <w:bCs/>
                <w:sz w:val="25"/>
                <w:szCs w:val="25"/>
              </w:rPr>
              <w:t xml:space="preserve">Se </w:t>
            </w:r>
            <w:r>
              <w:rPr>
                <w:b/>
                <w:bCs/>
                <w:sz w:val="25"/>
                <w:szCs w:val="25"/>
              </w:rPr>
              <w:t>acceptă</w:t>
            </w:r>
            <w:r w:rsidRPr="009E5D0C">
              <w:rPr>
                <w:b/>
                <w:bCs/>
                <w:sz w:val="25"/>
                <w:szCs w:val="25"/>
              </w:rPr>
              <w:t xml:space="preserve"> </w:t>
            </w:r>
          </w:p>
          <w:p w14:paraId="5CC91EDA" w14:textId="77777777" w:rsidR="00AE4B0E" w:rsidRPr="009E5D0C" w:rsidRDefault="00AE4B0E" w:rsidP="00AE4B0E">
            <w:pPr>
              <w:pBdr>
                <w:top w:val="none" w:sz="4" w:space="0" w:color="000000"/>
                <w:left w:val="none" w:sz="4" w:space="0" w:color="000000"/>
                <w:bottom w:val="none" w:sz="4" w:space="0" w:color="000000"/>
                <w:right w:val="none" w:sz="4" w:space="0" w:color="000000"/>
              </w:pBdr>
              <w:ind w:firstLine="0"/>
              <w:jc w:val="left"/>
              <w:rPr>
                <w:b/>
                <w:bCs/>
                <w:sz w:val="25"/>
                <w:szCs w:val="25"/>
              </w:rPr>
            </w:pPr>
            <w:r w:rsidRPr="009E5D0C">
              <w:rPr>
                <w:i/>
                <w:iCs/>
                <w:sz w:val="25"/>
                <w:szCs w:val="25"/>
              </w:rPr>
              <w:t>(nu necesită intervenție)</w:t>
            </w:r>
          </w:p>
          <w:p w14:paraId="4BBD9B29" w14:textId="04376B17" w:rsidR="00AE4B0E" w:rsidRPr="009E5D0C" w:rsidRDefault="00AE4B0E" w:rsidP="00B624CA">
            <w:pPr>
              <w:pBdr>
                <w:top w:val="none" w:sz="4" w:space="0" w:color="000000"/>
                <w:left w:val="none" w:sz="4" w:space="0" w:color="000000"/>
                <w:bottom w:val="none" w:sz="4" w:space="0" w:color="000000"/>
                <w:right w:val="none" w:sz="4" w:space="0" w:color="000000"/>
              </w:pBdr>
              <w:jc w:val="left"/>
              <w:rPr>
                <w:b/>
                <w:bCs/>
                <w:sz w:val="25"/>
                <w:szCs w:val="25"/>
              </w:rPr>
            </w:pPr>
          </w:p>
        </w:tc>
      </w:tr>
      <w:tr w:rsidR="00AE4B0E" w14:paraId="0DA6BE9C" w14:textId="77777777" w:rsidTr="00AE4B0E">
        <w:tc>
          <w:tcPr>
            <w:tcW w:w="2643" w:type="dxa"/>
            <w:vMerge w:val="restart"/>
          </w:tcPr>
          <w:p w14:paraId="6B6C0462" w14:textId="77777777" w:rsidR="00AE4B0E" w:rsidRPr="008B4655" w:rsidRDefault="00AE4B0E" w:rsidP="008B4655">
            <w:pPr>
              <w:ind w:firstLine="0"/>
              <w:jc w:val="center"/>
              <w:rPr>
                <w:b/>
                <w:bCs/>
                <w:color w:val="000000" w:themeColor="text1"/>
                <w:sz w:val="25"/>
                <w:szCs w:val="25"/>
              </w:rPr>
            </w:pPr>
            <w:r w:rsidRPr="008B4655">
              <w:rPr>
                <w:b/>
                <w:bCs/>
                <w:color w:val="000000" w:themeColor="text1"/>
                <w:sz w:val="25"/>
                <w:szCs w:val="25"/>
              </w:rPr>
              <w:t>Ministerul Justiției</w:t>
            </w:r>
          </w:p>
          <w:p w14:paraId="139E04E0" w14:textId="29F11CD6" w:rsidR="00AE4B0E" w:rsidRPr="00B31B91" w:rsidRDefault="00AE4B0E" w:rsidP="00AE4B0E">
            <w:pPr>
              <w:ind w:firstLine="0"/>
              <w:jc w:val="center"/>
              <w:rPr>
                <w:color w:val="000000" w:themeColor="text1"/>
                <w:sz w:val="25"/>
                <w:szCs w:val="25"/>
              </w:rPr>
            </w:pPr>
            <w:r w:rsidRPr="008B4655">
              <w:rPr>
                <w:color w:val="000000" w:themeColor="text1"/>
                <w:sz w:val="25"/>
                <w:szCs w:val="25"/>
              </w:rPr>
              <w:t>(nr. 04/1-10739 din 02.12.2024)</w:t>
            </w:r>
          </w:p>
        </w:tc>
        <w:tc>
          <w:tcPr>
            <w:tcW w:w="1238" w:type="dxa"/>
          </w:tcPr>
          <w:p w14:paraId="302DCD15" w14:textId="2B88145B" w:rsidR="00AE4B0E" w:rsidRDefault="007E0F07" w:rsidP="00AE4B0E">
            <w:pPr>
              <w:ind w:firstLine="0"/>
              <w:jc w:val="center"/>
              <w:rPr>
                <w:sz w:val="25"/>
                <w:szCs w:val="25"/>
              </w:rPr>
            </w:pPr>
            <w:r>
              <w:rPr>
                <w:sz w:val="25"/>
                <w:szCs w:val="25"/>
              </w:rPr>
              <w:t>10</w:t>
            </w:r>
            <w:r w:rsidR="00AE4B0E">
              <w:rPr>
                <w:sz w:val="25"/>
                <w:szCs w:val="25"/>
              </w:rPr>
              <w:t>.</w:t>
            </w:r>
          </w:p>
        </w:tc>
        <w:tc>
          <w:tcPr>
            <w:tcW w:w="7367" w:type="dxa"/>
          </w:tcPr>
          <w:p w14:paraId="36600A3A" w14:textId="77777777" w:rsidR="00AE4B0E" w:rsidRPr="0028672C" w:rsidRDefault="00AE4B0E" w:rsidP="0028672C">
            <w:pPr>
              <w:spacing w:after="120"/>
              <w:ind w:firstLine="0"/>
              <w:rPr>
                <w:color w:val="000000" w:themeColor="text1"/>
                <w:sz w:val="25"/>
                <w:szCs w:val="25"/>
              </w:rPr>
            </w:pPr>
            <w:r w:rsidRPr="0028672C">
              <w:rPr>
                <w:color w:val="000000" w:themeColor="text1"/>
                <w:sz w:val="25"/>
                <w:szCs w:val="25"/>
              </w:rPr>
              <w:t>Cu referire la proiectul de lege pentru modificarea Legii nr. 257/2013 privind resortisanții statelor terțe care au obligația deținerii unei vize și resortisanții statelor terțe care sunt exonerați de obligativitatea deținerii unei vize la traversarea frontierei de stat a Republicii Moldova, comunicăm următoarele.</w:t>
            </w:r>
          </w:p>
          <w:p w14:paraId="1D7511B6" w14:textId="77777777" w:rsidR="00AE4B0E" w:rsidRPr="0028672C" w:rsidRDefault="00AE4B0E" w:rsidP="0028672C">
            <w:pPr>
              <w:spacing w:after="120"/>
              <w:ind w:firstLine="0"/>
              <w:rPr>
                <w:color w:val="000000" w:themeColor="text1"/>
                <w:sz w:val="25"/>
                <w:szCs w:val="25"/>
              </w:rPr>
            </w:pPr>
            <w:r w:rsidRPr="0028672C">
              <w:rPr>
                <w:color w:val="000000" w:themeColor="text1"/>
                <w:sz w:val="25"/>
                <w:szCs w:val="25"/>
              </w:rPr>
              <w:t xml:space="preserve">Potrivit notei informative, proiectul actului normativ a fost elaborat în vederea ajustării </w:t>
            </w:r>
            <w:r w:rsidRPr="0028672C">
              <w:rPr>
                <w:i/>
                <w:iCs/>
                <w:color w:val="000000" w:themeColor="text1"/>
                <w:sz w:val="25"/>
                <w:szCs w:val="25"/>
              </w:rPr>
              <w:t>Legii nr. 257/2013 privind resortisanții statelor terțe care au obligația deținerii unei vize și resortisanții statelor terțe care sunt exonerați de obligativitatea deținerii unei vize la traversarea la traversarea frontierei de stat a Republicii Moldova</w:t>
            </w:r>
            <w:r w:rsidRPr="0028672C">
              <w:rPr>
                <w:color w:val="000000" w:themeColor="text1"/>
                <w:sz w:val="25"/>
                <w:szCs w:val="25"/>
              </w:rPr>
              <w:t xml:space="preserve"> la prevederile </w:t>
            </w:r>
            <w:r w:rsidRPr="0028672C">
              <w:rPr>
                <w:i/>
                <w:iCs/>
                <w:color w:val="000000" w:themeColor="text1"/>
                <w:sz w:val="25"/>
                <w:szCs w:val="25"/>
              </w:rPr>
              <w:t xml:space="preserve">Legii </w:t>
            </w:r>
            <w:r w:rsidRPr="0028672C">
              <w:rPr>
                <w:i/>
                <w:iCs/>
                <w:color w:val="000000" w:themeColor="text1"/>
                <w:sz w:val="25"/>
                <w:szCs w:val="25"/>
              </w:rPr>
              <w:lastRenderedPageBreak/>
              <w:t>nr. 345/2022 cu privire la ratificarea Acordului dintre Guvernul Republicii Moldova și Guvernul Republicii Arabe Egipt privind scutirea reciprocă de vize pentru deținătorii de pașapoarte diplomatice, de serviciu și speciale</w:t>
            </w:r>
            <w:r w:rsidRPr="0028672C">
              <w:rPr>
                <w:color w:val="000000" w:themeColor="text1"/>
                <w:sz w:val="25"/>
                <w:szCs w:val="25"/>
              </w:rPr>
              <w:t xml:space="preserve">, semnat la Cairo la 11 octombrie 2022, în vigoare din 20 ianuarie 2023, </w:t>
            </w:r>
            <w:r w:rsidRPr="0028672C">
              <w:rPr>
                <w:i/>
                <w:iCs/>
                <w:color w:val="000000" w:themeColor="text1"/>
                <w:sz w:val="25"/>
                <w:szCs w:val="25"/>
              </w:rPr>
              <w:t xml:space="preserve">Legii nr. 84/2024 cu privire la denunțarea Acordului dintre Guvernul Republicii Moldova și Guvernul Republicii Ecuador privind călătoriile fără vize ale cetățenilor </w:t>
            </w:r>
            <w:r w:rsidRPr="0028672C">
              <w:rPr>
                <w:color w:val="000000" w:themeColor="text1"/>
                <w:sz w:val="25"/>
                <w:szCs w:val="25"/>
              </w:rPr>
              <w:t xml:space="preserve">și </w:t>
            </w:r>
            <w:r w:rsidRPr="0028672C">
              <w:rPr>
                <w:i/>
                <w:iCs/>
                <w:color w:val="000000" w:themeColor="text1"/>
                <w:sz w:val="25"/>
                <w:szCs w:val="25"/>
              </w:rPr>
              <w:t>Legii nr. 164/2024 cu privire la ratificarea Acordului dintre Guvernul Republicii Moldova și Guvernul Statului India privind abolirea regimului de vize pentru titularii pașapoartelor diplomatice și de serviciu</w:t>
            </w:r>
            <w:r w:rsidRPr="0028672C">
              <w:rPr>
                <w:color w:val="000000" w:themeColor="text1"/>
                <w:sz w:val="25"/>
                <w:szCs w:val="25"/>
              </w:rPr>
              <w:t>, semnat la New Delhi la 10 mai 2024, în vigoare din 1 august 2024.</w:t>
            </w:r>
          </w:p>
          <w:p w14:paraId="2F354743" w14:textId="77777777" w:rsidR="00AE4B0E" w:rsidRPr="0028672C" w:rsidRDefault="00AE4B0E" w:rsidP="0028672C">
            <w:pPr>
              <w:spacing w:after="120"/>
              <w:ind w:firstLine="0"/>
              <w:rPr>
                <w:color w:val="000000" w:themeColor="text1"/>
                <w:sz w:val="25"/>
                <w:szCs w:val="25"/>
              </w:rPr>
            </w:pPr>
            <w:r w:rsidRPr="0028672C">
              <w:rPr>
                <w:color w:val="000000" w:themeColor="text1"/>
                <w:sz w:val="25"/>
                <w:szCs w:val="25"/>
              </w:rPr>
              <w:t>Totodată, conform inițiatorului, se constată a fi necesară reconsiderarea abordării politicii de vize cu Republica Cuba. Prin optica dialogului politic cu Uniunea Europeană, Comisia Europeană recomandă statelor care beneficiază de regim liberalizat de vize cu această organizație să-și alinieze politicile sale în domeniul vizelor la politicile Uniunii Europene (UE).</w:t>
            </w:r>
          </w:p>
          <w:p w14:paraId="682171F2" w14:textId="29FBAE82" w:rsidR="00AE4B0E" w:rsidRPr="00820133" w:rsidRDefault="00AE4B0E" w:rsidP="00AE4B0E">
            <w:pPr>
              <w:ind w:firstLine="0"/>
              <w:rPr>
                <w:sz w:val="25"/>
                <w:szCs w:val="25"/>
              </w:rPr>
            </w:pPr>
            <w:r w:rsidRPr="0028672C">
              <w:rPr>
                <w:color w:val="000000" w:themeColor="text1"/>
                <w:sz w:val="25"/>
                <w:szCs w:val="25"/>
              </w:rPr>
              <w:t>Raționamentele expuse de inițiator în notă reflectă motivul emiterii actului normativ și cerințele care au impus intervenția normativă.</w:t>
            </w:r>
          </w:p>
        </w:tc>
        <w:tc>
          <w:tcPr>
            <w:tcW w:w="2746" w:type="dxa"/>
          </w:tcPr>
          <w:p w14:paraId="35871B38" w14:textId="77777777" w:rsidR="00AE4B0E" w:rsidRPr="009E5D0C" w:rsidRDefault="00AE4B0E" w:rsidP="00AE4B0E">
            <w:pPr>
              <w:pBdr>
                <w:top w:val="none" w:sz="4" w:space="0" w:color="000000"/>
                <w:left w:val="none" w:sz="4" w:space="0" w:color="000000"/>
                <w:bottom w:val="none" w:sz="4" w:space="0" w:color="000000"/>
                <w:right w:val="none" w:sz="4" w:space="0" w:color="000000"/>
              </w:pBdr>
              <w:ind w:firstLine="0"/>
              <w:jc w:val="left"/>
              <w:rPr>
                <w:b/>
                <w:bCs/>
                <w:sz w:val="25"/>
                <w:szCs w:val="25"/>
              </w:rPr>
            </w:pPr>
            <w:r w:rsidRPr="009E5D0C">
              <w:rPr>
                <w:b/>
                <w:bCs/>
                <w:sz w:val="25"/>
                <w:szCs w:val="25"/>
              </w:rPr>
              <w:lastRenderedPageBreak/>
              <w:t xml:space="preserve">Se </w:t>
            </w:r>
            <w:r>
              <w:rPr>
                <w:b/>
                <w:bCs/>
                <w:sz w:val="25"/>
                <w:szCs w:val="25"/>
              </w:rPr>
              <w:t>acceptă</w:t>
            </w:r>
            <w:r w:rsidRPr="009E5D0C">
              <w:rPr>
                <w:b/>
                <w:bCs/>
                <w:sz w:val="25"/>
                <w:szCs w:val="25"/>
              </w:rPr>
              <w:t xml:space="preserve"> </w:t>
            </w:r>
          </w:p>
          <w:p w14:paraId="661D5084" w14:textId="1B2BF55C" w:rsidR="00AE4B0E" w:rsidRPr="009E5D0C" w:rsidRDefault="00AE4B0E" w:rsidP="00AE4B0E">
            <w:pPr>
              <w:pBdr>
                <w:top w:val="none" w:sz="4" w:space="0" w:color="000000"/>
                <w:left w:val="none" w:sz="4" w:space="0" w:color="000000"/>
                <w:bottom w:val="none" w:sz="4" w:space="0" w:color="000000"/>
                <w:right w:val="none" w:sz="4" w:space="0" w:color="000000"/>
              </w:pBdr>
              <w:ind w:firstLine="0"/>
              <w:jc w:val="left"/>
              <w:rPr>
                <w:b/>
                <w:bCs/>
                <w:sz w:val="25"/>
                <w:szCs w:val="25"/>
              </w:rPr>
            </w:pPr>
            <w:r w:rsidRPr="009E5D0C">
              <w:rPr>
                <w:i/>
                <w:iCs/>
                <w:sz w:val="25"/>
                <w:szCs w:val="25"/>
              </w:rPr>
              <w:t>(nu necesită intervenție)</w:t>
            </w:r>
          </w:p>
        </w:tc>
      </w:tr>
      <w:tr w:rsidR="00AE4B0E" w14:paraId="1E4FF72B" w14:textId="77777777" w:rsidTr="00AE4B0E">
        <w:tc>
          <w:tcPr>
            <w:tcW w:w="2643" w:type="dxa"/>
            <w:vMerge/>
          </w:tcPr>
          <w:p w14:paraId="5E3A5EBA" w14:textId="77777777" w:rsidR="00AE4B0E" w:rsidRDefault="00AE4B0E" w:rsidP="00AE4B0E">
            <w:pPr>
              <w:ind w:firstLine="0"/>
              <w:jc w:val="center"/>
              <w:rPr>
                <w:b/>
                <w:bCs/>
                <w:color w:val="000000" w:themeColor="text1"/>
                <w:sz w:val="25"/>
                <w:szCs w:val="25"/>
              </w:rPr>
            </w:pPr>
          </w:p>
        </w:tc>
        <w:tc>
          <w:tcPr>
            <w:tcW w:w="1238" w:type="dxa"/>
          </w:tcPr>
          <w:p w14:paraId="0050E854" w14:textId="71C0F583" w:rsidR="00AE4B0E" w:rsidRDefault="00AE4B0E" w:rsidP="00AE4B0E">
            <w:pPr>
              <w:ind w:firstLine="0"/>
              <w:jc w:val="center"/>
              <w:rPr>
                <w:sz w:val="25"/>
                <w:szCs w:val="25"/>
              </w:rPr>
            </w:pPr>
            <w:r>
              <w:rPr>
                <w:sz w:val="25"/>
                <w:szCs w:val="25"/>
              </w:rPr>
              <w:t>1</w:t>
            </w:r>
            <w:r w:rsidR="007E0F07">
              <w:rPr>
                <w:sz w:val="25"/>
                <w:szCs w:val="25"/>
              </w:rPr>
              <w:t>1</w:t>
            </w:r>
            <w:r>
              <w:rPr>
                <w:sz w:val="25"/>
                <w:szCs w:val="25"/>
              </w:rPr>
              <w:t>.</w:t>
            </w:r>
          </w:p>
        </w:tc>
        <w:tc>
          <w:tcPr>
            <w:tcW w:w="7367" w:type="dxa"/>
          </w:tcPr>
          <w:p w14:paraId="3B6242EF" w14:textId="77777777" w:rsidR="00AE4B0E" w:rsidRPr="0028672C" w:rsidRDefault="00AE4B0E" w:rsidP="00AE4B0E">
            <w:pPr>
              <w:spacing w:after="120"/>
              <w:rPr>
                <w:color w:val="000000" w:themeColor="text1"/>
                <w:sz w:val="25"/>
                <w:szCs w:val="25"/>
              </w:rPr>
            </w:pPr>
            <w:r w:rsidRPr="0028672C">
              <w:rPr>
                <w:color w:val="000000" w:themeColor="text1"/>
                <w:sz w:val="25"/>
                <w:szCs w:val="25"/>
              </w:rPr>
              <w:t>Pe plan redacțional în raport cu normele de tehnică legislativă și a cerințelor de calitate a actului normativ se înaintează următoarele obiecții și recomandări:</w:t>
            </w:r>
          </w:p>
          <w:p w14:paraId="3AEDA16D" w14:textId="43AE906F" w:rsidR="00AE4B0E" w:rsidRPr="0028672C" w:rsidRDefault="00AE4B0E" w:rsidP="00AE4B0E">
            <w:pPr>
              <w:ind w:firstLine="0"/>
              <w:rPr>
                <w:color w:val="000000" w:themeColor="text1"/>
                <w:sz w:val="25"/>
                <w:szCs w:val="25"/>
              </w:rPr>
            </w:pPr>
            <w:r w:rsidRPr="0028672C">
              <w:rPr>
                <w:color w:val="000000" w:themeColor="text1"/>
                <w:sz w:val="25"/>
                <w:szCs w:val="25"/>
              </w:rPr>
              <w:t xml:space="preserve">În conformitate cu art. 62 din </w:t>
            </w:r>
            <w:r w:rsidRPr="0028672C">
              <w:rPr>
                <w:i/>
                <w:iCs/>
                <w:color w:val="000000" w:themeColor="text1"/>
                <w:sz w:val="25"/>
                <w:szCs w:val="25"/>
              </w:rPr>
              <w:t>Legea nr. 100/2017 cu privire la actele normative</w:t>
            </w:r>
            <w:r w:rsidRPr="0028672C">
              <w:rPr>
                <w:color w:val="000000" w:themeColor="text1"/>
                <w:sz w:val="25"/>
                <w:szCs w:val="25"/>
              </w:rPr>
              <w:t>, modificarea actului normativ constă în schimbarea oficială a textului actului, inclusiv a dispozițiilor finale sau tranzitorii, realizată prin modificări, excluderi sau completări ale unor părți din text. Prin urmare, în dispoziția de modificare nu este necesară referința la completare, deoarece modificările includ și completări.</w:t>
            </w:r>
          </w:p>
        </w:tc>
        <w:tc>
          <w:tcPr>
            <w:tcW w:w="2746" w:type="dxa"/>
          </w:tcPr>
          <w:p w14:paraId="7D560FA0" w14:textId="77777777" w:rsidR="00AE4B0E" w:rsidRPr="0028672C" w:rsidRDefault="00AE4B0E" w:rsidP="002B071C">
            <w:pPr>
              <w:ind w:firstLine="0"/>
              <w:rPr>
                <w:b/>
                <w:bCs/>
                <w:color w:val="000000" w:themeColor="text1"/>
                <w:sz w:val="25"/>
                <w:szCs w:val="25"/>
              </w:rPr>
            </w:pPr>
            <w:r w:rsidRPr="0028672C">
              <w:rPr>
                <w:b/>
                <w:bCs/>
                <w:color w:val="000000" w:themeColor="text1"/>
                <w:sz w:val="25"/>
                <w:szCs w:val="25"/>
              </w:rPr>
              <w:t>Se acceptă</w:t>
            </w:r>
          </w:p>
          <w:p w14:paraId="4956B44E" w14:textId="5D3D8739" w:rsidR="00AE4B0E" w:rsidRPr="0028672C" w:rsidRDefault="00AE4B0E" w:rsidP="0028672C">
            <w:pPr>
              <w:pBdr>
                <w:top w:val="none" w:sz="4" w:space="0" w:color="000000"/>
                <w:left w:val="none" w:sz="4" w:space="0" w:color="000000"/>
                <w:bottom w:val="none" w:sz="4" w:space="0" w:color="000000"/>
                <w:right w:val="none" w:sz="4" w:space="0" w:color="000000"/>
              </w:pBdr>
              <w:ind w:firstLine="0"/>
              <w:jc w:val="left"/>
              <w:rPr>
                <w:b/>
                <w:bCs/>
                <w:color w:val="000000" w:themeColor="text1"/>
                <w:sz w:val="25"/>
                <w:szCs w:val="25"/>
              </w:rPr>
            </w:pPr>
            <w:r w:rsidRPr="0028672C">
              <w:rPr>
                <w:i/>
                <w:iCs/>
                <w:color w:val="000000" w:themeColor="text1"/>
                <w:sz w:val="25"/>
                <w:szCs w:val="25"/>
              </w:rPr>
              <w:t>(proiectul</w:t>
            </w:r>
            <w:r w:rsidR="0028672C">
              <w:rPr>
                <w:i/>
                <w:iCs/>
                <w:color w:val="000000" w:themeColor="text1"/>
                <w:sz w:val="25"/>
                <w:szCs w:val="25"/>
              </w:rPr>
              <w:t xml:space="preserve"> de lege</w:t>
            </w:r>
            <w:r w:rsidRPr="0028672C">
              <w:rPr>
                <w:i/>
                <w:iCs/>
                <w:color w:val="000000" w:themeColor="text1"/>
                <w:sz w:val="25"/>
                <w:szCs w:val="25"/>
              </w:rPr>
              <w:t xml:space="preserve"> a fost ajustat)</w:t>
            </w:r>
          </w:p>
        </w:tc>
      </w:tr>
      <w:tr w:rsidR="00AE4B0E" w14:paraId="65C234C2" w14:textId="77777777" w:rsidTr="00AE4B0E">
        <w:trPr>
          <w:trHeight w:val="542"/>
        </w:trPr>
        <w:tc>
          <w:tcPr>
            <w:tcW w:w="2643" w:type="dxa"/>
            <w:vMerge/>
          </w:tcPr>
          <w:p w14:paraId="4E132733" w14:textId="77777777" w:rsidR="00AE4B0E" w:rsidRDefault="00AE4B0E" w:rsidP="00AE4B0E">
            <w:pPr>
              <w:ind w:firstLine="0"/>
              <w:jc w:val="center"/>
              <w:rPr>
                <w:b/>
                <w:bCs/>
                <w:color w:val="000000" w:themeColor="text1"/>
                <w:sz w:val="25"/>
                <w:szCs w:val="25"/>
              </w:rPr>
            </w:pPr>
          </w:p>
        </w:tc>
        <w:tc>
          <w:tcPr>
            <w:tcW w:w="1238" w:type="dxa"/>
          </w:tcPr>
          <w:p w14:paraId="25BD7928" w14:textId="59A9ECFA" w:rsidR="00AE4B0E" w:rsidRDefault="00AE4B0E" w:rsidP="00AE4B0E">
            <w:pPr>
              <w:ind w:firstLine="0"/>
              <w:jc w:val="center"/>
              <w:rPr>
                <w:sz w:val="25"/>
                <w:szCs w:val="25"/>
              </w:rPr>
            </w:pPr>
            <w:r>
              <w:rPr>
                <w:sz w:val="25"/>
                <w:szCs w:val="25"/>
              </w:rPr>
              <w:t>1</w:t>
            </w:r>
            <w:r w:rsidR="007E0F07">
              <w:rPr>
                <w:sz w:val="25"/>
                <w:szCs w:val="25"/>
              </w:rPr>
              <w:t>2</w:t>
            </w:r>
            <w:r>
              <w:rPr>
                <w:sz w:val="25"/>
                <w:szCs w:val="25"/>
              </w:rPr>
              <w:t>.</w:t>
            </w:r>
          </w:p>
          <w:p w14:paraId="4FD3A745" w14:textId="79313FE3" w:rsidR="00AE4B0E" w:rsidRDefault="00AE4B0E" w:rsidP="00D23C62">
            <w:pPr>
              <w:jc w:val="center"/>
              <w:rPr>
                <w:sz w:val="25"/>
                <w:szCs w:val="25"/>
              </w:rPr>
            </w:pPr>
          </w:p>
        </w:tc>
        <w:tc>
          <w:tcPr>
            <w:tcW w:w="7367" w:type="dxa"/>
          </w:tcPr>
          <w:p w14:paraId="080CACFF" w14:textId="77777777" w:rsidR="00AE4B0E" w:rsidRPr="0028672C" w:rsidRDefault="00AE4B0E" w:rsidP="0028672C">
            <w:pPr>
              <w:rPr>
                <w:color w:val="000000" w:themeColor="text1"/>
                <w:sz w:val="25"/>
                <w:szCs w:val="25"/>
              </w:rPr>
            </w:pPr>
            <w:r w:rsidRPr="0028672C">
              <w:rPr>
                <w:color w:val="000000" w:themeColor="text1"/>
                <w:sz w:val="25"/>
                <w:szCs w:val="25"/>
              </w:rPr>
              <w:t>Pct. 2 al art. I se recomandă a fi redat, conform uzanțelor, cu următorul cuprins:</w:t>
            </w:r>
          </w:p>
          <w:p w14:paraId="05C4D072" w14:textId="29617557" w:rsidR="00AE4B0E" w:rsidRPr="0028672C" w:rsidRDefault="00AE4B0E" w:rsidP="0028672C">
            <w:pPr>
              <w:ind w:firstLine="0"/>
              <w:rPr>
                <w:sz w:val="25"/>
                <w:szCs w:val="25"/>
              </w:rPr>
            </w:pPr>
            <w:r w:rsidRPr="0028672C">
              <w:rPr>
                <w:color w:val="000000" w:themeColor="text1"/>
                <w:sz w:val="25"/>
                <w:szCs w:val="25"/>
              </w:rPr>
              <w:t>,,2. La punctul 1 al anexei nr. 2 pozițiile ,,Republica Cuba</w:t>
            </w:r>
            <w:r w:rsidRPr="0028672C">
              <w:rPr>
                <w:color w:val="000000" w:themeColor="text1"/>
                <w:sz w:val="25"/>
                <w:szCs w:val="25"/>
                <w:vertAlign w:val="superscript"/>
              </w:rPr>
              <w:t>1</w:t>
            </w:r>
            <w:r w:rsidRPr="0028672C">
              <w:rPr>
                <w:color w:val="000000" w:themeColor="text1"/>
                <w:sz w:val="25"/>
                <w:szCs w:val="25"/>
              </w:rPr>
              <w:t>” și ,,Republica Ecuador</w:t>
            </w:r>
            <w:r w:rsidRPr="0028672C">
              <w:rPr>
                <w:color w:val="000000" w:themeColor="text1"/>
                <w:sz w:val="25"/>
                <w:szCs w:val="25"/>
                <w:vertAlign w:val="superscript"/>
              </w:rPr>
              <w:t>1</w:t>
            </w:r>
            <w:r w:rsidRPr="0028672C">
              <w:rPr>
                <w:color w:val="000000" w:themeColor="text1"/>
                <w:sz w:val="25"/>
                <w:szCs w:val="25"/>
              </w:rPr>
              <w:t>” se exclud.”.</w:t>
            </w:r>
          </w:p>
        </w:tc>
        <w:tc>
          <w:tcPr>
            <w:tcW w:w="2746" w:type="dxa"/>
          </w:tcPr>
          <w:p w14:paraId="7825666C" w14:textId="77777777" w:rsidR="00AE4B0E" w:rsidRPr="0028672C" w:rsidRDefault="00AE4B0E" w:rsidP="002B071C">
            <w:pPr>
              <w:ind w:firstLine="0"/>
              <w:rPr>
                <w:b/>
                <w:bCs/>
                <w:color w:val="000000" w:themeColor="text1"/>
                <w:sz w:val="25"/>
                <w:szCs w:val="25"/>
              </w:rPr>
            </w:pPr>
            <w:r w:rsidRPr="0028672C">
              <w:rPr>
                <w:b/>
                <w:bCs/>
                <w:color w:val="000000" w:themeColor="text1"/>
                <w:sz w:val="25"/>
                <w:szCs w:val="25"/>
              </w:rPr>
              <w:t>Se acceptă</w:t>
            </w:r>
          </w:p>
          <w:p w14:paraId="77EC65C9" w14:textId="0961656C" w:rsidR="00AE4B0E" w:rsidRPr="0028672C" w:rsidRDefault="00AE4B0E" w:rsidP="0028672C">
            <w:pPr>
              <w:pBdr>
                <w:top w:val="none" w:sz="4" w:space="0" w:color="000000"/>
                <w:left w:val="none" w:sz="4" w:space="0" w:color="000000"/>
                <w:bottom w:val="none" w:sz="4" w:space="0" w:color="000000"/>
                <w:right w:val="none" w:sz="4" w:space="0" w:color="000000"/>
              </w:pBdr>
              <w:ind w:firstLine="0"/>
              <w:jc w:val="left"/>
              <w:rPr>
                <w:b/>
                <w:bCs/>
                <w:color w:val="000000" w:themeColor="text1"/>
                <w:sz w:val="25"/>
                <w:szCs w:val="25"/>
              </w:rPr>
            </w:pPr>
            <w:r w:rsidRPr="0028672C">
              <w:rPr>
                <w:i/>
                <w:iCs/>
                <w:color w:val="000000" w:themeColor="text1"/>
                <w:sz w:val="25"/>
                <w:szCs w:val="25"/>
              </w:rPr>
              <w:t xml:space="preserve">(proiectul </w:t>
            </w:r>
            <w:r w:rsidR="0028672C">
              <w:rPr>
                <w:i/>
                <w:iCs/>
                <w:color w:val="000000" w:themeColor="text1"/>
                <w:sz w:val="25"/>
                <w:szCs w:val="25"/>
              </w:rPr>
              <w:t xml:space="preserve">de lege </w:t>
            </w:r>
            <w:r w:rsidRPr="0028672C">
              <w:rPr>
                <w:i/>
                <w:iCs/>
                <w:color w:val="000000" w:themeColor="text1"/>
                <w:sz w:val="25"/>
                <w:szCs w:val="25"/>
              </w:rPr>
              <w:t>a fost ajustat)</w:t>
            </w:r>
          </w:p>
          <w:p w14:paraId="6A7D58BD" w14:textId="65FFE054" w:rsidR="00AE4B0E" w:rsidRPr="0028672C" w:rsidRDefault="00AE4B0E" w:rsidP="0028672C">
            <w:pPr>
              <w:pBdr>
                <w:top w:val="none" w:sz="4" w:space="0" w:color="000000"/>
                <w:left w:val="none" w:sz="4" w:space="0" w:color="000000"/>
                <w:bottom w:val="none" w:sz="4" w:space="0" w:color="000000"/>
                <w:right w:val="none" w:sz="4" w:space="0" w:color="000000"/>
              </w:pBdr>
              <w:jc w:val="left"/>
              <w:rPr>
                <w:b/>
                <w:bCs/>
                <w:sz w:val="25"/>
                <w:szCs w:val="25"/>
              </w:rPr>
            </w:pPr>
          </w:p>
        </w:tc>
      </w:tr>
    </w:tbl>
    <w:p w14:paraId="74C8889A" w14:textId="6E15D776" w:rsidR="00D42B97" w:rsidRPr="00AD1AAF" w:rsidRDefault="00AE4B0E" w:rsidP="00AD1AAF">
      <w:pPr>
        <w:rPr>
          <w:b/>
          <w:bCs/>
          <w:sz w:val="25"/>
          <w:szCs w:val="25"/>
        </w:rPr>
      </w:pPr>
      <w:r>
        <w:rPr>
          <w:b/>
          <w:bCs/>
          <w:sz w:val="25"/>
          <w:szCs w:val="25"/>
        </w:rPr>
        <w:br w:type="textWrapping" w:clear="all"/>
      </w:r>
    </w:p>
    <w:sectPr w:rsidR="00D42B97" w:rsidRPr="00AD1AAF" w:rsidSect="002432E4">
      <w:pgSz w:w="16838" w:h="11906" w:orient="landscape"/>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2EF60" w14:textId="77777777" w:rsidR="00C47E00" w:rsidRDefault="00C47E00" w:rsidP="00C47E00">
      <w:r>
        <w:separator/>
      </w:r>
    </w:p>
  </w:endnote>
  <w:endnote w:type="continuationSeparator" w:id="0">
    <w:p w14:paraId="12C20B1E" w14:textId="77777777" w:rsidR="00C47E00" w:rsidRDefault="00C47E00" w:rsidP="00C47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F176B" w14:textId="77777777" w:rsidR="00C47E00" w:rsidRDefault="00C47E00" w:rsidP="00C47E00">
      <w:r>
        <w:separator/>
      </w:r>
    </w:p>
  </w:footnote>
  <w:footnote w:type="continuationSeparator" w:id="0">
    <w:p w14:paraId="35657E21" w14:textId="77777777" w:rsidR="00C47E00" w:rsidRDefault="00C47E00" w:rsidP="00C47E00">
      <w:r>
        <w:continuationSeparator/>
      </w:r>
    </w:p>
  </w:footnote>
  <w:footnote w:id="1">
    <w:p w14:paraId="7EB33ABB" w14:textId="77777777" w:rsidR="008A1C9B" w:rsidRDefault="008A1C9B">
      <w:pPr>
        <w:pStyle w:val="FootnoteText"/>
      </w:pPr>
      <w:r>
        <w:rPr>
          <w:rStyle w:val="FootnoteReference"/>
          <w:rFonts w:eastAsiaTheme="majorEastAsia"/>
        </w:rPr>
        <w:footnoteRef/>
      </w:r>
      <w:r>
        <w:t xml:space="preserve"> </w:t>
      </w:r>
      <w:r>
        <w:rPr>
          <w:b/>
          <w:bCs/>
        </w:rPr>
        <w:t xml:space="preserve">Extras din </w:t>
      </w:r>
      <w:r w:rsidRPr="00297013">
        <w:rPr>
          <w:b/>
          <w:bCs/>
        </w:rPr>
        <w:t>Aviz</w:t>
      </w:r>
      <w:r>
        <w:rPr>
          <w:b/>
          <w:bCs/>
        </w:rPr>
        <w:t>ul</w:t>
      </w:r>
      <w:r w:rsidRPr="00297013">
        <w:rPr>
          <w:b/>
          <w:bCs/>
        </w:rPr>
        <w:t xml:space="preserve"> CAL nr. 31/02-69-7144 din 6 iulie 2023:</w:t>
      </w:r>
      <w:r>
        <w:t xml:space="preserve"> </w:t>
      </w:r>
      <w:r w:rsidRPr="00C6238D">
        <w:t>«</w:t>
      </w:r>
      <w:r w:rsidRPr="00C6238D">
        <w:rPr>
          <w:i/>
          <w:iCs/>
        </w:rPr>
        <w:t>Versiunea inițială a proiectului național a fost examinată din perspectiva compatibilității cu acquis-</w:t>
      </w:r>
      <w:proofErr w:type="spellStart"/>
      <w:r w:rsidRPr="00C6238D">
        <w:rPr>
          <w:i/>
          <w:iCs/>
        </w:rPr>
        <w:t>ul</w:t>
      </w:r>
      <w:proofErr w:type="spellEnd"/>
      <w:r w:rsidRPr="00C6238D">
        <w:rPr>
          <w:i/>
          <w:iCs/>
        </w:rPr>
        <w:t xml:space="preserve"> UE existent în domeniu prin prisma obligațiilor juridice asumate în lumina Acordului de Asociere RM – UE, constatările fiind expuse în Avizul de compatibilitate nr. 31/02-69-2820 din 16 martie 2023. Menționăm că, prin avizul prenotat s-a constatat necorespunderea modificărilor naționale propuse, în speță, privind exonerarea resortisanților Statului Qatar de obligația deținerii unei vize de scurtă ședere și excluderea acestuia din Anexa nr. 1 și includerea în Anexa nr. 2 a Legii nr. 257/2013 cu prevederile Regulamentului (UE) 2018/1806, care stabilesc Statul Qatar în lista țărilor terțe ai căror resortisanți trebuie să dețină viză pentru trecerea frontierelor externe ale statelor membre. În concluzie, ca urmare a analizei repetate a completărilor legislative propuse, cu referire la modificarea regimului de vize pentru resortisanții Statului Qatar, menționăm că acestea nu corespund prevederilor Regulamentului (UE) 2018/1806, iar modificările introduse privind exonerarea deținerii vizei de către resortisanții statului menționat, afectează nivelul de armonizare realizat cu prevederile Regulamentului (UE) 2018/1806, până în prezent, prin Legea nr. 257/2013</w:t>
      </w:r>
      <w:r w:rsidRPr="00C6238D">
        <w:t>»</w:t>
      </w:r>
      <w:r>
        <w:t>.</w:t>
      </w:r>
    </w:p>
  </w:footnote>
  <w:footnote w:id="2">
    <w:p w14:paraId="0744BE37" w14:textId="3206E75B" w:rsidR="007E0F07" w:rsidRDefault="007E0F07">
      <w:pPr>
        <w:pStyle w:val="FootnoteText"/>
      </w:pPr>
      <w:r>
        <w:rPr>
          <w:rStyle w:val="FootnoteReference"/>
        </w:rPr>
        <w:footnoteRef/>
      </w:r>
      <w:r>
        <w:t xml:space="preserve"> </w:t>
      </w:r>
      <w:hyperlink r:id="rId1" w:history="1">
        <w:r w:rsidRPr="007E0F07">
          <w:rPr>
            <w:rStyle w:val="Hyperlink"/>
          </w:rPr>
          <w:t xml:space="preserve">Anunț cu privire la consultarea publică a proiectului de lege pentru modificarea Legii nr. 257/2013 privind </w:t>
        </w:r>
        <w:proofErr w:type="spellStart"/>
        <w:r w:rsidRPr="007E0F07">
          <w:rPr>
            <w:rStyle w:val="Hyperlink"/>
          </w:rPr>
          <w:t>resortisanţii</w:t>
        </w:r>
        <w:proofErr w:type="spellEnd"/>
        <w:r w:rsidRPr="007E0F07">
          <w:rPr>
            <w:rStyle w:val="Hyperlink"/>
          </w:rPr>
          <w:t xml:space="preserve"> statelor </w:t>
        </w:r>
        <w:proofErr w:type="spellStart"/>
        <w:r w:rsidRPr="007E0F07">
          <w:rPr>
            <w:rStyle w:val="Hyperlink"/>
          </w:rPr>
          <w:t>terţe</w:t>
        </w:r>
        <w:proofErr w:type="spellEnd"/>
        <w:r w:rsidRPr="007E0F07">
          <w:rPr>
            <w:rStyle w:val="Hyperlink"/>
          </w:rPr>
          <w:t xml:space="preserve"> care au </w:t>
        </w:r>
        <w:proofErr w:type="spellStart"/>
        <w:r w:rsidRPr="007E0F07">
          <w:rPr>
            <w:rStyle w:val="Hyperlink"/>
          </w:rPr>
          <w:t>obligaţia</w:t>
        </w:r>
        <w:proofErr w:type="spellEnd"/>
        <w:r w:rsidRPr="007E0F07">
          <w:rPr>
            <w:rStyle w:val="Hyperlink"/>
          </w:rPr>
          <w:t xml:space="preserve"> </w:t>
        </w:r>
        <w:proofErr w:type="spellStart"/>
        <w:r w:rsidRPr="007E0F07">
          <w:rPr>
            <w:rStyle w:val="Hyperlink"/>
          </w:rPr>
          <w:t>deţinerii</w:t>
        </w:r>
        <w:proofErr w:type="spellEnd"/>
        <w:r w:rsidRPr="007E0F07">
          <w:rPr>
            <w:rStyle w:val="Hyperlink"/>
          </w:rPr>
          <w:t xml:space="preserve"> unei vize </w:t>
        </w:r>
        <w:proofErr w:type="spellStart"/>
        <w:r w:rsidRPr="007E0F07">
          <w:rPr>
            <w:rStyle w:val="Hyperlink"/>
          </w:rPr>
          <w:t>şi</w:t>
        </w:r>
        <w:proofErr w:type="spellEnd"/>
        <w:r w:rsidRPr="007E0F07">
          <w:rPr>
            <w:rStyle w:val="Hyperlink"/>
          </w:rPr>
          <w:t xml:space="preserve"> </w:t>
        </w:r>
        <w:proofErr w:type="spellStart"/>
        <w:r w:rsidRPr="007E0F07">
          <w:rPr>
            <w:rStyle w:val="Hyperlink"/>
          </w:rPr>
          <w:t>resortisanţii</w:t>
        </w:r>
        <w:proofErr w:type="spellEnd"/>
        <w:r w:rsidRPr="007E0F07">
          <w:rPr>
            <w:rStyle w:val="Hyperlink"/>
          </w:rPr>
          <w:t xml:space="preserve"> statelor </w:t>
        </w:r>
        <w:proofErr w:type="spellStart"/>
        <w:r w:rsidRPr="007E0F07">
          <w:rPr>
            <w:rStyle w:val="Hyperlink"/>
          </w:rPr>
          <w:t>terţe</w:t>
        </w:r>
        <w:proofErr w:type="spellEnd"/>
        <w:r w:rsidRPr="007E0F07">
          <w:rPr>
            <w:rStyle w:val="Hyperlink"/>
          </w:rPr>
          <w:t xml:space="preserve"> care </w:t>
        </w:r>
        <w:proofErr w:type="spellStart"/>
        <w:r w:rsidRPr="007E0F07">
          <w:rPr>
            <w:rStyle w:val="Hyperlink"/>
          </w:rPr>
          <w:t>sînt</w:t>
        </w:r>
        <w:proofErr w:type="spellEnd"/>
        <w:r w:rsidRPr="007E0F07">
          <w:rPr>
            <w:rStyle w:val="Hyperlink"/>
          </w:rPr>
          <w:t xml:space="preserve"> </w:t>
        </w:r>
        <w:proofErr w:type="spellStart"/>
        <w:r w:rsidRPr="007E0F07">
          <w:rPr>
            <w:rStyle w:val="Hyperlink"/>
          </w:rPr>
          <w:t>exoneraţi</w:t>
        </w:r>
        <w:proofErr w:type="spellEnd"/>
        <w:r w:rsidRPr="007E0F07">
          <w:rPr>
            <w:rStyle w:val="Hyperlink"/>
          </w:rPr>
          <w:t xml:space="preserve"> de obligativitatea </w:t>
        </w:r>
        <w:proofErr w:type="spellStart"/>
        <w:r w:rsidRPr="007E0F07">
          <w:rPr>
            <w:rStyle w:val="Hyperlink"/>
          </w:rPr>
          <w:t>deţinerii</w:t>
        </w:r>
        <w:proofErr w:type="spellEnd"/>
        <w:r w:rsidRPr="007E0F07">
          <w:rPr>
            <w:rStyle w:val="Hyperlink"/>
          </w:rPr>
          <w:t xml:space="preserve"> unei vize la traversarea frontierei de stat a Republicii Moldova | Particip.gov.md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366A8"/>
    <w:multiLevelType w:val="hybridMultilevel"/>
    <w:tmpl w:val="F196B4B6"/>
    <w:lvl w:ilvl="0" w:tplc="505AF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1945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0C"/>
    <w:rsid w:val="00031BBE"/>
    <w:rsid w:val="000355CD"/>
    <w:rsid w:val="000A54BE"/>
    <w:rsid w:val="00122D4B"/>
    <w:rsid w:val="00141293"/>
    <w:rsid w:val="001F1A2A"/>
    <w:rsid w:val="0022097C"/>
    <w:rsid w:val="002432E4"/>
    <w:rsid w:val="002528B5"/>
    <w:rsid w:val="0028672C"/>
    <w:rsid w:val="002A3013"/>
    <w:rsid w:val="002B071C"/>
    <w:rsid w:val="003511AD"/>
    <w:rsid w:val="003818C2"/>
    <w:rsid w:val="003D145D"/>
    <w:rsid w:val="003D7A82"/>
    <w:rsid w:val="00435212"/>
    <w:rsid w:val="00437E7D"/>
    <w:rsid w:val="004D1D67"/>
    <w:rsid w:val="004D5CF7"/>
    <w:rsid w:val="004F6763"/>
    <w:rsid w:val="00651C16"/>
    <w:rsid w:val="00676A54"/>
    <w:rsid w:val="006E4ACC"/>
    <w:rsid w:val="006E6561"/>
    <w:rsid w:val="00780591"/>
    <w:rsid w:val="00786D2F"/>
    <w:rsid w:val="007A4E26"/>
    <w:rsid w:val="007E0F07"/>
    <w:rsid w:val="007E2B14"/>
    <w:rsid w:val="007E6011"/>
    <w:rsid w:val="00820133"/>
    <w:rsid w:val="00882B5B"/>
    <w:rsid w:val="0089627E"/>
    <w:rsid w:val="008969EC"/>
    <w:rsid w:val="008A1C9B"/>
    <w:rsid w:val="008B4655"/>
    <w:rsid w:val="009B094A"/>
    <w:rsid w:val="009E5D0C"/>
    <w:rsid w:val="009F00B4"/>
    <w:rsid w:val="00A8084D"/>
    <w:rsid w:val="00AC3E70"/>
    <w:rsid w:val="00AD1AAF"/>
    <w:rsid w:val="00AE4B0E"/>
    <w:rsid w:val="00AF4BCC"/>
    <w:rsid w:val="00B31B91"/>
    <w:rsid w:val="00B37E40"/>
    <w:rsid w:val="00BD2AB6"/>
    <w:rsid w:val="00C47E00"/>
    <w:rsid w:val="00C9621A"/>
    <w:rsid w:val="00D04D7E"/>
    <w:rsid w:val="00D408C7"/>
    <w:rsid w:val="00D42B97"/>
    <w:rsid w:val="00D471E5"/>
    <w:rsid w:val="00D641E6"/>
    <w:rsid w:val="00D679F8"/>
    <w:rsid w:val="00D67A75"/>
    <w:rsid w:val="00D92BA2"/>
    <w:rsid w:val="00DA5947"/>
    <w:rsid w:val="00EC60E0"/>
    <w:rsid w:val="00ED3487"/>
    <w:rsid w:val="00ED48D2"/>
    <w:rsid w:val="00EF677C"/>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8985"/>
  <w15:chartTrackingRefBased/>
  <w15:docId w15:val="{E7AA7732-A5EF-4325-AAAB-53F081C3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A75"/>
    <w:pPr>
      <w:spacing w:after="0" w:line="240" w:lineRule="auto"/>
      <w:ind w:firstLine="709"/>
      <w:jc w:val="both"/>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E5D0C"/>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E5D0C"/>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E5D0C"/>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E5D0C"/>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E5D0C"/>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E5D0C"/>
    <w:pPr>
      <w:keepNext/>
      <w:keepLines/>
      <w:spacing w:before="40" w:line="259" w:lineRule="auto"/>
      <w:ind w:firstLine="0"/>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E5D0C"/>
    <w:pPr>
      <w:keepNext/>
      <w:keepLines/>
      <w:spacing w:before="40" w:line="259" w:lineRule="auto"/>
      <w:ind w:firstLine="0"/>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E5D0C"/>
    <w:pPr>
      <w:keepNext/>
      <w:keepLines/>
      <w:spacing w:line="259" w:lineRule="auto"/>
      <w:ind w:firstLine="0"/>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E5D0C"/>
    <w:pPr>
      <w:keepNext/>
      <w:keepLines/>
      <w:spacing w:line="259" w:lineRule="auto"/>
      <w:ind w:firstLine="0"/>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D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D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D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D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D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D0C"/>
    <w:rPr>
      <w:rFonts w:eastAsiaTheme="majorEastAsia" w:cstheme="majorBidi"/>
      <w:color w:val="272727" w:themeColor="text1" w:themeTint="D8"/>
    </w:rPr>
  </w:style>
  <w:style w:type="paragraph" w:styleId="Title">
    <w:name w:val="Title"/>
    <w:basedOn w:val="Normal"/>
    <w:next w:val="Normal"/>
    <w:link w:val="TitleChar"/>
    <w:uiPriority w:val="10"/>
    <w:qFormat/>
    <w:rsid w:val="009E5D0C"/>
    <w:pPr>
      <w:spacing w:after="80"/>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E5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D0C"/>
    <w:pPr>
      <w:numPr>
        <w:ilvl w:val="1"/>
      </w:numPr>
      <w:spacing w:after="160" w:line="259" w:lineRule="auto"/>
      <w:ind w:firstLine="709"/>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E5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D0C"/>
    <w:pPr>
      <w:spacing w:before="160" w:after="160" w:line="259" w:lineRule="auto"/>
      <w:ind w:firstLine="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E5D0C"/>
    <w:rPr>
      <w:i/>
      <w:iCs/>
      <w:color w:val="404040" w:themeColor="text1" w:themeTint="BF"/>
    </w:rPr>
  </w:style>
  <w:style w:type="paragraph" w:styleId="ListParagraph">
    <w:name w:val="List Paragraph"/>
    <w:basedOn w:val="Normal"/>
    <w:uiPriority w:val="34"/>
    <w:qFormat/>
    <w:rsid w:val="009E5D0C"/>
    <w:pPr>
      <w:spacing w:after="160" w:line="259" w:lineRule="auto"/>
      <w:ind w:left="720" w:firstLine="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E5D0C"/>
    <w:rPr>
      <w:i/>
      <w:iCs/>
      <w:color w:val="0F4761" w:themeColor="accent1" w:themeShade="BF"/>
    </w:rPr>
  </w:style>
  <w:style w:type="paragraph" w:styleId="IntenseQuote">
    <w:name w:val="Intense Quote"/>
    <w:basedOn w:val="Normal"/>
    <w:next w:val="Normal"/>
    <w:link w:val="IntenseQuoteChar"/>
    <w:uiPriority w:val="30"/>
    <w:qFormat/>
    <w:rsid w:val="009E5D0C"/>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E5D0C"/>
    <w:rPr>
      <w:i/>
      <w:iCs/>
      <w:color w:val="0F4761" w:themeColor="accent1" w:themeShade="BF"/>
    </w:rPr>
  </w:style>
  <w:style w:type="character" w:styleId="IntenseReference">
    <w:name w:val="Intense Reference"/>
    <w:basedOn w:val="DefaultParagraphFont"/>
    <w:uiPriority w:val="32"/>
    <w:qFormat/>
    <w:rsid w:val="009E5D0C"/>
    <w:rPr>
      <w:b/>
      <w:bCs/>
      <w:smallCaps/>
      <w:color w:val="0F4761" w:themeColor="accent1" w:themeShade="BF"/>
      <w:spacing w:val="5"/>
    </w:rPr>
  </w:style>
  <w:style w:type="table" w:styleId="TableGrid">
    <w:name w:val="Table Grid"/>
    <w:basedOn w:val="TableNormal"/>
    <w:uiPriority w:val="39"/>
    <w:rsid w:val="009E5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4D7E"/>
    <w:pPr>
      <w:spacing w:after="0" w:line="240" w:lineRule="auto"/>
    </w:pPr>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uiPriority w:val="99"/>
    <w:semiHidden/>
    <w:unhideWhenUsed/>
    <w:rsid w:val="00C47E00"/>
  </w:style>
  <w:style w:type="character" w:customStyle="1" w:styleId="FootnoteTextChar">
    <w:name w:val="Footnote Text Char"/>
    <w:basedOn w:val="DefaultParagraphFont"/>
    <w:link w:val="FootnoteText"/>
    <w:uiPriority w:val="99"/>
    <w:semiHidden/>
    <w:rsid w:val="00C47E00"/>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C47E00"/>
    <w:rPr>
      <w:vertAlign w:val="superscript"/>
    </w:rPr>
  </w:style>
  <w:style w:type="character" w:styleId="Hyperlink">
    <w:name w:val="Hyperlink"/>
    <w:basedOn w:val="DefaultParagraphFont"/>
    <w:uiPriority w:val="99"/>
    <w:unhideWhenUsed/>
    <w:rsid w:val="00C47E00"/>
    <w:rPr>
      <w:color w:val="467886" w:themeColor="hyperlink"/>
      <w:u w:val="single"/>
    </w:rPr>
  </w:style>
  <w:style w:type="character" w:styleId="UnresolvedMention">
    <w:name w:val="Unresolved Mention"/>
    <w:basedOn w:val="DefaultParagraphFont"/>
    <w:uiPriority w:val="99"/>
    <w:semiHidden/>
    <w:unhideWhenUsed/>
    <w:rsid w:val="00C47E00"/>
    <w:rPr>
      <w:color w:val="605E5C"/>
      <w:shd w:val="clear" w:color="auto" w:fill="E1DFDD"/>
    </w:rPr>
  </w:style>
  <w:style w:type="paragraph" w:styleId="Header">
    <w:name w:val="header"/>
    <w:basedOn w:val="Normal"/>
    <w:link w:val="HeaderChar"/>
    <w:uiPriority w:val="99"/>
    <w:unhideWhenUsed/>
    <w:rsid w:val="002432E4"/>
    <w:pPr>
      <w:tabs>
        <w:tab w:val="center" w:pos="4536"/>
        <w:tab w:val="right" w:pos="9072"/>
      </w:tabs>
    </w:pPr>
  </w:style>
  <w:style w:type="character" w:customStyle="1" w:styleId="HeaderChar">
    <w:name w:val="Header Char"/>
    <w:basedOn w:val="DefaultParagraphFont"/>
    <w:link w:val="Header"/>
    <w:uiPriority w:val="99"/>
    <w:rsid w:val="002432E4"/>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2432E4"/>
    <w:pPr>
      <w:tabs>
        <w:tab w:val="center" w:pos="4536"/>
        <w:tab w:val="right" w:pos="9072"/>
      </w:tabs>
    </w:pPr>
  </w:style>
  <w:style w:type="character" w:customStyle="1" w:styleId="FooterChar">
    <w:name w:val="Footer Char"/>
    <w:basedOn w:val="DefaultParagraphFont"/>
    <w:link w:val="Footer"/>
    <w:uiPriority w:val="99"/>
    <w:rsid w:val="002432E4"/>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articip.gov.md/ro/document/stages/anunt-cu-privire-la-consultarea-publica-a-proiectului-de-lege-pentru-modificarea-legii-nr-2572013-privind-resortisantii-statelor-terte-care-au-obligatia-detinerii-unei-vize-si-resortisantii-statelor-terte-care-sint-exonerati-de-obligativitatea-detinerii-unei-vize-la-traversarea-frontierei-de-stat-a-republicii-moldova/13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0B3C2-FE44-423E-810B-903B50110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1606</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Badia</dc:creator>
  <cp:keywords/>
  <dc:description/>
  <cp:lastModifiedBy>Lidia Badia</cp:lastModifiedBy>
  <cp:revision>33</cp:revision>
  <dcterms:created xsi:type="dcterms:W3CDTF">2024-12-16T11:10:00Z</dcterms:created>
  <dcterms:modified xsi:type="dcterms:W3CDTF">2025-01-20T07:02:00Z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2024-11-18T12:20:49Z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2465e2e8-f395-4082-9f1c-073f57a5db57</vt:lpwstr>
  </property>
  <property fmtid="{D5CDD505-2E9C-101B-9397-08002B2CF9AE}" pid="8" name="MSIP_Label_5c4e35d5-db9c-4c03-801d-f4783407a705_ContentBits">
    <vt:lpwstr>0</vt:lpwstr>
  </property>
</Properties>
</file>