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4A" w:rsidRPr="007D0A81" w:rsidRDefault="008B1E4A" w:rsidP="008B1E4A">
      <w:pPr>
        <w:shd w:val="clear" w:color="auto" w:fill="FFFFFF" w:themeFill="background1"/>
        <w:tabs>
          <w:tab w:val="left" w:pos="884"/>
          <w:tab w:val="left" w:pos="1196"/>
        </w:tabs>
        <w:ind w:firstLine="0"/>
        <w:jc w:val="center"/>
        <w:rPr>
          <w:b/>
          <w:sz w:val="28"/>
          <w:szCs w:val="28"/>
          <w:lang w:val="ro-MO"/>
        </w:rPr>
      </w:pPr>
      <w:r w:rsidRPr="007D0A81">
        <w:rPr>
          <w:b/>
          <w:sz w:val="28"/>
          <w:szCs w:val="28"/>
          <w:lang w:val="ro-MO"/>
        </w:rPr>
        <w:t xml:space="preserve">SINTEZA </w:t>
      </w:r>
    </w:p>
    <w:p w:rsidR="008B1E4A" w:rsidRPr="007D0A81" w:rsidRDefault="008B1E4A" w:rsidP="008B1E4A">
      <w:pPr>
        <w:shd w:val="clear" w:color="auto" w:fill="FFFFFF" w:themeFill="background1"/>
        <w:tabs>
          <w:tab w:val="left" w:pos="884"/>
          <w:tab w:val="left" w:pos="1196"/>
        </w:tabs>
        <w:ind w:firstLine="0"/>
        <w:jc w:val="center"/>
        <w:rPr>
          <w:b/>
          <w:sz w:val="28"/>
          <w:szCs w:val="28"/>
          <w:lang w:val="ro-MO"/>
        </w:rPr>
      </w:pPr>
      <w:r w:rsidRPr="007D0A81">
        <w:rPr>
          <w:b/>
          <w:sz w:val="28"/>
          <w:szCs w:val="28"/>
          <w:lang w:val="ro-MO"/>
        </w:rPr>
        <w:t xml:space="preserve">obiecțiilor și propunerilor (recomandărilor) </w:t>
      </w:r>
    </w:p>
    <w:p w:rsidR="00FC5529" w:rsidRPr="007D0A81" w:rsidRDefault="008B1E4A" w:rsidP="00FC5529">
      <w:pPr>
        <w:ind w:left="-567" w:firstLine="0"/>
        <w:jc w:val="center"/>
        <w:rPr>
          <w:b/>
          <w:sz w:val="28"/>
          <w:szCs w:val="28"/>
          <w:lang w:val="ro-MO"/>
        </w:rPr>
      </w:pPr>
      <w:r w:rsidRPr="007D0A81">
        <w:rPr>
          <w:b/>
          <w:sz w:val="28"/>
          <w:szCs w:val="28"/>
          <w:lang w:val="ro-MO"/>
        </w:rPr>
        <w:t xml:space="preserve">la proiectul </w:t>
      </w:r>
      <w:r w:rsidRPr="007D0A81">
        <w:rPr>
          <w:b/>
          <w:sz w:val="28"/>
          <w:szCs w:val="28"/>
          <w:shd w:val="clear" w:color="auto" w:fill="FFFFFF"/>
          <w:lang w:val="ro-MO"/>
        </w:rPr>
        <w:t>de</w:t>
      </w:r>
      <w:bookmarkStart w:id="0" w:name="_Hlk111812447"/>
      <w:r w:rsidR="00FC5529" w:rsidRPr="007D0A81">
        <w:rPr>
          <w:b/>
          <w:sz w:val="28"/>
          <w:szCs w:val="28"/>
          <w:lang w:val="ro-MO"/>
        </w:rPr>
        <w:t xml:space="preserve"> lege pentru aprobarea Metodologiei de calcul al pierderilor cauzate de trecerea terenurilor cu destinație agricolă sau ale fondului forestier la o altă categorie de destinație</w:t>
      </w:r>
    </w:p>
    <w:p w:rsidR="008B1E4A" w:rsidRPr="007D0A81" w:rsidRDefault="00FC5529" w:rsidP="00FC5529">
      <w:pPr>
        <w:ind w:firstLine="708"/>
        <w:jc w:val="center"/>
        <w:rPr>
          <w:b/>
          <w:sz w:val="28"/>
          <w:szCs w:val="28"/>
          <w:lang w:val="ro-MO"/>
        </w:rPr>
      </w:pPr>
      <w:r w:rsidRPr="007D0A81">
        <w:rPr>
          <w:b/>
          <w:sz w:val="28"/>
          <w:szCs w:val="28"/>
          <w:lang w:val="ro-MO"/>
        </w:rPr>
        <w:t xml:space="preserve"> </w:t>
      </w:r>
      <w:r w:rsidR="008B1E4A" w:rsidRPr="007D0A81">
        <w:rPr>
          <w:b/>
          <w:sz w:val="28"/>
          <w:szCs w:val="28"/>
          <w:lang w:val="ro-MO"/>
        </w:rPr>
        <w:t xml:space="preserve">(număr unic </w:t>
      </w:r>
      <w:r w:rsidRPr="007D0A81">
        <w:rPr>
          <w:b/>
          <w:sz w:val="28"/>
          <w:szCs w:val="28"/>
          <w:lang w:val="ro-MO"/>
        </w:rPr>
        <w:t>1031</w:t>
      </w:r>
      <w:r w:rsidR="008B1E4A" w:rsidRPr="007D0A81">
        <w:rPr>
          <w:b/>
          <w:sz w:val="28"/>
          <w:szCs w:val="28"/>
          <w:lang w:val="ro-MO"/>
        </w:rPr>
        <w:t>/MAIA/2022).</w:t>
      </w:r>
    </w:p>
    <w:bookmarkEnd w:id="0"/>
    <w:p w:rsidR="008B1E4A" w:rsidRPr="007D0A81" w:rsidRDefault="008B1E4A" w:rsidP="008B1E4A">
      <w:pPr>
        <w:shd w:val="clear" w:color="auto" w:fill="FFFFFF" w:themeFill="background1"/>
        <w:ind w:firstLine="0"/>
        <w:rPr>
          <w:b/>
          <w:bCs/>
          <w:sz w:val="28"/>
          <w:szCs w:val="28"/>
          <w:lang w:val="ro-MO"/>
        </w:r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5"/>
        <w:gridCol w:w="6234"/>
        <w:gridCol w:w="3911"/>
      </w:tblGrid>
      <w:tr w:rsidR="00FC5529" w:rsidRPr="007D0A81" w:rsidTr="00CF1E45">
        <w:tc>
          <w:tcPr>
            <w:tcW w:w="1568" w:type="pct"/>
          </w:tcPr>
          <w:p w:rsidR="00FC5529" w:rsidRPr="007D0A81" w:rsidRDefault="00FC5529" w:rsidP="00CF1E45">
            <w:pPr>
              <w:tabs>
                <w:tab w:val="left" w:pos="884"/>
                <w:tab w:val="left" w:pos="1196"/>
              </w:tabs>
              <w:ind w:firstLine="0"/>
              <w:jc w:val="center"/>
              <w:rPr>
                <w:b/>
                <w:sz w:val="24"/>
                <w:szCs w:val="24"/>
                <w:lang w:val="ro-MO"/>
              </w:rPr>
            </w:pPr>
            <w:r w:rsidRPr="007D0A81">
              <w:rPr>
                <w:b/>
                <w:sz w:val="24"/>
                <w:szCs w:val="24"/>
                <w:lang w:val="ro-MO"/>
              </w:rPr>
              <w:t xml:space="preserve">Participantul la avizare (expertizare)/consultare publică </w:t>
            </w:r>
          </w:p>
        </w:tc>
        <w:tc>
          <w:tcPr>
            <w:tcW w:w="2109" w:type="pct"/>
          </w:tcPr>
          <w:p w:rsidR="00FC5529" w:rsidRPr="007D0A81" w:rsidRDefault="00FC5529" w:rsidP="00CF1E45">
            <w:pPr>
              <w:tabs>
                <w:tab w:val="left" w:pos="884"/>
                <w:tab w:val="left" w:pos="1196"/>
              </w:tabs>
              <w:ind w:firstLine="0"/>
              <w:jc w:val="center"/>
              <w:rPr>
                <w:b/>
                <w:sz w:val="24"/>
                <w:szCs w:val="24"/>
                <w:lang w:val="ro-MO"/>
              </w:rPr>
            </w:pPr>
            <w:r w:rsidRPr="007D0A81">
              <w:rPr>
                <w:b/>
                <w:sz w:val="24"/>
                <w:szCs w:val="24"/>
                <w:lang w:val="ro-MO"/>
              </w:rPr>
              <w:t>Conținutul obiecției/</w:t>
            </w:r>
          </w:p>
          <w:p w:rsidR="00FC5529" w:rsidRPr="007D0A81" w:rsidRDefault="00FC5529" w:rsidP="00CF1E45">
            <w:pPr>
              <w:tabs>
                <w:tab w:val="left" w:pos="884"/>
                <w:tab w:val="left" w:pos="1196"/>
              </w:tabs>
              <w:ind w:firstLine="0"/>
              <w:jc w:val="center"/>
              <w:rPr>
                <w:b/>
                <w:sz w:val="24"/>
                <w:szCs w:val="24"/>
                <w:lang w:val="ro-MO"/>
              </w:rPr>
            </w:pPr>
            <w:r w:rsidRPr="007D0A81">
              <w:rPr>
                <w:b/>
                <w:sz w:val="24"/>
                <w:szCs w:val="24"/>
                <w:lang w:val="ro-MO"/>
              </w:rPr>
              <w:t>propunerii (recomandării)</w:t>
            </w:r>
          </w:p>
        </w:tc>
        <w:tc>
          <w:tcPr>
            <w:tcW w:w="1323" w:type="pct"/>
          </w:tcPr>
          <w:p w:rsidR="00FC5529" w:rsidRPr="007D0A81" w:rsidRDefault="00FC5529" w:rsidP="00CF1E45">
            <w:pPr>
              <w:tabs>
                <w:tab w:val="left" w:pos="884"/>
                <w:tab w:val="left" w:pos="1196"/>
              </w:tabs>
              <w:ind w:firstLine="0"/>
              <w:jc w:val="center"/>
              <w:rPr>
                <w:b/>
                <w:sz w:val="24"/>
                <w:szCs w:val="24"/>
                <w:lang w:val="ro-MO"/>
              </w:rPr>
            </w:pPr>
            <w:r w:rsidRPr="007D0A81">
              <w:rPr>
                <w:b/>
                <w:sz w:val="24"/>
                <w:szCs w:val="24"/>
                <w:lang w:val="ro-MO"/>
              </w:rPr>
              <w:t xml:space="preserve">Argumentarea </w:t>
            </w:r>
          </w:p>
          <w:p w:rsidR="00FC5529" w:rsidRPr="007D0A81" w:rsidRDefault="00FC5529" w:rsidP="00CF1E45">
            <w:pPr>
              <w:tabs>
                <w:tab w:val="left" w:pos="884"/>
                <w:tab w:val="left" w:pos="1196"/>
              </w:tabs>
              <w:ind w:firstLine="0"/>
              <w:jc w:val="center"/>
              <w:rPr>
                <w:b/>
                <w:sz w:val="24"/>
                <w:szCs w:val="24"/>
                <w:lang w:val="ro-MO"/>
              </w:rPr>
            </w:pPr>
            <w:r w:rsidRPr="007D0A81">
              <w:rPr>
                <w:b/>
                <w:sz w:val="24"/>
                <w:szCs w:val="24"/>
                <w:lang w:val="ro-MO"/>
              </w:rPr>
              <w:t>autorului proiectului</w:t>
            </w:r>
          </w:p>
        </w:tc>
      </w:tr>
      <w:tr w:rsidR="00FC5529" w:rsidRPr="007D0A81" w:rsidTr="00CF1E45">
        <w:tc>
          <w:tcPr>
            <w:tcW w:w="1568" w:type="pct"/>
            <w:vMerge w:val="restart"/>
          </w:tcPr>
          <w:p w:rsidR="00FC5529" w:rsidRPr="007D0A81" w:rsidRDefault="00FC5529" w:rsidP="00CF1E45">
            <w:pPr>
              <w:tabs>
                <w:tab w:val="left" w:pos="884"/>
                <w:tab w:val="left" w:pos="1196"/>
              </w:tabs>
              <w:ind w:firstLine="0"/>
              <w:jc w:val="center"/>
              <w:rPr>
                <w:b/>
                <w:sz w:val="24"/>
                <w:szCs w:val="24"/>
                <w:lang w:val="ro-MO"/>
              </w:rPr>
            </w:pPr>
            <w:r w:rsidRPr="007D0A81">
              <w:rPr>
                <w:b/>
                <w:sz w:val="24"/>
                <w:szCs w:val="24"/>
                <w:lang w:val="ro-MO"/>
              </w:rPr>
              <w:t>Ministerul Energiei</w:t>
            </w:r>
          </w:p>
          <w:p w:rsidR="00FC5529" w:rsidRPr="007D0A81" w:rsidRDefault="00FC5529" w:rsidP="00CF1E45">
            <w:pPr>
              <w:tabs>
                <w:tab w:val="left" w:pos="884"/>
                <w:tab w:val="left" w:pos="1196"/>
              </w:tabs>
              <w:ind w:firstLine="0"/>
              <w:jc w:val="center"/>
              <w:rPr>
                <w:b/>
                <w:sz w:val="24"/>
                <w:szCs w:val="24"/>
                <w:lang w:val="ro-MO"/>
              </w:rPr>
            </w:pPr>
            <w:r w:rsidRPr="007D0A81">
              <w:rPr>
                <w:i/>
                <w:lang w:val="ro-MO"/>
              </w:rPr>
              <w:t>Aviz nr. 07-3081 din 6.12.2024</w:t>
            </w:r>
          </w:p>
        </w:tc>
        <w:tc>
          <w:tcPr>
            <w:tcW w:w="2109" w:type="pct"/>
          </w:tcPr>
          <w:p w:rsidR="00FC5529" w:rsidRPr="007D0A81" w:rsidRDefault="00FC5529"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FC5529" w:rsidRPr="007D0A81" w:rsidRDefault="00FC5529" w:rsidP="00CF1E45">
            <w:pPr>
              <w:tabs>
                <w:tab w:val="left" w:pos="884"/>
                <w:tab w:val="left" w:pos="1196"/>
              </w:tabs>
              <w:ind w:firstLine="0"/>
              <w:jc w:val="center"/>
              <w:rPr>
                <w:b/>
                <w:sz w:val="24"/>
                <w:szCs w:val="24"/>
                <w:lang w:val="ro-MO"/>
              </w:rPr>
            </w:pPr>
          </w:p>
        </w:tc>
      </w:tr>
      <w:tr w:rsidR="00FC5529" w:rsidRPr="007D0A81" w:rsidTr="00CF1E45">
        <w:tc>
          <w:tcPr>
            <w:tcW w:w="1568" w:type="pct"/>
            <w:vMerge/>
          </w:tcPr>
          <w:p w:rsidR="00FC5529" w:rsidRPr="007D0A81" w:rsidRDefault="00FC5529" w:rsidP="00CF1E45">
            <w:pPr>
              <w:tabs>
                <w:tab w:val="left" w:pos="884"/>
                <w:tab w:val="left" w:pos="1196"/>
              </w:tabs>
              <w:ind w:firstLine="0"/>
              <w:jc w:val="center"/>
              <w:rPr>
                <w:b/>
                <w:sz w:val="24"/>
                <w:szCs w:val="24"/>
                <w:lang w:val="ro-MO"/>
              </w:rPr>
            </w:pPr>
          </w:p>
        </w:tc>
        <w:tc>
          <w:tcPr>
            <w:tcW w:w="2109" w:type="pct"/>
          </w:tcPr>
          <w:p w:rsidR="00FC5529" w:rsidRPr="007D0A81" w:rsidRDefault="00FC5529" w:rsidP="00152E98">
            <w:pPr>
              <w:tabs>
                <w:tab w:val="left" w:pos="884"/>
                <w:tab w:val="left" w:pos="1196"/>
              </w:tabs>
              <w:ind w:firstLine="0"/>
              <w:rPr>
                <w:b/>
                <w:sz w:val="24"/>
                <w:szCs w:val="24"/>
              </w:rPr>
            </w:pPr>
            <w:r w:rsidRPr="007D0A81">
              <w:rPr>
                <w:rFonts w:eastAsiaTheme="minorHAnsi"/>
                <w:color w:val="000000"/>
                <w:sz w:val="24"/>
                <w:szCs w:val="24"/>
              </w:rPr>
              <w:t>Ccomunică lipsa de obiecții și/sau propuneri pe marginea proiectului de lege</w:t>
            </w:r>
            <w:r w:rsidR="00152E98" w:rsidRPr="007D0A81">
              <w:rPr>
                <w:rFonts w:eastAsiaTheme="minorHAnsi"/>
                <w:color w:val="000000"/>
                <w:sz w:val="24"/>
                <w:szCs w:val="24"/>
              </w:rPr>
              <w:t>.</w:t>
            </w:r>
          </w:p>
        </w:tc>
        <w:tc>
          <w:tcPr>
            <w:tcW w:w="1323" w:type="pct"/>
          </w:tcPr>
          <w:p w:rsidR="00FC5529" w:rsidRPr="007D0A81" w:rsidRDefault="00FC5529" w:rsidP="00FC5529">
            <w:pPr>
              <w:tabs>
                <w:tab w:val="left" w:pos="884"/>
                <w:tab w:val="left" w:pos="1196"/>
              </w:tabs>
              <w:ind w:firstLine="0"/>
              <w:rPr>
                <w:b/>
                <w:sz w:val="24"/>
                <w:szCs w:val="24"/>
                <w:lang w:val="ro-MO"/>
              </w:rPr>
            </w:pPr>
            <w:r w:rsidRPr="007D0A81">
              <w:rPr>
                <w:b/>
                <w:sz w:val="24"/>
                <w:szCs w:val="24"/>
                <w:lang w:val="ro-MO"/>
              </w:rPr>
              <w:t>Se acceptă.</w:t>
            </w:r>
          </w:p>
          <w:p w:rsidR="00FC5529" w:rsidRPr="007D0A81" w:rsidRDefault="00FC5529" w:rsidP="00CF1E45">
            <w:pPr>
              <w:tabs>
                <w:tab w:val="left" w:pos="884"/>
                <w:tab w:val="left" w:pos="1196"/>
              </w:tabs>
              <w:ind w:firstLine="0"/>
              <w:jc w:val="center"/>
              <w:rPr>
                <w:b/>
                <w:sz w:val="24"/>
                <w:szCs w:val="24"/>
                <w:lang w:val="ro-MO"/>
              </w:rPr>
            </w:pPr>
          </w:p>
        </w:tc>
      </w:tr>
      <w:tr w:rsidR="00FC5529" w:rsidRPr="007D0A81" w:rsidTr="00CF1E45">
        <w:tc>
          <w:tcPr>
            <w:tcW w:w="1568" w:type="pct"/>
            <w:vMerge/>
          </w:tcPr>
          <w:p w:rsidR="00FC5529" w:rsidRPr="007D0A81" w:rsidRDefault="00FC5529" w:rsidP="00CF1E45">
            <w:pPr>
              <w:tabs>
                <w:tab w:val="left" w:pos="884"/>
                <w:tab w:val="left" w:pos="1196"/>
              </w:tabs>
              <w:ind w:firstLine="0"/>
              <w:jc w:val="center"/>
              <w:rPr>
                <w:b/>
                <w:sz w:val="24"/>
                <w:szCs w:val="24"/>
                <w:lang w:val="ro-MO"/>
              </w:rPr>
            </w:pPr>
          </w:p>
        </w:tc>
        <w:tc>
          <w:tcPr>
            <w:tcW w:w="2109" w:type="pct"/>
          </w:tcPr>
          <w:p w:rsidR="00FC5529" w:rsidRPr="007D0A81" w:rsidRDefault="00FC5529"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Pr>
          <w:p w:rsidR="00FC5529" w:rsidRPr="007D0A81" w:rsidRDefault="00FC5529" w:rsidP="00CF1E45">
            <w:pPr>
              <w:tabs>
                <w:tab w:val="left" w:pos="884"/>
                <w:tab w:val="left" w:pos="1196"/>
              </w:tabs>
              <w:ind w:firstLine="0"/>
              <w:jc w:val="center"/>
              <w:rPr>
                <w:b/>
                <w:sz w:val="24"/>
                <w:szCs w:val="24"/>
                <w:lang w:val="ro-MO"/>
              </w:rPr>
            </w:pPr>
          </w:p>
        </w:tc>
      </w:tr>
      <w:tr w:rsidR="00FC5529" w:rsidRPr="007D0A81" w:rsidTr="00CF1E45">
        <w:tc>
          <w:tcPr>
            <w:tcW w:w="1568" w:type="pct"/>
            <w:vMerge/>
          </w:tcPr>
          <w:p w:rsidR="00FC5529" w:rsidRPr="007D0A81" w:rsidRDefault="00FC5529" w:rsidP="00CF1E45">
            <w:pPr>
              <w:tabs>
                <w:tab w:val="left" w:pos="884"/>
                <w:tab w:val="left" w:pos="1196"/>
              </w:tabs>
              <w:ind w:firstLine="0"/>
              <w:jc w:val="center"/>
              <w:rPr>
                <w:b/>
                <w:sz w:val="24"/>
                <w:szCs w:val="24"/>
                <w:lang w:val="ro-MO"/>
              </w:rPr>
            </w:pPr>
          </w:p>
        </w:tc>
        <w:tc>
          <w:tcPr>
            <w:tcW w:w="2109" w:type="pct"/>
          </w:tcPr>
          <w:p w:rsidR="00FC5529" w:rsidRPr="007D0A81" w:rsidRDefault="00FC5529"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Pr>
          <w:p w:rsidR="00FC5529" w:rsidRPr="007D0A81" w:rsidRDefault="00FC5529" w:rsidP="00CF1E45">
            <w:pPr>
              <w:tabs>
                <w:tab w:val="left" w:pos="884"/>
                <w:tab w:val="left" w:pos="1196"/>
              </w:tabs>
              <w:ind w:firstLine="0"/>
              <w:jc w:val="center"/>
              <w:rPr>
                <w:b/>
                <w:sz w:val="24"/>
                <w:szCs w:val="24"/>
                <w:lang w:val="ro-MO"/>
              </w:rPr>
            </w:pPr>
          </w:p>
        </w:tc>
      </w:tr>
      <w:tr w:rsidR="00F911DA" w:rsidRPr="007D0A81" w:rsidTr="00CF1E45">
        <w:tc>
          <w:tcPr>
            <w:tcW w:w="1568" w:type="pct"/>
            <w:vMerge w:val="restart"/>
          </w:tcPr>
          <w:p w:rsidR="00F911DA" w:rsidRPr="007D0A81" w:rsidRDefault="00F911DA" w:rsidP="00980C63">
            <w:pPr>
              <w:tabs>
                <w:tab w:val="left" w:pos="884"/>
                <w:tab w:val="left" w:pos="1196"/>
              </w:tabs>
              <w:ind w:firstLine="0"/>
              <w:jc w:val="center"/>
              <w:rPr>
                <w:b/>
                <w:sz w:val="24"/>
                <w:szCs w:val="24"/>
                <w:lang w:val="ro-MO"/>
              </w:rPr>
            </w:pPr>
            <w:r w:rsidRPr="007D0A81">
              <w:rPr>
                <w:b/>
                <w:sz w:val="24"/>
                <w:szCs w:val="24"/>
                <w:lang w:val="ro-MO"/>
              </w:rPr>
              <w:t>Ministerul Mediului</w:t>
            </w:r>
          </w:p>
          <w:p w:rsidR="00F911DA" w:rsidRPr="007D0A81" w:rsidRDefault="00F911DA" w:rsidP="00980C63">
            <w:pPr>
              <w:tabs>
                <w:tab w:val="left" w:pos="884"/>
                <w:tab w:val="left" w:pos="1196"/>
              </w:tabs>
              <w:ind w:firstLine="0"/>
              <w:jc w:val="center"/>
              <w:rPr>
                <w:b/>
                <w:sz w:val="24"/>
                <w:szCs w:val="24"/>
                <w:lang w:val="ro-MO"/>
              </w:rPr>
            </w:pPr>
            <w:r w:rsidRPr="007D0A81">
              <w:rPr>
                <w:i/>
                <w:lang w:val="ro-MO"/>
              </w:rPr>
              <w:t>Aviz nr. 13-05/3523 din 11.12.2024</w:t>
            </w: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F911DA">
            <w:pPr>
              <w:pStyle w:val="a3"/>
              <w:numPr>
                <w:ilvl w:val="0"/>
                <w:numId w:val="5"/>
              </w:numPr>
              <w:tabs>
                <w:tab w:val="left" w:pos="884"/>
                <w:tab w:val="left" w:pos="1196"/>
              </w:tabs>
              <w:ind w:left="43" w:firstLine="425"/>
              <w:rPr>
                <w:rFonts w:ascii="Times New Roman" w:hAnsi="Times New Roman" w:cs="Times New Roman"/>
                <w:sz w:val="24"/>
                <w:szCs w:val="24"/>
              </w:rPr>
            </w:pPr>
            <w:r w:rsidRPr="007D0A81">
              <w:rPr>
                <w:rFonts w:ascii="Times New Roman" w:hAnsi="Times New Roman" w:cs="Times New Roman"/>
                <w:sz w:val="24"/>
                <w:szCs w:val="24"/>
              </w:rPr>
              <w:t>La proiectul metodologiei: 1. Excluderea sintagmei „ale fondului silvic sau ale fondului forestier” din denumirea Legii pentru aprobarea Metodologiei de calcul al pierderilor cauzate de trecerea terenurilor cu destinație agricolă sau ale fondului forestier la o altă categorie de destinație cât și din textul proiectului din următoarele considerente: Codul Silvic nr. 69/2024 care intră în vigoare la data de 26.04.2025, prevede la art. 4 alin. (6) modul de transmitere, de schimb, de schimbare a destinației terenurilor incluse în fondul forestier, terenurilor din afara fondului forestier cu vegetația forestieră plantată și/sau instalată natural ce corespunde noțiunii de pădure.</w:t>
            </w:r>
          </w:p>
          <w:p w:rsidR="0037427E" w:rsidRPr="007D0A81" w:rsidRDefault="0037427E" w:rsidP="0037427E">
            <w:pPr>
              <w:pStyle w:val="a3"/>
              <w:tabs>
                <w:tab w:val="left" w:pos="884"/>
                <w:tab w:val="left" w:pos="1196"/>
              </w:tabs>
              <w:ind w:left="468" w:firstLine="0"/>
              <w:rPr>
                <w:rFonts w:ascii="Times New Roman" w:hAnsi="Times New Roman" w:cs="Times New Roman"/>
                <w:sz w:val="24"/>
                <w:szCs w:val="24"/>
              </w:rPr>
            </w:pPr>
          </w:p>
          <w:p w:rsidR="00F911DA" w:rsidRPr="007D0A81" w:rsidRDefault="00F911DA" w:rsidP="00F911DA">
            <w:pPr>
              <w:tabs>
                <w:tab w:val="left" w:pos="884"/>
                <w:tab w:val="left" w:pos="1196"/>
              </w:tabs>
              <w:rPr>
                <w:b/>
                <w:sz w:val="24"/>
                <w:szCs w:val="24"/>
              </w:rPr>
            </w:pPr>
            <w:r w:rsidRPr="007D0A81">
              <w:rPr>
                <w:sz w:val="24"/>
                <w:szCs w:val="24"/>
              </w:rPr>
              <w:t xml:space="preserve">Totodată, se notează că proiectul metodologiei nu conține date specifice fondului forestier, iar Formula de calculare a pierderilor cauzate de trecerea terenurilor cu destinație agricolă sau ale fondului forestier la o alta categoric de destinație se face în baza cuantumurilor stabilite doar pentru terenurile agricole și nu include date referitor la terenurile din fondul forestier. </w:t>
            </w:r>
          </w:p>
          <w:p w:rsidR="00F911DA" w:rsidRPr="007D0A81" w:rsidRDefault="00F911DA" w:rsidP="00F911DA">
            <w:pPr>
              <w:tabs>
                <w:tab w:val="left" w:pos="884"/>
                <w:tab w:val="left" w:pos="1196"/>
              </w:tabs>
              <w:rPr>
                <w:b/>
                <w:sz w:val="24"/>
                <w:szCs w:val="24"/>
              </w:rPr>
            </w:pPr>
            <w:r w:rsidRPr="007D0A81">
              <w:rPr>
                <w:sz w:val="24"/>
                <w:szCs w:val="24"/>
              </w:rPr>
              <w:t xml:space="preserve">În acest sens, în baza art. 4 alin. (6) </w:t>
            </w:r>
            <w:proofErr w:type="gramStart"/>
            <w:r w:rsidRPr="007D0A81">
              <w:rPr>
                <w:sz w:val="24"/>
                <w:szCs w:val="24"/>
              </w:rPr>
              <w:t>din</w:t>
            </w:r>
            <w:proofErr w:type="gramEnd"/>
            <w:r w:rsidRPr="007D0A81">
              <w:rPr>
                <w:sz w:val="24"/>
                <w:szCs w:val="24"/>
              </w:rPr>
              <w:t xml:space="preserve"> Codul Silvic </w:t>
            </w:r>
            <w:r w:rsidRPr="007D0A81">
              <w:rPr>
                <w:sz w:val="24"/>
                <w:szCs w:val="24"/>
              </w:rPr>
              <w:lastRenderedPageBreak/>
              <w:t>nr. 69/2024, Ministerul Mediului va elabora un regulament separat.</w:t>
            </w:r>
          </w:p>
        </w:tc>
        <w:tc>
          <w:tcPr>
            <w:tcW w:w="1323" w:type="pct"/>
          </w:tcPr>
          <w:p w:rsidR="0037427E" w:rsidRPr="007D0A81" w:rsidRDefault="0037427E" w:rsidP="0037427E">
            <w:pPr>
              <w:tabs>
                <w:tab w:val="left" w:pos="884"/>
                <w:tab w:val="left" w:pos="1196"/>
              </w:tabs>
              <w:ind w:firstLine="0"/>
              <w:rPr>
                <w:sz w:val="24"/>
                <w:szCs w:val="24"/>
              </w:rPr>
            </w:pPr>
            <w:r w:rsidRPr="007D0A81">
              <w:rPr>
                <w:b/>
                <w:sz w:val="24"/>
                <w:szCs w:val="24"/>
              </w:rPr>
              <w:lastRenderedPageBreak/>
              <w:t xml:space="preserve">    </w:t>
            </w:r>
            <w:r w:rsidRPr="007D0A81">
              <w:rPr>
                <w:b/>
                <w:sz w:val="24"/>
                <w:szCs w:val="24"/>
                <w:lang w:val="ro-MO"/>
              </w:rPr>
              <w:t xml:space="preserve">Nu se acceptă, </w:t>
            </w:r>
            <w:r w:rsidRPr="007D0A81">
              <w:rPr>
                <w:sz w:val="24"/>
                <w:szCs w:val="24"/>
                <w:lang w:val="ro-MO"/>
              </w:rPr>
              <w:t>deoarece metodologia dată nu reglementează</w:t>
            </w:r>
            <w:r w:rsidRPr="007D0A81">
              <w:rPr>
                <w:sz w:val="24"/>
                <w:szCs w:val="24"/>
              </w:rPr>
              <w:t xml:space="preserve"> procedural modul de transmitere, de schimb, de schimbare a destinației terenurilor incluse în fondul forestier, terenurilor din afara fondului forestier cu vegetația forestieră plantată și/sau instalată natural ce corespunde noțiunii de pădure, și nu contravine art. 4 alin. (6) din Codul Silvic nr. 69/2024 care intră în vigoare la data de 26.04.2025.</w:t>
            </w:r>
          </w:p>
          <w:p w:rsidR="0037427E" w:rsidRPr="007D0A81" w:rsidRDefault="00775264" w:rsidP="0037427E">
            <w:pPr>
              <w:pStyle w:val="a6"/>
              <w:shd w:val="clear" w:color="auto" w:fill="FFFFFF"/>
              <w:jc w:val="both"/>
              <w:rPr>
                <w:rStyle w:val="a5"/>
                <w:b w:val="0"/>
                <w:lang w:val="ro-MO"/>
              </w:rPr>
            </w:pPr>
            <w:r w:rsidRPr="007D0A81">
              <w:rPr>
                <w:shd w:val="clear" w:color="auto" w:fill="FFFFFF"/>
                <w:lang w:val="ro-MO"/>
              </w:rPr>
              <w:t>Totodată, p</w:t>
            </w:r>
            <w:r w:rsidR="0037427E" w:rsidRPr="007D0A81">
              <w:rPr>
                <w:shd w:val="clear" w:color="auto" w:fill="FFFFFF"/>
                <w:lang w:val="ro-MO"/>
              </w:rPr>
              <w:t xml:space="preserve">e parcursul anilor a fost aceași abordare pentru ambele categorii de terenuri, reglementată în </w:t>
            </w:r>
            <w:r w:rsidR="0037427E" w:rsidRPr="007D0A81">
              <w:rPr>
                <w:rStyle w:val="a5"/>
                <w:b w:val="0"/>
                <w:lang w:val="ro-MO"/>
              </w:rPr>
              <w:t xml:space="preserve">Legea 302/1994 și apoi în </w:t>
            </w:r>
            <w:r w:rsidR="0037427E" w:rsidRPr="007D0A81">
              <w:rPr>
                <w:shd w:val="clear" w:color="auto" w:fill="FFFFFF"/>
                <w:lang w:val="ro-MO"/>
              </w:rPr>
              <w:t xml:space="preserve">Legea nr. 1308/1997 </w:t>
            </w:r>
            <w:r w:rsidR="0037427E" w:rsidRPr="007D0A81">
              <w:rPr>
                <w:rStyle w:val="a5"/>
                <w:b w:val="0"/>
                <w:lang w:val="ro-MO"/>
              </w:rPr>
              <w:t xml:space="preserve">privind preţul normativ şi modul de vînzare-cumpărare a pămîntului, care a abrogat Legea 302/1994. Deasemenea,  mediul </w:t>
            </w:r>
            <w:r w:rsidR="0037427E" w:rsidRPr="007D0A81">
              <w:rPr>
                <w:rStyle w:val="a5"/>
                <w:b w:val="0"/>
                <w:lang w:val="ro-MO"/>
              </w:rPr>
              <w:lastRenderedPageBreak/>
              <w:t>academic</w:t>
            </w:r>
            <w:r w:rsidRPr="007D0A81">
              <w:rPr>
                <w:rStyle w:val="a5"/>
                <w:b w:val="0"/>
                <w:lang w:val="ro-MO"/>
              </w:rPr>
              <w:t>,</w:t>
            </w:r>
            <w:r w:rsidR="0037427E" w:rsidRPr="007D0A81">
              <w:rPr>
                <w:rStyle w:val="a5"/>
                <w:b w:val="0"/>
                <w:lang w:val="ro-MO"/>
              </w:rPr>
              <w:t xml:space="preserve"> în repetatele ședințe a grupului de lucru pe marginea elaborării Metodologiei respective a solicitat de păstrat aceași abordare, pentru a avea o continuitate în abordarea subiectului dat.  </w:t>
            </w:r>
          </w:p>
          <w:p w:rsidR="00F911DA" w:rsidRPr="007D0A81" w:rsidRDefault="0037427E" w:rsidP="0037427E">
            <w:pPr>
              <w:tabs>
                <w:tab w:val="left" w:pos="884"/>
                <w:tab w:val="left" w:pos="1196"/>
              </w:tabs>
              <w:ind w:firstLine="0"/>
              <w:rPr>
                <w:b/>
                <w:sz w:val="24"/>
                <w:szCs w:val="24"/>
                <w:lang w:val="ro-MO"/>
              </w:rPr>
            </w:pPr>
            <w:r w:rsidRPr="007D0A81">
              <w:rPr>
                <w:rStyle w:val="a5"/>
                <w:b w:val="0"/>
                <w:sz w:val="24"/>
                <w:szCs w:val="24"/>
                <w:lang w:val="ro-MO"/>
              </w:rPr>
              <w:t>Totodată,  în cazul cînd Ministerul Mediului dorește o altă abordare suntem predispuși să completăm Metodologia respectivă cu reglementări separate, inclusiv și pentru terenurile din fondul forestier, pusă la dispoziția de către reprezentanții instituției nominalizate, în conformitate cu competențile funcționale a fiecărei entități.</w:t>
            </w:r>
            <w:r w:rsidRPr="007D0A81">
              <w:rPr>
                <w:b/>
                <w:sz w:val="24"/>
                <w:szCs w:val="24"/>
                <w:lang w:val="ro-MO"/>
              </w:rPr>
              <w:t xml:space="preserve"> </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b/>
                <w:sz w:val="24"/>
                <w:szCs w:val="24"/>
              </w:rPr>
            </w:pPr>
            <w:r w:rsidRPr="007D0A81">
              <w:rPr>
                <w:sz w:val="24"/>
                <w:szCs w:val="24"/>
              </w:rPr>
              <w:t>2. În Capitolul II, pct-le 5 și 6 Recomandări privind utilizarea termenilor și indicatorilor specifici, se face referire la „indicele fertilității naturale al solului,” ceea ce poate crea confuzie, având în vedere faptul că termenul „fertilitate naturală” se referă la un concept mai restrâns, legat de caracteristicile solului înainte de intervențiile umane. Astfel, propunem ca termenul „indicele fertilității naturale al solului” să fie înlocuit cu „nota de bonitate a solului” - o unitate recunoscută și utilizată în cadrul Cadastrului funciar al Republicii Moldova. Această modificare va clarifica faptul că evaluarea solului se referă la calitatea sa de utilizare pentru agricultură, ținând cont de intervențiile și caracteristicile sale actuale, și nu doar de aspectele naturale. De asemenea, se recomandă să se precizeze în document că „nota de bonitate” reflectă evaluarea fertilității solului pe baza unor indicatori agrofizici, agrochimici și agrobiologici, după cum este detaliat în literatura de specialitate. Aceaste modificări va elimina ambiguitatea și va alinia terminologia la normele tehnice și juridice existente.</w:t>
            </w:r>
          </w:p>
        </w:tc>
        <w:tc>
          <w:tcPr>
            <w:tcW w:w="1323" w:type="pct"/>
          </w:tcPr>
          <w:p w:rsidR="00F911DA" w:rsidRPr="007D0A81" w:rsidRDefault="004F09A9" w:rsidP="00CF1E45">
            <w:pPr>
              <w:tabs>
                <w:tab w:val="left" w:pos="884"/>
                <w:tab w:val="left" w:pos="1196"/>
              </w:tabs>
              <w:ind w:firstLine="0"/>
              <w:jc w:val="center"/>
              <w:rPr>
                <w:b/>
                <w:sz w:val="24"/>
                <w:szCs w:val="24"/>
                <w:lang w:val="ro-MO"/>
              </w:rPr>
            </w:pPr>
            <w:r w:rsidRPr="007D0A81">
              <w:rPr>
                <w:b/>
                <w:sz w:val="24"/>
                <w:szCs w:val="24"/>
                <w:lang w:val="ro-MO"/>
              </w:rPr>
              <w:t>Se acceptă</w:t>
            </w:r>
            <w:r w:rsidR="00775264" w:rsidRPr="007D0A81">
              <w:rPr>
                <w:b/>
                <w:sz w:val="24"/>
                <w:szCs w:val="24"/>
                <w:lang w:val="ro-MO"/>
              </w:rPr>
              <w:t xml:space="preserve"> parțial</w:t>
            </w:r>
            <w:r w:rsidRPr="007D0A81">
              <w:rPr>
                <w:b/>
                <w:sz w:val="24"/>
                <w:szCs w:val="24"/>
                <w:lang w:val="ro-MO"/>
              </w:rPr>
              <w:t>, s-a ajustat.</w:t>
            </w:r>
          </w:p>
          <w:p w:rsidR="00775264" w:rsidRPr="007D0A81" w:rsidRDefault="00775264" w:rsidP="00BE003F">
            <w:pPr>
              <w:tabs>
                <w:tab w:val="left" w:pos="884"/>
                <w:tab w:val="left" w:pos="1196"/>
              </w:tabs>
              <w:ind w:firstLine="0"/>
              <w:rPr>
                <w:sz w:val="24"/>
                <w:szCs w:val="24"/>
                <w:lang w:val="ro-MO"/>
              </w:rPr>
            </w:pPr>
            <w:r w:rsidRPr="007D0A81">
              <w:rPr>
                <w:sz w:val="24"/>
                <w:szCs w:val="24"/>
                <w:lang w:val="ro-MO"/>
              </w:rPr>
              <w:t xml:space="preserve">Totodată, metodologia dată nu reglementează efectuarea studiilor pedologice acest lucru </w:t>
            </w:r>
            <w:r w:rsidR="00BE003F" w:rsidRPr="007D0A81">
              <w:rPr>
                <w:sz w:val="24"/>
                <w:szCs w:val="24"/>
                <w:lang w:val="ro-MO"/>
              </w:rPr>
              <w:t xml:space="preserve">va fi </w:t>
            </w:r>
            <w:r w:rsidRPr="007D0A81">
              <w:rPr>
                <w:sz w:val="24"/>
                <w:szCs w:val="24"/>
                <w:lang w:val="ro-MO"/>
              </w:rPr>
              <w:t xml:space="preserve"> reglementat în Metodologia efectuării studiilor pedologice</w:t>
            </w:r>
            <w:r w:rsidR="00BE003F" w:rsidRPr="007D0A81">
              <w:rPr>
                <w:sz w:val="24"/>
                <w:szCs w:val="24"/>
                <w:lang w:val="ro-MO"/>
              </w:rPr>
              <w:t>, care este în proces de definitivare.</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C343D8" w:rsidP="00CF1E45">
            <w:pPr>
              <w:tabs>
                <w:tab w:val="left" w:pos="884"/>
                <w:tab w:val="left" w:pos="1196"/>
              </w:tabs>
              <w:ind w:firstLine="0"/>
              <w:rPr>
                <w:b/>
                <w:sz w:val="24"/>
                <w:szCs w:val="24"/>
              </w:rPr>
            </w:pPr>
            <w:r w:rsidRPr="007D0A81">
              <w:rPr>
                <w:sz w:val="24"/>
                <w:szCs w:val="24"/>
              </w:rPr>
              <w:t>3. De asemenea, Capitolul II, pct. 6, se prevede utilizarea analizelor pentru evaluarea fertilității solului, fără a specifica cerința privind laboratoarele. Propunem să fie inclusă în text obligația ca analizele solului să fie efectuate de laboratoare acreditate, în conformitate cu standardele naționale și internaționale. Acreditarea laboratoarelor garantează calitatea, corectitudinea și uniformitatea rezultatelor, evitând astfel eventualele dispute sau erori în procesul de evaluare.</w:t>
            </w:r>
          </w:p>
        </w:tc>
        <w:tc>
          <w:tcPr>
            <w:tcW w:w="1323" w:type="pct"/>
          </w:tcPr>
          <w:p w:rsidR="00F911DA" w:rsidRPr="007D0A81" w:rsidRDefault="004F09A9" w:rsidP="00CF1E45">
            <w:pPr>
              <w:tabs>
                <w:tab w:val="left" w:pos="884"/>
                <w:tab w:val="left" w:pos="1196"/>
              </w:tabs>
              <w:ind w:firstLine="0"/>
              <w:jc w:val="center"/>
              <w:rPr>
                <w:b/>
                <w:sz w:val="24"/>
                <w:szCs w:val="24"/>
                <w:lang w:val="ro-MO"/>
              </w:rPr>
            </w:pPr>
            <w:r w:rsidRPr="007D0A81">
              <w:rPr>
                <w:b/>
                <w:sz w:val="24"/>
                <w:szCs w:val="24"/>
                <w:lang w:val="ro-MO"/>
              </w:rPr>
              <w:t xml:space="preserve">Nu se acceptă, </w:t>
            </w:r>
            <w:r w:rsidRPr="007D0A81">
              <w:rPr>
                <w:sz w:val="24"/>
                <w:szCs w:val="24"/>
                <w:lang w:val="ro-MO"/>
              </w:rPr>
              <w:t>la moment în țară nu avem laboratoare acreditate în domeniul dat.</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C343D8" w:rsidP="00CF1E45">
            <w:pPr>
              <w:tabs>
                <w:tab w:val="left" w:pos="884"/>
                <w:tab w:val="left" w:pos="1196"/>
              </w:tabs>
              <w:ind w:firstLine="0"/>
              <w:rPr>
                <w:b/>
                <w:sz w:val="24"/>
                <w:szCs w:val="24"/>
              </w:rPr>
            </w:pPr>
            <w:r w:rsidRPr="007D0A81">
              <w:rPr>
                <w:sz w:val="24"/>
                <w:szCs w:val="24"/>
              </w:rPr>
              <w:t>4. Totodată, calcularea indicelui fertilității naturale al solului (nota de bonitate a solului) pentru fiecare contur de sol, prevăzută de asemenea, în pct. 6, este rezonabilă doar în cazurile critice (soluri intens utilizate sau degradate). Pentru restul terenurilor, considerăm oportun utilizarea datelor generalizate, grupate pe unități agroecologice omogene, având ca scop reducea costurilor imense pe viitor pentru efectuarea investigațiilor pedologice. Prin urmare, deținând sistemul informațional Registru Solurilor a RM, precum și accesul utilizării tehnologiilor GIS acest proces fi simplificat la colectare și analiza datelor pentru calcularea tarifului. În acest sens, optăm pentru modificarea formulei de calcul și respectiv, ajustarea acesteia prin includerea bonității medii ponderate în calculul de bază.</w:t>
            </w:r>
          </w:p>
        </w:tc>
        <w:tc>
          <w:tcPr>
            <w:tcW w:w="1323" w:type="pct"/>
          </w:tcPr>
          <w:p w:rsidR="00F911DA" w:rsidRPr="007D0A81" w:rsidRDefault="004F09A9" w:rsidP="004F09A9">
            <w:pPr>
              <w:tabs>
                <w:tab w:val="left" w:pos="884"/>
                <w:tab w:val="left" w:pos="1196"/>
              </w:tabs>
              <w:ind w:firstLine="0"/>
              <w:jc w:val="center"/>
              <w:rPr>
                <w:b/>
                <w:sz w:val="24"/>
                <w:szCs w:val="24"/>
                <w:lang w:val="ro-MO"/>
              </w:rPr>
            </w:pPr>
            <w:r w:rsidRPr="007D0A81">
              <w:rPr>
                <w:b/>
                <w:sz w:val="24"/>
                <w:szCs w:val="24"/>
                <w:lang w:val="ro-MO"/>
              </w:rPr>
              <w:t xml:space="preserve">De fapt acest lucru și se întîmplă, se folosește indecile </w:t>
            </w:r>
            <w:r w:rsidRPr="007D0A81">
              <w:rPr>
                <w:b/>
                <w:sz w:val="24"/>
                <w:szCs w:val="24"/>
              </w:rPr>
              <w:t>mediu ponderat</w:t>
            </w:r>
            <w:r w:rsidRPr="007D0A81">
              <w:rPr>
                <w:b/>
                <w:sz w:val="24"/>
                <w:szCs w:val="24"/>
                <w:lang w:val="ro-MO"/>
              </w:rPr>
              <w:t>, care este determinat de executantul lucrărilor pedologice.</w:t>
            </w:r>
          </w:p>
        </w:tc>
      </w:tr>
      <w:tr w:rsidR="00C343D8" w:rsidRPr="007D0A81" w:rsidTr="00CF1E45">
        <w:tc>
          <w:tcPr>
            <w:tcW w:w="1568" w:type="pct"/>
            <w:vMerge/>
          </w:tcPr>
          <w:p w:rsidR="00C343D8" w:rsidRPr="007D0A81" w:rsidRDefault="00C343D8" w:rsidP="00CF1E45">
            <w:pPr>
              <w:tabs>
                <w:tab w:val="left" w:pos="884"/>
                <w:tab w:val="left" w:pos="1196"/>
              </w:tabs>
              <w:ind w:firstLine="0"/>
              <w:jc w:val="center"/>
              <w:rPr>
                <w:b/>
                <w:sz w:val="24"/>
                <w:szCs w:val="24"/>
                <w:lang w:val="ro-MO"/>
              </w:rPr>
            </w:pPr>
          </w:p>
        </w:tc>
        <w:tc>
          <w:tcPr>
            <w:tcW w:w="2109" w:type="pct"/>
          </w:tcPr>
          <w:p w:rsidR="00C343D8" w:rsidRPr="007D0A81" w:rsidRDefault="00C343D8" w:rsidP="00CF1E45">
            <w:pPr>
              <w:tabs>
                <w:tab w:val="left" w:pos="884"/>
                <w:tab w:val="left" w:pos="1196"/>
              </w:tabs>
              <w:ind w:firstLine="0"/>
              <w:rPr>
                <w:b/>
                <w:sz w:val="24"/>
                <w:szCs w:val="24"/>
              </w:rPr>
            </w:pPr>
            <w:r w:rsidRPr="007D0A81">
              <w:rPr>
                <w:sz w:val="24"/>
                <w:szCs w:val="24"/>
              </w:rPr>
              <w:t xml:space="preserve">5. La Capitolul II, punctele 5, 9, 10, și în Anexa 1, pct. 1 Recomandări privind unitățile de măsură utilizate, documentul utilizează termenul „grad-hectar”, care în fapt este eronat. În acest </w:t>
            </w:r>
            <w:proofErr w:type="gramStart"/>
            <w:r w:rsidRPr="007D0A81">
              <w:rPr>
                <w:sz w:val="24"/>
                <w:szCs w:val="24"/>
              </w:rPr>
              <w:t>sens,</w:t>
            </w:r>
            <w:proofErr w:type="gramEnd"/>
            <w:r w:rsidRPr="007D0A81">
              <w:rPr>
                <w:sz w:val="24"/>
                <w:szCs w:val="24"/>
              </w:rPr>
              <w:t xml:space="preserve"> conform Anexei nr. 4 din Cadastrul funciar al Republicii Moldova, aprobat prin Hotărârea Guvernului nr. 391/2022, nota de bonitate este exprimată în „puncte” și nu în „grade”. Astfel, termenul „grad-hectar” trebuie înlocuit cu „puncte-hectar” în întregul document, inclusiv pentru indicatorii F1, F2, Fn menționați în Capitolul II.</w:t>
            </w:r>
          </w:p>
        </w:tc>
        <w:tc>
          <w:tcPr>
            <w:tcW w:w="1323" w:type="pct"/>
          </w:tcPr>
          <w:p w:rsidR="00C343D8" w:rsidRPr="007D0A81" w:rsidRDefault="005A537B" w:rsidP="00CF1E45">
            <w:pPr>
              <w:tabs>
                <w:tab w:val="left" w:pos="884"/>
                <w:tab w:val="left" w:pos="1196"/>
              </w:tabs>
              <w:ind w:firstLine="0"/>
              <w:jc w:val="center"/>
              <w:rPr>
                <w:b/>
                <w:sz w:val="24"/>
                <w:szCs w:val="24"/>
                <w:lang w:val="ro-MO"/>
              </w:rPr>
            </w:pPr>
            <w:r w:rsidRPr="007D0A81">
              <w:rPr>
                <w:b/>
                <w:sz w:val="24"/>
                <w:szCs w:val="24"/>
                <w:lang w:val="ro-MO"/>
              </w:rPr>
              <w:t>Se acceptă, s-a ajustat.</w:t>
            </w:r>
          </w:p>
        </w:tc>
      </w:tr>
      <w:tr w:rsidR="00C343D8" w:rsidRPr="007D0A81" w:rsidTr="00CF1E45">
        <w:tc>
          <w:tcPr>
            <w:tcW w:w="1568" w:type="pct"/>
            <w:vMerge/>
          </w:tcPr>
          <w:p w:rsidR="00C343D8" w:rsidRPr="007D0A81" w:rsidRDefault="00C343D8" w:rsidP="00CF1E45">
            <w:pPr>
              <w:tabs>
                <w:tab w:val="left" w:pos="884"/>
                <w:tab w:val="left" w:pos="1196"/>
              </w:tabs>
              <w:ind w:firstLine="0"/>
              <w:jc w:val="center"/>
              <w:rPr>
                <w:b/>
                <w:sz w:val="24"/>
                <w:szCs w:val="24"/>
                <w:lang w:val="ro-MO"/>
              </w:rPr>
            </w:pPr>
          </w:p>
        </w:tc>
        <w:tc>
          <w:tcPr>
            <w:tcW w:w="2109" w:type="pct"/>
          </w:tcPr>
          <w:p w:rsidR="00C343D8" w:rsidRPr="007D0A81" w:rsidRDefault="00C343D8" w:rsidP="00CF1E45">
            <w:pPr>
              <w:tabs>
                <w:tab w:val="left" w:pos="884"/>
                <w:tab w:val="left" w:pos="1196"/>
              </w:tabs>
              <w:ind w:firstLine="0"/>
              <w:rPr>
                <w:b/>
                <w:sz w:val="24"/>
                <w:szCs w:val="24"/>
              </w:rPr>
            </w:pPr>
            <w:r w:rsidRPr="007D0A81">
              <w:rPr>
                <w:sz w:val="24"/>
                <w:szCs w:val="24"/>
              </w:rPr>
              <w:t xml:space="preserve">6. Capitolul II, pct. 7 Recomandări privind metodologia de calcul a pierderilor, prevede calcularea pierderilor pentru un termen de 99 de ani. Considerăm oportun reducerea acestui termen conform fișelor tehnologice pentru cultura care este plantată, fiind mai realistă și aplicabilă (ex. vie - 23-30 ani, </w:t>
            </w:r>
            <w:r w:rsidRPr="007D0A81">
              <w:rPr>
                <w:sz w:val="24"/>
                <w:szCs w:val="24"/>
              </w:rPr>
              <w:lastRenderedPageBreak/>
              <w:t xml:space="preserve">livada - 30-35 ani, culturi anuale și multianuale - 1 </w:t>
            </w:r>
            <w:proofErr w:type="gramStart"/>
            <w:r w:rsidRPr="007D0A81">
              <w:rPr>
                <w:sz w:val="24"/>
                <w:szCs w:val="24"/>
              </w:rPr>
              <w:t>an</w:t>
            </w:r>
            <w:proofErr w:type="gramEnd"/>
            <w:r w:rsidRPr="007D0A81">
              <w:rPr>
                <w:sz w:val="24"/>
                <w:szCs w:val="24"/>
              </w:rPr>
              <w:t xml:space="preserve"> și respectiv - 2-3 ani).</w:t>
            </w:r>
          </w:p>
        </w:tc>
        <w:tc>
          <w:tcPr>
            <w:tcW w:w="1323" w:type="pct"/>
          </w:tcPr>
          <w:p w:rsidR="00C343D8" w:rsidRPr="007D0A81" w:rsidRDefault="0037427E" w:rsidP="00775264">
            <w:pPr>
              <w:tabs>
                <w:tab w:val="left" w:pos="884"/>
                <w:tab w:val="left" w:pos="1196"/>
              </w:tabs>
              <w:ind w:firstLine="0"/>
              <w:rPr>
                <w:sz w:val="24"/>
                <w:szCs w:val="24"/>
                <w:lang w:val="ro-MO"/>
              </w:rPr>
            </w:pPr>
            <w:r w:rsidRPr="007D0A81">
              <w:rPr>
                <w:b/>
                <w:sz w:val="24"/>
                <w:szCs w:val="24"/>
                <w:lang w:val="ro-MO"/>
              </w:rPr>
              <w:lastRenderedPageBreak/>
              <w:t xml:space="preserve">Nu se acceptă, </w:t>
            </w:r>
            <w:r w:rsidRPr="007D0A81">
              <w:rPr>
                <w:sz w:val="24"/>
                <w:szCs w:val="24"/>
                <w:lang w:val="ro-MO"/>
              </w:rPr>
              <w:t>autorul avizului nu a dus argumente justificative pentru argumentarea recomendării date.</w:t>
            </w:r>
          </w:p>
          <w:p w:rsidR="00775264" w:rsidRPr="007D0A81" w:rsidRDefault="00775264" w:rsidP="00775264">
            <w:pPr>
              <w:tabs>
                <w:tab w:val="left" w:pos="884"/>
                <w:tab w:val="left" w:pos="1196"/>
              </w:tabs>
              <w:ind w:firstLine="0"/>
              <w:rPr>
                <w:b/>
                <w:sz w:val="24"/>
                <w:szCs w:val="24"/>
                <w:lang w:val="ro-MO"/>
              </w:rPr>
            </w:pPr>
            <w:r w:rsidRPr="007D0A81">
              <w:rPr>
                <w:sz w:val="24"/>
                <w:szCs w:val="24"/>
                <w:lang w:val="ro-MO"/>
              </w:rPr>
              <w:t xml:space="preserve">Fișa tehnologică pentru fiecare cultură în parte nu are legături directe cu </w:t>
            </w:r>
            <w:r w:rsidRPr="007D0A81">
              <w:rPr>
                <w:sz w:val="24"/>
                <w:szCs w:val="24"/>
                <w:lang w:val="ro-MO"/>
              </w:rPr>
              <w:lastRenderedPageBreak/>
              <w:t>veniturile medii obținu</w:t>
            </w:r>
            <w:r w:rsidR="00767E3F" w:rsidRPr="007D0A81">
              <w:rPr>
                <w:sz w:val="24"/>
                <w:szCs w:val="24"/>
                <w:lang w:val="ro-MO"/>
              </w:rPr>
              <w:t>te de la un ha de teren agricol în sectorul agricol.</w:t>
            </w:r>
          </w:p>
        </w:tc>
      </w:tr>
      <w:tr w:rsidR="00C343D8" w:rsidRPr="007D0A81" w:rsidTr="00CF1E45">
        <w:tc>
          <w:tcPr>
            <w:tcW w:w="1568" w:type="pct"/>
            <w:vMerge/>
          </w:tcPr>
          <w:p w:rsidR="00C343D8" w:rsidRPr="007D0A81" w:rsidRDefault="00C343D8" w:rsidP="00CF1E45">
            <w:pPr>
              <w:tabs>
                <w:tab w:val="left" w:pos="884"/>
                <w:tab w:val="left" w:pos="1196"/>
              </w:tabs>
              <w:ind w:firstLine="0"/>
              <w:jc w:val="center"/>
              <w:rPr>
                <w:b/>
                <w:sz w:val="24"/>
                <w:szCs w:val="24"/>
                <w:lang w:val="ro-MO"/>
              </w:rPr>
            </w:pPr>
          </w:p>
        </w:tc>
        <w:tc>
          <w:tcPr>
            <w:tcW w:w="2109" w:type="pct"/>
          </w:tcPr>
          <w:p w:rsidR="00C343D8" w:rsidRPr="007D0A81" w:rsidRDefault="00C343D8" w:rsidP="00CF1E45">
            <w:pPr>
              <w:tabs>
                <w:tab w:val="left" w:pos="884"/>
                <w:tab w:val="left" w:pos="1196"/>
              </w:tabs>
              <w:ind w:firstLine="0"/>
              <w:rPr>
                <w:b/>
                <w:sz w:val="24"/>
                <w:szCs w:val="24"/>
              </w:rPr>
            </w:pPr>
            <w:r w:rsidRPr="007D0A81">
              <w:rPr>
                <w:sz w:val="24"/>
                <w:szCs w:val="24"/>
              </w:rPr>
              <w:t>7. Totodată, textul urmează a fi ajustat în Anexa 1, pct. 2, unde fertilitatea medie este indicată ca fiind de „grade”, or conform Anexei nr. 4 din Cadastrul funciar, fertilitatea medie a solurilor este exprimată în „puncte”.</w:t>
            </w:r>
          </w:p>
        </w:tc>
        <w:tc>
          <w:tcPr>
            <w:tcW w:w="1323" w:type="pct"/>
          </w:tcPr>
          <w:p w:rsidR="00C343D8" w:rsidRPr="007D0A81" w:rsidRDefault="0037427E" w:rsidP="00CF1E45">
            <w:pPr>
              <w:tabs>
                <w:tab w:val="left" w:pos="884"/>
                <w:tab w:val="left" w:pos="1196"/>
              </w:tabs>
              <w:ind w:firstLine="0"/>
              <w:jc w:val="center"/>
              <w:rPr>
                <w:b/>
                <w:sz w:val="24"/>
                <w:szCs w:val="24"/>
                <w:lang w:val="ro-MO"/>
              </w:rPr>
            </w:pPr>
            <w:r w:rsidRPr="007D0A81">
              <w:rPr>
                <w:b/>
                <w:sz w:val="24"/>
                <w:szCs w:val="24"/>
                <w:lang w:val="ro-MO"/>
              </w:rPr>
              <w:t>Se acceptă, s-a ajustat.</w:t>
            </w:r>
          </w:p>
        </w:tc>
      </w:tr>
      <w:tr w:rsidR="00C343D8" w:rsidRPr="007D0A81" w:rsidTr="00CF1E45">
        <w:tc>
          <w:tcPr>
            <w:tcW w:w="1568" w:type="pct"/>
            <w:vMerge/>
          </w:tcPr>
          <w:p w:rsidR="00C343D8" w:rsidRPr="007D0A81" w:rsidRDefault="00C343D8" w:rsidP="00CF1E45">
            <w:pPr>
              <w:tabs>
                <w:tab w:val="left" w:pos="884"/>
                <w:tab w:val="left" w:pos="1196"/>
              </w:tabs>
              <w:ind w:firstLine="0"/>
              <w:jc w:val="center"/>
              <w:rPr>
                <w:b/>
                <w:sz w:val="24"/>
                <w:szCs w:val="24"/>
                <w:lang w:val="ro-MO"/>
              </w:rPr>
            </w:pPr>
          </w:p>
        </w:tc>
        <w:tc>
          <w:tcPr>
            <w:tcW w:w="2109" w:type="pct"/>
          </w:tcPr>
          <w:p w:rsidR="00C343D8" w:rsidRPr="007D0A81" w:rsidRDefault="00070C1D" w:rsidP="00CF1E45">
            <w:pPr>
              <w:tabs>
                <w:tab w:val="left" w:pos="884"/>
                <w:tab w:val="left" w:pos="1196"/>
              </w:tabs>
              <w:ind w:firstLine="0"/>
              <w:rPr>
                <w:b/>
                <w:sz w:val="24"/>
                <w:szCs w:val="24"/>
              </w:rPr>
            </w:pPr>
            <w:r w:rsidRPr="007D0A81">
              <w:rPr>
                <w:sz w:val="24"/>
                <w:szCs w:val="24"/>
              </w:rPr>
              <w:t>II. La nota de fundamentare: 1. La pct. 4 - Analiza impactului de reglementare este indicat „se anexează”, dar aceasta lipsește, întru-cât nu este anexat nici un act sau concluzie.</w:t>
            </w:r>
          </w:p>
        </w:tc>
        <w:tc>
          <w:tcPr>
            <w:tcW w:w="1323" w:type="pct"/>
          </w:tcPr>
          <w:p w:rsidR="00C343D8" w:rsidRPr="007D0A81" w:rsidRDefault="0037427E" w:rsidP="00CF1E45">
            <w:pPr>
              <w:tabs>
                <w:tab w:val="left" w:pos="884"/>
                <w:tab w:val="left" w:pos="1196"/>
              </w:tabs>
              <w:ind w:firstLine="0"/>
              <w:jc w:val="center"/>
              <w:rPr>
                <w:b/>
                <w:sz w:val="24"/>
                <w:szCs w:val="24"/>
                <w:lang w:val="ro-MO"/>
              </w:rPr>
            </w:pPr>
            <w:r w:rsidRPr="007D0A81">
              <w:rPr>
                <w:b/>
                <w:sz w:val="24"/>
                <w:szCs w:val="24"/>
                <w:lang w:val="ro-MO"/>
              </w:rPr>
              <w:t>Se aaceptă, s-a ajustat.</w:t>
            </w:r>
          </w:p>
        </w:tc>
      </w:tr>
      <w:tr w:rsidR="00C343D8" w:rsidRPr="007D0A81" w:rsidTr="00CF1E45">
        <w:tc>
          <w:tcPr>
            <w:tcW w:w="1568" w:type="pct"/>
            <w:vMerge/>
          </w:tcPr>
          <w:p w:rsidR="00C343D8" w:rsidRPr="007D0A81" w:rsidRDefault="00C343D8" w:rsidP="00CF1E45">
            <w:pPr>
              <w:tabs>
                <w:tab w:val="left" w:pos="884"/>
                <w:tab w:val="left" w:pos="1196"/>
              </w:tabs>
              <w:ind w:firstLine="0"/>
              <w:jc w:val="center"/>
              <w:rPr>
                <w:b/>
                <w:sz w:val="24"/>
                <w:szCs w:val="24"/>
                <w:lang w:val="ro-MO"/>
              </w:rPr>
            </w:pPr>
          </w:p>
        </w:tc>
        <w:tc>
          <w:tcPr>
            <w:tcW w:w="2109" w:type="pct"/>
          </w:tcPr>
          <w:p w:rsidR="00C343D8" w:rsidRPr="007D0A81" w:rsidRDefault="00070C1D" w:rsidP="00CF1E45">
            <w:pPr>
              <w:tabs>
                <w:tab w:val="left" w:pos="884"/>
                <w:tab w:val="left" w:pos="1196"/>
              </w:tabs>
              <w:ind w:firstLine="0"/>
              <w:rPr>
                <w:b/>
                <w:sz w:val="24"/>
                <w:szCs w:val="24"/>
              </w:rPr>
            </w:pPr>
            <w:r w:rsidRPr="007D0A81">
              <w:rPr>
                <w:sz w:val="24"/>
                <w:szCs w:val="24"/>
              </w:rPr>
              <w:t>2. La pct. 4.5. – ”Impactul asupra mediului” este descrisă pierderea și riscul de a rata în continuare încasări la bugetul de stat de la trecerea terenurilor agricole sau fondurilor forestiere în altă destinație, și nici o descriere a riscului de pierdere a suprafeței terenurilor din fondul forestier sau despre dauna adusă mediului ca urmare a micșorării acestor suprafețe. Aceste acțiuni derivă din faptul că, atât cetățenii de rând cât și agenții economici au un interes privat, de multe ori îngust și nu neapărat îndreptat către protecția mediului.</w:t>
            </w:r>
          </w:p>
        </w:tc>
        <w:tc>
          <w:tcPr>
            <w:tcW w:w="1323" w:type="pct"/>
          </w:tcPr>
          <w:p w:rsidR="0037427E" w:rsidRPr="007D0A81" w:rsidRDefault="0037427E" w:rsidP="0037427E">
            <w:pPr>
              <w:pStyle w:val="a6"/>
              <w:shd w:val="clear" w:color="auto" w:fill="FFFFFF"/>
              <w:spacing w:before="0" w:beforeAutospacing="0" w:after="0" w:afterAutospacing="0"/>
              <w:jc w:val="both"/>
              <w:rPr>
                <w:rFonts w:ascii="PT Serif" w:hAnsi="PT Serif"/>
                <w:color w:val="333333"/>
                <w:lang w:val="en-US"/>
              </w:rPr>
            </w:pPr>
            <w:r w:rsidRPr="007D0A81">
              <w:rPr>
                <w:lang w:val="ro-MO"/>
              </w:rPr>
              <w:t xml:space="preserve">    Legislația interzice diminuarea fondului forestier. Astfel, </w:t>
            </w:r>
            <w:r w:rsidRPr="007D0A81">
              <w:rPr>
                <w:rStyle w:val="a5"/>
                <w:rFonts w:ascii="PT Serif" w:hAnsi="PT Serif"/>
                <w:b w:val="0"/>
                <w:color w:val="333333"/>
                <w:lang w:val="en-US"/>
              </w:rPr>
              <w:t>Art.78 din Codul silvic</w:t>
            </w:r>
            <w:r w:rsidR="008B7855" w:rsidRPr="007D0A81">
              <w:rPr>
                <w:rStyle w:val="a5"/>
                <w:rFonts w:ascii="PT Serif" w:hAnsi="PT Serif"/>
                <w:b w:val="0"/>
                <w:color w:val="333333"/>
                <w:lang w:val="en-US"/>
              </w:rPr>
              <w:t xml:space="preserve"> în vigoare,</w:t>
            </w:r>
            <w:r w:rsidRPr="007D0A81">
              <w:rPr>
                <w:rStyle w:val="a5"/>
                <w:rFonts w:ascii="PT Serif" w:hAnsi="PT Serif"/>
                <w:b w:val="0"/>
                <w:color w:val="333333"/>
                <w:lang w:val="en-US"/>
              </w:rPr>
              <w:t xml:space="preserve"> prevede expres că,</w:t>
            </w:r>
            <w:r w:rsidRPr="007D0A81">
              <w:rPr>
                <w:rFonts w:ascii="PT Serif" w:hAnsi="PT Serif"/>
                <w:color w:val="333333"/>
                <w:lang w:val="en-US"/>
              </w:rPr>
              <w:t xml:space="preserve"> reducerea şi fragmentarea suprafeţelor fondului forestier se interzice.</w:t>
            </w:r>
          </w:p>
          <w:p w:rsidR="0037427E" w:rsidRPr="007D0A81" w:rsidRDefault="0037427E" w:rsidP="0037427E">
            <w:pPr>
              <w:pStyle w:val="a6"/>
              <w:shd w:val="clear" w:color="auto" w:fill="FFFFFF"/>
              <w:spacing w:before="0" w:beforeAutospacing="0" w:after="0" w:afterAutospacing="0"/>
              <w:jc w:val="both"/>
              <w:rPr>
                <w:rFonts w:ascii="PT Serif" w:hAnsi="PT Serif"/>
                <w:color w:val="333333"/>
                <w:lang w:val="en-US"/>
              </w:rPr>
            </w:pPr>
            <w:r w:rsidRPr="007D0A81">
              <w:rPr>
                <w:rFonts w:ascii="PT Serif" w:hAnsi="PT Serif"/>
                <w:color w:val="333333"/>
                <w:lang w:val="en-US"/>
              </w:rPr>
              <w:t xml:space="preserve">     În cazuri excepţionale, pentru prevenirea sau lichidarea consecinţelor calamităţilor naturale, catastrofelor şi avariilor tehnogene, precum şi pentru soluţionarea problemelor ce vizează securitatea statului, construcţia obiectelor de menire specială: drumuri publice naţionale, linii de transport de energie electrică de înaltă tensiune, conducte de gaze sau petrol – scoaterea definitivă a terenurilor din fondul forestier cu sau fără tăieri rase se permite numai în baza unei hotărîri de Guvern adoptate în condiţiile legii.</w:t>
            </w:r>
          </w:p>
          <w:p w:rsidR="00C343D8" w:rsidRPr="007D0A81" w:rsidRDefault="0037427E" w:rsidP="0037427E">
            <w:pPr>
              <w:tabs>
                <w:tab w:val="left" w:pos="884"/>
                <w:tab w:val="left" w:pos="1196"/>
              </w:tabs>
              <w:ind w:firstLine="0"/>
              <w:rPr>
                <w:b/>
                <w:sz w:val="24"/>
                <w:szCs w:val="24"/>
                <w:lang w:val="ro-MO"/>
              </w:rPr>
            </w:pPr>
            <w:r w:rsidRPr="007D0A81">
              <w:rPr>
                <w:sz w:val="24"/>
                <w:szCs w:val="24"/>
              </w:rPr>
              <w:t xml:space="preserve">   Astfel, în cazul cînd, trecerea terenurilor cu destinație agricolă sau ale fondului forestier la o altă categorie de destinație este în corelare cu unele lucrări</w:t>
            </w:r>
            <w:proofErr w:type="gramStart"/>
            <w:r w:rsidRPr="007D0A81">
              <w:rPr>
                <w:sz w:val="24"/>
                <w:szCs w:val="24"/>
              </w:rPr>
              <w:t>,  ce</w:t>
            </w:r>
            <w:proofErr w:type="gramEnd"/>
            <w:r w:rsidRPr="007D0A81">
              <w:rPr>
                <w:sz w:val="24"/>
                <w:szCs w:val="24"/>
              </w:rPr>
              <w:t xml:space="preserve"> cad sub incidența Legii nr. 86/2014 </w:t>
            </w:r>
            <w:r w:rsidRPr="007D0A81">
              <w:rPr>
                <w:rFonts w:eastAsia="Arial"/>
                <w:sz w:val="24"/>
                <w:szCs w:val="24"/>
              </w:rPr>
              <w:t xml:space="preserve">privind evaluarea </w:t>
            </w:r>
            <w:r w:rsidRPr="007D0A81">
              <w:rPr>
                <w:rFonts w:eastAsia="Arial"/>
                <w:sz w:val="24"/>
                <w:szCs w:val="24"/>
              </w:rPr>
              <w:lastRenderedPageBreak/>
              <w:t>impactului asupra mediului</w:t>
            </w:r>
            <w:r w:rsidRPr="007D0A81">
              <w:rPr>
                <w:sz w:val="24"/>
                <w:szCs w:val="24"/>
              </w:rPr>
              <w:t xml:space="preserve">, acestea vor fi supuse expertizei în conformitate cu prevederile Legii nr. 86/2014 </w:t>
            </w:r>
            <w:r w:rsidRPr="007D0A81">
              <w:rPr>
                <w:rFonts w:eastAsia="Arial"/>
                <w:sz w:val="24"/>
                <w:szCs w:val="24"/>
              </w:rPr>
              <w:t>privind evaluarea impactului asupra mediului</w:t>
            </w:r>
            <w:r w:rsidRPr="007D0A81">
              <w:rPr>
                <w:sz w:val="24"/>
                <w:szCs w:val="24"/>
              </w:rPr>
              <w:t>.</w:t>
            </w:r>
          </w:p>
        </w:tc>
      </w:tr>
      <w:tr w:rsidR="00070C1D" w:rsidRPr="007D0A81" w:rsidTr="00CF1E45">
        <w:tc>
          <w:tcPr>
            <w:tcW w:w="1568" w:type="pct"/>
            <w:vMerge/>
          </w:tcPr>
          <w:p w:rsidR="00070C1D" w:rsidRPr="007D0A81" w:rsidRDefault="00070C1D" w:rsidP="00CF1E45">
            <w:pPr>
              <w:tabs>
                <w:tab w:val="left" w:pos="884"/>
                <w:tab w:val="left" w:pos="1196"/>
              </w:tabs>
              <w:ind w:firstLine="0"/>
              <w:jc w:val="center"/>
              <w:rPr>
                <w:b/>
                <w:sz w:val="24"/>
                <w:szCs w:val="24"/>
                <w:lang w:val="ro-MO"/>
              </w:rPr>
            </w:pPr>
          </w:p>
        </w:tc>
        <w:tc>
          <w:tcPr>
            <w:tcW w:w="2109" w:type="pct"/>
          </w:tcPr>
          <w:p w:rsidR="00070C1D" w:rsidRPr="007D0A81" w:rsidRDefault="00070C1D" w:rsidP="00CF1E45">
            <w:pPr>
              <w:tabs>
                <w:tab w:val="left" w:pos="884"/>
                <w:tab w:val="left" w:pos="1196"/>
              </w:tabs>
              <w:ind w:firstLine="0"/>
              <w:rPr>
                <w:b/>
                <w:sz w:val="24"/>
                <w:szCs w:val="24"/>
              </w:rPr>
            </w:pPr>
            <w:r w:rsidRPr="007D0A81">
              <w:rPr>
                <w:sz w:val="24"/>
                <w:szCs w:val="24"/>
              </w:rPr>
              <w:t>Reieșind din cele menționate supra, recomandăm revizuirea proiectului de act normativ inclusiv a documentelor aferente acestuia, prin prisma necesității ajustării conform obiecțiilor prezentate.</w:t>
            </w:r>
          </w:p>
        </w:tc>
        <w:tc>
          <w:tcPr>
            <w:tcW w:w="1323" w:type="pct"/>
          </w:tcPr>
          <w:p w:rsidR="00070C1D" w:rsidRPr="007D0A81" w:rsidRDefault="00070C1D" w:rsidP="00CF1E45">
            <w:pPr>
              <w:tabs>
                <w:tab w:val="left" w:pos="884"/>
                <w:tab w:val="left" w:pos="1196"/>
              </w:tabs>
              <w:ind w:firstLine="0"/>
              <w:jc w:val="center"/>
              <w:rPr>
                <w:b/>
                <w:sz w:val="24"/>
                <w:szCs w:val="24"/>
                <w:lang w:val="ro-MO"/>
              </w:rPr>
            </w:pPr>
            <w:r w:rsidRPr="007D0A81">
              <w:rPr>
                <w:b/>
                <w:sz w:val="24"/>
                <w:szCs w:val="24"/>
                <w:lang w:val="ro-MO"/>
              </w:rPr>
              <w:t>Se acceptă, s-a revizuit</w:t>
            </w:r>
            <w:r w:rsidR="007A1799" w:rsidRPr="007D0A81">
              <w:rPr>
                <w:b/>
                <w:sz w:val="24"/>
                <w:szCs w:val="24"/>
                <w:lang w:val="ro-MO"/>
              </w:rPr>
              <w:t>.</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val="restart"/>
          </w:tcPr>
          <w:p w:rsidR="00F911DA" w:rsidRPr="007D0A81" w:rsidRDefault="00F911DA" w:rsidP="00CF1E45">
            <w:pPr>
              <w:tabs>
                <w:tab w:val="left" w:pos="884"/>
                <w:tab w:val="left" w:pos="1196"/>
              </w:tabs>
              <w:ind w:firstLine="0"/>
              <w:jc w:val="center"/>
              <w:rPr>
                <w:b/>
                <w:sz w:val="24"/>
                <w:szCs w:val="24"/>
                <w:lang w:val="ro-MO"/>
              </w:rPr>
            </w:pPr>
            <w:r w:rsidRPr="007D0A81">
              <w:rPr>
                <w:b/>
                <w:sz w:val="24"/>
                <w:szCs w:val="24"/>
                <w:lang w:val="ro-MO"/>
              </w:rPr>
              <w:t>Ministerul Afacerilor Interne</w:t>
            </w:r>
          </w:p>
          <w:p w:rsidR="00F911DA" w:rsidRPr="007D0A81" w:rsidRDefault="00F911DA" w:rsidP="00CF1E45">
            <w:pPr>
              <w:tabs>
                <w:tab w:val="left" w:pos="884"/>
                <w:tab w:val="left" w:pos="1196"/>
              </w:tabs>
              <w:ind w:firstLine="0"/>
              <w:jc w:val="center"/>
              <w:rPr>
                <w:sz w:val="24"/>
                <w:szCs w:val="24"/>
                <w:lang w:val="ro-MO"/>
              </w:rPr>
            </w:pPr>
            <w:r w:rsidRPr="007D0A81">
              <w:rPr>
                <w:sz w:val="24"/>
                <w:szCs w:val="24"/>
                <w:lang w:val="ro-MO"/>
              </w:rPr>
              <w:t>Aviz nr. 15/4783 din 9.12.2024</w:t>
            </w:r>
          </w:p>
        </w:tc>
        <w:tc>
          <w:tcPr>
            <w:tcW w:w="2109" w:type="pct"/>
          </w:tcPr>
          <w:p w:rsidR="00F911DA" w:rsidRPr="007D0A81" w:rsidRDefault="00F911DA" w:rsidP="00CF1E45">
            <w:pPr>
              <w:tabs>
                <w:tab w:val="left" w:pos="884"/>
                <w:tab w:val="left" w:pos="1196"/>
              </w:tabs>
              <w:ind w:firstLine="0"/>
              <w:rPr>
                <w:sz w:val="24"/>
                <w:szCs w:val="24"/>
                <w:lang w:val="ro-MO"/>
              </w:rPr>
            </w:pPr>
            <w:r w:rsidRPr="007D0A81">
              <w:rPr>
                <w:b/>
                <w:sz w:val="24"/>
                <w:szCs w:val="24"/>
                <w:lang w:val="ro-MO"/>
              </w:rPr>
              <w:t>I. Obiecțiile</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DF6F46">
            <w:pPr>
              <w:autoSpaceDE w:val="0"/>
              <w:autoSpaceDN w:val="0"/>
              <w:adjustRightInd w:val="0"/>
              <w:ind w:firstLine="0"/>
              <w:rPr>
                <w:sz w:val="24"/>
                <w:szCs w:val="24"/>
              </w:rPr>
            </w:pPr>
            <w:r w:rsidRPr="007D0A81">
              <w:rPr>
                <w:rFonts w:eastAsiaTheme="minorHAnsi"/>
                <w:color w:val="000000"/>
                <w:sz w:val="24"/>
                <w:szCs w:val="24"/>
              </w:rPr>
              <w:t xml:space="preserve"> Conform prevederilor art.3 alin (4) lit. b) </w:t>
            </w:r>
            <w:proofErr w:type="gramStart"/>
            <w:r w:rsidRPr="007D0A81">
              <w:rPr>
                <w:rFonts w:eastAsiaTheme="minorHAnsi"/>
                <w:color w:val="000000"/>
                <w:sz w:val="24"/>
                <w:szCs w:val="24"/>
              </w:rPr>
              <w:t>din</w:t>
            </w:r>
            <w:proofErr w:type="gramEnd"/>
            <w:r w:rsidRPr="007D0A81">
              <w:rPr>
                <w:rFonts w:eastAsiaTheme="minorHAnsi"/>
                <w:color w:val="000000"/>
                <w:sz w:val="24"/>
                <w:szCs w:val="24"/>
              </w:rPr>
              <w:t xml:space="preserve"> Legea nr.100/2017 cu privire la actele normative, în clauza de emitere a proiectului de act normativ, în calitate de temei fundamental și legal este necesar de a fi inclus art.79 alin (2) lit. a) și c) din Codul Funciar aprobat prin Legea Parlamentului nr.22/2024, care statuează expres elaborarea și prezentarea spre aprobare Parlamentului a </w:t>
            </w:r>
            <w:r w:rsidRPr="007D0A81">
              <w:rPr>
                <w:rFonts w:eastAsiaTheme="minorHAnsi"/>
                <w:i/>
                <w:iCs/>
                <w:color w:val="000000"/>
                <w:sz w:val="24"/>
                <w:szCs w:val="24"/>
              </w:rPr>
              <w:t xml:space="preserve">Metodologiei de calcul pentru pierderile cauzate de trecerea terenurilor cu destinație agricolă sau destinate fondului forestier la o altă categorie de destinație. </w:t>
            </w:r>
            <w:r w:rsidRPr="007D0A81">
              <w:rPr>
                <w:rFonts w:eastAsiaTheme="minorHAnsi"/>
                <w:color w:val="000000"/>
                <w:sz w:val="24"/>
                <w:szCs w:val="24"/>
              </w:rPr>
              <w:t xml:space="preserve">De remarcat că Nota de fundamentare a proiectului, face expres trimitere la această normă. </w:t>
            </w:r>
          </w:p>
        </w:tc>
        <w:tc>
          <w:tcPr>
            <w:tcW w:w="1323" w:type="pct"/>
          </w:tcPr>
          <w:p w:rsidR="00F911DA" w:rsidRPr="007D0A81" w:rsidRDefault="00F911DA" w:rsidP="0096126F">
            <w:pPr>
              <w:tabs>
                <w:tab w:val="left" w:pos="884"/>
                <w:tab w:val="left" w:pos="1196"/>
              </w:tabs>
              <w:ind w:firstLine="0"/>
              <w:rPr>
                <w:b/>
                <w:sz w:val="24"/>
                <w:szCs w:val="24"/>
                <w:lang w:val="ro-MO"/>
              </w:rPr>
            </w:pPr>
            <w:r w:rsidRPr="007D0A81">
              <w:rPr>
                <w:b/>
                <w:sz w:val="24"/>
                <w:szCs w:val="24"/>
              </w:rPr>
              <w:t>Nu se acceptă</w:t>
            </w:r>
            <w:r w:rsidRPr="007D0A81">
              <w:rPr>
                <w:sz w:val="24"/>
                <w:szCs w:val="24"/>
              </w:rPr>
              <w:t>, temeiul</w:t>
            </w:r>
            <w:r w:rsidR="00767E3F" w:rsidRPr="007D0A81">
              <w:rPr>
                <w:sz w:val="24"/>
                <w:szCs w:val="24"/>
              </w:rPr>
              <w:t xml:space="preserve"> </w:t>
            </w:r>
            <w:r w:rsidRPr="007D0A81">
              <w:rPr>
                <w:sz w:val="24"/>
                <w:szCs w:val="24"/>
              </w:rPr>
              <w:t xml:space="preserve">de aprobare a Metodologiei </w:t>
            </w:r>
            <w:proofErr w:type="gramStart"/>
            <w:r w:rsidRPr="007D0A81">
              <w:rPr>
                <w:sz w:val="24"/>
                <w:szCs w:val="24"/>
              </w:rPr>
              <w:t>respective  este</w:t>
            </w:r>
            <w:proofErr w:type="gramEnd"/>
            <w:r w:rsidRPr="007D0A81">
              <w:rPr>
                <w:sz w:val="24"/>
                <w:szCs w:val="24"/>
              </w:rPr>
              <w:t xml:space="preserve"> art. 60 alin. (3) </w:t>
            </w:r>
            <w:proofErr w:type="gramStart"/>
            <w:r w:rsidRPr="007D0A81">
              <w:rPr>
                <w:sz w:val="24"/>
                <w:szCs w:val="24"/>
              </w:rPr>
              <w:t>din</w:t>
            </w:r>
            <w:proofErr w:type="gramEnd"/>
            <w:r w:rsidRPr="007D0A81">
              <w:rPr>
                <w:sz w:val="24"/>
                <w:szCs w:val="24"/>
              </w:rPr>
              <w:t xml:space="preserve"> Codul funciar nr. 22/2024</w:t>
            </w:r>
            <w:proofErr w:type="gramStart"/>
            <w:r w:rsidRPr="007D0A81">
              <w:rPr>
                <w:sz w:val="24"/>
                <w:szCs w:val="24"/>
              </w:rPr>
              <w:t>,  pe</w:t>
            </w:r>
            <w:proofErr w:type="gramEnd"/>
            <w:r w:rsidRPr="007D0A81">
              <w:rPr>
                <w:sz w:val="24"/>
                <w:szCs w:val="24"/>
              </w:rPr>
              <w:t xml:space="preserve"> cînd</w:t>
            </w:r>
            <w:r w:rsidRPr="007D0A81">
              <w:rPr>
                <w:rFonts w:eastAsiaTheme="minorHAnsi"/>
                <w:sz w:val="24"/>
                <w:szCs w:val="24"/>
              </w:rPr>
              <w:t xml:space="preserve"> prevederile </w:t>
            </w:r>
            <w:r w:rsidRPr="007D0A81">
              <w:rPr>
                <w:sz w:val="24"/>
                <w:szCs w:val="24"/>
              </w:rPr>
              <w:t xml:space="preserve">art.79 alin (2) lit. a) și c) din </w:t>
            </w:r>
            <w:r w:rsidRPr="007D0A81">
              <w:rPr>
                <w:rFonts w:eastAsiaTheme="minorHAnsi"/>
                <w:sz w:val="24"/>
                <w:szCs w:val="24"/>
              </w:rPr>
              <w:t xml:space="preserve">Cod, este sarcina Guvernului ca în termen de 12 luni </w:t>
            </w:r>
            <w:r w:rsidRPr="007D0A81">
              <w:rPr>
                <w:sz w:val="24"/>
                <w:szCs w:val="24"/>
              </w:rPr>
              <w:t>de la data publicării prezentului cod</w:t>
            </w:r>
            <w:r w:rsidRPr="007D0A81">
              <w:rPr>
                <w:rFonts w:eastAsiaTheme="minorHAnsi"/>
                <w:sz w:val="24"/>
                <w:szCs w:val="24"/>
              </w:rPr>
              <w:t xml:space="preserve"> să </w:t>
            </w:r>
            <w:r w:rsidRPr="007D0A81">
              <w:rPr>
                <w:sz w:val="24"/>
                <w:szCs w:val="24"/>
              </w:rPr>
              <w:t>prezinte Parlamentului Metodologia de calcul pentru pierderile cauzate de trecerea terenurilor cu destinație agricolă sau destinate fondului forestier la o altă categorie de destinație</w:t>
            </w:r>
            <w:r w:rsidRPr="007D0A81">
              <w:rPr>
                <w:rFonts w:ascii="PT Serif" w:hAnsi="PT Serif"/>
                <w:color w:val="333333"/>
                <w:shd w:val="clear" w:color="auto" w:fill="FFFFFF"/>
              </w:rPr>
              <w:t>.</w:t>
            </w:r>
            <w:r w:rsidRPr="007D0A81">
              <w:rPr>
                <w:rFonts w:eastAsiaTheme="minorHAnsi"/>
                <w:color w:val="000000"/>
                <w:sz w:val="28"/>
                <w:szCs w:val="28"/>
              </w:rPr>
              <w:t xml:space="preserve">  </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DF6F46">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La punctul 4, Capitolul I Dispoziții generale se propune substituirea cuvântului „Găgăuzia” cu textul „unitatea teritorial autonomă Găgăuzia”, în scopul corelării proiectului de act normativ cu prevederile Legii 764/2001 privind organizarea administrativ-teritorială a Republicii Moldova.</w:t>
            </w:r>
          </w:p>
        </w:tc>
        <w:tc>
          <w:tcPr>
            <w:tcW w:w="1323" w:type="pct"/>
          </w:tcPr>
          <w:p w:rsidR="00F911DA" w:rsidRPr="007D0A81" w:rsidRDefault="00F911DA" w:rsidP="00CF1E45">
            <w:pPr>
              <w:tabs>
                <w:tab w:val="left" w:pos="884"/>
                <w:tab w:val="left" w:pos="1196"/>
              </w:tabs>
              <w:ind w:firstLine="0"/>
              <w:jc w:val="center"/>
              <w:rPr>
                <w:b/>
                <w:sz w:val="24"/>
                <w:szCs w:val="24"/>
                <w:lang w:val="ro-MO"/>
              </w:rPr>
            </w:pPr>
            <w:r w:rsidRPr="007D0A81">
              <w:rPr>
                <w:b/>
                <w:sz w:val="24"/>
                <w:szCs w:val="24"/>
                <w:lang w:val="ro-MO"/>
              </w:rPr>
              <w:t>Se acceptă, s-a ajustat.</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val="restart"/>
          </w:tcPr>
          <w:p w:rsidR="00F911DA" w:rsidRPr="007D0A81" w:rsidRDefault="00F911DA" w:rsidP="005B3208">
            <w:pPr>
              <w:tabs>
                <w:tab w:val="left" w:pos="884"/>
                <w:tab w:val="left" w:pos="1196"/>
              </w:tabs>
              <w:ind w:firstLine="0"/>
              <w:rPr>
                <w:b/>
                <w:sz w:val="24"/>
                <w:szCs w:val="24"/>
                <w:lang w:val="ro-MO"/>
              </w:rPr>
            </w:pPr>
            <w:r w:rsidRPr="007D0A81">
              <w:rPr>
                <w:b/>
                <w:sz w:val="24"/>
                <w:szCs w:val="24"/>
                <w:lang w:val="ro-MO"/>
              </w:rPr>
              <w:t xml:space="preserve">Ministerul Educației și Cercetării </w:t>
            </w:r>
          </w:p>
          <w:p w:rsidR="00F911DA" w:rsidRPr="007D0A81" w:rsidRDefault="00F911DA" w:rsidP="005B3208">
            <w:pPr>
              <w:tabs>
                <w:tab w:val="left" w:pos="884"/>
                <w:tab w:val="left" w:pos="1196"/>
              </w:tabs>
              <w:ind w:firstLine="0"/>
              <w:rPr>
                <w:b/>
                <w:sz w:val="24"/>
                <w:szCs w:val="24"/>
                <w:lang w:val="ro-MO"/>
              </w:rPr>
            </w:pPr>
            <w:r w:rsidRPr="007D0A81">
              <w:rPr>
                <w:i/>
                <w:lang w:val="ro-MO"/>
              </w:rPr>
              <w:t>Aviz nr. 08/2-09/7932 din 2.12.2024</w:t>
            </w: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obiecțiilor</w:t>
            </w:r>
          </w:p>
        </w:tc>
        <w:tc>
          <w:tcPr>
            <w:tcW w:w="1323" w:type="pct"/>
          </w:tcPr>
          <w:p w:rsidR="00F911DA" w:rsidRPr="007D0A81" w:rsidRDefault="00F911DA" w:rsidP="00CF1E45">
            <w:pPr>
              <w:tabs>
                <w:tab w:val="left" w:pos="884"/>
                <w:tab w:val="left" w:pos="1196"/>
              </w:tabs>
              <w:ind w:firstLine="0"/>
              <w:jc w:val="center"/>
              <w:rPr>
                <w:b/>
                <w:sz w:val="24"/>
                <w:szCs w:val="24"/>
                <w:lang w:val="ro-MO"/>
              </w:rPr>
            </w:pPr>
            <w:r w:rsidRPr="007D0A81">
              <w:rPr>
                <w:b/>
                <w:sz w:val="24"/>
                <w:szCs w:val="24"/>
                <w:lang w:val="ro-MO"/>
              </w:rPr>
              <w:t>Se acceptă</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val="restart"/>
          </w:tcPr>
          <w:p w:rsidR="00F911DA" w:rsidRPr="007D0A81" w:rsidRDefault="00F911DA" w:rsidP="008A6599">
            <w:pPr>
              <w:tabs>
                <w:tab w:val="left" w:pos="884"/>
                <w:tab w:val="left" w:pos="1196"/>
              </w:tabs>
              <w:ind w:firstLine="0"/>
              <w:rPr>
                <w:b/>
                <w:sz w:val="24"/>
                <w:szCs w:val="24"/>
                <w:lang w:val="ro-MO"/>
              </w:rPr>
            </w:pPr>
            <w:r w:rsidRPr="007D0A81">
              <w:rPr>
                <w:b/>
                <w:sz w:val="24"/>
                <w:szCs w:val="24"/>
                <w:lang w:val="ro-MO"/>
              </w:rPr>
              <w:t xml:space="preserve">Ministerul Apărării </w:t>
            </w:r>
          </w:p>
          <w:p w:rsidR="00F911DA" w:rsidRPr="007D0A81" w:rsidRDefault="00F911DA" w:rsidP="008A6599">
            <w:pPr>
              <w:tabs>
                <w:tab w:val="left" w:pos="884"/>
                <w:tab w:val="left" w:pos="1196"/>
              </w:tabs>
              <w:ind w:firstLine="0"/>
              <w:jc w:val="center"/>
              <w:rPr>
                <w:b/>
                <w:sz w:val="24"/>
                <w:szCs w:val="24"/>
                <w:lang w:val="ro-MO"/>
              </w:rPr>
            </w:pPr>
            <w:r w:rsidRPr="007D0A81">
              <w:rPr>
                <w:i/>
                <w:lang w:val="ro-MO"/>
              </w:rPr>
              <w:t>Aviz nr. 11/1649 din 5.12.2024</w:t>
            </w: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obiecțiilor</w:t>
            </w:r>
          </w:p>
        </w:tc>
        <w:tc>
          <w:tcPr>
            <w:tcW w:w="1323" w:type="pct"/>
          </w:tcPr>
          <w:p w:rsidR="00F911DA" w:rsidRPr="007D0A81" w:rsidRDefault="00F911DA" w:rsidP="00CF1E45">
            <w:pPr>
              <w:tabs>
                <w:tab w:val="left" w:pos="884"/>
                <w:tab w:val="left" w:pos="1196"/>
              </w:tabs>
              <w:ind w:firstLine="0"/>
              <w:jc w:val="center"/>
              <w:rPr>
                <w:b/>
                <w:sz w:val="24"/>
                <w:szCs w:val="24"/>
                <w:lang w:val="ro-MO"/>
              </w:rPr>
            </w:pPr>
            <w:r w:rsidRPr="007D0A81">
              <w:rPr>
                <w:b/>
                <w:sz w:val="24"/>
                <w:szCs w:val="24"/>
                <w:lang w:val="ro-MO"/>
              </w:rPr>
              <w:t>Se acceptă</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val="restar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Ministerul Culturii</w:t>
            </w:r>
          </w:p>
          <w:p w:rsidR="00F911DA" w:rsidRPr="007D0A81" w:rsidRDefault="00F911DA" w:rsidP="00475731">
            <w:pPr>
              <w:tabs>
                <w:tab w:val="left" w:pos="884"/>
                <w:tab w:val="left" w:pos="1196"/>
              </w:tabs>
              <w:ind w:firstLine="0"/>
              <w:jc w:val="center"/>
              <w:rPr>
                <w:b/>
                <w:sz w:val="24"/>
                <w:szCs w:val="24"/>
                <w:lang w:val="ro-MO"/>
              </w:rPr>
            </w:pPr>
            <w:r w:rsidRPr="007D0A81">
              <w:rPr>
                <w:i/>
                <w:lang w:val="ro-MO"/>
              </w:rPr>
              <w:t>Aviz nr. 05/1-09/3690 din 6.12.2024</w:t>
            </w:r>
          </w:p>
        </w:tc>
        <w:tc>
          <w:tcPr>
            <w:tcW w:w="2109" w:type="pct"/>
          </w:tcPr>
          <w:p w:rsidR="00F911DA" w:rsidRPr="007D0A81" w:rsidRDefault="00F911DA"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obiecțiilor</w:t>
            </w:r>
          </w:p>
        </w:tc>
        <w:tc>
          <w:tcPr>
            <w:tcW w:w="1323" w:type="pct"/>
          </w:tcPr>
          <w:p w:rsidR="00F911DA" w:rsidRPr="007D0A81" w:rsidRDefault="00F911DA" w:rsidP="00CF1E45">
            <w:pPr>
              <w:tabs>
                <w:tab w:val="left" w:pos="884"/>
                <w:tab w:val="left" w:pos="1196"/>
              </w:tabs>
              <w:ind w:firstLine="0"/>
              <w:jc w:val="center"/>
              <w:rPr>
                <w:b/>
                <w:sz w:val="24"/>
                <w:szCs w:val="24"/>
                <w:lang w:val="ro-MO"/>
              </w:rPr>
            </w:pPr>
            <w:r w:rsidRPr="007D0A81">
              <w:rPr>
                <w:b/>
                <w:sz w:val="24"/>
                <w:szCs w:val="24"/>
                <w:lang w:val="ro-MO"/>
              </w:rPr>
              <w:t>Se acceptă</w:t>
            </w: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b/>
                <w:sz w:val="24"/>
                <w:szCs w:val="24"/>
                <w:lang w:val="ro-MO"/>
              </w:rPr>
              <w:t>II. Propunerile (recomandările)</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F911DA" w:rsidRPr="007D0A81" w:rsidTr="00CF1E45">
        <w:tc>
          <w:tcPr>
            <w:tcW w:w="1568" w:type="pct"/>
            <w:vMerge/>
          </w:tcPr>
          <w:p w:rsidR="00F911DA" w:rsidRPr="007D0A81" w:rsidRDefault="00F911DA" w:rsidP="00CF1E45">
            <w:pPr>
              <w:tabs>
                <w:tab w:val="left" w:pos="884"/>
                <w:tab w:val="left" w:pos="1196"/>
              </w:tabs>
              <w:ind w:firstLine="0"/>
              <w:jc w:val="center"/>
              <w:rPr>
                <w:b/>
                <w:sz w:val="24"/>
                <w:szCs w:val="24"/>
                <w:lang w:val="ro-MO"/>
              </w:rPr>
            </w:pPr>
          </w:p>
        </w:tc>
        <w:tc>
          <w:tcPr>
            <w:tcW w:w="2109" w:type="pct"/>
          </w:tcPr>
          <w:p w:rsidR="00F911DA" w:rsidRPr="007D0A81" w:rsidRDefault="00F911DA"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Pr>
          <w:p w:rsidR="00F911DA" w:rsidRPr="007D0A81" w:rsidRDefault="00F911DA" w:rsidP="00CF1E45">
            <w:pPr>
              <w:tabs>
                <w:tab w:val="left" w:pos="884"/>
                <w:tab w:val="left" w:pos="1196"/>
              </w:tabs>
              <w:ind w:firstLine="0"/>
              <w:jc w:val="center"/>
              <w:rPr>
                <w:b/>
                <w:sz w:val="24"/>
                <w:szCs w:val="24"/>
                <w:lang w:val="ro-MO"/>
              </w:rPr>
            </w:pPr>
          </w:p>
        </w:tc>
      </w:tr>
      <w:tr w:rsidR="008279A7" w:rsidRPr="007D0A81" w:rsidTr="00CF1E45">
        <w:tc>
          <w:tcPr>
            <w:tcW w:w="1568" w:type="pct"/>
            <w:vMerge w:val="restart"/>
          </w:tcPr>
          <w:p w:rsidR="008279A7" w:rsidRPr="007D0A81" w:rsidRDefault="008279A7" w:rsidP="008279A7">
            <w:pPr>
              <w:tabs>
                <w:tab w:val="left" w:pos="884"/>
                <w:tab w:val="left" w:pos="1196"/>
              </w:tabs>
              <w:ind w:firstLine="0"/>
              <w:rPr>
                <w:b/>
                <w:sz w:val="24"/>
                <w:szCs w:val="24"/>
                <w:lang w:val="ro-MO"/>
              </w:rPr>
            </w:pPr>
            <w:r w:rsidRPr="007D0A81">
              <w:rPr>
                <w:b/>
                <w:sz w:val="24"/>
                <w:szCs w:val="24"/>
                <w:lang w:val="ro-MO"/>
              </w:rPr>
              <w:t xml:space="preserve">Ministerul Finanțelor </w:t>
            </w:r>
          </w:p>
          <w:p w:rsidR="008279A7" w:rsidRPr="007D0A81" w:rsidRDefault="008279A7" w:rsidP="008279A7">
            <w:pPr>
              <w:tabs>
                <w:tab w:val="left" w:pos="884"/>
                <w:tab w:val="left" w:pos="1196"/>
              </w:tabs>
              <w:ind w:firstLine="0"/>
              <w:jc w:val="center"/>
              <w:rPr>
                <w:b/>
                <w:sz w:val="24"/>
                <w:szCs w:val="24"/>
                <w:lang w:val="ro-MO"/>
              </w:rPr>
            </w:pPr>
            <w:r w:rsidRPr="007D0A81">
              <w:rPr>
                <w:i/>
                <w:lang w:val="ro-MO"/>
              </w:rPr>
              <w:t xml:space="preserve">Aviz nr. </w:t>
            </w:r>
            <w:proofErr w:type="gramStart"/>
            <w:r w:rsidRPr="007D0A81">
              <w:t>nr</w:t>
            </w:r>
            <w:proofErr w:type="gramEnd"/>
            <w:r w:rsidRPr="007D0A81">
              <w:t>. 07/5-03/631/1969 din 13.12.2024</w:t>
            </w:r>
          </w:p>
        </w:tc>
        <w:tc>
          <w:tcPr>
            <w:tcW w:w="2109" w:type="pc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CF1E45">
            <w:pPr>
              <w:tabs>
                <w:tab w:val="left" w:pos="884"/>
                <w:tab w:val="left" w:pos="1196"/>
              </w:tabs>
              <w:ind w:firstLine="0"/>
              <w:rPr>
                <w:sz w:val="24"/>
                <w:szCs w:val="24"/>
                <w:lang w:val="ro-MO"/>
              </w:rPr>
            </w:pPr>
            <w:r w:rsidRPr="007D0A81">
              <w:rPr>
                <w:sz w:val="24"/>
                <w:szCs w:val="24"/>
              </w:rPr>
              <w:t>Conform art.30 din Legea nr.100/2017 cu privire la actele normative, cu modificările și completările ulterioare, Nota de fundamentare urmează a fi completată cu costurile necesare pentru punerea în aplicare a prevederilor legii, însoțite de calcule argumentate divizate pe ani, precum și indicarea sursei de finanțare a cheltuielilor respective. Deși în capitolul 4.2 este menționat faptul că, prevederile acestuia nu vor implica cheltuieli bugetare suplimentare, se consideră necesar ca autorul să aducă claritate referitor la implicațiile bugetare ale prevederilor proiectului nemijlocit asupra bugetului de stat.</w:t>
            </w:r>
          </w:p>
        </w:tc>
        <w:tc>
          <w:tcPr>
            <w:tcW w:w="1323" w:type="pct"/>
          </w:tcPr>
          <w:p w:rsidR="008279A7" w:rsidRPr="007D0A81" w:rsidRDefault="008279A7" w:rsidP="008279A7">
            <w:pPr>
              <w:rPr>
                <w:b/>
                <w:sz w:val="24"/>
                <w:szCs w:val="24"/>
                <w:lang w:val="ro-MO"/>
              </w:rPr>
            </w:pPr>
            <w:r w:rsidRPr="007D0A81">
              <w:rPr>
                <w:sz w:val="24"/>
                <w:szCs w:val="24"/>
              </w:rPr>
              <w:t xml:space="preserve">După cum este menționat în Nota de fundamentare la proiect cheltuieli bugetare suplimentare pentru implementarea legii date nu vor fi și la moment într-o mare măsură este aceași procedură de </w:t>
            </w:r>
            <w:r w:rsidRPr="007D0A81">
              <w:rPr>
                <w:sz w:val="24"/>
                <w:szCs w:val="24"/>
                <w:lang w:val="ro-MO"/>
              </w:rPr>
              <w:t>calcul al pierderilor cauzate de trecerea terenurilor cu destinație agricolă sau ale fondului forestier la o altă categorie de destinație.</w:t>
            </w: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val="restart"/>
          </w:tcPr>
          <w:p w:rsidR="008279A7" w:rsidRPr="007D0A81" w:rsidRDefault="008279A7" w:rsidP="00F76A2D">
            <w:pPr>
              <w:tabs>
                <w:tab w:val="left" w:pos="884"/>
                <w:tab w:val="left" w:pos="1196"/>
              </w:tabs>
              <w:ind w:firstLine="0"/>
              <w:rPr>
                <w:b/>
                <w:sz w:val="24"/>
                <w:szCs w:val="24"/>
                <w:lang w:val="ro-MO"/>
              </w:rPr>
            </w:pPr>
            <w:r w:rsidRPr="007D0A81">
              <w:rPr>
                <w:b/>
                <w:sz w:val="24"/>
                <w:szCs w:val="24"/>
                <w:lang w:val="ro-MO"/>
              </w:rPr>
              <w:t>Ministerul Sănătății</w:t>
            </w:r>
          </w:p>
          <w:p w:rsidR="008279A7" w:rsidRPr="007D0A81" w:rsidRDefault="008279A7" w:rsidP="00F76A2D">
            <w:pPr>
              <w:tabs>
                <w:tab w:val="left" w:pos="884"/>
                <w:tab w:val="left" w:pos="1196"/>
              </w:tabs>
              <w:ind w:firstLine="0"/>
              <w:jc w:val="center"/>
              <w:rPr>
                <w:b/>
                <w:sz w:val="24"/>
                <w:szCs w:val="24"/>
                <w:lang w:val="ro-MO"/>
              </w:rPr>
            </w:pPr>
            <w:r w:rsidRPr="007D0A81">
              <w:rPr>
                <w:i/>
                <w:lang w:val="ro-MO"/>
              </w:rPr>
              <w:t>Aviz nr. 24/4538 din 6.12.2024</w:t>
            </w:r>
          </w:p>
        </w:tc>
        <w:tc>
          <w:tcPr>
            <w:tcW w:w="2109" w:type="pc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CF1E45">
            <w:pPr>
              <w:tabs>
                <w:tab w:val="left" w:pos="884"/>
                <w:tab w:val="left" w:pos="1196"/>
              </w:tabs>
              <w:ind w:firstLine="0"/>
              <w:rPr>
                <w:sz w:val="24"/>
                <w:szCs w:val="24"/>
                <w:lang w:val="ro-MO"/>
              </w:rPr>
            </w:pPr>
            <w:r w:rsidRPr="007D0A81">
              <w:rPr>
                <w:sz w:val="24"/>
                <w:szCs w:val="24"/>
                <w:lang w:val="ro-MO"/>
              </w:rPr>
              <w:t>Lipsa obiecțiilor</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CF1E45">
            <w:pPr>
              <w:tabs>
                <w:tab w:val="left" w:pos="884"/>
                <w:tab w:val="left" w:pos="1196"/>
              </w:tabs>
              <w:ind w:firstLine="0"/>
              <w:rPr>
                <w:sz w:val="24"/>
                <w:szCs w:val="24"/>
                <w:lang w:val="ro-MO"/>
              </w:rPr>
            </w:pPr>
            <w:r w:rsidRPr="007D0A81">
              <w:rPr>
                <w:b/>
                <w:sz w:val="24"/>
                <w:szCs w:val="24"/>
                <w:lang w:val="ro-MO"/>
              </w:rPr>
              <w:t>II. Propunerile (recomandările)</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0D34C2">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     Capitolul I, pct. 3 după textul „cu excepția cazurilor de uz public” a se adăuga următorul conținut „terenurilor destinate ocrotirii sănătății”. </w:t>
            </w:r>
          </w:p>
          <w:p w:rsidR="008279A7" w:rsidRPr="007D0A81" w:rsidRDefault="008279A7" w:rsidP="000D34C2">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     Justificarea includerii: </w:t>
            </w:r>
          </w:p>
          <w:p w:rsidR="008279A7" w:rsidRPr="007D0A81" w:rsidRDefault="008279A7" w:rsidP="000D34C2">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    Terenurile destinate domeniului ocrotirii sănătății au un rol crucial în asigurarea accesului populației la servicii medicale. Având în vedere necesitatea extinderii și modernizării infrastructurii sanitare, este esențial ca utilizarea acestor terenuri să fie facilitată prin excluderea de la obligația de compensare a pierderilor, similar altor domenii de interes </w:t>
            </w:r>
            <w:r w:rsidRPr="007D0A81">
              <w:rPr>
                <w:rFonts w:eastAsiaTheme="minorHAnsi"/>
                <w:color w:val="000000"/>
                <w:sz w:val="24"/>
                <w:szCs w:val="24"/>
              </w:rPr>
              <w:lastRenderedPageBreak/>
              <w:t xml:space="preserve">public, cum ar fi parcurile industriale sau zonele economice libere. </w:t>
            </w:r>
          </w:p>
          <w:p w:rsidR="008279A7" w:rsidRPr="007D0A81" w:rsidRDefault="008279A7" w:rsidP="000D34C2">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     Obiectivele din domeniul sănătății, cum ar fi instituțiile medico-sanitare publice, deservesc interesele publice fundamentale. Similar cazurilor de „uz public” deja menționate în text, utilizarea terenurilor pentru astfel de scopuri ar trebui scutită de compensarea pierderilor, întrucât aceasta este justificată prin beneficiul major pe care îl aduce societății. </w:t>
            </w:r>
          </w:p>
          <w:p w:rsidR="008279A7" w:rsidRPr="007D0A81" w:rsidRDefault="008279A7" w:rsidP="000D34C2">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     Noul Cod funciar, adoptat la 15 februarie 2024, recunoaște importanța acestor terenuri în cadrul politicilor funciare. Integrarea acestei categorii de excepții ar fi o măsură coerentă cu prevederile codului și cu obiectivele naționale privind sănătatea publică. </w:t>
            </w:r>
          </w:p>
          <w:p w:rsidR="008279A7" w:rsidRPr="007D0A81" w:rsidRDefault="008279A7" w:rsidP="000D34C2">
            <w:pPr>
              <w:tabs>
                <w:tab w:val="left" w:pos="884"/>
                <w:tab w:val="left" w:pos="1196"/>
              </w:tabs>
              <w:ind w:firstLine="0"/>
              <w:rPr>
                <w:b/>
                <w:sz w:val="24"/>
                <w:szCs w:val="24"/>
              </w:rPr>
            </w:pPr>
            <w:r w:rsidRPr="007D0A81">
              <w:rPr>
                <w:rFonts w:eastAsiaTheme="minorHAnsi"/>
                <w:color w:val="000000"/>
                <w:sz w:val="24"/>
                <w:szCs w:val="24"/>
              </w:rPr>
              <w:t xml:space="preserve">     Compensațiile pentru schimbarea destinației terenurilor pot reprezenta o barieră financiară semnificativă pentru implementarea proiectelor în domeniul sănătății, mai ales în zonele rurale sau defavorizate. Excluderea acestei categorii de la compensare va facilita astfel dezvoltarea infrastructurii medicale acolo unde este necesară.</w:t>
            </w:r>
          </w:p>
        </w:tc>
        <w:tc>
          <w:tcPr>
            <w:tcW w:w="1323" w:type="pct"/>
          </w:tcPr>
          <w:p w:rsidR="008279A7" w:rsidRPr="007D0A81" w:rsidRDefault="008279A7" w:rsidP="0074177A">
            <w:pPr>
              <w:rPr>
                <w:sz w:val="24"/>
                <w:szCs w:val="24"/>
              </w:rPr>
            </w:pPr>
            <w:r w:rsidRPr="007D0A81">
              <w:rPr>
                <w:b/>
                <w:sz w:val="24"/>
                <w:szCs w:val="24"/>
                <w:lang w:val="ro-MO"/>
              </w:rPr>
              <w:lastRenderedPageBreak/>
              <w:t xml:space="preserve">Nu se acceptă, </w:t>
            </w:r>
            <w:r w:rsidRPr="007D0A81">
              <w:rPr>
                <w:sz w:val="24"/>
                <w:szCs w:val="24"/>
              </w:rPr>
              <w:t xml:space="preserve">deoarece, cazurile în care nu se </w:t>
            </w:r>
            <w:r w:rsidRPr="007D0A81">
              <w:rPr>
                <w:color w:val="333333"/>
                <w:sz w:val="24"/>
                <w:szCs w:val="24"/>
                <w:shd w:val="clear" w:color="auto" w:fill="FFFFFF"/>
              </w:rPr>
              <w:t>compensează pierderile cauzate de schimbarea destinației terenurilor cu destinație agricolă și a celor destinate fondului forestier la o altă categorie de destinație, </w:t>
            </w:r>
            <w:r w:rsidRPr="007D0A81">
              <w:rPr>
                <w:sz w:val="24"/>
                <w:szCs w:val="24"/>
              </w:rPr>
              <w:t xml:space="preserve"> menționate îm proiectul Metodologiei sunt transpuse din art. 60 alin. (4) </w:t>
            </w:r>
            <w:proofErr w:type="gramStart"/>
            <w:r w:rsidRPr="007D0A81">
              <w:rPr>
                <w:sz w:val="24"/>
                <w:szCs w:val="24"/>
              </w:rPr>
              <w:t>din</w:t>
            </w:r>
            <w:proofErr w:type="gramEnd"/>
            <w:r w:rsidRPr="007D0A81">
              <w:rPr>
                <w:sz w:val="24"/>
                <w:szCs w:val="24"/>
              </w:rPr>
              <w:t xml:space="preserve"> Codul funciar nr. 22/2024.</w:t>
            </w:r>
          </w:p>
          <w:p w:rsidR="008279A7" w:rsidRPr="007D0A81" w:rsidRDefault="008279A7" w:rsidP="0074177A">
            <w:pPr>
              <w:rPr>
                <w:b/>
                <w:sz w:val="24"/>
                <w:szCs w:val="24"/>
                <w:lang w:val="ro-MO"/>
              </w:rPr>
            </w:pPr>
            <w:r w:rsidRPr="007D0A81">
              <w:rPr>
                <w:sz w:val="24"/>
                <w:szCs w:val="24"/>
              </w:rPr>
              <w:lastRenderedPageBreak/>
              <w:t>Totodată în cazul edificării</w:t>
            </w:r>
            <w:proofErr w:type="gramStart"/>
            <w:r w:rsidRPr="007D0A81">
              <w:rPr>
                <w:sz w:val="24"/>
                <w:szCs w:val="24"/>
              </w:rPr>
              <w:t xml:space="preserve">,  </w:t>
            </w:r>
            <w:r w:rsidRPr="007D0A81">
              <w:rPr>
                <w:rFonts w:eastAsiaTheme="minorHAnsi"/>
                <w:sz w:val="24"/>
                <w:szCs w:val="24"/>
              </w:rPr>
              <w:t>extinderii</w:t>
            </w:r>
            <w:proofErr w:type="gramEnd"/>
            <w:r w:rsidRPr="007D0A81">
              <w:rPr>
                <w:rFonts w:eastAsiaTheme="minorHAnsi"/>
                <w:sz w:val="24"/>
                <w:szCs w:val="24"/>
              </w:rPr>
              <w:t xml:space="preserve"> și modernizării infrastructurii sanitare, ce necesită </w:t>
            </w:r>
            <w:r w:rsidRPr="007D0A81">
              <w:rPr>
                <w:sz w:val="24"/>
                <w:szCs w:val="24"/>
              </w:rPr>
              <w:t>trecerea terenurilor cu destinație agricolă sau ale fondului forestier la o altă categorie de destinație,</w:t>
            </w:r>
            <w:r w:rsidRPr="007D0A81">
              <w:rPr>
                <w:rFonts w:eastAsiaTheme="minorHAnsi"/>
                <w:sz w:val="24"/>
                <w:szCs w:val="24"/>
              </w:rPr>
              <w:t xml:space="preserve"> lucrările date, pot fi declarate de utilitate publică și respectiv scutite de </w:t>
            </w:r>
            <w:r w:rsidRPr="007D0A81">
              <w:rPr>
                <w:sz w:val="24"/>
                <w:szCs w:val="24"/>
              </w:rPr>
              <w:t>compensarea pierderilor cauzate de schimbarea destinației terenurilor</w:t>
            </w:r>
            <w:r w:rsidRPr="007D0A81">
              <w:rPr>
                <w:rFonts w:eastAsiaTheme="minorHAnsi"/>
                <w:sz w:val="24"/>
                <w:szCs w:val="24"/>
              </w:rPr>
              <w:t xml:space="preserve"> respective.</w:t>
            </w:r>
            <w:r w:rsidRPr="007D0A81">
              <w:rPr>
                <w:rFonts w:eastAsiaTheme="minorHAnsi"/>
                <w:color w:val="000000"/>
                <w:sz w:val="24"/>
                <w:szCs w:val="24"/>
              </w:rPr>
              <w:t xml:space="preserve">  </w:t>
            </w:r>
          </w:p>
        </w:tc>
      </w:tr>
      <w:tr w:rsidR="008279A7" w:rsidRPr="007D0A81" w:rsidTr="00CF1E45">
        <w:tc>
          <w:tcPr>
            <w:tcW w:w="1568" w:type="pct"/>
            <w:vMerge w:val="restart"/>
          </w:tcPr>
          <w:p w:rsidR="008279A7" w:rsidRPr="007D0A81" w:rsidRDefault="008279A7" w:rsidP="003C3DFB">
            <w:pPr>
              <w:tabs>
                <w:tab w:val="left" w:pos="884"/>
                <w:tab w:val="left" w:pos="1196"/>
              </w:tabs>
              <w:ind w:firstLine="0"/>
              <w:rPr>
                <w:b/>
                <w:sz w:val="24"/>
                <w:szCs w:val="24"/>
                <w:lang w:val="ro-MO"/>
              </w:rPr>
            </w:pPr>
            <w:r w:rsidRPr="007D0A81">
              <w:rPr>
                <w:b/>
                <w:sz w:val="24"/>
                <w:szCs w:val="24"/>
                <w:lang w:val="ro-MO"/>
              </w:rPr>
              <w:lastRenderedPageBreak/>
              <w:t>Ministerul Infrastructurii și Dezvoltării Regionale</w:t>
            </w:r>
          </w:p>
          <w:p w:rsidR="008279A7" w:rsidRPr="007D0A81" w:rsidRDefault="008279A7" w:rsidP="003C3DFB">
            <w:pPr>
              <w:tabs>
                <w:tab w:val="left" w:pos="884"/>
                <w:tab w:val="left" w:pos="1196"/>
              </w:tabs>
              <w:ind w:firstLine="0"/>
              <w:jc w:val="center"/>
              <w:rPr>
                <w:b/>
                <w:sz w:val="24"/>
                <w:szCs w:val="24"/>
                <w:lang w:val="ro-MO"/>
              </w:rPr>
            </w:pPr>
            <w:r w:rsidRPr="007D0A81">
              <w:rPr>
                <w:i/>
                <w:lang w:val="ro-MO"/>
              </w:rPr>
              <w:t>Aviz nr. 21-6411 dn6.12.2024</w:t>
            </w:r>
          </w:p>
        </w:tc>
        <w:tc>
          <w:tcPr>
            <w:tcW w:w="2109" w:type="pc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3C3DFB">
            <w:pPr>
              <w:autoSpaceDE w:val="0"/>
              <w:autoSpaceDN w:val="0"/>
              <w:adjustRightInd w:val="0"/>
              <w:ind w:firstLine="0"/>
              <w:jc w:val="left"/>
              <w:rPr>
                <w:rFonts w:eastAsiaTheme="minorHAnsi"/>
                <w:color w:val="000000"/>
                <w:sz w:val="24"/>
                <w:szCs w:val="24"/>
              </w:rPr>
            </w:pPr>
            <w:r w:rsidRPr="007D0A81">
              <w:rPr>
                <w:rFonts w:eastAsiaTheme="minorHAnsi"/>
                <w:color w:val="000000"/>
                <w:sz w:val="24"/>
                <w:szCs w:val="24"/>
              </w:rPr>
              <w:t xml:space="preserve"> Comunicăm lipsa obiecțiilor și propunerilor de ordin conceptual pe marginea proiectului</w:t>
            </w:r>
          </w:p>
        </w:tc>
        <w:tc>
          <w:tcPr>
            <w:tcW w:w="1323" w:type="pct"/>
          </w:tcPr>
          <w:p w:rsidR="008279A7" w:rsidRPr="007D0A81" w:rsidRDefault="008279A7" w:rsidP="00CF1E45">
            <w:pPr>
              <w:tabs>
                <w:tab w:val="left" w:pos="884"/>
                <w:tab w:val="left" w:pos="1196"/>
              </w:tabs>
              <w:ind w:firstLine="0"/>
              <w:jc w:val="center"/>
              <w:rPr>
                <w:b/>
                <w:sz w:val="24"/>
                <w:szCs w:val="24"/>
                <w:lang w:val="ro-MO"/>
              </w:rPr>
            </w:pPr>
            <w:r w:rsidRPr="007D0A81">
              <w:rPr>
                <w:b/>
                <w:sz w:val="24"/>
                <w:szCs w:val="24"/>
                <w:lang w:val="ro-MO"/>
              </w:rPr>
              <w:t>Se acceptă</w:t>
            </w: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F76A2D">
            <w:pPr>
              <w:autoSpaceDE w:val="0"/>
              <w:autoSpaceDN w:val="0"/>
              <w:adjustRightInd w:val="0"/>
              <w:ind w:firstLine="0"/>
              <w:jc w:val="left"/>
              <w:rPr>
                <w:rFonts w:eastAsiaTheme="minorHAnsi"/>
                <w:color w:val="000000"/>
                <w:sz w:val="24"/>
                <w:szCs w:val="24"/>
              </w:rPr>
            </w:pPr>
            <w:r w:rsidRPr="007D0A81">
              <w:rPr>
                <w:b/>
                <w:sz w:val="24"/>
                <w:szCs w:val="24"/>
                <w:lang w:val="ro-MO"/>
              </w:rPr>
              <w:t>II. Propunerile (recomandările)</w:t>
            </w:r>
          </w:p>
        </w:tc>
        <w:tc>
          <w:tcPr>
            <w:tcW w:w="1323" w:type="pct"/>
          </w:tcPr>
          <w:p w:rsidR="008279A7" w:rsidRPr="007D0A81" w:rsidRDefault="008279A7" w:rsidP="00CF1E45">
            <w:pPr>
              <w:tabs>
                <w:tab w:val="left" w:pos="884"/>
                <w:tab w:val="left" w:pos="1196"/>
              </w:tabs>
              <w:ind w:firstLine="0"/>
              <w:jc w:val="center"/>
              <w:rPr>
                <w:b/>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541839">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Totodată, în vederea îmbunătățirii calității proiectului, intervenim cu următoarele propuneri de ordin tehnico-normativ. </w:t>
            </w:r>
          </w:p>
          <w:p w:rsidR="008279A7" w:rsidRPr="007D0A81" w:rsidRDefault="008279A7" w:rsidP="00541839">
            <w:pPr>
              <w:autoSpaceDE w:val="0"/>
              <w:autoSpaceDN w:val="0"/>
              <w:adjustRightInd w:val="0"/>
              <w:ind w:firstLine="0"/>
              <w:rPr>
                <w:b/>
                <w:sz w:val="24"/>
                <w:szCs w:val="24"/>
              </w:rPr>
            </w:pPr>
            <w:r w:rsidRPr="007D0A81">
              <w:rPr>
                <w:rFonts w:eastAsiaTheme="minorHAnsi"/>
                <w:color w:val="000000"/>
                <w:sz w:val="24"/>
                <w:szCs w:val="24"/>
              </w:rPr>
              <w:t xml:space="preserve">La </w:t>
            </w:r>
            <w:r w:rsidRPr="007D0A81">
              <w:rPr>
                <w:rFonts w:eastAsiaTheme="minorHAnsi"/>
                <w:b/>
                <w:bCs/>
                <w:i/>
                <w:iCs/>
                <w:color w:val="000000"/>
                <w:sz w:val="24"/>
                <w:szCs w:val="24"/>
              </w:rPr>
              <w:t>proiectul legii</w:t>
            </w:r>
            <w:r w:rsidRPr="007D0A81">
              <w:rPr>
                <w:rFonts w:eastAsiaTheme="minorHAnsi"/>
                <w:color w:val="000000"/>
                <w:sz w:val="24"/>
                <w:szCs w:val="24"/>
              </w:rPr>
              <w:t xml:space="preserve">, articolul unic, </w:t>
            </w:r>
            <w:proofErr w:type="gramStart"/>
            <w:r w:rsidRPr="007D0A81">
              <w:rPr>
                <w:rFonts w:eastAsiaTheme="minorHAnsi"/>
                <w:color w:val="000000"/>
                <w:sz w:val="24"/>
                <w:szCs w:val="24"/>
              </w:rPr>
              <w:t>textul ,</w:t>
            </w:r>
            <w:proofErr w:type="gramEnd"/>
            <w:r w:rsidRPr="007D0A81">
              <w:rPr>
                <w:rFonts w:eastAsiaTheme="minorHAnsi"/>
                <w:color w:val="000000"/>
                <w:sz w:val="24"/>
                <w:szCs w:val="24"/>
              </w:rPr>
              <w:t xml:space="preserve">, , conform anexei” se va substitui cu textul ,,(se anexează)”, având în vedere că se propune aprobarea unei anexe unice. </w:t>
            </w:r>
          </w:p>
        </w:tc>
        <w:tc>
          <w:tcPr>
            <w:tcW w:w="1323" w:type="pct"/>
          </w:tcPr>
          <w:p w:rsidR="008279A7" w:rsidRPr="007D0A81" w:rsidRDefault="008279A7" w:rsidP="00CF1E45">
            <w:pPr>
              <w:tabs>
                <w:tab w:val="left" w:pos="884"/>
                <w:tab w:val="left" w:pos="1196"/>
              </w:tabs>
              <w:ind w:firstLine="0"/>
              <w:jc w:val="center"/>
              <w:rPr>
                <w:b/>
                <w:sz w:val="24"/>
                <w:szCs w:val="24"/>
                <w:lang w:val="ro-MO"/>
              </w:rPr>
            </w:pPr>
            <w:r w:rsidRPr="007D0A81">
              <w:rPr>
                <w:b/>
                <w:sz w:val="24"/>
                <w:szCs w:val="24"/>
                <w:lang w:val="ro-MO"/>
              </w:rPr>
              <w:t>Se acceptă, s-a ajustat.</w:t>
            </w: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541839">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Pct.3 din </w:t>
            </w:r>
            <w:r w:rsidRPr="007D0A81">
              <w:rPr>
                <w:rFonts w:eastAsiaTheme="minorHAnsi"/>
                <w:b/>
                <w:bCs/>
                <w:i/>
                <w:iCs/>
                <w:color w:val="000000"/>
                <w:sz w:val="24"/>
                <w:szCs w:val="24"/>
              </w:rPr>
              <w:t>proiectul Anexei (Metodologia de calcul al pierderilor cauzate de trecerea terenurilor cu destinație agricolă sau ale fondului forestier la o altă categorie de destinație)</w:t>
            </w:r>
            <w:r w:rsidRPr="007D0A81">
              <w:rPr>
                <w:rFonts w:eastAsiaTheme="minorHAnsi"/>
                <w:color w:val="000000"/>
                <w:sz w:val="24"/>
                <w:szCs w:val="24"/>
              </w:rPr>
              <w:t xml:space="preserve">, recomandăm a se expune redacției </w:t>
            </w:r>
            <w:r w:rsidRPr="007D0A81">
              <w:rPr>
                <w:rFonts w:eastAsiaTheme="minorHAnsi"/>
                <w:i/>
                <w:iCs/>
                <w:color w:val="000000"/>
                <w:sz w:val="24"/>
                <w:szCs w:val="24"/>
              </w:rPr>
              <w:t>ad litteram</w:t>
            </w:r>
            <w:r w:rsidRPr="007D0A81">
              <w:rPr>
                <w:rFonts w:eastAsiaTheme="minorHAnsi"/>
                <w:color w:val="000000"/>
                <w:sz w:val="24"/>
                <w:szCs w:val="24"/>
              </w:rPr>
              <w:t xml:space="preserve">, prevăzută la nivel de normă primară, și anume art. 60 alin. (4) </w:t>
            </w:r>
            <w:proofErr w:type="gramStart"/>
            <w:r w:rsidRPr="007D0A81">
              <w:rPr>
                <w:rFonts w:eastAsiaTheme="minorHAnsi"/>
                <w:color w:val="000000"/>
                <w:sz w:val="24"/>
                <w:szCs w:val="24"/>
              </w:rPr>
              <w:t>din</w:t>
            </w:r>
            <w:proofErr w:type="gramEnd"/>
            <w:r w:rsidRPr="007D0A81">
              <w:rPr>
                <w:rFonts w:eastAsiaTheme="minorHAnsi"/>
                <w:color w:val="000000"/>
                <w:sz w:val="24"/>
                <w:szCs w:val="24"/>
              </w:rPr>
              <w:t xml:space="preserve"> Codul funciar nr. 22/2024. </w:t>
            </w:r>
          </w:p>
        </w:tc>
        <w:tc>
          <w:tcPr>
            <w:tcW w:w="1323" w:type="pct"/>
          </w:tcPr>
          <w:p w:rsidR="008279A7" w:rsidRPr="007D0A81" w:rsidRDefault="008279A7" w:rsidP="00CF1E45">
            <w:pPr>
              <w:tabs>
                <w:tab w:val="left" w:pos="884"/>
                <w:tab w:val="left" w:pos="1196"/>
              </w:tabs>
              <w:ind w:firstLine="0"/>
              <w:jc w:val="center"/>
              <w:rPr>
                <w:b/>
                <w:sz w:val="24"/>
                <w:szCs w:val="24"/>
                <w:lang w:val="ro-MO"/>
              </w:rPr>
            </w:pPr>
            <w:r w:rsidRPr="007D0A81">
              <w:rPr>
                <w:b/>
                <w:sz w:val="24"/>
                <w:szCs w:val="24"/>
                <w:lang w:val="ro-MO"/>
              </w:rPr>
              <w:t>Se acceptă, s-a ajustat.</w:t>
            </w: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541839">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La pct.6 din proiectul Anexei, se va exclude cuvântul „raport”, din considerentul că în Codul funciar se operează cu terminologia „studiu pedologic” (art. 59 alin. (1) </w:t>
            </w:r>
            <w:proofErr w:type="gramStart"/>
            <w:r w:rsidRPr="007D0A81">
              <w:rPr>
                <w:rFonts w:eastAsiaTheme="minorHAnsi"/>
                <w:color w:val="000000"/>
                <w:sz w:val="24"/>
                <w:szCs w:val="24"/>
              </w:rPr>
              <w:t>lit</w:t>
            </w:r>
            <w:proofErr w:type="gramEnd"/>
            <w:r w:rsidRPr="007D0A81">
              <w:rPr>
                <w:rFonts w:eastAsiaTheme="minorHAnsi"/>
                <w:color w:val="000000"/>
                <w:sz w:val="24"/>
                <w:szCs w:val="24"/>
              </w:rPr>
              <w:t xml:space="preserve">. d)). De asemenea, tot la acest punct, se va revedea în ce măsură trecerea terenurilor cu destinație agricolă sau ale fondului forestier la o altă categorie de destinație are loc prin „act administrativ”, deoarece schimbul terenurilor și modificarea categoriei de destinație a terenurilor ține de competența Guvernului, potrivit art. 5 din Codul funciar nr. 22/2024. </w:t>
            </w:r>
          </w:p>
        </w:tc>
        <w:tc>
          <w:tcPr>
            <w:tcW w:w="1323" w:type="pct"/>
          </w:tcPr>
          <w:p w:rsidR="008279A7" w:rsidRPr="007D0A81" w:rsidRDefault="008279A7" w:rsidP="007C4465">
            <w:pPr>
              <w:tabs>
                <w:tab w:val="left" w:pos="884"/>
                <w:tab w:val="left" w:pos="1196"/>
              </w:tabs>
              <w:ind w:firstLine="0"/>
              <w:rPr>
                <w:sz w:val="24"/>
                <w:szCs w:val="24"/>
                <w:lang w:val="ro-MO"/>
              </w:rPr>
            </w:pPr>
            <w:r w:rsidRPr="007D0A81">
              <w:rPr>
                <w:b/>
                <w:sz w:val="24"/>
                <w:szCs w:val="24"/>
              </w:rPr>
              <w:t xml:space="preserve">Nu se </w:t>
            </w:r>
            <w:r w:rsidRPr="007D0A81">
              <w:rPr>
                <w:b/>
                <w:sz w:val="24"/>
                <w:szCs w:val="24"/>
                <w:lang w:val="ro-MO"/>
              </w:rPr>
              <w:t>acceptă</w:t>
            </w:r>
            <w:r w:rsidR="007D0A81">
              <w:rPr>
                <w:b/>
                <w:sz w:val="24"/>
                <w:szCs w:val="24"/>
                <w:lang w:val="ro-MO"/>
              </w:rPr>
              <w:t>,</w:t>
            </w:r>
            <w:r w:rsidRPr="007D0A81">
              <w:rPr>
                <w:b/>
                <w:sz w:val="24"/>
                <w:szCs w:val="24"/>
                <w:lang w:val="ro-MO"/>
              </w:rPr>
              <w:t xml:space="preserve"> </w:t>
            </w:r>
            <w:r w:rsidRPr="007D0A81">
              <w:rPr>
                <w:sz w:val="24"/>
                <w:szCs w:val="24"/>
                <w:lang w:val="ro-MO"/>
              </w:rPr>
              <w:t>deoarece studiul pedologic urmează a se finaliza cu un raport/concluzie.</w:t>
            </w:r>
          </w:p>
          <w:p w:rsidR="008279A7" w:rsidRPr="007D0A81" w:rsidRDefault="008279A7" w:rsidP="007C4465">
            <w:pPr>
              <w:tabs>
                <w:tab w:val="left" w:pos="884"/>
                <w:tab w:val="left" w:pos="1196"/>
              </w:tabs>
              <w:ind w:firstLine="0"/>
              <w:rPr>
                <w:sz w:val="24"/>
                <w:szCs w:val="24"/>
                <w:lang w:val="ro-MO"/>
              </w:rPr>
            </w:pPr>
            <w:r w:rsidRPr="007D0A81">
              <w:rPr>
                <w:sz w:val="24"/>
                <w:szCs w:val="24"/>
                <w:lang w:val="ro-MO"/>
              </w:rPr>
              <w:t>Totodată</w:t>
            </w:r>
            <w:r w:rsidR="007D0A81">
              <w:rPr>
                <w:sz w:val="24"/>
                <w:szCs w:val="24"/>
                <w:lang w:val="ro-MO"/>
              </w:rPr>
              <w:t>,</w:t>
            </w:r>
            <w:r w:rsidRPr="007D0A81">
              <w:rPr>
                <w:sz w:val="24"/>
                <w:szCs w:val="24"/>
                <w:lang w:val="ro-MO"/>
              </w:rPr>
              <w:t xml:space="preserve"> în cazul proprietății publice a statului hotărîrea de Guvern deasemenea are caracter de act administrativ individual, nu reglementează anumite norme,etc.</w:t>
            </w:r>
          </w:p>
          <w:p w:rsidR="008279A7" w:rsidRPr="007D0A81" w:rsidRDefault="008279A7" w:rsidP="005843B6">
            <w:pPr>
              <w:pStyle w:val="a6"/>
              <w:shd w:val="clear" w:color="auto" w:fill="FFFFFF"/>
              <w:spacing w:before="0" w:beforeAutospacing="0" w:after="0" w:afterAutospacing="0"/>
              <w:ind w:firstLine="709"/>
              <w:jc w:val="both"/>
              <w:rPr>
                <w:b/>
                <w:lang w:val="en-US"/>
              </w:rPr>
            </w:pPr>
            <w:r w:rsidRPr="007D0A81">
              <w:rPr>
                <w:rStyle w:val="a5"/>
                <w:rFonts w:ascii="PT Serif" w:hAnsi="PT Serif"/>
                <w:b w:val="0"/>
                <w:color w:val="333333"/>
                <w:lang w:val="en-US"/>
              </w:rPr>
              <w:t>Prin urmare, Art. 10 alin.</w:t>
            </w:r>
            <w:r w:rsidRPr="007D0A81">
              <w:rPr>
                <w:rStyle w:val="a5"/>
                <w:rFonts w:ascii="PT Serif" w:hAnsi="PT Serif"/>
                <w:color w:val="333333"/>
                <w:lang w:val="en-US"/>
              </w:rPr>
              <w:t xml:space="preserve"> </w:t>
            </w:r>
            <w:r w:rsidRPr="007D0A81">
              <w:rPr>
                <w:rFonts w:ascii="PT Serif" w:hAnsi="PT Serif"/>
                <w:color w:val="333333"/>
                <w:lang w:val="en-US"/>
              </w:rPr>
              <w:t xml:space="preserve">(1) </w:t>
            </w:r>
            <w:proofErr w:type="gramStart"/>
            <w:r w:rsidRPr="007D0A81">
              <w:rPr>
                <w:rFonts w:ascii="PT Serif" w:hAnsi="PT Serif"/>
                <w:color w:val="333333"/>
                <w:lang w:val="en-US"/>
              </w:rPr>
              <w:t>din</w:t>
            </w:r>
            <w:proofErr w:type="gramEnd"/>
            <w:r w:rsidRPr="007D0A81">
              <w:rPr>
                <w:rFonts w:ascii="PT Serif" w:hAnsi="PT Serif"/>
                <w:color w:val="333333"/>
                <w:lang w:val="en-US"/>
              </w:rPr>
              <w:t xml:space="preserve"> Codul administrative prevede că,  actul administrativ individual este orice dispoziție, decizie sau altă măsură oficială întreprinsă de autoritatea publică pentru reglementarea unui caz individual în domeniul dreptului public, cu scopul de a produce nemijlocit efecte juridice, prin nașterea, modificarea sau stingerea raporturilor juridice de drept public.</w:t>
            </w:r>
          </w:p>
        </w:tc>
      </w:tr>
      <w:tr w:rsidR="008279A7" w:rsidRPr="007D0A81" w:rsidTr="00CF1E45">
        <w:tc>
          <w:tcPr>
            <w:tcW w:w="1568" w:type="pct"/>
            <w:vMerge/>
          </w:tcPr>
          <w:p w:rsidR="008279A7" w:rsidRPr="007D0A81" w:rsidRDefault="008279A7" w:rsidP="00CF1E45">
            <w:pPr>
              <w:tabs>
                <w:tab w:val="left" w:pos="884"/>
                <w:tab w:val="left" w:pos="1196"/>
              </w:tabs>
              <w:ind w:firstLine="0"/>
              <w:jc w:val="center"/>
              <w:rPr>
                <w:b/>
                <w:sz w:val="24"/>
                <w:szCs w:val="24"/>
                <w:lang w:val="ro-MO"/>
              </w:rPr>
            </w:pPr>
          </w:p>
        </w:tc>
        <w:tc>
          <w:tcPr>
            <w:tcW w:w="2109" w:type="pct"/>
          </w:tcPr>
          <w:p w:rsidR="008279A7" w:rsidRPr="007D0A81" w:rsidRDefault="008279A7" w:rsidP="00541839">
            <w:pPr>
              <w:autoSpaceDE w:val="0"/>
              <w:autoSpaceDN w:val="0"/>
              <w:adjustRightInd w:val="0"/>
              <w:ind w:firstLine="0"/>
              <w:rPr>
                <w:rFonts w:eastAsiaTheme="minorHAnsi"/>
                <w:color w:val="000000"/>
                <w:sz w:val="24"/>
                <w:szCs w:val="24"/>
              </w:rPr>
            </w:pPr>
            <w:r w:rsidRPr="007D0A81">
              <w:rPr>
                <w:rFonts w:eastAsiaTheme="minorHAnsi"/>
                <w:color w:val="000000"/>
                <w:sz w:val="24"/>
                <w:szCs w:val="24"/>
              </w:rPr>
              <w:t xml:space="preserve"> În final, în contextul în care Metodologia de calcul al pierderilor cauzate de trecerea terenurilor cu destinație agricolă sau ale fondului forestier la o altă categorie de destinație (proiect), este însoțită de o singură anexă, atunci propunem ca textul „Anexa nr. 1” de pe parcursul proiectului Metodologiei și din parafa de aprobare, să se substituie cu „Anexa la Metodologie”.</w:t>
            </w:r>
          </w:p>
        </w:tc>
        <w:tc>
          <w:tcPr>
            <w:tcW w:w="1323" w:type="pct"/>
          </w:tcPr>
          <w:p w:rsidR="008279A7" w:rsidRPr="007D0A81" w:rsidRDefault="008279A7" w:rsidP="00CF1E45">
            <w:pPr>
              <w:tabs>
                <w:tab w:val="left" w:pos="884"/>
                <w:tab w:val="left" w:pos="1196"/>
              </w:tabs>
              <w:ind w:firstLine="0"/>
              <w:jc w:val="center"/>
              <w:rPr>
                <w:b/>
                <w:sz w:val="24"/>
                <w:szCs w:val="24"/>
                <w:lang w:val="ro-MO"/>
              </w:rPr>
            </w:pPr>
            <w:r w:rsidRPr="007D0A81">
              <w:rPr>
                <w:b/>
                <w:sz w:val="24"/>
                <w:szCs w:val="24"/>
                <w:lang w:val="ro-MO"/>
              </w:rPr>
              <w:t>Se acceptă, s-a ajustat.</w:t>
            </w:r>
          </w:p>
        </w:tc>
      </w:tr>
      <w:tr w:rsidR="008279A7" w:rsidRPr="007D0A81" w:rsidTr="00CF1E45">
        <w:tc>
          <w:tcPr>
            <w:tcW w:w="1568" w:type="pct"/>
            <w:vMerge w:val="restar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Ministerul </w:t>
            </w:r>
            <w:r w:rsidRPr="007D0A81">
              <w:rPr>
                <w:b/>
                <w:sz w:val="24"/>
                <w:szCs w:val="24"/>
                <w:shd w:val="clear" w:color="auto" w:fill="FFFFFF"/>
                <w:lang w:val="ro-MO"/>
              </w:rPr>
              <w:t>Dezvoltării Economice și Digitalizării</w:t>
            </w:r>
          </w:p>
          <w:p w:rsidR="008279A7" w:rsidRPr="007D0A81" w:rsidRDefault="008279A7" w:rsidP="003D7262">
            <w:pPr>
              <w:pStyle w:val="Default"/>
              <w:rPr>
                <w:color w:val="auto"/>
                <w:lang w:val="en-US"/>
              </w:rPr>
            </w:pPr>
            <w:r w:rsidRPr="007D0A81">
              <w:rPr>
                <w:i/>
                <w:color w:val="auto"/>
                <w:lang w:val="ro-MO"/>
              </w:rPr>
              <w:t>Aviz nr.</w:t>
            </w:r>
            <w:r w:rsidRPr="007D0A81">
              <w:rPr>
                <w:color w:val="auto"/>
                <w:lang w:val="en-US"/>
              </w:rPr>
              <w:t xml:space="preserve"> </w:t>
            </w:r>
            <w:r w:rsidRPr="007D0A81">
              <w:rPr>
                <w:lang w:val="en-US"/>
              </w:rPr>
              <w:t>17-3734 din 12.12.2024</w:t>
            </w: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216281">
            <w:pPr>
              <w:tabs>
                <w:tab w:val="left" w:pos="884"/>
                <w:tab w:val="left" w:pos="1196"/>
              </w:tabs>
              <w:ind w:firstLine="0"/>
              <w:rPr>
                <w:sz w:val="24"/>
                <w:szCs w:val="24"/>
              </w:rPr>
            </w:pPr>
            <w:r w:rsidRPr="007D0A81">
              <w:rPr>
                <w:sz w:val="24"/>
                <w:szCs w:val="24"/>
              </w:rPr>
              <w:t xml:space="preserve">La pct. 1, cuvântul „legislativ” urmează a fi substituit cu cuvântul „normativ”, în conformitate cu art. 6 lit. b) </w:t>
            </w:r>
            <w:proofErr w:type="gramStart"/>
            <w:r w:rsidRPr="007D0A81">
              <w:rPr>
                <w:sz w:val="24"/>
                <w:szCs w:val="24"/>
              </w:rPr>
              <w:t>din</w:t>
            </w:r>
            <w:proofErr w:type="gramEnd"/>
            <w:r w:rsidRPr="007D0A81">
              <w:rPr>
                <w:sz w:val="24"/>
                <w:szCs w:val="24"/>
              </w:rPr>
              <w:t xml:space="preserve"> Legea nr. 100/2017 cu privire la actele normative. Totodată, textul „și se aplică în cazurile trecerii terenurilor din categoriile de terenuri cu destinație agricolă și ale fondului silvic la alte categorii de terenuri” este superfluu, respectiv urmează a fi exclus. </w:t>
            </w:r>
          </w:p>
          <w:p w:rsidR="008279A7" w:rsidRPr="007D0A81" w:rsidRDefault="008279A7" w:rsidP="00CF1E45">
            <w:pPr>
              <w:tabs>
                <w:tab w:val="left" w:pos="884"/>
                <w:tab w:val="left" w:pos="1196"/>
              </w:tabs>
              <w:ind w:firstLine="0"/>
              <w:rPr>
                <w:sz w:val="24"/>
                <w:szCs w:val="24"/>
                <w:lang w:val="ro-MO"/>
              </w:rPr>
            </w:pP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7D0A81" w:rsidP="00216281">
            <w:pPr>
              <w:tabs>
                <w:tab w:val="left" w:pos="884"/>
                <w:tab w:val="left" w:pos="1196"/>
              </w:tabs>
              <w:ind w:firstLine="0"/>
              <w:rPr>
                <w:b/>
                <w:sz w:val="24"/>
                <w:szCs w:val="24"/>
                <w:lang w:val="ro-MO"/>
              </w:rPr>
            </w:pPr>
            <w:r>
              <w:rPr>
                <w:b/>
                <w:sz w:val="24"/>
                <w:szCs w:val="24"/>
                <w:lang w:val="ro-MO"/>
              </w:rPr>
              <w:t xml:space="preserve">         </w:t>
            </w:r>
            <w:r w:rsidR="008279A7" w:rsidRPr="007D0A81">
              <w:rPr>
                <w:b/>
                <w:sz w:val="24"/>
                <w:szCs w:val="24"/>
                <w:lang w:val="ro-MO"/>
              </w:rPr>
              <w:t>Se aceptă, s-a ajustat.</w:t>
            </w: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sz w:val="24"/>
                <w:szCs w:val="24"/>
              </w:rPr>
              <w:t xml:space="preserve">La pct. 3, cuvintele „de uz public, sau celor destinate creării parcurilor industriale conform Legii cu privire la parcurile industriale și extinderii sau creării zonelor economice libere, sau celor ce urmează a fi atribuite la categoriile fondului forestier” urmează a fi substituite cu textul „stabilite la art. 60 alin. (4) </w:t>
            </w:r>
            <w:proofErr w:type="gramStart"/>
            <w:r w:rsidRPr="007D0A81">
              <w:rPr>
                <w:sz w:val="24"/>
                <w:szCs w:val="24"/>
              </w:rPr>
              <w:t>din</w:t>
            </w:r>
            <w:proofErr w:type="gramEnd"/>
            <w:r w:rsidRPr="007D0A81">
              <w:rPr>
                <w:sz w:val="24"/>
                <w:szCs w:val="24"/>
              </w:rPr>
              <w:t xml:space="preserve"> Codul funciar nr. 22/2024”.</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b/>
                <w:sz w:val="24"/>
                <w:szCs w:val="24"/>
                <w:lang w:val="ro-MO"/>
              </w:rPr>
              <w:t>Se acceptă,</w:t>
            </w:r>
            <w:r w:rsidRPr="007D0A81">
              <w:rPr>
                <w:sz w:val="24"/>
                <w:szCs w:val="24"/>
                <w:lang w:val="ro-MO"/>
              </w:rPr>
              <w:t xml:space="preserve"> dar pentru o notă de precizie s-a transpus prevederile </w:t>
            </w:r>
            <w:r w:rsidRPr="007D0A81">
              <w:rPr>
                <w:sz w:val="24"/>
                <w:szCs w:val="24"/>
              </w:rPr>
              <w:t xml:space="preserve">art. 60 alin. (4) </w:t>
            </w:r>
            <w:proofErr w:type="gramStart"/>
            <w:r w:rsidRPr="007D0A81">
              <w:rPr>
                <w:sz w:val="24"/>
                <w:szCs w:val="24"/>
              </w:rPr>
              <w:t>din</w:t>
            </w:r>
            <w:proofErr w:type="gramEnd"/>
            <w:r w:rsidRPr="007D0A81">
              <w:rPr>
                <w:sz w:val="24"/>
                <w:szCs w:val="24"/>
              </w:rPr>
              <w:t xml:space="preserve"> Codul funciar nr. 22/2024</w:t>
            </w: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sz w:val="24"/>
                <w:szCs w:val="24"/>
              </w:rPr>
              <w:t>La pct. 6, menționăm că schimbarea destinației terenurilor proprietate de stat se realizează în temeiul hotărârii Guvernului, în acest sens, textul „de la data emiterii actului administrativ” se va revizui corespunzător.</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071748">
            <w:pPr>
              <w:tabs>
                <w:tab w:val="left" w:pos="884"/>
                <w:tab w:val="left" w:pos="1196"/>
              </w:tabs>
              <w:ind w:firstLine="0"/>
              <w:rPr>
                <w:sz w:val="24"/>
                <w:szCs w:val="24"/>
                <w:lang w:val="ro-MO"/>
              </w:rPr>
            </w:pPr>
            <w:r w:rsidRPr="007D0A81">
              <w:rPr>
                <w:sz w:val="24"/>
                <w:szCs w:val="24"/>
                <w:lang w:val="ro-MO"/>
              </w:rPr>
              <w:t>În cazul proprietății publice a statului</w:t>
            </w:r>
            <w:r w:rsidR="00767E3F" w:rsidRPr="007D0A81">
              <w:rPr>
                <w:sz w:val="24"/>
                <w:szCs w:val="24"/>
                <w:lang w:val="ro-MO"/>
              </w:rPr>
              <w:t>,</w:t>
            </w:r>
            <w:r w:rsidRPr="007D0A81">
              <w:rPr>
                <w:sz w:val="24"/>
                <w:szCs w:val="24"/>
                <w:lang w:val="ro-MO"/>
              </w:rPr>
              <w:t xml:space="preserve"> hotărîrea de Guvern deasemenea are caracter de act administrativ individual, nu reglementează anumite norme,etc.</w:t>
            </w:r>
          </w:p>
          <w:p w:rsidR="008279A7" w:rsidRPr="007D0A81" w:rsidRDefault="008279A7" w:rsidP="00071748">
            <w:pPr>
              <w:tabs>
                <w:tab w:val="left" w:pos="884"/>
                <w:tab w:val="left" w:pos="1196"/>
              </w:tabs>
              <w:ind w:firstLine="0"/>
              <w:rPr>
                <w:sz w:val="24"/>
                <w:szCs w:val="24"/>
                <w:lang w:val="ro-MO"/>
              </w:rPr>
            </w:pPr>
            <w:r w:rsidRPr="007D0A81">
              <w:rPr>
                <w:rStyle w:val="a5"/>
                <w:b w:val="0"/>
                <w:color w:val="333333"/>
                <w:sz w:val="24"/>
                <w:szCs w:val="24"/>
              </w:rPr>
              <w:t>Prin urmare, Art. 10 alin.</w:t>
            </w:r>
            <w:r w:rsidRPr="007D0A81">
              <w:rPr>
                <w:rStyle w:val="a5"/>
                <w:color w:val="333333"/>
                <w:sz w:val="24"/>
                <w:szCs w:val="24"/>
              </w:rPr>
              <w:t xml:space="preserve"> </w:t>
            </w:r>
            <w:r w:rsidRPr="007D0A81">
              <w:rPr>
                <w:color w:val="333333"/>
                <w:sz w:val="24"/>
                <w:szCs w:val="24"/>
              </w:rPr>
              <w:t xml:space="preserve">(1) </w:t>
            </w:r>
            <w:proofErr w:type="gramStart"/>
            <w:r w:rsidRPr="007D0A81">
              <w:rPr>
                <w:color w:val="333333"/>
                <w:sz w:val="24"/>
                <w:szCs w:val="24"/>
              </w:rPr>
              <w:t>din</w:t>
            </w:r>
            <w:proofErr w:type="gramEnd"/>
            <w:r w:rsidRPr="007D0A81">
              <w:rPr>
                <w:color w:val="333333"/>
                <w:sz w:val="24"/>
                <w:szCs w:val="24"/>
              </w:rPr>
              <w:t xml:space="preserve"> Codul administrative prevede că,  actul administrativ individual este orice dispoziție, decizie sau altă măsură oficială întreprinsă de autoritatea publică pentru reglementarea unui caz individual în domeniul dreptului public, cu scopul de a produce nemijlocit efecte juridice, prin nașterea, modificarea sau stingerea raporturilor juridice de drept public.</w:t>
            </w: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216281">
            <w:pPr>
              <w:tabs>
                <w:tab w:val="left" w:pos="884"/>
                <w:tab w:val="left" w:pos="1196"/>
              </w:tabs>
              <w:ind w:firstLine="0"/>
              <w:rPr>
                <w:sz w:val="24"/>
                <w:szCs w:val="24"/>
                <w:lang w:val="ro-MO"/>
              </w:rPr>
            </w:pPr>
            <w:r w:rsidRPr="007D0A81">
              <w:rPr>
                <w:sz w:val="24"/>
                <w:szCs w:val="24"/>
              </w:rPr>
              <w:t xml:space="preserve">La pct. 7 și 8, după cuvântul „tarifului” se propune completarea cu cuvintele „aprobat pentru o unitate de grad-hectar”. </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Se acceptă, s-a ajustat.</w:t>
            </w: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sz w:val="24"/>
                <w:szCs w:val="24"/>
              </w:rPr>
              <w:t>Pct. 8-10 urmează a fi excluse din capitolul II și incluse la Anexa nr. 1, fără dublarea prevederilor acesteia.</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Nu se acceptă, </w:t>
            </w: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rPr>
            </w:pPr>
            <w:r w:rsidRPr="007D0A81">
              <w:rPr>
                <w:sz w:val="24"/>
                <w:szCs w:val="24"/>
              </w:rPr>
              <w:t>În linii generale, menționăm că nu este clar cum vor fi aplicate normele veniturilor nete în agricultură calculate pentru perioada anilor 2016-2022 la calcularea pierderilor începând cu anul 2025. Totodată, în condițiile în care Codul funciar nr. 22/2024 intră în vigoare la 7 martie 2025, considerăm imperios necesară completarea proiectului cu o prevedere privind intrarea în vigoare legii.</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5D1D82">
            <w:pPr>
              <w:tabs>
                <w:tab w:val="left" w:pos="884"/>
                <w:tab w:val="left" w:pos="1196"/>
              </w:tabs>
              <w:ind w:firstLine="0"/>
              <w:rPr>
                <w:sz w:val="24"/>
                <w:szCs w:val="24"/>
                <w:lang w:val="ro-MO"/>
              </w:rPr>
            </w:pPr>
            <w:r w:rsidRPr="007D0A81">
              <w:rPr>
                <w:color w:val="333333"/>
                <w:sz w:val="24"/>
                <w:szCs w:val="24"/>
                <w:shd w:val="clear" w:color="auto" w:fill="FFFFFF"/>
              </w:rPr>
              <w:t xml:space="preserve">    Pe viitor, tariful pentru unitate de gran –ha vor fi i</w:t>
            </w:r>
            <w:r w:rsidRPr="007D0A81">
              <w:rPr>
                <w:sz w:val="24"/>
                <w:szCs w:val="24"/>
                <w:shd w:val="clear" w:color="auto" w:fill="FFFFFF"/>
                <w:lang w:val="ro-MO"/>
              </w:rPr>
              <w:t>ndexate o dată la 4 ani, în funcţie de rata inflaţiei, de către Parlament la propunerea Guvernului, concomitent cu aprobarea bugetului public naţional (pct. 8 din metodologie).</w:t>
            </w:r>
          </w:p>
          <w:p w:rsidR="008279A7" w:rsidRPr="007D0A81" w:rsidRDefault="008279A7" w:rsidP="00CF1E45">
            <w:pPr>
              <w:tabs>
                <w:tab w:val="left" w:pos="884"/>
                <w:tab w:val="left" w:pos="1196"/>
              </w:tabs>
              <w:ind w:firstLine="0"/>
              <w:rPr>
                <w:sz w:val="24"/>
                <w:szCs w:val="24"/>
                <w:lang w:val="ro-MO"/>
              </w:rPr>
            </w:pPr>
            <w:r w:rsidRPr="007D0A81">
              <w:rPr>
                <w:color w:val="333333"/>
                <w:sz w:val="24"/>
                <w:szCs w:val="24"/>
                <w:shd w:val="clear" w:color="auto" w:fill="FFFFFF"/>
                <w:lang w:val="ro-MO"/>
              </w:rPr>
              <w:t xml:space="preserve">    </w:t>
            </w:r>
            <w:r w:rsidRPr="007D0A81">
              <w:rPr>
                <w:color w:val="333333"/>
                <w:sz w:val="24"/>
                <w:szCs w:val="24"/>
                <w:shd w:val="clear" w:color="auto" w:fill="FFFFFF"/>
              </w:rPr>
              <w:t xml:space="preserve">Totodată. conform prevederilor art. </w:t>
            </w:r>
            <w:r w:rsidRPr="007D0A81">
              <w:rPr>
                <w:color w:val="333333"/>
                <w:sz w:val="24"/>
                <w:szCs w:val="24"/>
                <w:shd w:val="clear" w:color="auto" w:fill="FFFFFF"/>
              </w:rPr>
              <w:lastRenderedPageBreak/>
              <w:t xml:space="preserve">79, ali. (3) </w:t>
            </w:r>
            <w:proofErr w:type="gramStart"/>
            <w:r w:rsidRPr="007D0A81">
              <w:rPr>
                <w:color w:val="333333"/>
                <w:sz w:val="24"/>
                <w:szCs w:val="24"/>
                <w:shd w:val="clear" w:color="auto" w:fill="FFFFFF"/>
              </w:rPr>
              <w:t>litera</w:t>
            </w:r>
            <w:proofErr w:type="gramEnd"/>
            <w:r w:rsidRPr="007D0A81">
              <w:rPr>
                <w:color w:val="333333"/>
                <w:sz w:val="24"/>
                <w:szCs w:val="24"/>
                <w:shd w:val="clear" w:color="auto" w:fill="FFFFFF"/>
              </w:rPr>
              <w:t xml:space="preserve"> c) Legea nr. 1308/1997 privind prețul normativ și modul de vânzare-cumpărare a pământului (republicată în Monitorul Oficial al Republicii Moldova, 2001, nr. 147–149, art.1161), cu modificările ulterioare, cu excepția art. 7 și a anexei, care se vor aplica până la adoptarea și intrarea în vigoare a Metodologiei de calcul pentru pierderile cauzate de trecerea terenurilor cu destinație agricolă sau destinate fondului forestier la o altă categorie de destinație</w:t>
            </w: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CF1E45">
        <w:tc>
          <w:tcPr>
            <w:tcW w:w="1568" w:type="pct"/>
            <w:vMerge w:val="restar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Agenția Proprietății Publice</w:t>
            </w:r>
          </w:p>
          <w:p w:rsidR="008279A7" w:rsidRPr="007D0A81" w:rsidRDefault="008279A7" w:rsidP="003D7262">
            <w:pPr>
              <w:pStyle w:val="Default"/>
              <w:rPr>
                <w:rFonts w:ascii="Tahoma" w:hAnsi="Tahoma" w:cs="Tahoma"/>
                <w:color w:val="auto"/>
                <w:lang w:val="en-US"/>
              </w:rPr>
            </w:pPr>
            <w:r w:rsidRPr="007D0A81">
              <w:rPr>
                <w:i/>
                <w:color w:val="auto"/>
                <w:lang w:val="ro-MO"/>
              </w:rPr>
              <w:t xml:space="preserve">Aviz nr. </w:t>
            </w:r>
            <w:r w:rsidRPr="007D0A81">
              <w:rPr>
                <w:lang w:val="en-US"/>
              </w:rPr>
              <w:t>03-04-7548 din 06.12.2024</w:t>
            </w: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2A50C1">
            <w:pPr>
              <w:autoSpaceDE w:val="0"/>
              <w:autoSpaceDN w:val="0"/>
              <w:adjustRightInd w:val="0"/>
              <w:ind w:firstLine="0"/>
              <w:rPr>
                <w:sz w:val="24"/>
                <w:szCs w:val="24"/>
              </w:rPr>
            </w:pPr>
            <w:r w:rsidRPr="007D0A81">
              <w:rPr>
                <w:rFonts w:eastAsiaTheme="minorHAnsi"/>
                <w:sz w:val="24"/>
                <w:szCs w:val="24"/>
              </w:rPr>
              <w:t xml:space="preserve"> </w:t>
            </w:r>
            <w:r w:rsidRPr="007D0A81">
              <w:rPr>
                <w:sz w:val="24"/>
                <w:szCs w:val="24"/>
                <w:lang w:val="ro-MO"/>
              </w:rPr>
              <w:t>Lipsa obiecțiilor</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ind w:firstLine="0"/>
              <w:rPr>
                <w:sz w:val="24"/>
                <w:szCs w:val="24"/>
                <w:lang w:val="ro-MO"/>
              </w:rPr>
            </w:pPr>
          </w:p>
        </w:tc>
      </w:tr>
      <w:tr w:rsidR="008279A7" w:rsidRPr="007D0A81" w:rsidTr="00CF1E45">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3D7262">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2A50C1">
            <w:pPr>
              <w:autoSpaceDE w:val="0"/>
              <w:autoSpaceDN w:val="0"/>
              <w:adjustRightInd w:val="0"/>
              <w:ind w:firstLine="0"/>
              <w:rPr>
                <w:sz w:val="24"/>
                <w:szCs w:val="24"/>
              </w:rPr>
            </w:pPr>
            <w:r w:rsidRPr="007D0A81">
              <w:rPr>
                <w:sz w:val="24"/>
                <w:szCs w:val="24"/>
              </w:rPr>
              <w:t xml:space="preserve"> Ținând cont că tariful pentru o unitate grad-hectar propus conform proiectului în mărime de 9250</w:t>
            </w:r>
            <w:proofErr w:type="gramStart"/>
            <w:r w:rsidRPr="007D0A81">
              <w:rPr>
                <w:sz w:val="24"/>
                <w:szCs w:val="24"/>
              </w:rPr>
              <w:t>,94</w:t>
            </w:r>
            <w:proofErr w:type="gramEnd"/>
            <w:r w:rsidRPr="007D0A81">
              <w:rPr>
                <w:sz w:val="24"/>
                <w:szCs w:val="24"/>
              </w:rPr>
              <w:t xml:space="preserve"> lei este mult mai mic decât cel de 36169,48 lei stabilit prin Legea nr. 1308/1997, Agenția susține necesitatea elaborării unui studiu amplu în acest sens, or tariful din proiectul Hotărârii de Guvern va duce la diminuarea semnificativă a posibilelor încasări în bugetul de stat, și totodată, există riscul ce ține de micșorarea considerabilă a suprafeței terenurilor agricole cu indice mare a fertilității naturale a solurilor. </w:t>
            </w:r>
          </w:p>
          <w:p w:rsidR="008279A7" w:rsidRPr="007D0A81" w:rsidRDefault="008279A7" w:rsidP="002A50C1">
            <w:pPr>
              <w:tabs>
                <w:tab w:val="left" w:pos="884"/>
                <w:tab w:val="left" w:pos="1196"/>
              </w:tabs>
              <w:ind w:firstLine="0"/>
              <w:rPr>
                <w:sz w:val="24"/>
                <w:szCs w:val="24"/>
                <w:lang w:val="ro-MO"/>
              </w:rPr>
            </w:pPr>
            <w:r w:rsidRPr="007D0A81">
              <w:rPr>
                <w:sz w:val="24"/>
                <w:szCs w:val="24"/>
              </w:rPr>
              <w:t xml:space="preserve">      Subsecvent, conform Tabelul Normativele veniturilor nete în agricultură (gospodării țărănești), proiectul propune stabilirea unui normativ mediu pe Republică pentru 7 ani consecutivi. În acest aspect, ținând cont de discrepanța considerabilă a mărimei normativului în funcție de zona geografică, și anume: NORD – 6333</w:t>
            </w:r>
            <w:proofErr w:type="gramStart"/>
            <w:r w:rsidRPr="007D0A81">
              <w:rPr>
                <w:sz w:val="24"/>
                <w:szCs w:val="24"/>
              </w:rPr>
              <w:t>,54</w:t>
            </w:r>
            <w:proofErr w:type="gramEnd"/>
            <w:r w:rsidRPr="007D0A81">
              <w:rPr>
                <w:sz w:val="24"/>
                <w:szCs w:val="24"/>
              </w:rPr>
              <w:t xml:space="preserve"> lei/ha, CENRTU – 6877,48 lei/ha și SUD – 4730,18 lei/ha, propunem examinarea posibilității stabilirii normativului în dependență de zona </w:t>
            </w:r>
            <w:r w:rsidRPr="007D0A81">
              <w:rPr>
                <w:sz w:val="24"/>
                <w:szCs w:val="24"/>
              </w:rPr>
              <w:lastRenderedPageBreak/>
              <w:t>geografică, și respectiv mărimea tarifului pentru o unitate de grad-hectar se va modifica pentru regiuni.</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2A50C1">
            <w:pPr>
              <w:ind w:firstLine="708"/>
              <w:rPr>
                <w:sz w:val="24"/>
                <w:szCs w:val="24"/>
                <w:lang w:val="ro-MO"/>
              </w:rPr>
            </w:pPr>
            <w:bookmarkStart w:id="1" w:name="_GoBack"/>
            <w:r w:rsidRPr="007D0A81">
              <w:rPr>
                <w:b/>
                <w:sz w:val="24"/>
                <w:szCs w:val="24"/>
                <w:lang w:val="ro-MO"/>
              </w:rPr>
              <w:lastRenderedPageBreak/>
              <w:t>Se acceptă parțial</w:t>
            </w:r>
            <w:bookmarkEnd w:id="1"/>
            <w:r w:rsidRPr="007D0A81">
              <w:rPr>
                <w:sz w:val="24"/>
                <w:szCs w:val="24"/>
                <w:lang w:val="ro-MO"/>
              </w:rPr>
              <w:t xml:space="preserve">, deoarece, conform calculelor efectuate conform proiectului Metodologiei, tariful </w:t>
            </w:r>
            <w:r w:rsidRPr="007D0A81">
              <w:rPr>
                <w:sz w:val="24"/>
                <w:szCs w:val="24"/>
                <w:shd w:val="clear" w:color="auto" w:fill="FFFFFF"/>
                <w:lang w:val="ro-MO"/>
              </w:rPr>
              <w:t xml:space="preserve">pentru o unitate de </w:t>
            </w:r>
            <w:r w:rsidRPr="007D0A81">
              <w:rPr>
                <w:rStyle w:val="a5"/>
                <w:sz w:val="24"/>
                <w:szCs w:val="24"/>
                <w:lang w:val="ro-MO"/>
              </w:rPr>
              <w:t xml:space="preserve">punct – hectar </w:t>
            </w:r>
            <w:r w:rsidRPr="007D0A81">
              <w:rPr>
                <w:sz w:val="24"/>
                <w:szCs w:val="24"/>
                <w:lang w:val="ro-MO"/>
              </w:rPr>
              <w:t xml:space="preserve">constituie </w:t>
            </w:r>
            <w:r w:rsidRPr="007D0A81">
              <w:rPr>
                <w:sz w:val="24"/>
                <w:szCs w:val="24"/>
                <w:lang w:val="ro-MO" w:eastAsia="ru-RU"/>
              </w:rPr>
              <w:t>9250,94 lei pentru o unitate de grad – hectar.</w:t>
            </w:r>
            <w:r w:rsidRPr="007D0A81">
              <w:rPr>
                <w:sz w:val="24"/>
                <w:szCs w:val="24"/>
                <w:lang w:val="ro-MO"/>
              </w:rPr>
              <w:t xml:space="preserve"> </w:t>
            </w:r>
          </w:p>
          <w:p w:rsidR="008279A7" w:rsidRPr="007D0A81" w:rsidRDefault="008279A7" w:rsidP="005E53C1">
            <w:pPr>
              <w:pStyle w:val="a6"/>
              <w:shd w:val="clear" w:color="auto" w:fill="FFFFFF"/>
              <w:spacing w:before="0" w:beforeAutospacing="0" w:after="0" w:afterAutospacing="0"/>
              <w:ind w:firstLine="709"/>
              <w:jc w:val="both"/>
              <w:rPr>
                <w:lang w:val="ro-MO"/>
              </w:rPr>
            </w:pPr>
            <w:r w:rsidRPr="007D0A81">
              <w:rPr>
                <w:lang w:val="ro-MO"/>
              </w:rPr>
              <w:t>Dar, ținînd cont de puterea de cumpărarea a populație în diferite localități cît și de faptul că climatul investițional este diferit, s-a propus coeficienți de  rectificare a tarifului p</w:t>
            </w:r>
            <w:r w:rsidRPr="007D0A81">
              <w:rPr>
                <w:rStyle w:val="a5"/>
                <w:b w:val="0"/>
                <w:lang w:val="ro-MO"/>
              </w:rPr>
              <w:t>entru o unitate punct-hectar</w:t>
            </w:r>
            <w:r w:rsidRPr="007D0A81">
              <w:rPr>
                <w:b/>
                <w:lang w:val="ro-MO"/>
              </w:rPr>
              <w:t>,</w:t>
            </w:r>
            <w:r w:rsidRPr="007D0A81">
              <w:rPr>
                <w:lang w:val="ro-MO"/>
              </w:rPr>
              <w:t xml:space="preserve"> la calculul pierderilor cauzate trecerea terenurilor cu destinație agricolă sau ale fondului forestier la o altă categorie de destinație, astfel:</w:t>
            </w:r>
          </w:p>
          <w:p w:rsidR="008279A7" w:rsidRPr="007D0A81" w:rsidRDefault="008279A7" w:rsidP="005E53C1">
            <w:pPr>
              <w:pStyle w:val="a6"/>
              <w:shd w:val="clear" w:color="auto" w:fill="FFFFFF"/>
              <w:spacing w:before="0" w:beforeAutospacing="0" w:after="0" w:afterAutospacing="0"/>
              <w:ind w:firstLine="709"/>
              <w:jc w:val="both"/>
              <w:rPr>
                <w:lang w:val="ro-MO"/>
              </w:rPr>
            </w:pPr>
            <w:r w:rsidRPr="007D0A81">
              <w:rPr>
                <w:lang w:val="ro-MO"/>
              </w:rPr>
              <w:t xml:space="preserve">4,0 - pentru municipiul </w:t>
            </w:r>
            <w:r w:rsidRPr="007D0A81">
              <w:rPr>
                <w:lang w:val="ro-MO"/>
              </w:rPr>
              <w:lastRenderedPageBreak/>
              <w:t>Chişinău, Bălți (inclusiv oraşele și satele (comunele) care intră în componenţa acestora);</w:t>
            </w:r>
          </w:p>
          <w:p w:rsidR="008279A7" w:rsidRPr="007D0A81" w:rsidRDefault="008279A7" w:rsidP="005E53C1">
            <w:pPr>
              <w:pStyle w:val="a6"/>
              <w:shd w:val="clear" w:color="auto" w:fill="FFFFFF"/>
              <w:spacing w:before="0" w:beforeAutospacing="0" w:after="0" w:afterAutospacing="0"/>
              <w:ind w:firstLine="709"/>
              <w:jc w:val="both"/>
              <w:rPr>
                <w:lang w:val="ro-MO"/>
              </w:rPr>
            </w:pPr>
            <w:r w:rsidRPr="007D0A81">
              <w:rPr>
                <w:lang w:val="ro-MO"/>
              </w:rPr>
              <w:t>3,0 - pentru celelalte oraşe/municipii;</w:t>
            </w:r>
          </w:p>
          <w:p w:rsidR="008279A7" w:rsidRPr="007D0A81" w:rsidRDefault="008279A7" w:rsidP="005E53C1">
            <w:pPr>
              <w:spacing w:line="240" w:lineRule="atLeast"/>
              <w:rPr>
                <w:sz w:val="24"/>
                <w:szCs w:val="24"/>
                <w:lang w:val="ro-MO"/>
              </w:rPr>
            </w:pPr>
            <w:r w:rsidRPr="007D0A81">
              <w:rPr>
                <w:sz w:val="24"/>
                <w:szCs w:val="24"/>
                <w:lang w:val="ro-MO"/>
              </w:rPr>
              <w:t>2,0 - pentru celelalte sate (comune);</w:t>
            </w:r>
          </w:p>
          <w:p w:rsidR="008279A7" w:rsidRPr="007D0A81" w:rsidRDefault="008279A7" w:rsidP="002A50C1">
            <w:pPr>
              <w:spacing w:line="240" w:lineRule="atLeast"/>
              <w:rPr>
                <w:sz w:val="24"/>
                <w:szCs w:val="24"/>
                <w:shd w:val="clear" w:color="auto" w:fill="FFFFFF"/>
                <w:lang w:val="ro-MO" w:eastAsia="ru-RU"/>
              </w:rPr>
            </w:pPr>
            <w:r w:rsidRPr="007D0A81">
              <w:rPr>
                <w:sz w:val="24"/>
                <w:szCs w:val="24"/>
                <w:lang w:val="ro-MO"/>
              </w:rPr>
              <w:t xml:space="preserve">1,0 – pentru terenurile ce se atribuie la categoria </w:t>
            </w:r>
            <w:r w:rsidRPr="007D0A81">
              <w:rPr>
                <w:sz w:val="24"/>
                <w:szCs w:val="24"/>
                <w:shd w:val="clear" w:color="auto" w:fill="FFFFFF"/>
                <w:lang w:val="ro-MO"/>
              </w:rPr>
              <w:t xml:space="preserve">terenurilor destinate construcțiilor și amenajărilor, în scopul construcțiilor </w:t>
            </w:r>
            <w:r w:rsidRPr="007D0A81">
              <w:rPr>
                <w:color w:val="000000"/>
                <w:sz w:val="24"/>
                <w:szCs w:val="24"/>
                <w:shd w:val="clear" w:color="auto" w:fill="FFFFFF"/>
                <w:lang w:val="ro-MO"/>
              </w:rPr>
              <w:t xml:space="preserve">caselor de locuit </w:t>
            </w:r>
            <w:r w:rsidRPr="007D0A81">
              <w:rPr>
                <w:sz w:val="24"/>
                <w:szCs w:val="24"/>
                <w:shd w:val="clear" w:color="auto" w:fill="FFFFFF"/>
                <w:lang w:val="ro-MO"/>
              </w:rPr>
              <w:t>în localitățile rurale (cu excepția blocurilor locative), cu respectarea documentației de urbanism</w:t>
            </w:r>
            <w:r w:rsidRPr="007D0A81">
              <w:rPr>
                <w:sz w:val="24"/>
                <w:szCs w:val="24"/>
                <w:lang w:val="ro-MO"/>
              </w:rPr>
              <w:t>.</w:t>
            </w:r>
          </w:p>
          <w:p w:rsidR="008279A7" w:rsidRPr="007D0A81" w:rsidRDefault="008279A7" w:rsidP="002C67A6">
            <w:pPr>
              <w:pStyle w:val="a6"/>
              <w:shd w:val="clear" w:color="auto" w:fill="FFFFFF"/>
              <w:spacing w:after="0" w:afterAutospacing="0"/>
              <w:jc w:val="both"/>
              <w:rPr>
                <w:rStyle w:val="a5"/>
                <w:lang w:val="ro-MO"/>
              </w:rPr>
            </w:pPr>
            <w:r w:rsidRPr="007D0A81">
              <w:rPr>
                <w:sz w:val="28"/>
                <w:szCs w:val="28"/>
                <w:lang w:val="ro-MO"/>
              </w:rPr>
              <w:t xml:space="preserve">   </w:t>
            </w:r>
            <w:r w:rsidRPr="007D0A81">
              <w:rPr>
                <w:b/>
                <w:lang w:val="ro-MO"/>
              </w:rPr>
              <w:t xml:space="preserve">Astfel în final vom avea Tarif diferențiat pentru </w:t>
            </w:r>
            <w:r w:rsidRPr="007D0A81">
              <w:rPr>
                <w:rStyle w:val="a5"/>
                <w:lang w:val="ro-MO"/>
              </w:rPr>
              <w:t>o unitate punct – hectar de:</w:t>
            </w:r>
          </w:p>
          <w:p w:rsidR="008279A7" w:rsidRPr="007D0A81" w:rsidRDefault="008279A7" w:rsidP="002A50C1">
            <w:pPr>
              <w:pStyle w:val="a6"/>
              <w:shd w:val="clear" w:color="auto" w:fill="FFFFFF"/>
              <w:spacing w:before="0" w:beforeAutospacing="0" w:after="0" w:afterAutospacing="0"/>
              <w:jc w:val="both"/>
              <w:rPr>
                <w:lang w:val="ro-MO"/>
              </w:rPr>
            </w:pPr>
            <w:r w:rsidRPr="007D0A81">
              <w:rPr>
                <w:b/>
                <w:lang w:val="ro-MO"/>
              </w:rPr>
              <w:t xml:space="preserve">    37 003,76 lei </w:t>
            </w:r>
            <w:r w:rsidRPr="007D0A81">
              <w:rPr>
                <w:lang w:val="ro-MO"/>
              </w:rPr>
              <w:t>pentru municipiul Chişinău, Bălți (inclusiv oraşele și satele (comunele) care intră în componenţa acestora);</w:t>
            </w:r>
          </w:p>
          <w:p w:rsidR="008279A7" w:rsidRPr="007D0A81" w:rsidRDefault="008279A7" w:rsidP="002A50C1">
            <w:pPr>
              <w:pStyle w:val="a6"/>
              <w:shd w:val="clear" w:color="auto" w:fill="FFFFFF"/>
              <w:spacing w:before="0" w:beforeAutospacing="0" w:after="0" w:afterAutospacing="0"/>
              <w:jc w:val="both"/>
              <w:rPr>
                <w:lang w:val="ro-MO"/>
              </w:rPr>
            </w:pPr>
            <w:r w:rsidRPr="007D0A81">
              <w:rPr>
                <w:b/>
                <w:lang w:val="ro-MO"/>
              </w:rPr>
              <w:t xml:space="preserve">    27 752,82 lei </w:t>
            </w:r>
            <w:r w:rsidRPr="007D0A81">
              <w:rPr>
                <w:lang w:val="ro-MO"/>
              </w:rPr>
              <w:t>pentru celelalte oraşe/municipii;</w:t>
            </w:r>
          </w:p>
          <w:p w:rsidR="008279A7" w:rsidRPr="007D0A81" w:rsidRDefault="008279A7" w:rsidP="002A50C1">
            <w:pPr>
              <w:spacing w:line="240" w:lineRule="atLeast"/>
              <w:ind w:firstLine="0"/>
              <w:contextualSpacing/>
              <w:rPr>
                <w:sz w:val="24"/>
                <w:szCs w:val="24"/>
                <w:shd w:val="clear" w:color="auto" w:fill="FFFFFF"/>
                <w:lang w:val="ro-MO" w:eastAsia="ru-RU"/>
              </w:rPr>
            </w:pPr>
            <w:r w:rsidRPr="007D0A81">
              <w:rPr>
                <w:b/>
                <w:sz w:val="24"/>
                <w:szCs w:val="24"/>
                <w:lang w:val="ro-MO"/>
              </w:rPr>
              <w:t xml:space="preserve">    18 501,88 lei </w:t>
            </w:r>
            <w:r w:rsidRPr="007D0A81">
              <w:rPr>
                <w:sz w:val="24"/>
                <w:szCs w:val="24"/>
                <w:lang w:val="ro-MO"/>
              </w:rPr>
              <w:t>pentru celelalte sate (comune);</w:t>
            </w:r>
          </w:p>
          <w:p w:rsidR="008279A7" w:rsidRPr="007D0A81" w:rsidRDefault="008279A7" w:rsidP="00B12DAE">
            <w:pPr>
              <w:spacing w:line="240" w:lineRule="atLeast"/>
              <w:ind w:firstLine="0"/>
              <w:contextualSpacing/>
              <w:rPr>
                <w:sz w:val="24"/>
                <w:szCs w:val="24"/>
                <w:lang w:val="ro-MO"/>
              </w:rPr>
            </w:pPr>
            <w:r w:rsidRPr="007D0A81">
              <w:rPr>
                <w:b/>
                <w:sz w:val="24"/>
                <w:szCs w:val="24"/>
                <w:lang w:val="ro-MO" w:eastAsia="ru-RU"/>
              </w:rPr>
              <w:t xml:space="preserve">     9250,94 lei</w:t>
            </w:r>
            <w:r w:rsidRPr="007D0A81">
              <w:rPr>
                <w:sz w:val="24"/>
                <w:szCs w:val="24"/>
                <w:lang w:val="ro-MO" w:eastAsia="ru-RU"/>
              </w:rPr>
              <w:t xml:space="preserve"> </w:t>
            </w:r>
            <w:r w:rsidRPr="007D0A81">
              <w:rPr>
                <w:sz w:val="24"/>
                <w:szCs w:val="24"/>
                <w:lang w:val="ro-MO"/>
              </w:rPr>
              <w:t xml:space="preserve">pentru terenurile ce se atribuie la categoria </w:t>
            </w:r>
            <w:r w:rsidRPr="007D0A81">
              <w:rPr>
                <w:sz w:val="24"/>
                <w:szCs w:val="24"/>
                <w:shd w:val="clear" w:color="auto" w:fill="FFFFFF"/>
                <w:lang w:val="ro-MO"/>
              </w:rPr>
              <w:t>terenurilor destinate construcțiilor și amenajărilor, în scopul construcțiilor caselor de locuit în localitățile rurale (cu excepția blocurilor locative).</w:t>
            </w:r>
          </w:p>
          <w:p w:rsidR="008279A7" w:rsidRPr="007D0A81" w:rsidRDefault="008279A7" w:rsidP="00CF1E45">
            <w:pPr>
              <w:tabs>
                <w:tab w:val="left" w:pos="884"/>
                <w:tab w:val="left" w:pos="1196"/>
              </w:tabs>
              <w:ind w:firstLine="0"/>
              <w:rPr>
                <w:sz w:val="24"/>
                <w:szCs w:val="24"/>
                <w:lang w:val="ro-MO"/>
              </w:rPr>
            </w:pPr>
          </w:p>
        </w:tc>
      </w:tr>
      <w:tr w:rsidR="008279A7" w:rsidRPr="007D0A81" w:rsidTr="003D7262">
        <w:tc>
          <w:tcPr>
            <w:tcW w:w="1568" w:type="pct"/>
            <w:vMerge w:val="restar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lastRenderedPageBreak/>
              <w:t>Congresul Autorităților Locale din Moldova</w:t>
            </w:r>
          </w:p>
          <w:p w:rsidR="008279A7" w:rsidRPr="007D0A81" w:rsidRDefault="008279A7" w:rsidP="00CF1E45">
            <w:pPr>
              <w:tabs>
                <w:tab w:val="left" w:pos="884"/>
                <w:tab w:val="left" w:pos="1196"/>
              </w:tabs>
              <w:ind w:firstLine="0"/>
              <w:rPr>
                <w:i/>
                <w:sz w:val="24"/>
                <w:szCs w:val="24"/>
                <w:lang w:val="ro-MO"/>
              </w:rPr>
            </w:pPr>
            <w:r w:rsidRPr="007D0A81">
              <w:rPr>
                <w:i/>
                <w:sz w:val="24"/>
                <w:szCs w:val="24"/>
                <w:lang w:val="ro-MO"/>
              </w:rPr>
              <w:lastRenderedPageBreak/>
              <w:t>Aviz nr. 409 din 3.12.2024</w:t>
            </w: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lastRenderedPageBreak/>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3D7262">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75397B">
            <w:pPr>
              <w:rPr>
                <w:rFonts w:eastAsiaTheme="minorHAnsi"/>
                <w:sz w:val="24"/>
                <w:szCs w:val="24"/>
              </w:rPr>
            </w:pPr>
            <w:r w:rsidRPr="007D0A81">
              <w:rPr>
                <w:rFonts w:eastAsiaTheme="minorHAnsi"/>
                <w:sz w:val="24"/>
                <w:szCs w:val="24"/>
              </w:rPr>
              <w:t xml:space="preserve"> La pct. 3 din proiect (Compensarea pierderilor cauzate </w:t>
            </w:r>
            <w:r w:rsidRPr="007D0A81">
              <w:rPr>
                <w:rFonts w:eastAsiaTheme="minorHAnsi"/>
                <w:sz w:val="24"/>
                <w:szCs w:val="24"/>
              </w:rPr>
              <w:lastRenderedPageBreak/>
              <w:t xml:space="preserve">de trecerea terenurilor cu destinație agricolă sau ale fondului forestier la o altă categorie de destinație se efectuează în toate cazurile, de către persoanele fizice și persoanele juridice interesate, indiferent de scop și tipul de proprietate asupra lor, cu excepția cazurilor de uz public, sau celor destinate creării parcurilor industriale conform Legii cu privire la parcurile industriale și extinderii sau creării zonelor economice libere, sau celor ce urmează a fi atribuite la categoriile fondului forestier): </w:t>
            </w:r>
          </w:p>
          <w:p w:rsidR="008279A7" w:rsidRPr="007D0A81" w:rsidRDefault="008279A7" w:rsidP="0075397B">
            <w:pPr>
              <w:rPr>
                <w:sz w:val="24"/>
                <w:szCs w:val="24"/>
              </w:rPr>
            </w:pPr>
            <w:r w:rsidRPr="007D0A81">
              <w:rPr>
                <w:rFonts w:eastAsiaTheme="minorHAnsi"/>
                <w:sz w:val="24"/>
                <w:szCs w:val="24"/>
              </w:rPr>
              <w:t>cuvintele „uz public” urmează a fi substituite cu cuvintele „utilitate publică” (pentru că este inadecvată sintagma „cazurilor de uz public” și nu este terminologia legală utilizată în asemenea situații; totodată, „utilitatea publică” are un sens mai larg decât „uzul public”, fiind necesară (ipoteza) satisfacerea tuturor situațiilor de „utilitate publică”).</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0D34C2">
            <w:pPr>
              <w:ind w:firstLine="0"/>
              <w:rPr>
                <w:sz w:val="24"/>
                <w:szCs w:val="24"/>
              </w:rPr>
            </w:pPr>
            <w:r w:rsidRPr="007D0A81">
              <w:rPr>
                <w:sz w:val="24"/>
                <w:szCs w:val="24"/>
              </w:rPr>
              <w:lastRenderedPageBreak/>
              <w:t xml:space="preserve">     Se acceptă, s-</w:t>
            </w:r>
            <w:proofErr w:type="gramStart"/>
            <w:r w:rsidRPr="007D0A81">
              <w:rPr>
                <w:sz w:val="24"/>
                <w:szCs w:val="24"/>
              </w:rPr>
              <w:t>a</w:t>
            </w:r>
            <w:proofErr w:type="gramEnd"/>
            <w:r w:rsidRPr="007D0A81">
              <w:rPr>
                <w:sz w:val="24"/>
                <w:szCs w:val="24"/>
              </w:rPr>
              <w:t xml:space="preserve"> ajustat în </w:t>
            </w:r>
            <w:r w:rsidRPr="007D0A81">
              <w:rPr>
                <w:sz w:val="24"/>
                <w:szCs w:val="24"/>
              </w:rPr>
              <w:lastRenderedPageBreak/>
              <w:t xml:space="preserve">conformitate cu prevederile din art. 60 alin. (4) </w:t>
            </w:r>
            <w:proofErr w:type="gramStart"/>
            <w:r w:rsidRPr="007D0A81">
              <w:rPr>
                <w:sz w:val="24"/>
                <w:szCs w:val="24"/>
              </w:rPr>
              <w:t>din</w:t>
            </w:r>
            <w:proofErr w:type="gramEnd"/>
            <w:r w:rsidRPr="007D0A81">
              <w:rPr>
                <w:sz w:val="24"/>
                <w:szCs w:val="24"/>
              </w:rPr>
              <w:t xml:space="preserve"> Codul Funciar nr. 22/2024.</w:t>
            </w:r>
          </w:p>
        </w:tc>
      </w:tr>
      <w:tr w:rsidR="008279A7" w:rsidRPr="007D0A81" w:rsidTr="003D7262">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F038CD">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F038CD">
        <w:tc>
          <w:tcPr>
            <w:tcW w:w="1568" w:type="pct"/>
            <w:vMerge w:val="restart"/>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UTA Gagauzia</w:t>
            </w:r>
          </w:p>
          <w:p w:rsidR="008279A7" w:rsidRPr="007D0A81" w:rsidRDefault="008279A7" w:rsidP="00CF1E45">
            <w:pPr>
              <w:tabs>
                <w:tab w:val="left" w:pos="884"/>
                <w:tab w:val="left" w:pos="1196"/>
              </w:tabs>
              <w:ind w:firstLine="0"/>
              <w:rPr>
                <w:lang w:val="ro-MO"/>
              </w:rPr>
            </w:pPr>
            <w:r w:rsidRPr="007D0A81">
              <w:rPr>
                <w:lang w:val="ro-MO"/>
              </w:rPr>
              <w:t>Aviz nr. 533 din 11.12.2024</w:t>
            </w: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F038CD">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sz w:val="24"/>
                <w:szCs w:val="24"/>
                <w:lang w:val="ro-MO"/>
              </w:rPr>
              <w:t>Lipsa obiecțiilor</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Se acceptă</w:t>
            </w:r>
          </w:p>
        </w:tc>
      </w:tr>
      <w:tr w:rsidR="008279A7" w:rsidRPr="007D0A81" w:rsidTr="00F038CD">
        <w:tc>
          <w:tcPr>
            <w:tcW w:w="1568" w:type="pct"/>
            <w:vMerge/>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b/>
                <w:sz w:val="24"/>
                <w:szCs w:val="24"/>
                <w:lang w:val="ro-MO"/>
              </w:rPr>
            </w:pPr>
            <w:r w:rsidRPr="007D0A81">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r w:rsidR="008279A7" w:rsidRPr="007D0A81" w:rsidTr="00CF1E45">
        <w:tc>
          <w:tcPr>
            <w:tcW w:w="1568" w:type="pct"/>
            <w:vMerge/>
            <w:tcBorders>
              <w:bottom w:val="single" w:sz="4" w:space="0" w:color="auto"/>
            </w:tcBorders>
          </w:tcPr>
          <w:p w:rsidR="008279A7" w:rsidRPr="007D0A81" w:rsidRDefault="008279A7" w:rsidP="00CF1E4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r w:rsidRPr="007D0A81">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8279A7" w:rsidRPr="007D0A81" w:rsidRDefault="008279A7" w:rsidP="00CF1E45">
            <w:pPr>
              <w:tabs>
                <w:tab w:val="left" w:pos="884"/>
                <w:tab w:val="left" w:pos="1196"/>
              </w:tabs>
              <w:ind w:firstLine="0"/>
              <w:rPr>
                <w:sz w:val="24"/>
                <w:szCs w:val="24"/>
                <w:lang w:val="ro-MO"/>
              </w:rPr>
            </w:pPr>
          </w:p>
        </w:tc>
      </w:tr>
    </w:tbl>
    <w:p w:rsidR="00DA3D79" w:rsidRPr="007D0A81" w:rsidRDefault="00DA3D79">
      <w:pPr>
        <w:rPr>
          <w:lang w:val="ro-MO"/>
        </w:rPr>
      </w:pPr>
    </w:p>
    <w:p w:rsidR="00DA3D79" w:rsidRPr="007D0A81" w:rsidRDefault="00DA3D79">
      <w:pPr>
        <w:rPr>
          <w:lang w:val="ro-MO"/>
        </w:rPr>
      </w:pPr>
    </w:p>
    <w:p w:rsidR="005222B3" w:rsidRPr="007D0A81" w:rsidRDefault="005222B3">
      <w:pPr>
        <w:rPr>
          <w:lang w:val="ro-MO"/>
        </w:rPr>
      </w:pPr>
    </w:p>
    <w:p w:rsidR="005222B3" w:rsidRPr="007D0A81" w:rsidRDefault="005222B3">
      <w:pPr>
        <w:rPr>
          <w:lang w:val="ro-MO"/>
        </w:rPr>
      </w:pPr>
    </w:p>
    <w:p w:rsidR="00DA3D79" w:rsidRPr="005C6A19" w:rsidRDefault="005222B3">
      <w:pPr>
        <w:rPr>
          <w:b/>
          <w:sz w:val="28"/>
          <w:szCs w:val="28"/>
          <w:lang w:val="ro-MO"/>
        </w:rPr>
      </w:pPr>
      <w:r w:rsidRPr="007D0A81">
        <w:rPr>
          <w:b/>
          <w:sz w:val="28"/>
          <w:szCs w:val="28"/>
          <w:lang w:val="ro-MO"/>
        </w:rPr>
        <w:t xml:space="preserve">                 Ministru</w:t>
      </w:r>
      <w:r w:rsidR="00DA3D79" w:rsidRPr="007D0A81">
        <w:rPr>
          <w:b/>
          <w:sz w:val="28"/>
          <w:szCs w:val="28"/>
          <w:lang w:val="ro-MO"/>
        </w:rPr>
        <w:t xml:space="preserve">                                               </w:t>
      </w:r>
      <w:r w:rsidRPr="007D0A81">
        <w:rPr>
          <w:b/>
          <w:sz w:val="28"/>
          <w:szCs w:val="28"/>
          <w:lang w:val="ro-MO"/>
        </w:rPr>
        <w:t xml:space="preserve">                          </w:t>
      </w:r>
      <w:r w:rsidR="00DA3D79" w:rsidRPr="007D0A81">
        <w:rPr>
          <w:b/>
          <w:sz w:val="28"/>
          <w:szCs w:val="28"/>
          <w:lang w:val="ro-MO"/>
        </w:rPr>
        <w:t xml:space="preserve">        </w:t>
      </w:r>
      <w:r w:rsidRPr="007D0A81">
        <w:rPr>
          <w:b/>
          <w:sz w:val="28"/>
          <w:szCs w:val="28"/>
          <w:lang w:val="ro-MO"/>
        </w:rPr>
        <w:t>Ludmila CATLABUGA</w:t>
      </w:r>
    </w:p>
    <w:sectPr w:rsidR="00DA3D79" w:rsidRPr="005C6A19" w:rsidSect="005222B3">
      <w:pgSz w:w="16838" w:h="11906" w:orient="landscape"/>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A6B"/>
    <w:multiLevelType w:val="hybridMultilevel"/>
    <w:tmpl w:val="FBE085F2"/>
    <w:lvl w:ilvl="0" w:tplc="0DB8B3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77095"/>
    <w:multiLevelType w:val="hybridMultilevel"/>
    <w:tmpl w:val="95267682"/>
    <w:lvl w:ilvl="0" w:tplc="66C8A67C">
      <w:start w:val="1"/>
      <w:numFmt w:val="decimal"/>
      <w:lvlText w:val="(%1)"/>
      <w:lvlJc w:val="left"/>
      <w:pPr>
        <w:ind w:left="1669"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2906175"/>
    <w:multiLevelType w:val="multilevel"/>
    <w:tmpl w:val="39780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F36471"/>
    <w:multiLevelType w:val="multilevel"/>
    <w:tmpl w:val="04DE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AA0619"/>
    <w:multiLevelType w:val="hybridMultilevel"/>
    <w:tmpl w:val="A69AE83E"/>
    <w:lvl w:ilvl="0" w:tplc="95AA2B3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955848"/>
    <w:multiLevelType w:val="multilevel"/>
    <w:tmpl w:val="233045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4A"/>
    <w:rsid w:val="00001EC3"/>
    <w:rsid w:val="0002536A"/>
    <w:rsid w:val="000376D0"/>
    <w:rsid w:val="00045B56"/>
    <w:rsid w:val="0006634C"/>
    <w:rsid w:val="00070C1D"/>
    <w:rsid w:val="00071748"/>
    <w:rsid w:val="00072142"/>
    <w:rsid w:val="000830F5"/>
    <w:rsid w:val="00087263"/>
    <w:rsid w:val="000D34AF"/>
    <w:rsid w:val="000D34C2"/>
    <w:rsid w:val="000D7186"/>
    <w:rsid w:val="000E14AC"/>
    <w:rsid w:val="000E6B7E"/>
    <w:rsid w:val="00107A34"/>
    <w:rsid w:val="0011778E"/>
    <w:rsid w:val="00140F56"/>
    <w:rsid w:val="001421DD"/>
    <w:rsid w:val="00152E98"/>
    <w:rsid w:val="00157D84"/>
    <w:rsid w:val="001B67DE"/>
    <w:rsid w:val="001D3F87"/>
    <w:rsid w:val="001E1456"/>
    <w:rsid w:val="002014CA"/>
    <w:rsid w:val="00216281"/>
    <w:rsid w:val="0022458F"/>
    <w:rsid w:val="0022673E"/>
    <w:rsid w:val="00240904"/>
    <w:rsid w:val="00241B53"/>
    <w:rsid w:val="00255531"/>
    <w:rsid w:val="00260162"/>
    <w:rsid w:val="0026298F"/>
    <w:rsid w:val="0027790E"/>
    <w:rsid w:val="00291907"/>
    <w:rsid w:val="002A50C1"/>
    <w:rsid w:val="002B05A7"/>
    <w:rsid w:val="002C1C45"/>
    <w:rsid w:val="002C67A6"/>
    <w:rsid w:val="002D614C"/>
    <w:rsid w:val="003130A3"/>
    <w:rsid w:val="0037427E"/>
    <w:rsid w:val="003B3444"/>
    <w:rsid w:val="003C1F6E"/>
    <w:rsid w:val="003C3DFB"/>
    <w:rsid w:val="003C5607"/>
    <w:rsid w:val="003C6734"/>
    <w:rsid w:val="003D7262"/>
    <w:rsid w:val="003E49B3"/>
    <w:rsid w:val="003F4C34"/>
    <w:rsid w:val="003F597B"/>
    <w:rsid w:val="003F668D"/>
    <w:rsid w:val="00430D3D"/>
    <w:rsid w:val="00456D51"/>
    <w:rsid w:val="00457730"/>
    <w:rsid w:val="0047222A"/>
    <w:rsid w:val="00475731"/>
    <w:rsid w:val="004B4AE2"/>
    <w:rsid w:val="004C01F6"/>
    <w:rsid w:val="004C493F"/>
    <w:rsid w:val="004D0253"/>
    <w:rsid w:val="004D692A"/>
    <w:rsid w:val="004E4922"/>
    <w:rsid w:val="004E4A51"/>
    <w:rsid w:val="004F09A9"/>
    <w:rsid w:val="004F3351"/>
    <w:rsid w:val="005222B3"/>
    <w:rsid w:val="005240CC"/>
    <w:rsid w:val="00525397"/>
    <w:rsid w:val="00541839"/>
    <w:rsid w:val="00544EAE"/>
    <w:rsid w:val="005733A6"/>
    <w:rsid w:val="005843B6"/>
    <w:rsid w:val="005A537B"/>
    <w:rsid w:val="005B1718"/>
    <w:rsid w:val="005B3208"/>
    <w:rsid w:val="005C6A19"/>
    <w:rsid w:val="005C6E1D"/>
    <w:rsid w:val="005D1D82"/>
    <w:rsid w:val="005E4D4F"/>
    <w:rsid w:val="005E53C1"/>
    <w:rsid w:val="00604FE4"/>
    <w:rsid w:val="0061777E"/>
    <w:rsid w:val="00620E51"/>
    <w:rsid w:val="00623C22"/>
    <w:rsid w:val="00626326"/>
    <w:rsid w:val="006272B4"/>
    <w:rsid w:val="006520EB"/>
    <w:rsid w:val="00656FB2"/>
    <w:rsid w:val="006841F0"/>
    <w:rsid w:val="006B2B49"/>
    <w:rsid w:val="006C1BA4"/>
    <w:rsid w:val="006F36CD"/>
    <w:rsid w:val="00707C83"/>
    <w:rsid w:val="0072159B"/>
    <w:rsid w:val="0074177A"/>
    <w:rsid w:val="00742055"/>
    <w:rsid w:val="00751605"/>
    <w:rsid w:val="0075397B"/>
    <w:rsid w:val="00762DF1"/>
    <w:rsid w:val="00767E3F"/>
    <w:rsid w:val="00775264"/>
    <w:rsid w:val="00782DEE"/>
    <w:rsid w:val="0078630E"/>
    <w:rsid w:val="007A1799"/>
    <w:rsid w:val="007C4465"/>
    <w:rsid w:val="007D0A81"/>
    <w:rsid w:val="00802937"/>
    <w:rsid w:val="0080395F"/>
    <w:rsid w:val="00807CC1"/>
    <w:rsid w:val="00814FD0"/>
    <w:rsid w:val="008279A7"/>
    <w:rsid w:val="0088425B"/>
    <w:rsid w:val="008A6599"/>
    <w:rsid w:val="008B1E4A"/>
    <w:rsid w:val="008B5AAB"/>
    <w:rsid w:val="008B5DCD"/>
    <w:rsid w:val="008B7855"/>
    <w:rsid w:val="008F14FB"/>
    <w:rsid w:val="008F5751"/>
    <w:rsid w:val="008F59FF"/>
    <w:rsid w:val="00916459"/>
    <w:rsid w:val="0096126F"/>
    <w:rsid w:val="0096292F"/>
    <w:rsid w:val="0096551F"/>
    <w:rsid w:val="00965BD8"/>
    <w:rsid w:val="00970714"/>
    <w:rsid w:val="00971156"/>
    <w:rsid w:val="00980C63"/>
    <w:rsid w:val="00996470"/>
    <w:rsid w:val="009A77D9"/>
    <w:rsid w:val="009B2A49"/>
    <w:rsid w:val="009D0D81"/>
    <w:rsid w:val="009E2341"/>
    <w:rsid w:val="009F19D6"/>
    <w:rsid w:val="00A1006B"/>
    <w:rsid w:val="00A85DE2"/>
    <w:rsid w:val="00AA4FBD"/>
    <w:rsid w:val="00AD059E"/>
    <w:rsid w:val="00AD3D19"/>
    <w:rsid w:val="00AE2E5F"/>
    <w:rsid w:val="00AE5E15"/>
    <w:rsid w:val="00B10669"/>
    <w:rsid w:val="00B12DAE"/>
    <w:rsid w:val="00B27A2E"/>
    <w:rsid w:val="00B32420"/>
    <w:rsid w:val="00B411C8"/>
    <w:rsid w:val="00B471F7"/>
    <w:rsid w:val="00B921E6"/>
    <w:rsid w:val="00BA4E0C"/>
    <w:rsid w:val="00BC6031"/>
    <w:rsid w:val="00BD6F6F"/>
    <w:rsid w:val="00BE003F"/>
    <w:rsid w:val="00BE6216"/>
    <w:rsid w:val="00BF0AA7"/>
    <w:rsid w:val="00C03746"/>
    <w:rsid w:val="00C11D30"/>
    <w:rsid w:val="00C16FD1"/>
    <w:rsid w:val="00C343D8"/>
    <w:rsid w:val="00C618B2"/>
    <w:rsid w:val="00C75AC7"/>
    <w:rsid w:val="00C87006"/>
    <w:rsid w:val="00C9278E"/>
    <w:rsid w:val="00CB0DF1"/>
    <w:rsid w:val="00D1399D"/>
    <w:rsid w:val="00D156A5"/>
    <w:rsid w:val="00D40730"/>
    <w:rsid w:val="00D64669"/>
    <w:rsid w:val="00D674C8"/>
    <w:rsid w:val="00D74D54"/>
    <w:rsid w:val="00D85108"/>
    <w:rsid w:val="00D97446"/>
    <w:rsid w:val="00DA0D98"/>
    <w:rsid w:val="00DA3D79"/>
    <w:rsid w:val="00DB3EE9"/>
    <w:rsid w:val="00DD2222"/>
    <w:rsid w:val="00DF3C0B"/>
    <w:rsid w:val="00DF6F46"/>
    <w:rsid w:val="00E46D13"/>
    <w:rsid w:val="00E61327"/>
    <w:rsid w:val="00EA15C5"/>
    <w:rsid w:val="00EB03C6"/>
    <w:rsid w:val="00EE5053"/>
    <w:rsid w:val="00EE774A"/>
    <w:rsid w:val="00F0232F"/>
    <w:rsid w:val="00F038CD"/>
    <w:rsid w:val="00F04630"/>
    <w:rsid w:val="00F13445"/>
    <w:rsid w:val="00F274F6"/>
    <w:rsid w:val="00F324A3"/>
    <w:rsid w:val="00F52A9E"/>
    <w:rsid w:val="00F6265F"/>
    <w:rsid w:val="00F6536F"/>
    <w:rsid w:val="00F76A2D"/>
    <w:rsid w:val="00F81D0A"/>
    <w:rsid w:val="00F911DA"/>
    <w:rsid w:val="00FC2E6B"/>
    <w:rsid w:val="00FC3A04"/>
    <w:rsid w:val="00FC5529"/>
    <w:rsid w:val="00FD0217"/>
    <w:rsid w:val="00FD5E29"/>
    <w:rsid w:val="00FE2C1B"/>
    <w:rsid w:val="00FE40C2"/>
    <w:rsid w:val="00FF4A10"/>
    <w:rsid w:val="00FF7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link w:val="a4"/>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B471F7"/>
    <w:rPr>
      <w:b/>
      <w:bCs/>
    </w:rPr>
  </w:style>
  <w:style w:type="paragraph" w:styleId="a6">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7">
    <w:name w:val="Emphasis"/>
    <w:basedOn w:val="a0"/>
    <w:uiPriority w:val="20"/>
    <w:qFormat/>
    <w:rsid w:val="003C5607"/>
    <w:rPr>
      <w:i/>
      <w:iCs/>
    </w:rPr>
  </w:style>
  <w:style w:type="paragraph" w:styleId="a8">
    <w:name w:val="Balloon Text"/>
    <w:basedOn w:val="a"/>
    <w:link w:val="a9"/>
    <w:uiPriority w:val="99"/>
    <w:semiHidden/>
    <w:unhideWhenUsed/>
    <w:rsid w:val="005C6A19"/>
    <w:rPr>
      <w:rFonts w:ascii="Tahoma" w:hAnsi="Tahoma" w:cs="Tahoma"/>
      <w:sz w:val="16"/>
      <w:szCs w:val="16"/>
    </w:rPr>
  </w:style>
  <w:style w:type="character" w:customStyle="1" w:styleId="a9">
    <w:name w:val="Текст выноски Знак"/>
    <w:basedOn w:val="a0"/>
    <w:link w:val="a8"/>
    <w:uiPriority w:val="99"/>
    <w:semiHidden/>
    <w:rsid w:val="005C6A19"/>
    <w:rPr>
      <w:rFonts w:ascii="Tahoma" w:eastAsia="Times New Roman" w:hAnsi="Tahoma" w:cs="Tahoma"/>
      <w:sz w:val="16"/>
      <w:szCs w:val="16"/>
      <w:lang w:val="en-US"/>
    </w:rPr>
  </w:style>
  <w:style w:type="paragraph" w:customStyle="1" w:styleId="Default">
    <w:name w:val="Default"/>
    <w:rsid w:val="00FC552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4">
    <w:name w:val="Абзац списка Знак"/>
    <w:link w:val="a3"/>
    <w:uiPriority w:val="34"/>
    <w:rsid w:val="002A50C1"/>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link w:val="a4"/>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B471F7"/>
    <w:rPr>
      <w:b/>
      <w:bCs/>
    </w:rPr>
  </w:style>
  <w:style w:type="paragraph" w:styleId="a6">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7">
    <w:name w:val="Emphasis"/>
    <w:basedOn w:val="a0"/>
    <w:uiPriority w:val="20"/>
    <w:qFormat/>
    <w:rsid w:val="003C5607"/>
    <w:rPr>
      <w:i/>
      <w:iCs/>
    </w:rPr>
  </w:style>
  <w:style w:type="paragraph" w:styleId="a8">
    <w:name w:val="Balloon Text"/>
    <w:basedOn w:val="a"/>
    <w:link w:val="a9"/>
    <w:uiPriority w:val="99"/>
    <w:semiHidden/>
    <w:unhideWhenUsed/>
    <w:rsid w:val="005C6A19"/>
    <w:rPr>
      <w:rFonts w:ascii="Tahoma" w:hAnsi="Tahoma" w:cs="Tahoma"/>
      <w:sz w:val="16"/>
      <w:szCs w:val="16"/>
    </w:rPr>
  </w:style>
  <w:style w:type="character" w:customStyle="1" w:styleId="a9">
    <w:name w:val="Текст выноски Знак"/>
    <w:basedOn w:val="a0"/>
    <w:link w:val="a8"/>
    <w:uiPriority w:val="99"/>
    <w:semiHidden/>
    <w:rsid w:val="005C6A19"/>
    <w:rPr>
      <w:rFonts w:ascii="Tahoma" w:eastAsia="Times New Roman" w:hAnsi="Tahoma" w:cs="Tahoma"/>
      <w:sz w:val="16"/>
      <w:szCs w:val="16"/>
      <w:lang w:val="en-US"/>
    </w:rPr>
  </w:style>
  <w:style w:type="paragraph" w:customStyle="1" w:styleId="Default">
    <w:name w:val="Default"/>
    <w:rsid w:val="00FC552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4">
    <w:name w:val="Абзац списка Знак"/>
    <w:link w:val="a3"/>
    <w:uiPriority w:val="34"/>
    <w:rsid w:val="002A50C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0782">
      <w:bodyDiv w:val="1"/>
      <w:marLeft w:val="0"/>
      <w:marRight w:val="0"/>
      <w:marTop w:val="0"/>
      <w:marBottom w:val="0"/>
      <w:divBdr>
        <w:top w:val="none" w:sz="0" w:space="0" w:color="auto"/>
        <w:left w:val="none" w:sz="0" w:space="0" w:color="auto"/>
        <w:bottom w:val="none" w:sz="0" w:space="0" w:color="auto"/>
        <w:right w:val="none" w:sz="0" w:space="0" w:color="auto"/>
      </w:divBdr>
    </w:div>
    <w:div w:id="519901854">
      <w:bodyDiv w:val="1"/>
      <w:marLeft w:val="0"/>
      <w:marRight w:val="0"/>
      <w:marTop w:val="0"/>
      <w:marBottom w:val="0"/>
      <w:divBdr>
        <w:top w:val="none" w:sz="0" w:space="0" w:color="auto"/>
        <w:left w:val="none" w:sz="0" w:space="0" w:color="auto"/>
        <w:bottom w:val="none" w:sz="0" w:space="0" w:color="auto"/>
        <w:right w:val="none" w:sz="0" w:space="0" w:color="auto"/>
      </w:divBdr>
    </w:div>
    <w:div w:id="588545433">
      <w:bodyDiv w:val="1"/>
      <w:marLeft w:val="0"/>
      <w:marRight w:val="0"/>
      <w:marTop w:val="0"/>
      <w:marBottom w:val="0"/>
      <w:divBdr>
        <w:top w:val="none" w:sz="0" w:space="0" w:color="auto"/>
        <w:left w:val="none" w:sz="0" w:space="0" w:color="auto"/>
        <w:bottom w:val="none" w:sz="0" w:space="0" w:color="auto"/>
        <w:right w:val="none" w:sz="0" w:space="0" w:color="auto"/>
      </w:divBdr>
    </w:div>
    <w:div w:id="1437554235">
      <w:bodyDiv w:val="1"/>
      <w:marLeft w:val="0"/>
      <w:marRight w:val="0"/>
      <w:marTop w:val="0"/>
      <w:marBottom w:val="0"/>
      <w:divBdr>
        <w:top w:val="none" w:sz="0" w:space="0" w:color="auto"/>
        <w:left w:val="none" w:sz="0" w:space="0" w:color="auto"/>
        <w:bottom w:val="none" w:sz="0" w:space="0" w:color="auto"/>
        <w:right w:val="none" w:sz="0" w:space="0" w:color="auto"/>
      </w:divBdr>
    </w:div>
    <w:div w:id="1549612260">
      <w:bodyDiv w:val="1"/>
      <w:marLeft w:val="0"/>
      <w:marRight w:val="0"/>
      <w:marTop w:val="0"/>
      <w:marBottom w:val="0"/>
      <w:divBdr>
        <w:top w:val="none" w:sz="0" w:space="0" w:color="auto"/>
        <w:left w:val="none" w:sz="0" w:space="0" w:color="auto"/>
        <w:bottom w:val="none" w:sz="0" w:space="0" w:color="auto"/>
        <w:right w:val="none" w:sz="0" w:space="0" w:color="auto"/>
      </w:divBdr>
    </w:div>
    <w:div w:id="1576235264">
      <w:bodyDiv w:val="1"/>
      <w:marLeft w:val="0"/>
      <w:marRight w:val="0"/>
      <w:marTop w:val="0"/>
      <w:marBottom w:val="0"/>
      <w:divBdr>
        <w:top w:val="none" w:sz="0" w:space="0" w:color="auto"/>
        <w:left w:val="none" w:sz="0" w:space="0" w:color="auto"/>
        <w:bottom w:val="none" w:sz="0" w:space="0" w:color="auto"/>
        <w:right w:val="none" w:sz="0" w:space="0" w:color="auto"/>
      </w:divBdr>
    </w:div>
    <w:div w:id="1912620949">
      <w:bodyDiv w:val="1"/>
      <w:marLeft w:val="0"/>
      <w:marRight w:val="0"/>
      <w:marTop w:val="0"/>
      <w:marBottom w:val="0"/>
      <w:divBdr>
        <w:top w:val="none" w:sz="0" w:space="0" w:color="auto"/>
        <w:left w:val="none" w:sz="0" w:space="0" w:color="auto"/>
        <w:bottom w:val="none" w:sz="0" w:space="0" w:color="auto"/>
        <w:right w:val="none" w:sz="0" w:space="0" w:color="auto"/>
      </w:divBdr>
    </w:div>
    <w:div w:id="19245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C002-4A1F-4250-998C-3043A7BE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12</Pages>
  <Words>3755</Words>
  <Characters>21409</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77</cp:revision>
  <cp:lastPrinted>2022-09-02T10:13:00Z</cp:lastPrinted>
  <dcterms:created xsi:type="dcterms:W3CDTF">2024-12-10T13:39:00Z</dcterms:created>
  <dcterms:modified xsi:type="dcterms:W3CDTF">2024-12-16T07:05:00Z</dcterms:modified>
</cp:coreProperties>
</file>