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59" w:rsidRDefault="0027175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rsidR="00271759" w:rsidRDefault="000F7F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b/>
          <w:sz w:val="24"/>
          <w:szCs w:val="24"/>
          <w:lang w:val="ro-RO"/>
        </w:rPr>
        <w:t>SINTEZA</w:t>
      </w:r>
    </w:p>
    <w:p w:rsidR="00271759" w:rsidRDefault="000F7F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b/>
          <w:sz w:val="24"/>
          <w:szCs w:val="24"/>
          <w:lang w:val="ro-RO"/>
        </w:rPr>
        <w:t>la proiectul</w:t>
      </w:r>
    </w:p>
    <w:p w:rsidR="00CB2C6C" w:rsidRPr="00CB2C6C" w:rsidRDefault="00CB2C6C" w:rsidP="00CB2C6C">
      <w:pPr>
        <w:pBdr>
          <w:left w:val="none" w:sz="4" w:space="0" w:color="000000"/>
          <w:bottom w:val="none" w:sz="4" w:space="0" w:color="000000"/>
          <w:right w:val="none" w:sz="4" w:space="0" w:color="000000"/>
        </w:pBdr>
        <w:tabs>
          <w:tab w:val="left" w:pos="884"/>
          <w:tab w:val="left" w:pos="1196"/>
        </w:tabs>
        <w:jc w:val="center"/>
        <w:rPr>
          <w:sz w:val="24"/>
          <w:szCs w:val="24"/>
          <w:u w:val="single"/>
          <w:lang w:val="ro-RO"/>
        </w:rPr>
      </w:pPr>
      <w:r>
        <w:rPr>
          <w:sz w:val="24"/>
          <w:szCs w:val="24"/>
          <w:u w:val="single"/>
          <w:lang w:val="ro-RO"/>
        </w:rPr>
        <w:t xml:space="preserve">de hotărâre </w:t>
      </w:r>
      <w:r w:rsidRPr="00CB2C6C">
        <w:rPr>
          <w:sz w:val="24"/>
          <w:szCs w:val="24"/>
          <w:u w:val="single"/>
          <w:lang w:val="ro-RO"/>
        </w:rPr>
        <w:t>pentru modificarea Hotărârii Guvernului nr. 774/2016</w:t>
      </w:r>
    </w:p>
    <w:p w:rsidR="00CB2C6C" w:rsidRPr="00CB2C6C" w:rsidRDefault="00CB2C6C" w:rsidP="00CB2C6C">
      <w:pPr>
        <w:pBdr>
          <w:left w:val="none" w:sz="4" w:space="0" w:color="000000"/>
          <w:bottom w:val="none" w:sz="4" w:space="0" w:color="000000"/>
          <w:right w:val="none" w:sz="4" w:space="0" w:color="000000"/>
        </w:pBdr>
        <w:tabs>
          <w:tab w:val="left" w:pos="884"/>
          <w:tab w:val="left" w:pos="1196"/>
        </w:tabs>
        <w:jc w:val="center"/>
        <w:rPr>
          <w:i/>
          <w:sz w:val="24"/>
          <w:szCs w:val="24"/>
          <w:u w:val="single"/>
          <w:lang w:val="ro-RO"/>
        </w:rPr>
      </w:pPr>
      <w:r w:rsidRPr="00CB2C6C">
        <w:rPr>
          <w:sz w:val="24"/>
          <w:szCs w:val="24"/>
          <w:u w:val="single"/>
          <w:lang w:val="ro-RO"/>
        </w:rPr>
        <w:t>cu privire la prețurile de comercializare a produselor social importante</w:t>
      </w:r>
      <w:r w:rsidRPr="00CB2C6C">
        <w:rPr>
          <w:i/>
          <w:sz w:val="24"/>
          <w:szCs w:val="24"/>
          <w:u w:val="single"/>
          <w:lang w:val="ro-RO"/>
        </w:rPr>
        <w:t xml:space="preserve"> </w:t>
      </w:r>
      <w:r w:rsidR="006C521A">
        <w:rPr>
          <w:i/>
          <w:sz w:val="24"/>
          <w:szCs w:val="24"/>
          <w:u w:val="single"/>
          <w:lang w:val="ro-RO"/>
        </w:rPr>
        <w:t>număr unic 955/MAIA/2024</w:t>
      </w:r>
    </w:p>
    <w:p w:rsidR="00271759" w:rsidRDefault="000F7F00" w:rsidP="00CB2C6C">
      <w:pPr>
        <w:pBdr>
          <w:left w:val="none" w:sz="4" w:space="0" w:color="000000"/>
          <w:bottom w:val="none" w:sz="4" w:space="0" w:color="000000"/>
          <w:right w:val="none" w:sz="4" w:space="0" w:color="000000"/>
        </w:pBdr>
        <w:tabs>
          <w:tab w:val="left" w:pos="884"/>
          <w:tab w:val="left" w:pos="1196"/>
        </w:tabs>
        <w:jc w:val="center"/>
        <w:rPr>
          <w:sz w:val="24"/>
          <w:szCs w:val="24"/>
          <w:lang w:val="ro-RO"/>
        </w:rPr>
      </w:pPr>
      <w:r>
        <w:rPr>
          <w:i/>
          <w:sz w:val="24"/>
          <w:szCs w:val="24"/>
          <w:lang w:val="ro-RO"/>
        </w:rPr>
        <w:t>(denumirea proiectului actului normativ)</w:t>
      </w:r>
    </w:p>
    <w:p w:rsidR="00271759" w:rsidRDefault="000F7F0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Pr>
          <w:b/>
          <w:sz w:val="24"/>
          <w:szCs w:val="24"/>
          <w:lang w:val="ro-RO"/>
        </w:rPr>
        <w:t xml:space="preserve"> </w:t>
      </w:r>
    </w:p>
    <w:tbl>
      <w:tblPr>
        <w:tblStyle w:val="Tabelgril"/>
        <w:tblW w:w="1388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251"/>
        <w:gridCol w:w="1134"/>
        <w:gridCol w:w="6662"/>
        <w:gridCol w:w="2835"/>
      </w:tblGrid>
      <w:tr w:rsidR="00271759" w:rsidRPr="00335B46" w:rsidTr="009A41B0">
        <w:trPr>
          <w:trHeight w:val="559"/>
        </w:trPr>
        <w:tc>
          <w:tcPr>
            <w:tcW w:w="3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1759" w:rsidRPr="00335B46" w:rsidRDefault="000F7F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335B46">
              <w:rPr>
                <w:rFonts w:ascii="Times New Roman" w:hAnsi="Times New Roman"/>
                <w:b/>
                <w:sz w:val="24"/>
                <w:szCs w:val="24"/>
                <w:lang w:val="ro-RO"/>
              </w:rPr>
              <w:t>Participantul la avizare, consultare publică, expertizare</w:t>
            </w:r>
          </w:p>
        </w:tc>
        <w:tc>
          <w:tcPr>
            <w:tcW w:w="113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D3823" w:rsidRDefault="000F7F00">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335B46">
              <w:rPr>
                <w:rFonts w:ascii="Times New Roman" w:hAnsi="Times New Roman"/>
                <w:b/>
                <w:sz w:val="24"/>
                <w:szCs w:val="24"/>
                <w:lang w:val="ro-RO"/>
              </w:rPr>
              <w:t xml:space="preserve">Nr. </w:t>
            </w:r>
          </w:p>
          <w:p w:rsidR="00271759" w:rsidRPr="00335B46" w:rsidRDefault="000F7F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335B46">
              <w:rPr>
                <w:rFonts w:ascii="Times New Roman" w:hAnsi="Times New Roman"/>
                <w:b/>
                <w:sz w:val="24"/>
                <w:szCs w:val="24"/>
                <w:lang w:val="ro-RO"/>
              </w:rPr>
              <w:t>crt.</w:t>
            </w:r>
          </w:p>
        </w:tc>
        <w:tc>
          <w:tcPr>
            <w:tcW w:w="666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271759" w:rsidRPr="00335B46" w:rsidRDefault="000F7F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335B46">
              <w:rPr>
                <w:rFonts w:ascii="Times New Roman" w:hAnsi="Times New Roman"/>
                <w:b/>
                <w:sz w:val="24"/>
                <w:szCs w:val="24"/>
                <w:lang w:val="ro-RO"/>
              </w:rPr>
              <w:t>Conținutul obiecției,</w:t>
            </w:r>
          </w:p>
          <w:p w:rsidR="00271759" w:rsidRPr="00335B46" w:rsidRDefault="000F7F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335B46">
              <w:rPr>
                <w:rFonts w:ascii="Times New Roman" w:hAnsi="Times New Roman"/>
                <w:b/>
                <w:sz w:val="24"/>
                <w:szCs w:val="24"/>
                <w:lang w:val="ro-RO"/>
              </w:rPr>
              <w:t>propunerii, recomandării, concluziei</w:t>
            </w:r>
          </w:p>
        </w:tc>
        <w:tc>
          <w:tcPr>
            <w:tcW w:w="283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271759" w:rsidRPr="00335B46" w:rsidRDefault="000F7F0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335B46">
              <w:rPr>
                <w:rFonts w:ascii="Times New Roman" w:hAnsi="Times New Roman"/>
                <w:b/>
                <w:sz w:val="24"/>
                <w:szCs w:val="24"/>
                <w:lang w:val="ro-RO"/>
              </w:rPr>
              <w:t>Argumentarea</w:t>
            </w:r>
          </w:p>
          <w:p w:rsidR="00271759" w:rsidRPr="00335B46" w:rsidRDefault="000F7F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335B46">
              <w:rPr>
                <w:rFonts w:ascii="Times New Roman" w:hAnsi="Times New Roman"/>
                <w:b/>
                <w:sz w:val="24"/>
                <w:szCs w:val="24"/>
                <w:lang w:val="ro-RO"/>
              </w:rPr>
              <w:t>autorului proiectului</w:t>
            </w:r>
          </w:p>
        </w:tc>
      </w:tr>
      <w:tr w:rsidR="00271759" w:rsidRPr="00335B46" w:rsidTr="009A41B0">
        <w:trPr>
          <w:trHeight w:val="300"/>
        </w:trPr>
        <w:tc>
          <w:tcPr>
            <w:tcW w:w="13882"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1759" w:rsidRPr="00335B46" w:rsidRDefault="000F7F0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335B46">
              <w:rPr>
                <w:rFonts w:ascii="Times New Roman" w:eastAsia="Times New Roman" w:hAnsi="Times New Roman"/>
                <w:sz w:val="24"/>
                <w:szCs w:val="24"/>
                <w:lang w:val="ro-RO"/>
              </w:rPr>
              <w:t xml:space="preserve">Avizare </w:t>
            </w:r>
            <w:r w:rsidRPr="00335B46">
              <w:rPr>
                <w:rFonts w:ascii="Times New Roman" w:hAnsi="Times New Roman"/>
                <w:sz w:val="24"/>
                <w:szCs w:val="24"/>
                <w:lang w:val="ro-RO"/>
              </w:rPr>
              <w:t>și consultare publică</w:t>
            </w:r>
          </w:p>
        </w:tc>
      </w:tr>
      <w:tr w:rsidR="00271759" w:rsidRPr="00335B46" w:rsidTr="00E432F2">
        <w:trPr>
          <w:trHeight w:val="558"/>
        </w:trPr>
        <w:tc>
          <w:tcPr>
            <w:tcW w:w="32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1759" w:rsidRPr="00335B46" w:rsidRDefault="00BF478D" w:rsidP="005D5C3B">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Agenția</w:t>
            </w:r>
            <w:r w:rsidR="005D5C3B" w:rsidRPr="00335B46">
              <w:rPr>
                <w:rFonts w:ascii="Times New Roman" w:eastAsia="Times New Roman" w:hAnsi="Times New Roman"/>
                <w:sz w:val="24"/>
                <w:szCs w:val="24"/>
                <w:lang w:val="ro-RO"/>
              </w:rPr>
              <w:t xml:space="preserve"> </w:t>
            </w:r>
            <w:r w:rsidRPr="00335B46">
              <w:rPr>
                <w:rFonts w:ascii="Times New Roman" w:eastAsia="Times New Roman" w:hAnsi="Times New Roman"/>
                <w:sz w:val="24"/>
                <w:szCs w:val="24"/>
                <w:lang w:val="ro-RO"/>
              </w:rPr>
              <w:t>Națională</w:t>
            </w:r>
            <w:r w:rsidR="005D5C3B" w:rsidRPr="00335B46">
              <w:rPr>
                <w:rFonts w:ascii="Times New Roman" w:eastAsia="Times New Roman" w:hAnsi="Times New Roman"/>
                <w:sz w:val="24"/>
                <w:szCs w:val="24"/>
                <w:lang w:val="ro-RO"/>
              </w:rPr>
              <w:t xml:space="preserve"> pentru </w:t>
            </w:r>
            <w:r w:rsidRPr="00335B46">
              <w:rPr>
                <w:rFonts w:ascii="Times New Roman" w:eastAsia="Times New Roman" w:hAnsi="Times New Roman"/>
                <w:sz w:val="24"/>
                <w:szCs w:val="24"/>
                <w:lang w:val="ro-RO"/>
              </w:rPr>
              <w:t>Siguranța</w:t>
            </w:r>
            <w:r w:rsidR="005D5C3B" w:rsidRPr="00335B46">
              <w:rPr>
                <w:rFonts w:ascii="Times New Roman" w:eastAsia="Times New Roman" w:hAnsi="Times New Roman"/>
                <w:sz w:val="24"/>
                <w:szCs w:val="24"/>
                <w:lang w:val="ro-RO"/>
              </w:rPr>
              <w:t xml:space="preserve"> Alimentelor </w:t>
            </w:r>
          </w:p>
          <w:p w:rsidR="00BF478D" w:rsidRPr="00335B46" w:rsidRDefault="00BF478D" w:rsidP="00BF478D">
            <w:pPr>
              <w:pBdr>
                <w:top w:val="none" w:sz="4" w:space="0" w:color="000000"/>
                <w:left w:val="none" w:sz="4" w:space="0" w:color="000000"/>
                <w:bottom w:val="none" w:sz="4" w:space="0" w:color="000000"/>
                <w:right w:val="none" w:sz="4" w:space="0" w:color="000000"/>
              </w:pBdr>
              <w:ind w:firstLine="0"/>
              <w:rPr>
                <w:rFonts w:ascii="Times New Roman" w:hAnsi="Times New Roman"/>
                <w:i/>
                <w:sz w:val="24"/>
                <w:szCs w:val="24"/>
                <w:lang w:val="ro-RO"/>
              </w:rPr>
            </w:pPr>
            <w:proofErr w:type="spellStart"/>
            <w:r w:rsidRPr="00335B46">
              <w:rPr>
                <w:rFonts w:ascii="Times New Roman" w:hAnsi="Times New Roman"/>
                <w:i/>
                <w:sz w:val="24"/>
                <w:szCs w:val="24"/>
              </w:rPr>
              <w:t>Nr</w:t>
            </w:r>
            <w:proofErr w:type="spellEnd"/>
            <w:r w:rsidRPr="00335B46">
              <w:rPr>
                <w:rFonts w:ascii="Times New Roman" w:hAnsi="Times New Roman"/>
                <w:i/>
                <w:sz w:val="24"/>
                <w:szCs w:val="24"/>
              </w:rPr>
              <w:t>. 08-18-6023 din 11.11.2024</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1759" w:rsidRPr="00335B46" w:rsidRDefault="00BF478D" w:rsidP="00AD3823">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1</w:t>
            </w:r>
          </w:p>
        </w:tc>
        <w:tc>
          <w:tcPr>
            <w:tcW w:w="666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271759" w:rsidRPr="00335B46" w:rsidRDefault="00B9509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Comunică </w:t>
            </w:r>
            <w:r w:rsidR="00BF478D" w:rsidRPr="00335B46">
              <w:rPr>
                <w:rFonts w:ascii="Times New Roman" w:eastAsia="Times New Roman" w:hAnsi="Times New Roman"/>
                <w:sz w:val="24"/>
                <w:szCs w:val="24"/>
                <w:lang w:val="ro-RO"/>
              </w:rPr>
              <w:t>lipsa propunerilor sau obiecțiilor</w:t>
            </w:r>
          </w:p>
        </w:tc>
        <w:tc>
          <w:tcPr>
            <w:tcW w:w="2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932720" w:rsidRPr="00335B46" w:rsidRDefault="00932720" w:rsidP="00E432F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335B46">
              <w:rPr>
                <w:rFonts w:ascii="Times New Roman" w:hAnsi="Times New Roman"/>
                <w:sz w:val="24"/>
                <w:szCs w:val="24"/>
                <w:lang w:val="ro-RO"/>
              </w:rPr>
              <w:t>Se ia act</w:t>
            </w:r>
          </w:p>
        </w:tc>
      </w:tr>
      <w:tr w:rsidR="00A64C33" w:rsidRPr="00335B46" w:rsidTr="009A41B0">
        <w:trPr>
          <w:trHeight w:val="558"/>
        </w:trPr>
        <w:tc>
          <w:tcPr>
            <w:tcW w:w="32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64C33" w:rsidRPr="00335B46" w:rsidRDefault="002F479D" w:rsidP="009419A1">
            <w:pP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Asociația </w:t>
            </w:r>
            <w:r w:rsidR="00790F5E" w:rsidRPr="00335B46">
              <w:rPr>
                <w:rFonts w:ascii="Times New Roman" w:eastAsia="Times New Roman" w:hAnsi="Times New Roman"/>
                <w:sz w:val="24"/>
                <w:szCs w:val="24"/>
                <w:lang w:val="ro-RO"/>
              </w:rPr>
              <w:t>obștească</w:t>
            </w:r>
            <w:r w:rsidRPr="00335B46">
              <w:rPr>
                <w:rFonts w:ascii="Times New Roman" w:eastAsia="Times New Roman" w:hAnsi="Times New Roman"/>
                <w:sz w:val="24"/>
                <w:szCs w:val="24"/>
                <w:lang w:val="ro-RO"/>
              </w:rPr>
              <w:t xml:space="preserve"> </w:t>
            </w:r>
            <w:r w:rsidR="00AB04A8" w:rsidRPr="00335B46">
              <w:rPr>
                <w:rFonts w:ascii="Times New Roman" w:eastAsia="Times New Roman" w:hAnsi="Times New Roman"/>
                <w:sz w:val="24"/>
                <w:szCs w:val="24"/>
                <w:lang w:val="ro-RO"/>
              </w:rPr>
              <w:t>„Alianț</w:t>
            </w:r>
            <w:r w:rsidRPr="00335B46">
              <w:rPr>
                <w:rFonts w:ascii="Times New Roman" w:eastAsia="Times New Roman" w:hAnsi="Times New Roman"/>
                <w:sz w:val="24"/>
                <w:szCs w:val="24"/>
                <w:lang w:val="ro-RO"/>
              </w:rPr>
              <w:t xml:space="preserve">a </w:t>
            </w:r>
            <w:r w:rsidR="00790F5E" w:rsidRPr="00335B46">
              <w:rPr>
                <w:rFonts w:ascii="Times New Roman" w:eastAsia="Times New Roman" w:hAnsi="Times New Roman"/>
                <w:sz w:val="24"/>
                <w:szCs w:val="24"/>
                <w:lang w:val="ro-RO"/>
              </w:rPr>
              <w:t>lanțului</w:t>
            </w:r>
            <w:r w:rsidRPr="00335B46">
              <w:rPr>
                <w:rFonts w:ascii="Times New Roman" w:eastAsia="Times New Roman" w:hAnsi="Times New Roman"/>
                <w:sz w:val="24"/>
                <w:szCs w:val="24"/>
                <w:lang w:val="ro-RO"/>
              </w:rPr>
              <w:t xml:space="preserve"> valoric în agricultura </w:t>
            </w:r>
            <w:r w:rsidR="009419A1" w:rsidRPr="00335B46">
              <w:rPr>
                <w:rFonts w:ascii="Times New Roman" w:eastAsia="Times New Roman" w:hAnsi="Times New Roman"/>
                <w:sz w:val="24"/>
                <w:szCs w:val="24"/>
                <w:lang w:val="ro-RO"/>
              </w:rPr>
              <w:t>ecologică</w:t>
            </w:r>
            <w:r w:rsidRPr="00335B46">
              <w:rPr>
                <w:rFonts w:ascii="Times New Roman" w:eastAsia="Times New Roman" w:hAnsi="Times New Roman"/>
                <w:sz w:val="24"/>
                <w:szCs w:val="24"/>
                <w:lang w:val="ro-RO"/>
              </w:rPr>
              <w:t xml:space="preserve"> din Moldova</w:t>
            </w:r>
            <w:r w:rsidR="00AB04A8" w:rsidRPr="00335B46">
              <w:rPr>
                <w:rFonts w:ascii="Times New Roman" w:eastAsia="Times New Roman" w:hAnsi="Times New Roman"/>
                <w:sz w:val="24"/>
                <w:szCs w:val="24"/>
                <w:lang w:val="ro-RO"/>
              </w:rPr>
              <w:t>” (MOVCA)</w:t>
            </w:r>
            <w:r w:rsidRPr="00335B46">
              <w:rPr>
                <w:rFonts w:ascii="Times New Roman" w:eastAsia="Times New Roman" w:hAnsi="Times New Roman"/>
                <w:sz w:val="24"/>
                <w:szCs w:val="24"/>
                <w:lang w:val="ro-RO"/>
              </w:rPr>
              <w:t xml:space="preserve"> </w:t>
            </w:r>
          </w:p>
          <w:p w:rsidR="009419A1" w:rsidRPr="00335B46" w:rsidRDefault="009419A1" w:rsidP="008E6805">
            <w:pPr>
              <w:ind w:firstLine="0"/>
              <w:rPr>
                <w:rFonts w:ascii="Times New Roman" w:eastAsia="Times New Roman" w:hAnsi="Times New Roman"/>
                <w:i/>
                <w:sz w:val="24"/>
                <w:szCs w:val="24"/>
                <w:lang w:val="ro-RO"/>
              </w:rPr>
            </w:pPr>
            <w:r w:rsidRPr="00335B46">
              <w:rPr>
                <w:rFonts w:ascii="Times New Roman" w:eastAsia="Times New Roman" w:hAnsi="Times New Roman"/>
                <w:i/>
                <w:sz w:val="24"/>
                <w:szCs w:val="24"/>
                <w:lang w:val="ro-RO"/>
              </w:rPr>
              <w:t>Nr. 190 din 07.11.2024</w:t>
            </w:r>
          </w:p>
        </w:tc>
        <w:tc>
          <w:tcPr>
            <w:tcW w:w="1134"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A64C33" w:rsidRPr="00335B46" w:rsidRDefault="00790F5E" w:rsidP="00884679">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1</w:t>
            </w:r>
          </w:p>
        </w:tc>
        <w:tc>
          <w:tcPr>
            <w:tcW w:w="6662"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rsidR="00A64C33" w:rsidRPr="00335B46" w:rsidRDefault="00790F5E" w:rsidP="00AB04A8">
            <w:pP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Asociația obștească a lanțului valoric în agricultura ecologică din Moldova </w:t>
            </w:r>
            <w:r w:rsidR="00AB04A8" w:rsidRPr="00335B46">
              <w:rPr>
                <w:rFonts w:ascii="Times New Roman" w:eastAsia="Times New Roman" w:hAnsi="Times New Roman"/>
                <w:sz w:val="24"/>
                <w:szCs w:val="24"/>
                <w:lang w:val="ro-RO"/>
              </w:rPr>
              <w:t xml:space="preserve">susține </w:t>
            </w:r>
            <w:r w:rsidRPr="00335B46">
              <w:rPr>
                <w:rFonts w:ascii="Times New Roman" w:eastAsia="Times New Roman" w:hAnsi="Times New Roman"/>
                <w:sz w:val="24"/>
                <w:szCs w:val="24"/>
                <w:lang w:val="ro-RO"/>
              </w:rPr>
              <w:t xml:space="preserve">ferm modificările propuse pentru HG nr, 774/2016 și solicită ca acestea referitoare la produsele ecologice, să intre în vigoare imediat după publicarea in Monitorul Oficial. </w:t>
            </w:r>
            <w:r w:rsidR="00EB693F" w:rsidRPr="00335B46">
              <w:rPr>
                <w:rFonts w:ascii="Times New Roman" w:eastAsia="Times New Roman" w:hAnsi="Times New Roman"/>
                <w:sz w:val="24"/>
                <w:szCs w:val="24"/>
                <w:lang w:val="ro-RO"/>
              </w:rPr>
              <w:t>Argumentele</w:t>
            </w:r>
            <w:r w:rsidR="009344BE" w:rsidRPr="00335B46">
              <w:rPr>
                <w:rFonts w:ascii="Times New Roman" w:eastAsia="Times New Roman" w:hAnsi="Times New Roman"/>
                <w:sz w:val="24"/>
                <w:szCs w:val="24"/>
                <w:lang w:val="ro-RO"/>
              </w:rPr>
              <w:t xml:space="preserve"> în susținerea acestei solicitări sunt detaliate ,mai jos:</w:t>
            </w:r>
          </w:p>
          <w:p w:rsidR="009344BE" w:rsidRPr="00335B46" w:rsidRDefault="009344BE" w:rsidP="00EB693F">
            <w:pPr>
              <w:pStyle w:val="Listparagraf"/>
              <w:numPr>
                <w:ilvl w:val="0"/>
                <w:numId w:val="44"/>
              </w:numPr>
              <w:pBdr>
                <w:top w:val="none" w:sz="4" w:space="0" w:color="000000"/>
                <w:left w:val="none" w:sz="4" w:space="0" w:color="000000"/>
                <w:bottom w:val="none" w:sz="4" w:space="0" w:color="000000"/>
                <w:right w:val="none" w:sz="4" w:space="0" w:color="000000"/>
              </w:pBdr>
              <w:ind w:left="0" w:firstLine="525"/>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Protejarea accesului pe piață a făinurilor ecologice. De cinci </w:t>
            </w:r>
            <w:r w:rsidR="00234515" w:rsidRPr="00335B46">
              <w:rPr>
                <w:rFonts w:ascii="Times New Roman" w:eastAsia="Times New Roman" w:hAnsi="Times New Roman"/>
                <w:sz w:val="24"/>
                <w:szCs w:val="24"/>
                <w:lang w:val="ro-RO"/>
              </w:rPr>
              <w:t>luni făinurile</w:t>
            </w:r>
            <w:r w:rsidR="00FD2133" w:rsidRPr="00335B46">
              <w:rPr>
                <w:rFonts w:ascii="Times New Roman" w:eastAsia="Times New Roman" w:hAnsi="Times New Roman"/>
                <w:sz w:val="24"/>
                <w:szCs w:val="24"/>
                <w:lang w:val="ro-RO"/>
              </w:rPr>
              <w:t xml:space="preserve"> ecologice de alac și </w:t>
            </w:r>
            <w:proofErr w:type="spellStart"/>
            <w:r w:rsidR="00FD2133" w:rsidRPr="00335B46">
              <w:rPr>
                <w:rFonts w:ascii="Times New Roman" w:eastAsia="Times New Roman" w:hAnsi="Times New Roman"/>
                <w:sz w:val="24"/>
                <w:szCs w:val="24"/>
                <w:lang w:val="ro-RO"/>
              </w:rPr>
              <w:t>speltă</w:t>
            </w:r>
            <w:proofErr w:type="spellEnd"/>
            <w:r w:rsidR="00FD2133" w:rsidRPr="00335B46">
              <w:rPr>
                <w:rFonts w:ascii="Times New Roman" w:eastAsia="Times New Roman" w:hAnsi="Times New Roman"/>
                <w:sz w:val="24"/>
                <w:szCs w:val="24"/>
                <w:lang w:val="ro-RO"/>
              </w:rPr>
              <w:t xml:space="preserve"> produse cu costuri de producție ridicate și printr-un proces tehnologic complex, nu pot fi comercializate pe rafturile </w:t>
            </w:r>
            <w:r w:rsidR="00234515" w:rsidRPr="00335B46">
              <w:rPr>
                <w:rFonts w:ascii="Times New Roman" w:eastAsia="Times New Roman" w:hAnsi="Times New Roman"/>
                <w:sz w:val="24"/>
                <w:szCs w:val="24"/>
                <w:lang w:val="ro-RO"/>
              </w:rPr>
              <w:t>magazinelor</w:t>
            </w:r>
            <w:r w:rsidR="00FD2133" w:rsidRPr="00335B46">
              <w:rPr>
                <w:rFonts w:ascii="Times New Roman" w:eastAsia="Times New Roman" w:hAnsi="Times New Roman"/>
                <w:sz w:val="24"/>
                <w:szCs w:val="24"/>
                <w:lang w:val="ro-RO"/>
              </w:rPr>
              <w:t xml:space="preserve"> din cauza cerințelor de plafonare a prețurilor impuse de reglementările </w:t>
            </w:r>
            <w:r w:rsidR="00234515" w:rsidRPr="00335B46">
              <w:rPr>
                <w:rFonts w:ascii="Times New Roman" w:eastAsia="Times New Roman" w:hAnsi="Times New Roman"/>
                <w:sz w:val="24"/>
                <w:szCs w:val="24"/>
                <w:lang w:val="ro-RO"/>
              </w:rPr>
              <w:t>în vigoare. Aceasta împiedică stabilirea unui preț care să reflecte costurile reale de producție ale fermierilor.</w:t>
            </w:r>
          </w:p>
          <w:p w:rsidR="00234515" w:rsidRPr="00335B46" w:rsidRDefault="00234515" w:rsidP="00EB693F">
            <w:pPr>
              <w:pStyle w:val="Listparagraf"/>
              <w:numPr>
                <w:ilvl w:val="0"/>
                <w:numId w:val="44"/>
              </w:numPr>
              <w:pBdr>
                <w:top w:val="none" w:sz="4" w:space="0" w:color="000000"/>
                <w:left w:val="none" w:sz="4" w:space="0" w:color="000000"/>
                <w:bottom w:val="none" w:sz="4" w:space="0" w:color="000000"/>
                <w:right w:val="none" w:sz="4" w:space="0" w:color="000000"/>
              </w:pBdr>
              <w:ind w:left="0" w:firstLine="525"/>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Evi</w:t>
            </w:r>
            <w:r w:rsidR="00164232" w:rsidRPr="00335B46">
              <w:rPr>
                <w:rFonts w:ascii="Times New Roman" w:eastAsia="Times New Roman" w:hAnsi="Times New Roman"/>
                <w:sz w:val="24"/>
                <w:szCs w:val="24"/>
                <w:lang w:val="ro-RO"/>
              </w:rPr>
              <w:t>ta</w:t>
            </w:r>
            <w:r w:rsidRPr="00335B46">
              <w:rPr>
                <w:rFonts w:ascii="Times New Roman" w:eastAsia="Times New Roman" w:hAnsi="Times New Roman"/>
                <w:sz w:val="24"/>
                <w:szCs w:val="24"/>
                <w:lang w:val="ro-RO"/>
              </w:rPr>
              <w:t>re</w:t>
            </w:r>
            <w:r w:rsidR="00164232" w:rsidRPr="00335B46">
              <w:rPr>
                <w:rFonts w:ascii="Times New Roman" w:eastAsia="Times New Roman" w:hAnsi="Times New Roman"/>
                <w:sz w:val="24"/>
                <w:szCs w:val="24"/>
                <w:lang w:val="ro-RO"/>
              </w:rPr>
              <w:t>a</w:t>
            </w:r>
            <w:r w:rsidRPr="00335B46">
              <w:rPr>
                <w:rFonts w:ascii="Times New Roman" w:eastAsia="Times New Roman" w:hAnsi="Times New Roman"/>
                <w:sz w:val="24"/>
                <w:szCs w:val="24"/>
                <w:lang w:val="ro-RO"/>
              </w:rPr>
              <w:t xml:space="preserve"> pierderilor pentru producătorii locali: în absența posibilității de a</w:t>
            </w:r>
            <w:r w:rsidR="006B3391" w:rsidRPr="00335B46">
              <w:rPr>
                <w:rFonts w:ascii="Times New Roman" w:eastAsia="Times New Roman" w:hAnsi="Times New Roman"/>
                <w:sz w:val="24"/>
                <w:szCs w:val="24"/>
                <w:lang w:val="ro-RO"/>
              </w:rPr>
              <w:t xml:space="preserve"> acoperi costurile de producție, producătorii de făinuri se confruntă cu pierderi semnificative. Este imperativ ca noile reglementări să intre în vigoare fără </w:t>
            </w:r>
            <w:r w:rsidR="00164232" w:rsidRPr="00335B46">
              <w:rPr>
                <w:rFonts w:ascii="Times New Roman" w:eastAsia="Times New Roman" w:hAnsi="Times New Roman"/>
                <w:sz w:val="24"/>
                <w:szCs w:val="24"/>
                <w:lang w:val="ro-RO"/>
              </w:rPr>
              <w:t>întârziere</w:t>
            </w:r>
            <w:r w:rsidR="006B3391" w:rsidRPr="00335B46">
              <w:rPr>
                <w:rFonts w:ascii="Times New Roman" w:eastAsia="Times New Roman" w:hAnsi="Times New Roman"/>
                <w:sz w:val="24"/>
                <w:szCs w:val="24"/>
                <w:lang w:val="ro-RO"/>
              </w:rPr>
              <w:t xml:space="preserve">, pentru ca </w:t>
            </w:r>
            <w:r w:rsidR="00164232" w:rsidRPr="00335B46">
              <w:rPr>
                <w:rFonts w:ascii="Times New Roman" w:eastAsia="Times New Roman" w:hAnsi="Times New Roman"/>
                <w:sz w:val="24"/>
                <w:szCs w:val="24"/>
                <w:lang w:val="ro-RO"/>
              </w:rPr>
              <w:t>acești</w:t>
            </w:r>
            <w:r w:rsidR="006B3391" w:rsidRPr="00335B46">
              <w:rPr>
                <w:rFonts w:ascii="Times New Roman" w:eastAsia="Times New Roman" w:hAnsi="Times New Roman"/>
                <w:sz w:val="24"/>
                <w:szCs w:val="24"/>
                <w:lang w:val="ro-RO"/>
              </w:rPr>
              <w:t xml:space="preserve"> producători să poată accesa piața </w:t>
            </w:r>
            <w:r w:rsidR="00164232" w:rsidRPr="00335B46">
              <w:rPr>
                <w:rFonts w:ascii="Times New Roman" w:eastAsia="Times New Roman" w:hAnsi="Times New Roman"/>
                <w:sz w:val="24"/>
                <w:szCs w:val="24"/>
                <w:lang w:val="ro-RO"/>
              </w:rPr>
              <w:t>cu produse de înaltă calitate și să își susțină activitățile economice.</w:t>
            </w:r>
          </w:p>
          <w:p w:rsidR="00164232" w:rsidRPr="00335B46" w:rsidRDefault="00164232" w:rsidP="00EB693F">
            <w:pPr>
              <w:pStyle w:val="Listparagraf"/>
              <w:numPr>
                <w:ilvl w:val="0"/>
                <w:numId w:val="44"/>
              </w:numPr>
              <w:pBdr>
                <w:top w:val="none" w:sz="4" w:space="0" w:color="000000"/>
                <w:left w:val="none" w:sz="4" w:space="0" w:color="000000"/>
                <w:bottom w:val="none" w:sz="4" w:space="0" w:color="000000"/>
                <w:right w:val="none" w:sz="4" w:space="0" w:color="000000"/>
              </w:pBdr>
              <w:ind w:left="0" w:firstLine="525"/>
              <w:rPr>
                <w:rFonts w:ascii="Times New Roman" w:hAnsi="Times New Roman"/>
                <w:sz w:val="24"/>
                <w:szCs w:val="24"/>
                <w:lang w:val="ro-RO"/>
              </w:rPr>
            </w:pPr>
            <w:r w:rsidRPr="00335B46">
              <w:rPr>
                <w:rFonts w:ascii="Times New Roman" w:eastAsia="Times New Roman" w:hAnsi="Times New Roman"/>
                <w:sz w:val="24"/>
                <w:szCs w:val="24"/>
                <w:lang w:val="ro-RO"/>
              </w:rPr>
              <w:lastRenderedPageBreak/>
              <w:t xml:space="preserve">Limitarea </w:t>
            </w:r>
            <w:r w:rsidR="00EB013F" w:rsidRPr="00335B46">
              <w:rPr>
                <w:rFonts w:ascii="Times New Roman" w:eastAsia="Times New Roman" w:hAnsi="Times New Roman"/>
                <w:sz w:val="24"/>
                <w:szCs w:val="24"/>
                <w:lang w:val="ro-RO"/>
              </w:rPr>
              <w:t xml:space="preserve">alterării produselor ecologice: Având în vedere că făinurile ecologice au o durată de valabilitate limitată și sunt </w:t>
            </w:r>
            <w:r w:rsidR="00EB693F" w:rsidRPr="00335B46">
              <w:rPr>
                <w:rFonts w:ascii="Times New Roman" w:eastAsia="Times New Roman" w:hAnsi="Times New Roman"/>
                <w:sz w:val="24"/>
                <w:szCs w:val="24"/>
                <w:lang w:val="ro-RO"/>
              </w:rPr>
              <w:t>susceptibile</w:t>
            </w:r>
            <w:r w:rsidR="00EB013F" w:rsidRPr="00335B46">
              <w:rPr>
                <w:rFonts w:ascii="Times New Roman" w:eastAsia="Times New Roman" w:hAnsi="Times New Roman"/>
                <w:sz w:val="24"/>
                <w:szCs w:val="24"/>
                <w:lang w:val="ro-RO"/>
              </w:rPr>
              <w:t xml:space="preserve"> </w:t>
            </w:r>
            <w:r w:rsidR="00EB693F" w:rsidRPr="00335B46">
              <w:rPr>
                <w:rFonts w:ascii="Times New Roman" w:eastAsia="Times New Roman" w:hAnsi="Times New Roman"/>
                <w:sz w:val="24"/>
                <w:szCs w:val="24"/>
                <w:lang w:val="ro-RO"/>
              </w:rPr>
              <w:t>la alterare, implementarea imediată a noilor reglementări este esențială pentru a preveni pierderile de stoc și de a asigura disponibilitatea acestor produse pe piață pentru consumatori.</w:t>
            </w:r>
          </w:p>
        </w:tc>
        <w:tc>
          <w:tcPr>
            <w:tcW w:w="2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64C33" w:rsidRPr="00335B46" w:rsidRDefault="00CC07C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lastRenderedPageBreak/>
              <w:t>Se acceptă</w:t>
            </w:r>
          </w:p>
        </w:tc>
      </w:tr>
      <w:tr w:rsidR="00EA18AC" w:rsidRPr="00335B46" w:rsidTr="009A41B0">
        <w:trPr>
          <w:trHeight w:val="6606"/>
        </w:trPr>
        <w:tc>
          <w:tcPr>
            <w:tcW w:w="3251" w:type="dxa"/>
            <w:vMerge w:val="restart"/>
            <w:tcBorders>
              <w:top w:val="none" w:sz="4" w:space="0" w:color="000000"/>
              <w:left w:val="single" w:sz="8" w:space="0" w:color="000000"/>
              <w:right w:val="single" w:sz="4" w:space="0" w:color="auto"/>
            </w:tcBorders>
            <w:tcMar>
              <w:top w:w="0" w:type="dxa"/>
              <w:left w:w="108" w:type="dxa"/>
              <w:bottom w:w="0" w:type="dxa"/>
              <w:right w:w="108" w:type="dxa"/>
            </w:tcMar>
          </w:tcPr>
          <w:p w:rsidR="00EA18AC" w:rsidRPr="00335B46" w:rsidRDefault="00EA18AC" w:rsidP="009419A1">
            <w:pP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Grupul de lucru al Comisiei de Stat pentru Reglementarea Activității de Întreprinzător</w:t>
            </w:r>
          </w:p>
          <w:p w:rsidR="00EA18AC" w:rsidRPr="00335B46" w:rsidRDefault="00EA18AC" w:rsidP="00EE6D35">
            <w:pPr>
              <w:ind w:firstLine="0"/>
              <w:rPr>
                <w:rFonts w:ascii="Times New Roman" w:hAnsi="Times New Roman"/>
                <w:i/>
                <w:sz w:val="24"/>
                <w:szCs w:val="24"/>
                <w:lang w:val="ro-RO"/>
              </w:rPr>
            </w:pPr>
            <w:r w:rsidRPr="00335B46">
              <w:rPr>
                <w:rFonts w:ascii="Times New Roman" w:eastAsia="Times New Roman" w:hAnsi="Times New Roman"/>
                <w:i/>
                <w:sz w:val="24"/>
                <w:szCs w:val="24"/>
                <w:lang w:val="ro-RO"/>
              </w:rPr>
              <w:t>Nr. 38-78-12578 din 15.11.2024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18AC" w:rsidRPr="00335B46" w:rsidRDefault="00EA18AC" w:rsidP="008846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35B46">
              <w:rPr>
                <w:rFonts w:ascii="Times New Roman" w:hAnsi="Times New Roman"/>
                <w:sz w:val="24"/>
                <w:szCs w:val="24"/>
                <w:lang w:val="ro-RO"/>
              </w:rPr>
              <w:t>1</w:t>
            </w:r>
          </w:p>
          <w:p w:rsidR="00EA18AC" w:rsidRPr="00335B46" w:rsidRDefault="00EA18AC" w:rsidP="008846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18AC" w:rsidRPr="00335B46" w:rsidRDefault="00EA18AC" w:rsidP="00EE6D35">
            <w:pPr>
              <w:tabs>
                <w:tab w:val="left" w:pos="1620"/>
              </w:tabs>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În secțiunea 2.2. deși sunt identificate problemele cel mai mult text ține doar de o problemă - impactul negativ al reglementării de preț asupra producătorilor ecologici. Produsele ecologice sunt incluse în lista produselor social importante, fiind supuse acelorași limite de preț ca produsele convenționale. Aceasta creează dificultăți economice pentru producătorii ecologici, care suportă costuri de producție cu 126%-299% mai mari decât cei din agricultura convențională și din cauza acestor constrângeri, producătorii sunt descurajați să investească în procesare și extindere, ceea ce limitează oferta de produse ecologice pe piața locală și reduce accesul consumatorilor la astfel de produse.</w:t>
            </w:r>
          </w:p>
          <w:p w:rsidR="00EA18AC" w:rsidRPr="00335B46" w:rsidRDefault="00EA18AC" w:rsidP="00AB04A8">
            <w:pP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Cu referință la problema legată de uleiul dezodorizat și necesitatea limitării prețului este necesar să fie descrisă clar, în secțiunea 2.2: situația actuală pe piața uleiului dezodorizat, prețurile actuale și variațiile de pe piață; care e problema și argumentarea limitării prețului, adică descrierea clară a situației curente pe piață pentru uleiul dezodorizat cu explicarea faptului că acest tip de ulei este un produs social important deoarece limitarea adaosului comercial poate afecta profitabilitatea pentru comercianți și importatori, care au costuri semnificative pentru achiziția și transportul uleiului.; o prezentare a fluctuațiilor de preț la uleiul dezodorizat din trecut, mai ales în perioade de criză economică, pentru a justifica sensibilitatea acestui produs la instabilitate. În aceasta secțiune lipsește orice argumentare pentru excluderea din anexa HG nr.774/2016 a punctelor 14, 15 și 16.</w:t>
            </w:r>
          </w:p>
        </w:tc>
        <w:tc>
          <w:tcPr>
            <w:tcW w:w="2835" w:type="dxa"/>
            <w:tcBorders>
              <w:top w:val="none" w:sz="4" w:space="0" w:color="000000"/>
              <w:left w:val="single" w:sz="4" w:space="0" w:color="auto"/>
              <w:bottom w:val="single" w:sz="4" w:space="0" w:color="auto"/>
              <w:right w:val="single" w:sz="8" w:space="0" w:color="000000"/>
            </w:tcBorders>
            <w:tcMar>
              <w:top w:w="0" w:type="dxa"/>
              <w:left w:w="108" w:type="dxa"/>
              <w:bottom w:w="0" w:type="dxa"/>
              <w:right w:w="108" w:type="dxa"/>
            </w:tcMar>
          </w:tcPr>
          <w:p w:rsidR="00EA18AC" w:rsidRPr="00335B46" w:rsidRDefault="0043276F" w:rsidP="0043276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335B46">
              <w:rPr>
                <w:rFonts w:ascii="Times New Roman" w:hAnsi="Times New Roman"/>
                <w:sz w:val="24"/>
                <w:szCs w:val="24"/>
                <w:lang w:val="ro-RO"/>
              </w:rPr>
              <w:t>Se acceptă</w:t>
            </w:r>
          </w:p>
        </w:tc>
      </w:tr>
      <w:tr w:rsidR="00AA3CDC" w:rsidRPr="00335B46" w:rsidTr="009A41B0">
        <w:trPr>
          <w:trHeight w:val="558"/>
        </w:trPr>
        <w:tc>
          <w:tcPr>
            <w:tcW w:w="3251" w:type="dxa"/>
            <w:vMerge/>
            <w:tcBorders>
              <w:left w:val="single" w:sz="8" w:space="0" w:color="000000"/>
              <w:right w:val="single" w:sz="4" w:space="0" w:color="auto"/>
            </w:tcBorders>
            <w:tcMar>
              <w:top w:w="0" w:type="dxa"/>
              <w:left w:w="108" w:type="dxa"/>
              <w:bottom w:w="0" w:type="dxa"/>
              <w:right w:w="108" w:type="dxa"/>
            </w:tcMar>
          </w:tcPr>
          <w:p w:rsidR="00AA3CDC" w:rsidRPr="00335B46" w:rsidRDefault="00AA3CDC" w:rsidP="009419A1">
            <w:pPr>
              <w:rPr>
                <w:rFonts w:ascii="Times New Roman" w:hAnsi="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CDC" w:rsidRPr="00335B46" w:rsidRDefault="00D55E4E" w:rsidP="008846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2</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CDC" w:rsidRPr="00335B46" w:rsidRDefault="00A50473" w:rsidP="00AB04A8">
            <w:pP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În p.3.1. din notă obiectivele sunt enunțate, dar nu sunt specificate clar în termeni de rezultate măsurabile. Conform Metodologiei AIR, obiectivele trebuie să fie măsurabile, realiste, </w:t>
            </w:r>
            <w:r w:rsidRPr="00335B46">
              <w:rPr>
                <w:rFonts w:ascii="Times New Roman" w:eastAsia="Times New Roman" w:hAnsi="Times New Roman"/>
                <w:sz w:val="24"/>
                <w:szCs w:val="24"/>
                <w:lang w:val="ro-RO"/>
              </w:rPr>
              <w:lastRenderedPageBreak/>
              <w:t>cuantificate și fixate în timp. Se recomandă de inclus obiective măsurabile, cum ar fi de exemplu „creșterea cu 20% a numărului de produse ecologice pe piața internă în următorii 3 ani” etc.</w:t>
            </w:r>
          </w:p>
        </w:tc>
        <w:tc>
          <w:tcPr>
            <w:tcW w:w="2835"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AA3CDC" w:rsidRPr="00335B46" w:rsidRDefault="00066852" w:rsidP="009E14D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335B46">
              <w:rPr>
                <w:rFonts w:ascii="Times New Roman" w:hAnsi="Times New Roman"/>
                <w:sz w:val="24"/>
                <w:szCs w:val="24"/>
                <w:lang w:val="ro-RO"/>
              </w:rPr>
              <w:lastRenderedPageBreak/>
              <w:t xml:space="preserve">Se </w:t>
            </w:r>
            <w:r w:rsidR="004D7480" w:rsidRPr="00335B46">
              <w:rPr>
                <w:rFonts w:ascii="Times New Roman" w:hAnsi="Times New Roman"/>
                <w:sz w:val="24"/>
                <w:szCs w:val="24"/>
                <w:lang w:val="ro-RO"/>
              </w:rPr>
              <w:t>acceptă</w:t>
            </w:r>
          </w:p>
        </w:tc>
      </w:tr>
      <w:tr w:rsidR="00AA3CDC" w:rsidRPr="00335B46" w:rsidTr="009A41B0">
        <w:trPr>
          <w:trHeight w:val="558"/>
        </w:trPr>
        <w:tc>
          <w:tcPr>
            <w:tcW w:w="3251" w:type="dxa"/>
            <w:vMerge/>
            <w:tcBorders>
              <w:left w:val="single" w:sz="8" w:space="0" w:color="000000"/>
              <w:right w:val="single" w:sz="4" w:space="0" w:color="auto"/>
            </w:tcBorders>
            <w:tcMar>
              <w:top w:w="0" w:type="dxa"/>
              <w:left w:w="108" w:type="dxa"/>
              <w:bottom w:w="0" w:type="dxa"/>
              <w:right w:w="108" w:type="dxa"/>
            </w:tcMar>
          </w:tcPr>
          <w:p w:rsidR="00AA3CDC" w:rsidRPr="00335B46" w:rsidRDefault="00AA3CDC" w:rsidP="009419A1">
            <w:pPr>
              <w:rPr>
                <w:rFonts w:ascii="Times New Roman" w:hAnsi="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CDC" w:rsidRPr="00335B46" w:rsidRDefault="00D55E4E" w:rsidP="008846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3</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CDC" w:rsidRPr="00335B46" w:rsidRDefault="00A50473" w:rsidP="00AB04A8">
            <w:pP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În p.3.2. se recomandă de a analiza opțiuni alternative cum ar fi - acordarea ajutorului social păturilor defavorizate ale populației. La momentul promovării în 2016 de către Ministerul Economiei a HG nr.774/2016 autorii au menționat în Nota Informativă că a fost creat un grup de lucru interdepartamental pentru evaluarea mecanismului de reglementare a prețurilor și ”ca rezultat al generalizării propunerilor înaintate din partea membrilor grupului vizat, inclusiv organele de control, s-a constatat existența opiniilor diferite cu referință la menținerea și/sau anularea instrumentelor de reglementare a prețurilor la PSI. Astfel, unele instituții optează pentru plafonarea adaosului comercial la vânzarea produselor social importante, fiind cea mai eficientă pârghie de moment pentru stabilitatea prețurilor, alții propun anularea instrumentelor de reglementare a prețurilor cu acordarea ajutorului social păturilor defavorizate ale populației. În această ordine de idei, menționăm, că urmare analizei indicatorilor </w:t>
            </w:r>
            <w:proofErr w:type="spellStart"/>
            <w:r w:rsidRPr="00335B46">
              <w:rPr>
                <w:rFonts w:ascii="Times New Roman" w:eastAsia="Times New Roman" w:hAnsi="Times New Roman"/>
                <w:sz w:val="24"/>
                <w:szCs w:val="24"/>
                <w:lang w:val="ro-RO"/>
              </w:rPr>
              <w:t>socio</w:t>
            </w:r>
            <w:proofErr w:type="spellEnd"/>
            <w:r w:rsidRPr="00335B46">
              <w:rPr>
                <w:rFonts w:ascii="Times New Roman" w:eastAsia="Times New Roman" w:hAnsi="Times New Roman"/>
                <w:sz w:val="24"/>
                <w:szCs w:val="24"/>
                <w:lang w:val="ro-RO"/>
              </w:rPr>
              <w:t>-economici de dezvoltare a țării, s-a convenit ca conceptul de tranziție de la instrumentele de reglementare a prețurilor pentru PSI la consolidarea mecanismelor de acordare a ajutorului social să includă două etape de aplicare: excluderea normativului de rentabilitate la fabricarea PSI cu menținerea plafonării adaosului comercial la vânzarea acestora (proiectul respectiv) și ulterior – anularea reglementării adaosului comercial cu stabilirea unui mecanism viabil de acordare a ajutorului social unor categorii de consumatori pentru procurarea produselor alimentare de cerere curentă”. În acest context este recomandabil de a descrie și această abordare alternativă în prezenta analiză de impact.</w:t>
            </w:r>
          </w:p>
        </w:tc>
        <w:tc>
          <w:tcPr>
            <w:tcW w:w="283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rsidR="00AA3CDC" w:rsidRPr="00335B46" w:rsidRDefault="004D748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335B46">
              <w:rPr>
                <w:rFonts w:ascii="Times New Roman" w:hAnsi="Times New Roman"/>
                <w:sz w:val="24"/>
                <w:szCs w:val="24"/>
                <w:lang w:val="ro-RO"/>
              </w:rPr>
              <w:t>Se acceptă</w:t>
            </w:r>
          </w:p>
        </w:tc>
      </w:tr>
      <w:tr w:rsidR="00AA3CDC" w:rsidRPr="00335B46" w:rsidTr="009A41B0">
        <w:trPr>
          <w:trHeight w:val="558"/>
        </w:trPr>
        <w:tc>
          <w:tcPr>
            <w:tcW w:w="3251" w:type="dxa"/>
            <w:vMerge/>
            <w:tcBorders>
              <w:left w:val="single" w:sz="8" w:space="0" w:color="000000"/>
              <w:right w:val="single" w:sz="4" w:space="0" w:color="auto"/>
            </w:tcBorders>
            <w:tcMar>
              <w:top w:w="0" w:type="dxa"/>
              <w:left w:w="108" w:type="dxa"/>
              <w:bottom w:w="0" w:type="dxa"/>
              <w:right w:w="108" w:type="dxa"/>
            </w:tcMar>
          </w:tcPr>
          <w:p w:rsidR="00AA3CDC" w:rsidRPr="00335B46" w:rsidRDefault="00AA3CDC" w:rsidP="009419A1">
            <w:pPr>
              <w:rPr>
                <w:rFonts w:ascii="Times New Roman" w:hAnsi="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CDC" w:rsidRPr="00335B46" w:rsidRDefault="00D55E4E" w:rsidP="008846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4</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CDC" w:rsidRPr="00335B46" w:rsidRDefault="00A50473" w:rsidP="00AB04A8">
            <w:pP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Secțiunea 4.3 oferă o descriere generală a impactului asupra sectorului privat, însă analiza este incompletă și nu respectă pe deplin cerințele Metodologiei AIR deoarece lipsește cuantificarea impactului economic. Astfel se menționează că excluderea </w:t>
            </w:r>
            <w:r w:rsidRPr="00335B46">
              <w:rPr>
                <w:rFonts w:ascii="Times New Roman" w:eastAsia="Times New Roman" w:hAnsi="Times New Roman"/>
                <w:sz w:val="24"/>
                <w:szCs w:val="24"/>
                <w:lang w:val="ro-RO"/>
              </w:rPr>
              <w:lastRenderedPageBreak/>
              <w:t xml:space="preserve">produselor ecologice din reglementarea prețurilor ar motiva dezvoltarea afacerilor și a unităților de procesare, însă nu există date concrete sau estimări financiare care să arate cât de mare ar fi acest efect. Ar trebui să fie incluse estimări privind creșterea veniturilor pentru producătorii ecologici sau procentul anticipat de creștere a investițiilor în procesare. La fel și pentru agenții economici care produc, importă sau comercializează produse care la fel se exclud din HG 774 (importatorii și comercianții de măști și mănuși medicale; produse </w:t>
            </w:r>
            <w:proofErr w:type="spellStart"/>
            <w:r w:rsidRPr="00335B46">
              <w:rPr>
                <w:rFonts w:ascii="Times New Roman" w:eastAsia="Times New Roman" w:hAnsi="Times New Roman"/>
                <w:sz w:val="24"/>
                <w:szCs w:val="24"/>
                <w:lang w:val="ro-RO"/>
              </w:rPr>
              <w:t>biocide</w:t>
            </w:r>
            <w:proofErr w:type="spellEnd"/>
            <w:r w:rsidRPr="00335B46">
              <w:rPr>
                <w:rFonts w:ascii="Times New Roman" w:eastAsia="Times New Roman" w:hAnsi="Times New Roman"/>
                <w:sz w:val="24"/>
                <w:szCs w:val="24"/>
                <w:lang w:val="ro-RO"/>
              </w:rPr>
              <w:t xml:space="preserve"> și dezinfectanți). În ceea ce ține uleiul dezodorizat, se menționează posibilitatea reducerii profitului pentru importatori și comercianți, dar nu există o cuantificare a pierderilor potențiale. De exemplu, ar trebui prezentată o estimare procentuală a reducerii profitului pe baza datelor istorice de preț și adaos comercial.</w:t>
            </w:r>
          </w:p>
        </w:tc>
        <w:tc>
          <w:tcPr>
            <w:tcW w:w="283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rsidR="00AA3CDC" w:rsidRPr="00335B46" w:rsidRDefault="00335B4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335B46">
              <w:rPr>
                <w:rFonts w:ascii="Times New Roman" w:hAnsi="Times New Roman"/>
                <w:sz w:val="24"/>
                <w:szCs w:val="24"/>
                <w:lang w:val="ro-RO"/>
              </w:rPr>
              <w:lastRenderedPageBreak/>
              <w:t>Se acceptă</w:t>
            </w:r>
          </w:p>
        </w:tc>
      </w:tr>
      <w:tr w:rsidR="00AA3CDC" w:rsidRPr="00335B46" w:rsidTr="009A41B0">
        <w:trPr>
          <w:trHeight w:val="558"/>
        </w:trPr>
        <w:tc>
          <w:tcPr>
            <w:tcW w:w="3251" w:type="dxa"/>
            <w:vMerge/>
            <w:tcBorders>
              <w:left w:val="single" w:sz="8" w:space="0" w:color="000000"/>
              <w:bottom w:val="single" w:sz="8" w:space="0" w:color="000000"/>
              <w:right w:val="single" w:sz="4" w:space="0" w:color="auto"/>
            </w:tcBorders>
            <w:tcMar>
              <w:top w:w="0" w:type="dxa"/>
              <w:left w:w="108" w:type="dxa"/>
              <w:bottom w:w="0" w:type="dxa"/>
              <w:right w:w="108" w:type="dxa"/>
            </w:tcMar>
          </w:tcPr>
          <w:p w:rsidR="00AA3CDC" w:rsidRPr="00335B46" w:rsidRDefault="00AA3CDC" w:rsidP="009419A1">
            <w:pPr>
              <w:rPr>
                <w:rFonts w:ascii="Times New Roman" w:hAnsi="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CDC" w:rsidRPr="00335B46" w:rsidRDefault="00D55E4E" w:rsidP="00884679">
            <w:pPr>
              <w:pBdr>
                <w:top w:val="none" w:sz="4" w:space="0" w:color="000000"/>
                <w:left w:val="none" w:sz="4" w:space="0" w:color="000000"/>
                <w:bottom w:val="none" w:sz="4" w:space="0" w:color="000000"/>
                <w:right w:val="none" w:sz="4" w:space="0" w:color="000000"/>
              </w:pBdr>
              <w:ind w:firstLine="175"/>
              <w:rPr>
                <w:rFonts w:ascii="Times New Roman" w:hAnsi="Times New Roman"/>
                <w:sz w:val="24"/>
                <w:szCs w:val="24"/>
                <w:lang w:val="ro-RO"/>
              </w:rPr>
            </w:pPr>
            <w:r>
              <w:rPr>
                <w:rFonts w:ascii="Times New Roman" w:hAnsi="Times New Roman"/>
                <w:sz w:val="24"/>
                <w:szCs w:val="24"/>
                <w:lang w:val="ro-RO"/>
              </w:rPr>
              <w:t>5</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3CDC" w:rsidRPr="00335B46" w:rsidRDefault="00A50473" w:rsidP="00AB04A8">
            <w:pP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Secțiunea de consultare din nota de fundamentare trebuie să fie îmbunătățită pentru a respecta pe deplin cerințele Metodologiei analizei impactului de reglementare aprobată prin Hotărârea Guvernului nr. 574/2024, care prevede necesitatea de a include: identificarea clară a părților interesate și a modului în care acestea sunt afectate; descrierea detaliată a procesului de consultare, cu menționarea metodelor utilizate; prezentarea succintă a opiniei părților interesate primite și a modului în care acesta a influențat normele din proiect; date statistice despre participare, cu detalii despre contribuțiile integrate în actul normativ</w:t>
            </w:r>
            <w:r w:rsidR="002A59CD" w:rsidRPr="00335B46">
              <w:rPr>
                <w:rFonts w:ascii="Times New Roman" w:eastAsia="Times New Roman" w:hAnsi="Times New Roman"/>
                <w:sz w:val="24"/>
                <w:szCs w:val="24"/>
                <w:lang w:val="ro-RO"/>
              </w:rPr>
              <w:t>.</w:t>
            </w:r>
          </w:p>
        </w:tc>
        <w:tc>
          <w:tcPr>
            <w:tcW w:w="2835"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rsidR="00AA3CDC" w:rsidRPr="00335B46" w:rsidRDefault="00335B4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335B46">
              <w:rPr>
                <w:rFonts w:ascii="Times New Roman" w:hAnsi="Times New Roman"/>
                <w:sz w:val="24"/>
                <w:szCs w:val="24"/>
                <w:lang w:val="ro-RO"/>
              </w:rPr>
              <w:t xml:space="preserve">Se acceptă </w:t>
            </w:r>
          </w:p>
        </w:tc>
      </w:tr>
      <w:tr w:rsidR="00A64C33" w:rsidRPr="00335B46" w:rsidTr="009A41B0">
        <w:trPr>
          <w:trHeight w:val="558"/>
        </w:trPr>
        <w:tc>
          <w:tcPr>
            <w:tcW w:w="32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64C33" w:rsidRPr="00335B46" w:rsidRDefault="00CC07C9" w:rsidP="008A2112">
            <w:pPr>
              <w:pBdr>
                <w:top w:val="none" w:sz="4" w:space="0" w:color="000000"/>
                <w:left w:val="none" w:sz="4" w:space="0" w:color="000000"/>
                <w:bottom w:val="none" w:sz="4" w:space="0" w:color="000000"/>
                <w:right w:val="none" w:sz="4" w:space="0" w:color="000000"/>
              </w:pBdr>
              <w:ind w:firstLine="733"/>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Plenul Consiliului Concurenței</w:t>
            </w:r>
          </w:p>
          <w:p w:rsidR="00CC07C9" w:rsidRPr="00335B46" w:rsidRDefault="00CC07C9" w:rsidP="008E6805">
            <w:pPr>
              <w:pBdr>
                <w:top w:val="none" w:sz="4" w:space="0" w:color="000000"/>
                <w:left w:val="none" w:sz="4" w:space="0" w:color="000000"/>
                <w:bottom w:val="none" w:sz="4" w:space="0" w:color="000000"/>
                <w:right w:val="none" w:sz="4" w:space="0" w:color="000000"/>
              </w:pBdr>
              <w:ind w:firstLine="24"/>
              <w:rPr>
                <w:rFonts w:ascii="Times New Roman" w:eastAsia="Times New Roman" w:hAnsi="Times New Roman"/>
                <w:i/>
                <w:sz w:val="24"/>
                <w:szCs w:val="24"/>
                <w:lang w:val="ro-RO"/>
              </w:rPr>
            </w:pPr>
            <w:r w:rsidRPr="00335B46">
              <w:rPr>
                <w:rFonts w:ascii="Times New Roman" w:eastAsia="Times New Roman" w:hAnsi="Times New Roman"/>
                <w:i/>
                <w:sz w:val="24"/>
                <w:szCs w:val="24"/>
                <w:lang w:val="ro-RO"/>
              </w:rPr>
              <w:t>Nr. DJ-06/761-1601 din 18</w:t>
            </w:r>
            <w:r w:rsidR="008E6805" w:rsidRPr="00335B46">
              <w:rPr>
                <w:rFonts w:ascii="Times New Roman" w:eastAsia="Times New Roman" w:hAnsi="Times New Roman"/>
                <w:i/>
                <w:sz w:val="24"/>
                <w:szCs w:val="24"/>
                <w:lang w:val="ro-RO"/>
              </w:rPr>
              <w:t>.11.</w:t>
            </w:r>
            <w:r w:rsidRPr="00335B46">
              <w:rPr>
                <w:rFonts w:ascii="Times New Roman" w:eastAsia="Times New Roman" w:hAnsi="Times New Roman"/>
                <w:i/>
                <w:sz w:val="24"/>
                <w:szCs w:val="24"/>
                <w:lang w:val="ro-RO"/>
              </w:rPr>
              <w:t>2024</w:t>
            </w:r>
          </w:p>
        </w:tc>
        <w:tc>
          <w:tcPr>
            <w:tcW w:w="1134"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A64C33" w:rsidRPr="00335B46" w:rsidRDefault="00E432F2" w:rsidP="00884679">
            <w:pPr>
              <w:pBdr>
                <w:top w:val="none" w:sz="4" w:space="0" w:color="000000"/>
                <w:left w:val="none" w:sz="4" w:space="0" w:color="000000"/>
                <w:bottom w:val="none" w:sz="4" w:space="0" w:color="000000"/>
                <w:right w:val="none" w:sz="4" w:space="0" w:color="000000"/>
              </w:pBdr>
              <w:ind w:firstLine="33"/>
              <w:rPr>
                <w:rFonts w:ascii="Times New Roman" w:eastAsia="Times New Roman" w:hAnsi="Times New Roman"/>
                <w:sz w:val="24"/>
                <w:szCs w:val="24"/>
                <w:lang w:val="ro-RO"/>
              </w:rPr>
            </w:pPr>
            <w:r>
              <w:rPr>
                <w:rFonts w:ascii="Times New Roman" w:eastAsia="Times New Roman" w:hAnsi="Times New Roman"/>
                <w:sz w:val="24"/>
                <w:szCs w:val="24"/>
                <w:lang w:val="ro-RO"/>
              </w:rPr>
              <w:t>1</w:t>
            </w:r>
          </w:p>
        </w:tc>
        <w:tc>
          <w:tcPr>
            <w:tcW w:w="6662" w:type="dxa"/>
            <w:tcBorders>
              <w:top w:val="single" w:sz="4" w:space="0" w:color="auto"/>
              <w:left w:val="none" w:sz="4" w:space="0" w:color="000000"/>
              <w:bottom w:val="single" w:sz="8" w:space="0" w:color="000000"/>
              <w:right w:val="single" w:sz="8" w:space="0" w:color="000000"/>
            </w:tcBorders>
            <w:tcMar>
              <w:top w:w="0" w:type="dxa"/>
              <w:left w:w="108" w:type="dxa"/>
              <w:bottom w:w="0" w:type="dxa"/>
              <w:right w:w="108" w:type="dxa"/>
            </w:tcMar>
          </w:tcPr>
          <w:p w:rsidR="00CC07C9" w:rsidRPr="00335B46" w:rsidRDefault="00CC07C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Plenul Consiliului Concurenței, în cadrul ședinței din 18 noiembrie 2024, a examinat, în temeiul prevederilor art. 39 lit. c) și art. 41 alin. (1) lit. d) ale Legii concurenței nr. 183/2012, proiectul de hotărâre pentru modificarea Hotărârii Guvernului nr. 774/2016 cu privire la prețurile de comercializare a produselor social importante (număr unic 955/MAIA/2024) și, în limitele competenței sale, comunică următoarele. </w:t>
            </w:r>
          </w:p>
          <w:p w:rsidR="00CC07C9" w:rsidRPr="00335B46" w:rsidRDefault="00CC07C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Ca excepție de la principiile de bază ale concurenței, art. 3 alin.(4) din Legea concurenței stabilește că Guvernul este în drept să dispună </w:t>
            </w:r>
            <w:proofErr w:type="spellStart"/>
            <w:r w:rsidRPr="00335B46">
              <w:rPr>
                <w:rFonts w:ascii="Times New Roman" w:eastAsia="Times New Roman" w:hAnsi="Times New Roman"/>
                <w:sz w:val="24"/>
                <w:szCs w:val="24"/>
                <w:lang w:val="ro-RO"/>
              </w:rPr>
              <w:t>şi</w:t>
            </w:r>
            <w:proofErr w:type="spellEnd"/>
            <w:r w:rsidRPr="00335B46">
              <w:rPr>
                <w:rFonts w:ascii="Times New Roman" w:eastAsia="Times New Roman" w:hAnsi="Times New Roman"/>
                <w:sz w:val="24"/>
                <w:szCs w:val="24"/>
                <w:lang w:val="ro-RO"/>
              </w:rPr>
              <w:t xml:space="preserve">/sau să aplice măsuri cu caracter temporar pentru a </w:t>
            </w:r>
            <w:r w:rsidRPr="00335B46">
              <w:rPr>
                <w:rFonts w:ascii="Times New Roman" w:eastAsia="Times New Roman" w:hAnsi="Times New Roman"/>
                <w:sz w:val="24"/>
                <w:szCs w:val="24"/>
                <w:lang w:val="ro-RO"/>
              </w:rPr>
              <w:lastRenderedPageBreak/>
              <w:t xml:space="preserve">împiedica sau chiar pentru a bloca </w:t>
            </w:r>
            <w:r w:rsidR="0095106B" w:rsidRPr="00335B46">
              <w:rPr>
                <w:rFonts w:ascii="Times New Roman" w:eastAsia="Times New Roman" w:hAnsi="Times New Roman"/>
                <w:sz w:val="24"/>
                <w:szCs w:val="24"/>
                <w:lang w:val="ro-RO"/>
              </w:rPr>
              <w:t>creșterea</w:t>
            </w:r>
            <w:r w:rsidRPr="00335B46">
              <w:rPr>
                <w:rFonts w:ascii="Times New Roman" w:eastAsia="Times New Roman" w:hAnsi="Times New Roman"/>
                <w:sz w:val="24"/>
                <w:szCs w:val="24"/>
                <w:lang w:val="ro-RO"/>
              </w:rPr>
              <w:t xml:space="preserve"> excesivă a </w:t>
            </w:r>
            <w:r w:rsidR="0095106B" w:rsidRPr="00335B46">
              <w:rPr>
                <w:rFonts w:ascii="Times New Roman" w:eastAsia="Times New Roman" w:hAnsi="Times New Roman"/>
                <w:sz w:val="24"/>
                <w:szCs w:val="24"/>
                <w:lang w:val="ro-RO"/>
              </w:rPr>
              <w:t>prețurilor</w:t>
            </w:r>
            <w:r w:rsidRPr="00335B46">
              <w:rPr>
                <w:rFonts w:ascii="Times New Roman" w:eastAsia="Times New Roman" w:hAnsi="Times New Roman"/>
                <w:sz w:val="24"/>
                <w:szCs w:val="24"/>
                <w:lang w:val="ro-RO"/>
              </w:rPr>
              <w:t xml:space="preserve"> pentru sectoarele economice în care </w:t>
            </w:r>
            <w:r w:rsidR="0095106B" w:rsidRPr="00335B46">
              <w:rPr>
                <w:rFonts w:ascii="Times New Roman" w:eastAsia="Times New Roman" w:hAnsi="Times New Roman"/>
                <w:sz w:val="24"/>
                <w:szCs w:val="24"/>
                <w:lang w:val="ro-RO"/>
              </w:rPr>
              <w:t>concurența</w:t>
            </w:r>
            <w:r w:rsidRPr="00335B46">
              <w:rPr>
                <w:rFonts w:ascii="Times New Roman" w:eastAsia="Times New Roman" w:hAnsi="Times New Roman"/>
                <w:sz w:val="24"/>
                <w:szCs w:val="24"/>
                <w:lang w:val="ro-RO"/>
              </w:rPr>
              <w:t xml:space="preserve"> este restrânsă sau nu există, precum </w:t>
            </w:r>
            <w:proofErr w:type="spellStart"/>
            <w:r w:rsidRPr="00335B46">
              <w:rPr>
                <w:rFonts w:ascii="Times New Roman" w:eastAsia="Times New Roman" w:hAnsi="Times New Roman"/>
                <w:sz w:val="24"/>
                <w:szCs w:val="24"/>
                <w:lang w:val="ro-RO"/>
              </w:rPr>
              <w:t>şi</w:t>
            </w:r>
            <w:proofErr w:type="spellEnd"/>
            <w:r w:rsidRPr="00335B46">
              <w:rPr>
                <w:rFonts w:ascii="Times New Roman" w:eastAsia="Times New Roman" w:hAnsi="Times New Roman"/>
                <w:sz w:val="24"/>
                <w:szCs w:val="24"/>
                <w:lang w:val="ro-RO"/>
              </w:rPr>
              <w:t xml:space="preserve"> în împrejurări </w:t>
            </w:r>
            <w:r w:rsidR="0095106B" w:rsidRPr="00335B46">
              <w:rPr>
                <w:rFonts w:ascii="Times New Roman" w:eastAsia="Times New Roman" w:hAnsi="Times New Roman"/>
                <w:sz w:val="24"/>
                <w:szCs w:val="24"/>
                <w:lang w:val="ro-RO"/>
              </w:rPr>
              <w:t>excepționale</w:t>
            </w:r>
            <w:r w:rsidRPr="00335B46">
              <w:rPr>
                <w:rFonts w:ascii="Times New Roman" w:eastAsia="Times New Roman" w:hAnsi="Times New Roman"/>
                <w:sz w:val="24"/>
                <w:szCs w:val="24"/>
                <w:lang w:val="ro-RO"/>
              </w:rPr>
              <w:t xml:space="preserve"> (cum ar fi: </w:t>
            </w:r>
            <w:r w:rsidR="0095106B" w:rsidRPr="00335B46">
              <w:rPr>
                <w:rFonts w:ascii="Times New Roman" w:eastAsia="Times New Roman" w:hAnsi="Times New Roman"/>
                <w:sz w:val="24"/>
                <w:szCs w:val="24"/>
                <w:lang w:val="ro-RO"/>
              </w:rPr>
              <w:t>situațiile</w:t>
            </w:r>
            <w:r w:rsidRPr="00335B46">
              <w:rPr>
                <w:rFonts w:ascii="Times New Roman" w:eastAsia="Times New Roman" w:hAnsi="Times New Roman"/>
                <w:sz w:val="24"/>
                <w:szCs w:val="24"/>
                <w:lang w:val="ro-RO"/>
              </w:rPr>
              <w:t xml:space="preserve"> de criză, dezechilibrul major dintre cerere </w:t>
            </w:r>
            <w:proofErr w:type="spellStart"/>
            <w:r w:rsidRPr="00335B46">
              <w:rPr>
                <w:rFonts w:ascii="Times New Roman" w:eastAsia="Times New Roman" w:hAnsi="Times New Roman"/>
                <w:sz w:val="24"/>
                <w:szCs w:val="24"/>
                <w:lang w:val="ro-RO"/>
              </w:rPr>
              <w:t>şi</w:t>
            </w:r>
            <w:proofErr w:type="spellEnd"/>
            <w:r w:rsidRPr="00335B46">
              <w:rPr>
                <w:rFonts w:ascii="Times New Roman" w:eastAsia="Times New Roman" w:hAnsi="Times New Roman"/>
                <w:sz w:val="24"/>
                <w:szCs w:val="24"/>
                <w:lang w:val="ro-RO"/>
              </w:rPr>
              <w:t xml:space="preserve"> ofertă). Aceste măsuri pot fi adoptate prin hotărâre de Guvern pe o perioadă de 6 luni, care poate fi prelungită succesiv pentru perioade de cel mult 3 luni, atât timp cât persistă împrejurările care au justificat hotărârea Guvernului. </w:t>
            </w:r>
          </w:p>
          <w:p w:rsidR="00A64C33" w:rsidRPr="00335B46" w:rsidRDefault="00CC07C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În context, considerăm oportun completarea proiectului cu prevederi prin care urmează să fie stabilit termenul de aplicabilitate a măsurilor instituite prin Hotărârea Guvernului nr. 774/2016 cu privire la prețurile de comercializare a produselor social importante, de plafonare a limitei adaosului comercial pentru produsele de primă necesitate din Lista produselor social importante.</w:t>
            </w:r>
          </w:p>
        </w:tc>
        <w:tc>
          <w:tcPr>
            <w:tcW w:w="2835"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4C33" w:rsidRPr="00335B46" w:rsidRDefault="00335B46">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lastRenderedPageBreak/>
              <w:t xml:space="preserve">Se acceptă parțial </w:t>
            </w:r>
          </w:p>
          <w:p w:rsidR="00335B46" w:rsidRPr="00335B46" w:rsidRDefault="00335B46" w:rsidP="00335B46">
            <w:pPr>
              <w:spacing w:line="269" w:lineRule="auto"/>
              <w:ind w:firstLine="0"/>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La aprobarea Hotărârii Guvernului 774/2016, conform notei informative, s-a convenit ca conceptul de tranziție de la instrumentele de reglementare a prețurilor pentru produsele social </w:t>
            </w:r>
            <w:r w:rsidRPr="00335B46">
              <w:rPr>
                <w:rFonts w:ascii="Times New Roman" w:eastAsia="Times New Roman" w:hAnsi="Times New Roman"/>
                <w:sz w:val="24"/>
                <w:szCs w:val="24"/>
                <w:lang w:val="ro-RO"/>
              </w:rPr>
              <w:lastRenderedPageBreak/>
              <w:t>importante să includă două etape de aplicare: excluderea normativului de rentabilitate la fabricarea produselor social importante cu menținerea plafonării adaosului comercial la vânzarea acestora și ulterior – anularea reglementării adaosului comercial cu stabilirea unui mecanism viabil de acordare a ajutorului social unor categorii de consumatori pentru procurarea produselor alimentare de cerere curentă.</w:t>
            </w:r>
          </w:p>
          <w:p w:rsidR="00335B46" w:rsidRPr="00335B46" w:rsidRDefault="00335B46" w:rsidP="00335B46">
            <w:pPr>
              <w:spacing w:line="269" w:lineRule="auto"/>
              <w:ind w:firstLine="0"/>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A doua etapă privind stabilirea unui mecanism viabil de acordare a ajutorului social unor categorii de consumatori pentru procurarea produselor alimentare de cerere curentă, rămâne valabilă, dar la moment nu este planificat elaborarea unul proiect în acest sens, iar la planificare este </w:t>
            </w:r>
            <w:r w:rsidRPr="00335B46">
              <w:rPr>
                <w:rFonts w:ascii="Times New Roman" w:eastAsia="Times New Roman" w:hAnsi="Times New Roman"/>
                <w:sz w:val="24"/>
                <w:szCs w:val="24"/>
                <w:lang w:val="ro-RO"/>
              </w:rPr>
              <w:lastRenderedPageBreak/>
              <w:t>necesar de implicat Ministerul muncii și protecției sociale, Ministerul Dezvoltării Economice și Digitalizării, Ministerul Finanțelor, inclusiv este necesar de planificat mijloace financiare în CBTM. Aceasta necesită timp, precum și efectuarea unor studii analiza care să argumenteze mijloacele financiare, fapt cere se va răsfrânge negativ asupra producătorilor cu activitate în agricultura ecologice, care și așa suportă cheltuieli considerabile.</w:t>
            </w:r>
          </w:p>
          <w:p w:rsidR="00335B46" w:rsidRPr="00335B46" w:rsidRDefault="00335B46" w:rsidP="00335B46">
            <w:pPr>
              <w:spacing w:line="269" w:lineRule="auto"/>
              <w:ind w:firstLine="0"/>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Odată cu planificarea elaborării unui act normativ care să pună în aplicare cea de a 2-a etapă a mecanismului menționat supra, va fi stabilit și un termen de aplicabilitate a Hotărârii Guvernului 774/2016.</w:t>
            </w:r>
          </w:p>
        </w:tc>
      </w:tr>
      <w:tr w:rsidR="00A64C33" w:rsidRPr="00335B46" w:rsidTr="009A41B0">
        <w:trPr>
          <w:trHeight w:val="558"/>
        </w:trPr>
        <w:tc>
          <w:tcPr>
            <w:tcW w:w="32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A2112" w:rsidRPr="00335B46" w:rsidRDefault="008A2112" w:rsidP="005D5C3B">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lastRenderedPageBreak/>
              <w:t xml:space="preserve">Ministerul Sănătății </w:t>
            </w:r>
          </w:p>
          <w:p w:rsidR="00A64C33" w:rsidRPr="00335B46" w:rsidRDefault="008A2112" w:rsidP="008A2112">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335B46">
              <w:rPr>
                <w:rFonts w:ascii="Times New Roman" w:eastAsia="Times New Roman" w:hAnsi="Times New Roman"/>
                <w:i/>
                <w:sz w:val="24"/>
                <w:szCs w:val="24"/>
                <w:lang w:val="ro-RO"/>
              </w:rPr>
              <w:t>Nr. 21/4309 din 19.11.2024</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64C33" w:rsidRPr="00335B46" w:rsidRDefault="00E432F2" w:rsidP="00884679">
            <w:pPr>
              <w:pBdr>
                <w:top w:val="none" w:sz="4" w:space="0" w:color="000000"/>
                <w:left w:val="none" w:sz="4" w:space="0" w:color="000000"/>
                <w:bottom w:val="none" w:sz="4" w:space="0" w:color="000000"/>
                <w:right w:val="none" w:sz="4" w:space="0" w:color="000000"/>
              </w:pBdr>
              <w:ind w:firstLine="33"/>
              <w:rPr>
                <w:rFonts w:ascii="Times New Roman" w:eastAsia="Times New Roman" w:hAnsi="Times New Roman"/>
                <w:sz w:val="24"/>
                <w:szCs w:val="24"/>
                <w:lang w:val="ro-RO"/>
              </w:rPr>
            </w:pPr>
            <w:r>
              <w:rPr>
                <w:rFonts w:ascii="Times New Roman" w:eastAsia="Times New Roman" w:hAnsi="Times New Roman"/>
                <w:sz w:val="24"/>
                <w:szCs w:val="24"/>
                <w:lang w:val="ro-RO"/>
              </w:rPr>
              <w:t>1</w:t>
            </w:r>
          </w:p>
        </w:tc>
        <w:tc>
          <w:tcPr>
            <w:tcW w:w="666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64C33" w:rsidRPr="00335B46" w:rsidRDefault="00F171DA" w:rsidP="008A2112">
            <w:pPr>
              <w:pBdr>
                <w:top w:val="none" w:sz="4" w:space="0" w:color="000000"/>
                <w:left w:val="none" w:sz="4" w:space="0" w:color="000000"/>
                <w:bottom w:val="none" w:sz="4" w:space="0" w:color="000000"/>
                <w:right w:val="none" w:sz="4" w:space="0" w:color="000000"/>
              </w:pBdr>
              <w:ind w:firstLine="667"/>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Comunică lipsa propunerilor și obiecțiilor la proiectul dat</w:t>
            </w:r>
          </w:p>
        </w:tc>
        <w:tc>
          <w:tcPr>
            <w:tcW w:w="2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64C33" w:rsidRPr="00335B46" w:rsidRDefault="00932720">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Se ia act </w:t>
            </w:r>
            <w:r w:rsidR="008A2112" w:rsidRPr="00335B46">
              <w:rPr>
                <w:rFonts w:ascii="Times New Roman" w:eastAsia="Times New Roman" w:hAnsi="Times New Roman"/>
                <w:sz w:val="24"/>
                <w:szCs w:val="24"/>
                <w:lang w:val="ro-RO"/>
              </w:rPr>
              <w:t>-</w:t>
            </w:r>
          </w:p>
        </w:tc>
      </w:tr>
      <w:tr w:rsidR="00A64C33" w:rsidRPr="00335B46" w:rsidTr="009A41B0">
        <w:trPr>
          <w:trHeight w:val="558"/>
        </w:trPr>
        <w:tc>
          <w:tcPr>
            <w:tcW w:w="32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64C33" w:rsidRPr="00335B46" w:rsidRDefault="008A2112" w:rsidP="005D5C3B">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lastRenderedPageBreak/>
              <w:t>Ministerul Fina</w:t>
            </w:r>
            <w:r w:rsidR="00C949A7" w:rsidRPr="00335B46">
              <w:rPr>
                <w:rFonts w:ascii="Times New Roman" w:eastAsia="Times New Roman" w:hAnsi="Times New Roman"/>
                <w:sz w:val="24"/>
                <w:szCs w:val="24"/>
                <w:lang w:val="ro-RO"/>
              </w:rPr>
              <w:t>nțelor</w:t>
            </w:r>
          </w:p>
          <w:p w:rsidR="00C949A7" w:rsidRPr="00335B46" w:rsidRDefault="00C949A7" w:rsidP="00C949A7">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335B46">
              <w:rPr>
                <w:rFonts w:ascii="Times New Roman" w:eastAsia="Times New Roman" w:hAnsi="Times New Roman"/>
                <w:i/>
                <w:sz w:val="24"/>
                <w:szCs w:val="24"/>
                <w:lang w:val="ro-RO"/>
              </w:rPr>
              <w:t>Nr. 15/3-06/310/1794 din 28.11.2024</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64C33" w:rsidRPr="00335B46" w:rsidRDefault="00E432F2" w:rsidP="00884679">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1</w:t>
            </w:r>
          </w:p>
        </w:tc>
        <w:tc>
          <w:tcPr>
            <w:tcW w:w="666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64C33" w:rsidRPr="00335B46" w:rsidRDefault="00F171DA">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Comunică </w:t>
            </w:r>
            <w:r w:rsidR="00C949A7" w:rsidRPr="00335B46">
              <w:rPr>
                <w:rFonts w:ascii="Times New Roman" w:eastAsia="Times New Roman" w:hAnsi="Times New Roman"/>
                <w:sz w:val="24"/>
                <w:szCs w:val="24"/>
                <w:lang w:val="ro-RO"/>
              </w:rPr>
              <w:t>despre lipsa obiecțiilor și propunerilor.</w:t>
            </w:r>
          </w:p>
        </w:tc>
        <w:tc>
          <w:tcPr>
            <w:tcW w:w="2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64C33" w:rsidRPr="00335B46" w:rsidRDefault="00932720">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Se ia act</w:t>
            </w:r>
          </w:p>
        </w:tc>
      </w:tr>
      <w:tr w:rsidR="00271759" w:rsidRPr="00335B46" w:rsidTr="009A41B0">
        <w:trPr>
          <w:trHeight w:val="558"/>
        </w:trPr>
        <w:tc>
          <w:tcPr>
            <w:tcW w:w="32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71759" w:rsidRPr="00335B46" w:rsidRDefault="008E6805">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Ministerul Dezvoltării Economice și Digitalizării</w:t>
            </w:r>
            <w:r w:rsidR="000F7F00" w:rsidRPr="00335B46">
              <w:rPr>
                <w:rFonts w:ascii="Times New Roman" w:eastAsia="Times New Roman" w:hAnsi="Times New Roman"/>
                <w:sz w:val="24"/>
                <w:szCs w:val="24"/>
                <w:lang w:val="ro-RO"/>
              </w:rPr>
              <w:t xml:space="preserve"> </w:t>
            </w:r>
          </w:p>
          <w:p w:rsidR="008E6805" w:rsidRPr="00335B46" w:rsidRDefault="008E6805" w:rsidP="008E6805">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4"/>
                <w:szCs w:val="24"/>
                <w:lang w:val="ro-RO"/>
              </w:rPr>
            </w:pPr>
            <w:r w:rsidRPr="00335B46">
              <w:rPr>
                <w:rFonts w:ascii="Times New Roman" w:eastAsia="Times New Roman" w:hAnsi="Times New Roman"/>
                <w:i/>
                <w:sz w:val="24"/>
                <w:szCs w:val="24"/>
                <w:lang w:val="ro-RO"/>
              </w:rPr>
              <w:t>Nr. 09-3471 din 4.12.2014</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1759" w:rsidRPr="00335B46" w:rsidRDefault="000F7F00" w:rsidP="00884679">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 </w:t>
            </w:r>
            <w:r w:rsidR="00E432F2">
              <w:rPr>
                <w:rFonts w:ascii="Times New Roman" w:eastAsia="Times New Roman" w:hAnsi="Times New Roman"/>
                <w:sz w:val="24"/>
                <w:szCs w:val="24"/>
                <w:lang w:val="ro-RO"/>
              </w:rPr>
              <w:t>1</w:t>
            </w:r>
          </w:p>
        </w:tc>
        <w:tc>
          <w:tcPr>
            <w:tcW w:w="666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C949A7" w:rsidRPr="00335B46" w:rsidRDefault="00C949A7">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Reglementarea prețurilor fixe sau plafonate, specifică economiei centralizate, contravine principiilor unei economii de piață libere și competitive. Ca stat candidat pentru aderarea la Uniunea Europeană, Republica Moldova se angajează în reforme care susțin liberalizarea piețelor și eliminarea intervențiilor administrative. </w:t>
            </w:r>
          </w:p>
          <w:p w:rsidR="00271759" w:rsidRPr="00335B46" w:rsidRDefault="00C949A7">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În acest context, Ministerul Dezvoltării Economice și Digitalizării consideră că includerea uleiului deodorizant în lista produselor sociale contravine principiilor economiei de piață și angajamentelor europene. Se recomandă adoptarea unor politici alternative care să sprijine consumatorii vulnerabili, fără a afecta funcționarea corectă a pieței.</w:t>
            </w:r>
          </w:p>
        </w:tc>
        <w:tc>
          <w:tcPr>
            <w:tcW w:w="2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71759" w:rsidRPr="00335B46" w:rsidRDefault="008E6805">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Se acceptă</w:t>
            </w:r>
          </w:p>
        </w:tc>
      </w:tr>
      <w:tr w:rsidR="0095106B" w:rsidRPr="00335B46" w:rsidTr="009A41B0">
        <w:trPr>
          <w:trHeight w:val="558"/>
        </w:trPr>
        <w:tc>
          <w:tcPr>
            <w:tcW w:w="325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106B" w:rsidRPr="00335B46" w:rsidRDefault="00220A59" w:rsidP="00220A59">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S.A. Floarea Soarelui</w:t>
            </w:r>
          </w:p>
          <w:p w:rsidR="00220A59" w:rsidRPr="00335B46" w:rsidRDefault="00220A59" w:rsidP="003C5F54">
            <w:pPr>
              <w:pBdr>
                <w:top w:val="none" w:sz="4" w:space="0" w:color="000000"/>
                <w:left w:val="none" w:sz="4" w:space="0" w:color="000000"/>
                <w:bottom w:val="none" w:sz="4" w:space="0" w:color="000000"/>
                <w:right w:val="none" w:sz="4" w:space="0" w:color="000000"/>
              </w:pBdr>
              <w:ind w:firstLine="24"/>
              <w:rPr>
                <w:rFonts w:ascii="Times New Roman" w:hAnsi="Times New Roman"/>
                <w:i/>
                <w:sz w:val="24"/>
                <w:szCs w:val="24"/>
                <w:lang w:val="ro-RO"/>
              </w:rPr>
            </w:pPr>
            <w:r w:rsidRPr="00335B46">
              <w:rPr>
                <w:rFonts w:ascii="Times New Roman" w:eastAsia="Times New Roman" w:hAnsi="Times New Roman"/>
                <w:i/>
                <w:sz w:val="24"/>
                <w:szCs w:val="24"/>
                <w:lang w:val="ro-RO"/>
              </w:rPr>
              <w:t>Nr. 498 din 18.11.2024</w:t>
            </w:r>
          </w:p>
        </w:tc>
        <w:tc>
          <w:tcPr>
            <w:tcW w:w="1134"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95106B" w:rsidRPr="00335B46" w:rsidRDefault="00E432F2" w:rsidP="00884679">
            <w:pPr>
              <w:pBdr>
                <w:top w:val="none" w:sz="4" w:space="0" w:color="000000"/>
                <w:left w:val="none" w:sz="4" w:space="0" w:color="000000"/>
                <w:bottom w:val="none" w:sz="4" w:space="0" w:color="000000"/>
                <w:right w:val="none" w:sz="4" w:space="0" w:color="000000"/>
              </w:pBdr>
              <w:ind w:firstLine="33"/>
              <w:rPr>
                <w:rFonts w:ascii="Times New Roman" w:hAnsi="Times New Roman"/>
                <w:sz w:val="24"/>
                <w:szCs w:val="24"/>
                <w:lang w:val="ro-RO"/>
              </w:rPr>
            </w:pPr>
            <w:r>
              <w:rPr>
                <w:rFonts w:ascii="Times New Roman" w:hAnsi="Times New Roman"/>
                <w:sz w:val="24"/>
                <w:szCs w:val="24"/>
                <w:lang w:val="ro-RO"/>
              </w:rPr>
              <w:t>1</w:t>
            </w:r>
            <w:bookmarkStart w:id="0" w:name="_GoBack"/>
            <w:bookmarkEnd w:id="0"/>
          </w:p>
        </w:tc>
        <w:tc>
          <w:tcPr>
            <w:tcW w:w="666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3C5F54" w:rsidRPr="00335B46" w:rsidRDefault="00220A59" w:rsidP="003C5F54">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 xml:space="preserve">Această măsură, una firească și absolut necesară </w:t>
            </w:r>
            <w:proofErr w:type="spellStart"/>
            <w:r w:rsidRPr="00335B46">
              <w:rPr>
                <w:rFonts w:ascii="Times New Roman" w:eastAsia="Times New Roman" w:hAnsi="Times New Roman"/>
                <w:sz w:val="24"/>
                <w:szCs w:val="24"/>
                <w:lang w:val="ro-RO"/>
              </w:rPr>
              <w:t>vа</w:t>
            </w:r>
            <w:proofErr w:type="spellEnd"/>
            <w:r w:rsidRPr="00335B46">
              <w:rPr>
                <w:rFonts w:ascii="Times New Roman" w:eastAsia="Times New Roman" w:hAnsi="Times New Roman"/>
                <w:sz w:val="24"/>
                <w:szCs w:val="24"/>
                <w:lang w:val="ro-RO"/>
              </w:rPr>
              <w:t xml:space="preserve"> </w:t>
            </w:r>
            <w:proofErr w:type="spellStart"/>
            <w:r w:rsidRPr="00335B46">
              <w:rPr>
                <w:rFonts w:ascii="Times New Roman" w:eastAsia="Times New Roman" w:hAnsi="Times New Roman"/>
                <w:sz w:val="24"/>
                <w:szCs w:val="24"/>
                <w:lang w:val="ro-RO"/>
              </w:rPr>
              <w:t>rеаduсе</w:t>
            </w:r>
            <w:proofErr w:type="spellEnd"/>
            <w:r w:rsidRPr="00335B46">
              <w:rPr>
                <w:rFonts w:ascii="Times New Roman" w:eastAsia="Times New Roman" w:hAnsi="Times New Roman"/>
                <w:sz w:val="24"/>
                <w:szCs w:val="24"/>
                <w:lang w:val="ro-RO"/>
              </w:rPr>
              <w:t xml:space="preserve"> uleiul de floarea-soarelui, chiar ș</w:t>
            </w:r>
            <w:r w:rsidR="00E23BFE" w:rsidRPr="00335B46">
              <w:rPr>
                <w:rFonts w:ascii="Times New Roman" w:eastAsia="Times New Roman" w:hAnsi="Times New Roman"/>
                <w:sz w:val="24"/>
                <w:szCs w:val="24"/>
                <w:lang w:val="ro-RO"/>
              </w:rPr>
              <w:t>i cel rafinat, dezodorizat î</w:t>
            </w:r>
            <w:r w:rsidRPr="00335B46">
              <w:rPr>
                <w:rFonts w:ascii="Times New Roman" w:eastAsia="Times New Roman" w:hAnsi="Times New Roman"/>
                <w:sz w:val="24"/>
                <w:szCs w:val="24"/>
                <w:lang w:val="ro-RO"/>
              </w:rPr>
              <w:t xml:space="preserve">n categoria </w:t>
            </w:r>
            <w:r w:rsidR="00E23BFE" w:rsidRPr="00335B46">
              <w:rPr>
                <w:rFonts w:ascii="Times New Roman" w:eastAsia="Times New Roman" w:hAnsi="Times New Roman"/>
                <w:sz w:val="24"/>
                <w:szCs w:val="24"/>
                <w:lang w:val="ro-RO"/>
              </w:rPr>
              <w:t>mărfurilor de importanță socială</w:t>
            </w:r>
            <w:r w:rsidRPr="00335B46">
              <w:rPr>
                <w:rFonts w:ascii="Times New Roman" w:eastAsia="Times New Roman" w:hAnsi="Times New Roman"/>
                <w:sz w:val="24"/>
                <w:szCs w:val="24"/>
                <w:lang w:val="ro-RO"/>
              </w:rPr>
              <w:t>, av</w:t>
            </w:r>
            <w:r w:rsidR="00E23BFE" w:rsidRPr="00335B46">
              <w:rPr>
                <w:rFonts w:ascii="Times New Roman" w:eastAsia="Times New Roman" w:hAnsi="Times New Roman"/>
                <w:sz w:val="24"/>
                <w:szCs w:val="24"/>
                <w:lang w:val="ro-RO"/>
              </w:rPr>
              <w:t xml:space="preserve">ând în </w:t>
            </w:r>
            <w:proofErr w:type="spellStart"/>
            <w:r w:rsidR="00E23BFE" w:rsidRPr="00335B46">
              <w:rPr>
                <w:rFonts w:ascii="Times New Roman" w:eastAsia="Times New Roman" w:hAnsi="Times New Roman"/>
                <w:sz w:val="24"/>
                <w:szCs w:val="24"/>
                <w:lang w:val="ro-RO"/>
              </w:rPr>
              <w:t>v</w:t>
            </w:r>
            <w:r w:rsidRPr="00335B46">
              <w:rPr>
                <w:rFonts w:ascii="Times New Roman" w:eastAsia="Times New Roman" w:hAnsi="Times New Roman"/>
                <w:sz w:val="24"/>
                <w:szCs w:val="24"/>
                <w:lang w:val="ro-RO"/>
              </w:rPr>
              <w:t>еdеrе</w:t>
            </w:r>
            <w:proofErr w:type="spellEnd"/>
            <w:r w:rsidRPr="00335B46">
              <w:rPr>
                <w:rFonts w:ascii="Times New Roman" w:eastAsia="Times New Roman" w:hAnsi="Times New Roman"/>
                <w:sz w:val="24"/>
                <w:szCs w:val="24"/>
                <w:lang w:val="ro-RO"/>
              </w:rPr>
              <w:t xml:space="preserve"> </w:t>
            </w:r>
            <w:proofErr w:type="spellStart"/>
            <w:r w:rsidRPr="00335B46">
              <w:rPr>
                <w:rFonts w:ascii="Times New Roman" w:eastAsia="Times New Roman" w:hAnsi="Times New Roman"/>
                <w:sz w:val="24"/>
                <w:szCs w:val="24"/>
                <w:lang w:val="ro-RO"/>
              </w:rPr>
              <w:t>с</w:t>
            </w:r>
            <w:r w:rsidR="00E23BFE" w:rsidRPr="00335B46">
              <w:rPr>
                <w:rFonts w:ascii="Times New Roman" w:eastAsia="Times New Roman" w:hAnsi="Times New Roman"/>
                <w:sz w:val="24"/>
                <w:szCs w:val="24"/>
                <w:lang w:val="ro-RO"/>
              </w:rPr>
              <w:t>ă</w:t>
            </w:r>
            <w:proofErr w:type="spellEnd"/>
            <w:r w:rsidRPr="00335B46">
              <w:rPr>
                <w:rFonts w:ascii="Times New Roman" w:eastAsia="Times New Roman" w:hAnsi="Times New Roman"/>
                <w:sz w:val="24"/>
                <w:szCs w:val="24"/>
                <w:lang w:val="ro-RO"/>
              </w:rPr>
              <w:t xml:space="preserve"> acest produs, in sine este de fapt unul de </w:t>
            </w:r>
            <w:proofErr w:type="spellStart"/>
            <w:r w:rsidRPr="00335B46">
              <w:rPr>
                <w:rFonts w:ascii="Times New Roman" w:eastAsia="Times New Roman" w:hAnsi="Times New Roman"/>
                <w:sz w:val="24"/>
                <w:szCs w:val="24"/>
                <w:lang w:val="ro-RO"/>
              </w:rPr>
              <w:t>imроrtа</w:t>
            </w:r>
            <w:r w:rsidR="00E23BFE" w:rsidRPr="00335B46">
              <w:rPr>
                <w:rFonts w:ascii="Times New Roman" w:eastAsia="Times New Roman" w:hAnsi="Times New Roman"/>
                <w:sz w:val="24"/>
                <w:szCs w:val="24"/>
                <w:lang w:val="ro-RO"/>
              </w:rPr>
              <w:t>nță</w:t>
            </w:r>
            <w:proofErr w:type="spellEnd"/>
            <w:r w:rsidR="00E23BFE" w:rsidRPr="00335B46">
              <w:rPr>
                <w:rFonts w:ascii="Times New Roman" w:eastAsia="Times New Roman" w:hAnsi="Times New Roman"/>
                <w:sz w:val="24"/>
                <w:szCs w:val="24"/>
                <w:lang w:val="ro-RO"/>
              </w:rPr>
              <w:t xml:space="preserve"> socială și se </w:t>
            </w:r>
            <w:proofErr w:type="spellStart"/>
            <w:r w:rsidR="00E23BFE" w:rsidRPr="00335B46">
              <w:rPr>
                <w:rFonts w:ascii="Times New Roman" w:eastAsia="Times New Roman" w:hAnsi="Times New Roman"/>
                <w:sz w:val="24"/>
                <w:szCs w:val="24"/>
                <w:lang w:val="ro-RO"/>
              </w:rPr>
              <w:t>аfă</w:t>
            </w:r>
            <w:proofErr w:type="spellEnd"/>
            <w:r w:rsidR="00E23BFE" w:rsidRPr="00335B46">
              <w:rPr>
                <w:rFonts w:ascii="Times New Roman" w:eastAsia="Times New Roman" w:hAnsi="Times New Roman"/>
                <w:sz w:val="24"/>
                <w:szCs w:val="24"/>
                <w:lang w:val="ro-RO"/>
              </w:rPr>
              <w:t xml:space="preserve"> în coș</w:t>
            </w:r>
            <w:r w:rsidRPr="00335B46">
              <w:rPr>
                <w:rFonts w:ascii="Times New Roman" w:eastAsia="Times New Roman" w:hAnsi="Times New Roman"/>
                <w:sz w:val="24"/>
                <w:szCs w:val="24"/>
                <w:lang w:val="ro-RO"/>
              </w:rPr>
              <w:t xml:space="preserve">ul de consum </w:t>
            </w:r>
            <w:proofErr w:type="spellStart"/>
            <w:r w:rsidRPr="00335B46">
              <w:rPr>
                <w:rFonts w:ascii="Times New Roman" w:eastAsia="Times New Roman" w:hAnsi="Times New Roman"/>
                <w:sz w:val="24"/>
                <w:szCs w:val="24"/>
                <w:lang w:val="ro-RO"/>
              </w:rPr>
              <w:t>а</w:t>
            </w:r>
            <w:r w:rsidR="00E23BFE" w:rsidRPr="00335B46">
              <w:rPr>
                <w:rFonts w:ascii="Times New Roman" w:eastAsia="Times New Roman" w:hAnsi="Times New Roman"/>
                <w:sz w:val="24"/>
                <w:szCs w:val="24"/>
                <w:lang w:val="ro-RO"/>
              </w:rPr>
              <w:t>l</w:t>
            </w:r>
            <w:proofErr w:type="spellEnd"/>
            <w:r w:rsidRPr="00335B46">
              <w:rPr>
                <w:rFonts w:ascii="Times New Roman" w:eastAsia="Times New Roman" w:hAnsi="Times New Roman"/>
                <w:sz w:val="24"/>
                <w:szCs w:val="24"/>
                <w:lang w:val="ro-RO"/>
              </w:rPr>
              <w:t xml:space="preserve"> f</w:t>
            </w:r>
            <w:r w:rsidR="00E23BFE" w:rsidRPr="00335B46">
              <w:rPr>
                <w:rFonts w:ascii="Times New Roman" w:eastAsia="Times New Roman" w:hAnsi="Times New Roman"/>
                <w:sz w:val="24"/>
                <w:szCs w:val="24"/>
                <w:lang w:val="ro-RO"/>
              </w:rPr>
              <w:t>iecăr</w:t>
            </w:r>
            <w:r w:rsidRPr="00335B46">
              <w:rPr>
                <w:rFonts w:ascii="Times New Roman" w:eastAsia="Times New Roman" w:hAnsi="Times New Roman"/>
                <w:sz w:val="24"/>
                <w:szCs w:val="24"/>
                <w:lang w:val="ro-RO"/>
              </w:rPr>
              <w:t xml:space="preserve">ui </w:t>
            </w:r>
            <w:proofErr w:type="spellStart"/>
            <w:r w:rsidRPr="00335B46">
              <w:rPr>
                <w:rFonts w:ascii="Times New Roman" w:eastAsia="Times New Roman" w:hAnsi="Times New Roman"/>
                <w:sz w:val="24"/>
                <w:szCs w:val="24"/>
                <w:lang w:val="ro-RO"/>
              </w:rPr>
              <w:t>сеt</w:t>
            </w:r>
            <w:r w:rsidR="003C5F54" w:rsidRPr="00335B46">
              <w:rPr>
                <w:rFonts w:ascii="Times New Roman" w:eastAsia="Times New Roman" w:hAnsi="Times New Roman"/>
                <w:sz w:val="24"/>
                <w:szCs w:val="24"/>
                <w:lang w:val="ro-RO"/>
              </w:rPr>
              <w:t>ătean</w:t>
            </w:r>
            <w:proofErr w:type="spellEnd"/>
            <w:r w:rsidR="003C5F54" w:rsidRPr="00335B46">
              <w:rPr>
                <w:rFonts w:ascii="Times New Roman" w:eastAsia="Times New Roman" w:hAnsi="Times New Roman"/>
                <w:sz w:val="24"/>
                <w:szCs w:val="24"/>
                <w:lang w:val="ro-RO"/>
              </w:rPr>
              <w:t xml:space="preserve"> </w:t>
            </w:r>
            <w:proofErr w:type="spellStart"/>
            <w:r w:rsidR="003C5F54" w:rsidRPr="00335B46">
              <w:rPr>
                <w:rFonts w:ascii="Times New Roman" w:eastAsia="Times New Roman" w:hAnsi="Times New Roman"/>
                <w:sz w:val="24"/>
                <w:szCs w:val="24"/>
                <w:lang w:val="ro-RO"/>
              </w:rPr>
              <w:t>аl</w:t>
            </w:r>
            <w:proofErr w:type="spellEnd"/>
            <w:r w:rsidRPr="00335B46">
              <w:rPr>
                <w:rFonts w:ascii="Times New Roman" w:eastAsia="Times New Roman" w:hAnsi="Times New Roman"/>
                <w:sz w:val="24"/>
                <w:szCs w:val="24"/>
                <w:lang w:val="ro-RO"/>
              </w:rPr>
              <w:t xml:space="preserve"> </w:t>
            </w:r>
            <w:r w:rsidR="003C5F54" w:rsidRPr="00335B46">
              <w:rPr>
                <w:rFonts w:ascii="Times New Roman" w:eastAsia="Times New Roman" w:hAnsi="Times New Roman"/>
                <w:sz w:val="24"/>
                <w:szCs w:val="24"/>
                <w:lang w:val="ro-RO"/>
              </w:rPr>
              <w:t>țăr</w:t>
            </w:r>
            <w:r w:rsidRPr="00335B46">
              <w:rPr>
                <w:rFonts w:ascii="Times New Roman" w:eastAsia="Times New Roman" w:hAnsi="Times New Roman"/>
                <w:sz w:val="24"/>
                <w:szCs w:val="24"/>
                <w:lang w:val="ro-RO"/>
              </w:rPr>
              <w:t xml:space="preserve">ii. </w:t>
            </w:r>
          </w:p>
          <w:p w:rsidR="0095106B" w:rsidRPr="00335B46" w:rsidRDefault="00220A59" w:rsidP="003C5F54">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Modificarea propus</w:t>
            </w:r>
            <w:r w:rsidR="003C5F54" w:rsidRPr="00335B46">
              <w:rPr>
                <w:rFonts w:ascii="Times New Roman" w:eastAsia="Times New Roman" w:hAnsi="Times New Roman"/>
                <w:sz w:val="24"/>
                <w:szCs w:val="24"/>
                <w:lang w:val="ro-RO"/>
              </w:rPr>
              <w:t>ă</w:t>
            </w:r>
            <w:r w:rsidRPr="00335B46">
              <w:rPr>
                <w:rFonts w:ascii="Times New Roman" w:eastAsia="Times New Roman" w:hAnsi="Times New Roman"/>
                <w:sz w:val="24"/>
                <w:szCs w:val="24"/>
                <w:lang w:val="ro-RO"/>
              </w:rPr>
              <w:t xml:space="preserve"> de Minister </w:t>
            </w:r>
            <w:r w:rsidR="003C5F54" w:rsidRPr="00335B46">
              <w:rPr>
                <w:rFonts w:ascii="Times New Roman" w:eastAsia="Times New Roman" w:hAnsi="Times New Roman"/>
                <w:sz w:val="24"/>
                <w:szCs w:val="24"/>
                <w:lang w:val="ro-RO"/>
              </w:rPr>
              <w:t>va</w:t>
            </w:r>
            <w:r w:rsidRPr="00335B46">
              <w:rPr>
                <w:rFonts w:ascii="Times New Roman" w:eastAsia="Times New Roman" w:hAnsi="Times New Roman"/>
                <w:sz w:val="24"/>
                <w:szCs w:val="24"/>
                <w:lang w:val="ro-RO"/>
              </w:rPr>
              <w:t xml:space="preserve"> avea efect pozitiv direct </w:t>
            </w:r>
            <w:r w:rsidR="003C5F54" w:rsidRPr="00335B46">
              <w:rPr>
                <w:rFonts w:ascii="Times New Roman" w:eastAsia="Times New Roman" w:hAnsi="Times New Roman"/>
                <w:sz w:val="24"/>
                <w:szCs w:val="24"/>
                <w:lang w:val="ro-RO"/>
              </w:rPr>
              <w:t>asupra</w:t>
            </w:r>
            <w:r w:rsidRPr="00335B46">
              <w:rPr>
                <w:rFonts w:ascii="Times New Roman" w:eastAsia="Times New Roman" w:hAnsi="Times New Roman"/>
                <w:sz w:val="24"/>
                <w:szCs w:val="24"/>
                <w:lang w:val="ro-RO"/>
              </w:rPr>
              <w:t xml:space="preserve"> consumatorului final, prin </w:t>
            </w:r>
            <w:proofErr w:type="spellStart"/>
            <w:r w:rsidRPr="00335B46">
              <w:rPr>
                <w:rFonts w:ascii="Times New Roman" w:eastAsia="Times New Roman" w:hAnsi="Times New Roman"/>
                <w:sz w:val="24"/>
                <w:szCs w:val="24"/>
                <w:lang w:val="ro-RO"/>
              </w:rPr>
              <w:t>оfеrirеа</w:t>
            </w:r>
            <w:proofErr w:type="spellEnd"/>
            <w:r w:rsidRPr="00335B46">
              <w:rPr>
                <w:rFonts w:ascii="Times New Roman" w:eastAsia="Times New Roman" w:hAnsi="Times New Roman"/>
                <w:sz w:val="24"/>
                <w:szCs w:val="24"/>
                <w:lang w:val="ro-RO"/>
              </w:rPr>
              <w:t xml:space="preserve"> posibilit</w:t>
            </w:r>
            <w:r w:rsidR="003C5F54" w:rsidRPr="00335B46">
              <w:rPr>
                <w:rFonts w:ascii="Times New Roman" w:eastAsia="Times New Roman" w:hAnsi="Times New Roman"/>
                <w:sz w:val="24"/>
                <w:szCs w:val="24"/>
                <w:lang w:val="ro-RO"/>
              </w:rPr>
              <w:t>ăț</w:t>
            </w:r>
            <w:r w:rsidRPr="00335B46">
              <w:rPr>
                <w:rFonts w:ascii="Times New Roman" w:eastAsia="Times New Roman" w:hAnsi="Times New Roman"/>
                <w:sz w:val="24"/>
                <w:szCs w:val="24"/>
                <w:lang w:val="ro-RO"/>
              </w:rPr>
              <w:t>ii achizi</w:t>
            </w:r>
            <w:r w:rsidR="003C5F54" w:rsidRPr="00335B46">
              <w:rPr>
                <w:rFonts w:ascii="Times New Roman" w:eastAsia="Times New Roman" w:hAnsi="Times New Roman"/>
                <w:sz w:val="24"/>
                <w:szCs w:val="24"/>
                <w:lang w:val="ro-RO"/>
              </w:rPr>
              <w:t>ț</w:t>
            </w:r>
            <w:r w:rsidRPr="00335B46">
              <w:rPr>
                <w:rFonts w:ascii="Times New Roman" w:eastAsia="Times New Roman" w:hAnsi="Times New Roman"/>
                <w:sz w:val="24"/>
                <w:szCs w:val="24"/>
                <w:lang w:val="ro-RO"/>
              </w:rPr>
              <w:t>ion</w:t>
            </w:r>
            <w:r w:rsidR="003C5F54" w:rsidRPr="00335B46">
              <w:rPr>
                <w:rFonts w:ascii="Times New Roman" w:eastAsia="Times New Roman" w:hAnsi="Times New Roman"/>
                <w:sz w:val="24"/>
                <w:szCs w:val="24"/>
                <w:lang w:val="ro-RO"/>
              </w:rPr>
              <w:t>ă</w:t>
            </w:r>
            <w:r w:rsidRPr="00335B46">
              <w:rPr>
                <w:rFonts w:ascii="Times New Roman" w:eastAsia="Times New Roman" w:hAnsi="Times New Roman"/>
                <w:sz w:val="24"/>
                <w:szCs w:val="24"/>
                <w:lang w:val="ro-RO"/>
              </w:rPr>
              <w:t xml:space="preserve">rii </w:t>
            </w:r>
            <w:r w:rsidR="003C5F54" w:rsidRPr="00335B46">
              <w:rPr>
                <w:rFonts w:ascii="Times New Roman" w:eastAsia="Times New Roman" w:hAnsi="Times New Roman"/>
                <w:sz w:val="24"/>
                <w:szCs w:val="24"/>
                <w:lang w:val="ro-RO"/>
              </w:rPr>
              <w:t>acestui produs alimentar la un preț</w:t>
            </w:r>
            <w:r w:rsidRPr="00335B46">
              <w:rPr>
                <w:rFonts w:ascii="Times New Roman" w:eastAsia="Times New Roman" w:hAnsi="Times New Roman"/>
                <w:sz w:val="24"/>
                <w:szCs w:val="24"/>
                <w:lang w:val="ro-RO"/>
              </w:rPr>
              <w:t xml:space="preserve"> rezonabil, prin limitarea adaosului comercial.</w:t>
            </w:r>
          </w:p>
        </w:tc>
        <w:tc>
          <w:tcPr>
            <w:tcW w:w="283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95106B" w:rsidRPr="00335B46" w:rsidRDefault="00932720">
            <w:pPr>
              <w:pBdr>
                <w:top w:val="none" w:sz="4" w:space="0" w:color="000000"/>
                <w:left w:val="none" w:sz="4" w:space="0" w:color="000000"/>
                <w:bottom w:val="none" w:sz="4" w:space="0" w:color="000000"/>
                <w:right w:val="none" w:sz="4" w:space="0" w:color="000000"/>
              </w:pBdr>
              <w:rPr>
                <w:rFonts w:ascii="Times New Roman" w:eastAsia="Times New Roman" w:hAnsi="Times New Roman"/>
                <w:sz w:val="24"/>
                <w:szCs w:val="24"/>
                <w:lang w:val="ro-RO"/>
              </w:rPr>
            </w:pPr>
            <w:r w:rsidRPr="00335B46">
              <w:rPr>
                <w:rFonts w:ascii="Times New Roman" w:eastAsia="Times New Roman" w:hAnsi="Times New Roman"/>
                <w:sz w:val="24"/>
                <w:szCs w:val="24"/>
                <w:lang w:val="ro-RO"/>
              </w:rPr>
              <w:t>Se ia act</w:t>
            </w:r>
          </w:p>
        </w:tc>
      </w:tr>
    </w:tbl>
    <w:p w:rsidR="00271759" w:rsidRDefault="00271759">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sectPr w:rsidR="00271759" w:rsidSect="00EA18AC">
      <w:headerReference w:type="default" r:id="rId11"/>
      <w:headerReference w:type="first" r:id="rId12"/>
      <w:pgSz w:w="16840" w:h="11907" w:orient="landscape"/>
      <w:pgMar w:top="567" w:right="1418" w:bottom="1276" w:left="1418"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2BB" w:rsidRDefault="00CE12BB">
      <w:r>
        <w:separator/>
      </w:r>
    </w:p>
  </w:endnote>
  <w:endnote w:type="continuationSeparator" w:id="0">
    <w:p w:rsidR="00CE12BB" w:rsidRDefault="00CE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2BB" w:rsidRDefault="00CE12BB">
      <w:r>
        <w:separator/>
      </w:r>
    </w:p>
  </w:footnote>
  <w:footnote w:type="continuationSeparator" w:id="0">
    <w:p w:rsidR="00CE12BB" w:rsidRDefault="00CE1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59" w:rsidRDefault="000F7F00">
    <w:pPr>
      <w:pStyle w:val="Antet"/>
      <w:ind w:firstLine="0"/>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E432F2" w:rsidRPr="00E432F2">
      <w:rPr>
        <w:noProof/>
        <w:sz w:val="28"/>
        <w:szCs w:val="28"/>
        <w:lang w:val="ro-RO"/>
      </w:rPr>
      <w:t>6</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59" w:rsidRDefault="00271759">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BDB"/>
    <w:multiLevelType w:val="multilevel"/>
    <w:tmpl w:val="3D24055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20B61"/>
    <w:multiLevelType w:val="multilevel"/>
    <w:tmpl w:val="75887AEC"/>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161C11"/>
    <w:multiLevelType w:val="multilevel"/>
    <w:tmpl w:val="CEF4152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827AD9"/>
    <w:multiLevelType w:val="multilevel"/>
    <w:tmpl w:val="557280A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ED07C59"/>
    <w:multiLevelType w:val="multilevel"/>
    <w:tmpl w:val="838E52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3150C"/>
    <w:multiLevelType w:val="multilevel"/>
    <w:tmpl w:val="61AC7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326F9"/>
    <w:multiLevelType w:val="multilevel"/>
    <w:tmpl w:val="98D6B6D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BF6739"/>
    <w:multiLevelType w:val="multilevel"/>
    <w:tmpl w:val="947261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39165E"/>
    <w:multiLevelType w:val="multilevel"/>
    <w:tmpl w:val="B31A8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8A223F"/>
    <w:multiLevelType w:val="multilevel"/>
    <w:tmpl w:val="EB604A3C"/>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1DE87ED2"/>
    <w:multiLevelType w:val="multilevel"/>
    <w:tmpl w:val="498C0F40"/>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1E501807"/>
    <w:multiLevelType w:val="multilevel"/>
    <w:tmpl w:val="FCD87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3708C"/>
    <w:multiLevelType w:val="multilevel"/>
    <w:tmpl w:val="11F444AE"/>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3" w15:restartNumberingAfterBreak="0">
    <w:nsid w:val="2483723F"/>
    <w:multiLevelType w:val="multilevel"/>
    <w:tmpl w:val="74CE9C4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11DC0"/>
    <w:multiLevelType w:val="multilevel"/>
    <w:tmpl w:val="00C256F6"/>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22F44"/>
    <w:multiLevelType w:val="multilevel"/>
    <w:tmpl w:val="EF6492D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936D89"/>
    <w:multiLevelType w:val="multilevel"/>
    <w:tmpl w:val="D0C80B8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963F01"/>
    <w:multiLevelType w:val="multilevel"/>
    <w:tmpl w:val="B7584B3C"/>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C9A5812"/>
    <w:multiLevelType w:val="multilevel"/>
    <w:tmpl w:val="08A04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67741"/>
    <w:multiLevelType w:val="multilevel"/>
    <w:tmpl w:val="B87E5A2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034935"/>
    <w:multiLevelType w:val="multilevel"/>
    <w:tmpl w:val="698EE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E2486"/>
    <w:multiLevelType w:val="multilevel"/>
    <w:tmpl w:val="BA3E5810"/>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8B5F26"/>
    <w:multiLevelType w:val="multilevel"/>
    <w:tmpl w:val="F8DA5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4449E"/>
    <w:multiLevelType w:val="multilevel"/>
    <w:tmpl w:val="5176702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444E23BB"/>
    <w:multiLevelType w:val="multilevel"/>
    <w:tmpl w:val="03F4128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47D87B47"/>
    <w:multiLevelType w:val="multilevel"/>
    <w:tmpl w:val="3EC80B8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C01C7F"/>
    <w:multiLevelType w:val="multilevel"/>
    <w:tmpl w:val="B810BA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23058B"/>
    <w:multiLevelType w:val="multilevel"/>
    <w:tmpl w:val="9F74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84764"/>
    <w:multiLevelType w:val="multilevel"/>
    <w:tmpl w:val="0FB860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543110C2"/>
    <w:multiLevelType w:val="multilevel"/>
    <w:tmpl w:val="2750AFF6"/>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59043912"/>
    <w:multiLevelType w:val="multilevel"/>
    <w:tmpl w:val="5CA0E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163DF5"/>
    <w:multiLevelType w:val="multilevel"/>
    <w:tmpl w:val="64101E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192CEE"/>
    <w:multiLevelType w:val="multilevel"/>
    <w:tmpl w:val="A46E8AE0"/>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EF68A9"/>
    <w:multiLevelType w:val="multilevel"/>
    <w:tmpl w:val="B278205C"/>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F9250E"/>
    <w:multiLevelType w:val="multilevel"/>
    <w:tmpl w:val="8920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6302E6"/>
    <w:multiLevelType w:val="multilevel"/>
    <w:tmpl w:val="9DA0930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A32023"/>
    <w:multiLevelType w:val="multilevel"/>
    <w:tmpl w:val="3CE481E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6D79D7"/>
    <w:multiLevelType w:val="multilevel"/>
    <w:tmpl w:val="EDC8D91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93056"/>
    <w:multiLevelType w:val="multilevel"/>
    <w:tmpl w:val="05AACD7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65760F"/>
    <w:multiLevelType w:val="multilevel"/>
    <w:tmpl w:val="CDF81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762AE7"/>
    <w:multiLevelType w:val="hybridMultilevel"/>
    <w:tmpl w:val="46DCFDA0"/>
    <w:lvl w:ilvl="0" w:tplc="D054D10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1" w15:restartNumberingAfterBreak="0">
    <w:nsid w:val="79A328CC"/>
    <w:multiLevelType w:val="multilevel"/>
    <w:tmpl w:val="A654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A04BF"/>
    <w:multiLevelType w:val="multilevel"/>
    <w:tmpl w:val="9962D4B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35"/>
  </w:num>
  <w:num w:numId="3">
    <w:abstractNumId w:val="31"/>
  </w:num>
  <w:num w:numId="4">
    <w:abstractNumId w:val="8"/>
  </w:num>
  <w:num w:numId="5">
    <w:abstractNumId w:val="17"/>
  </w:num>
  <w:num w:numId="6">
    <w:abstractNumId w:val="7"/>
  </w:num>
  <w:num w:numId="7">
    <w:abstractNumId w:val="30"/>
  </w:num>
  <w:num w:numId="8">
    <w:abstractNumId w:val="34"/>
  </w:num>
  <w:num w:numId="9">
    <w:abstractNumId w:val="6"/>
  </w:num>
  <w:num w:numId="10">
    <w:abstractNumId w:val="3"/>
  </w:num>
  <w:num w:numId="11">
    <w:abstractNumId w:val="12"/>
  </w:num>
  <w:num w:numId="12">
    <w:abstractNumId w:val="1"/>
  </w:num>
  <w:num w:numId="13">
    <w:abstractNumId w:val="25"/>
  </w:num>
  <w:num w:numId="14">
    <w:abstractNumId w:val="26"/>
  </w:num>
  <w:num w:numId="15">
    <w:abstractNumId w:val="23"/>
  </w:num>
  <w:num w:numId="16">
    <w:abstractNumId w:val="21"/>
  </w:num>
  <w:num w:numId="17">
    <w:abstractNumId w:val="33"/>
  </w:num>
  <w:num w:numId="18">
    <w:abstractNumId w:val="2"/>
  </w:num>
  <w:num w:numId="19">
    <w:abstractNumId w:val="28"/>
  </w:num>
  <w:num w:numId="20">
    <w:abstractNumId w:val="19"/>
  </w:num>
  <w:num w:numId="21">
    <w:abstractNumId w:val="14"/>
  </w:num>
  <w:num w:numId="22">
    <w:abstractNumId w:val="4"/>
  </w:num>
  <w:num w:numId="23">
    <w:abstractNumId w:val="22"/>
  </w:num>
  <w:num w:numId="24">
    <w:abstractNumId w:val="18"/>
  </w:num>
  <w:num w:numId="25">
    <w:abstractNumId w:val="5"/>
  </w:num>
  <w:num w:numId="26">
    <w:abstractNumId w:val="41"/>
  </w:num>
  <w:num w:numId="27">
    <w:abstractNumId w:val="38"/>
  </w:num>
  <w:num w:numId="28">
    <w:abstractNumId w:val="32"/>
    <w:lvlOverride w:ilvl="0">
      <w:startOverride w:val="1"/>
    </w:lvlOverride>
  </w:num>
  <w:num w:numId="29">
    <w:abstractNumId w:val="0"/>
  </w:num>
  <w:num w:numId="30">
    <w:abstractNumId w:val="13"/>
  </w:num>
  <w:num w:numId="31">
    <w:abstractNumId w:val="16"/>
  </w:num>
  <w:num w:numId="32">
    <w:abstractNumId w:val="32"/>
  </w:num>
  <w:num w:numId="33">
    <w:abstractNumId w:val="27"/>
  </w:num>
  <w:num w:numId="34">
    <w:abstractNumId w:val="39"/>
  </w:num>
  <w:num w:numId="35">
    <w:abstractNumId w:val="11"/>
  </w:num>
  <w:num w:numId="36">
    <w:abstractNumId w:val="20"/>
  </w:num>
  <w:num w:numId="37">
    <w:abstractNumId w:val="36"/>
  </w:num>
  <w:num w:numId="38">
    <w:abstractNumId w:val="42"/>
  </w:num>
  <w:num w:numId="39">
    <w:abstractNumId w:val="24"/>
  </w:num>
  <w:num w:numId="40">
    <w:abstractNumId w:val="10"/>
  </w:num>
  <w:num w:numId="41">
    <w:abstractNumId w:val="9"/>
  </w:num>
  <w:num w:numId="42">
    <w:abstractNumId w:val="15"/>
  </w:num>
  <w:num w:numId="43">
    <w:abstractNumId w:val="29"/>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59"/>
    <w:rsid w:val="00066852"/>
    <w:rsid w:val="000F7F00"/>
    <w:rsid w:val="00164232"/>
    <w:rsid w:val="001F3319"/>
    <w:rsid w:val="00220A59"/>
    <w:rsid w:val="00234515"/>
    <w:rsid w:val="00271759"/>
    <w:rsid w:val="002A59CD"/>
    <w:rsid w:val="002F479D"/>
    <w:rsid w:val="00335B46"/>
    <w:rsid w:val="003C5F54"/>
    <w:rsid w:val="0043276F"/>
    <w:rsid w:val="004D7480"/>
    <w:rsid w:val="00502B49"/>
    <w:rsid w:val="00567DCD"/>
    <w:rsid w:val="005714B3"/>
    <w:rsid w:val="005D5C3B"/>
    <w:rsid w:val="006B3391"/>
    <w:rsid w:val="006C521A"/>
    <w:rsid w:val="007548F4"/>
    <w:rsid w:val="00790F5E"/>
    <w:rsid w:val="00884679"/>
    <w:rsid w:val="00885CDA"/>
    <w:rsid w:val="008A2112"/>
    <w:rsid w:val="008E6805"/>
    <w:rsid w:val="00932720"/>
    <w:rsid w:val="009344BE"/>
    <w:rsid w:val="009419A1"/>
    <w:rsid w:val="0095106B"/>
    <w:rsid w:val="009A41B0"/>
    <w:rsid w:val="009A62B2"/>
    <w:rsid w:val="009E14D1"/>
    <w:rsid w:val="00A50473"/>
    <w:rsid w:val="00A64C33"/>
    <w:rsid w:val="00AA3CDC"/>
    <w:rsid w:val="00AB04A8"/>
    <w:rsid w:val="00AD3823"/>
    <w:rsid w:val="00B95099"/>
    <w:rsid w:val="00BF478D"/>
    <w:rsid w:val="00C949A7"/>
    <w:rsid w:val="00CB2C6C"/>
    <w:rsid w:val="00CC07C9"/>
    <w:rsid w:val="00CE12BB"/>
    <w:rsid w:val="00D366C0"/>
    <w:rsid w:val="00D55E4E"/>
    <w:rsid w:val="00D55F91"/>
    <w:rsid w:val="00E23BFE"/>
    <w:rsid w:val="00E432F2"/>
    <w:rsid w:val="00E90D84"/>
    <w:rsid w:val="00EA18AC"/>
    <w:rsid w:val="00EB013F"/>
    <w:rsid w:val="00EB693F"/>
    <w:rsid w:val="00EE6D35"/>
    <w:rsid w:val="00F171DA"/>
    <w:rsid w:val="00FD2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E7B52-4A51-46D6-AD06-21E95926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UnresolvedMention">
    <w:name w:val="Unresolved Mention"/>
    <w:basedOn w:val="Fontdeparagrafimplici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7848BD7D-C820-4956-9842-C0A3FEB8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1843</Words>
  <Characters>10695</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Maria Leahu</cp:lastModifiedBy>
  <cp:revision>5</cp:revision>
  <dcterms:created xsi:type="dcterms:W3CDTF">2024-12-12T13:09:00Z</dcterms:created>
  <dcterms:modified xsi:type="dcterms:W3CDTF">2024-12-12T15:30:00Z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