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46" w:rsidRPr="00D763CE" w:rsidRDefault="005A635B" w:rsidP="00E32644">
      <w:pPr>
        <w:spacing w:after="0" w:line="240" w:lineRule="auto"/>
        <w:ind w:left="5670" w:right="-330"/>
        <w:jc w:val="both"/>
        <w:rPr>
          <w:rFonts w:ascii="Times New Roman" w:hAnsi="Times New Roman"/>
          <w:i/>
          <w:color w:val="000000" w:themeColor="text1"/>
          <w:sz w:val="24"/>
          <w:szCs w:val="24"/>
          <w:lang w:val="ro-MD"/>
        </w:rPr>
      </w:pPr>
      <w:r>
        <w:rPr>
          <w:rFonts w:ascii="Times New Roman" w:hAnsi="Times New Roman"/>
          <w:i/>
          <w:color w:val="000000" w:themeColor="text1"/>
          <w:sz w:val="24"/>
          <w:szCs w:val="24"/>
          <w:lang w:val="ro-MD"/>
        </w:rPr>
        <w:t>Anexa nr.7</w:t>
      </w:r>
    </w:p>
    <w:p w:rsidR="00043E46" w:rsidRPr="00D763CE" w:rsidRDefault="00043E46" w:rsidP="00E32644">
      <w:pPr>
        <w:spacing w:after="0" w:line="240" w:lineRule="auto"/>
        <w:ind w:left="5670" w:right="-330"/>
        <w:jc w:val="both"/>
        <w:rPr>
          <w:rFonts w:ascii="Times New Roman" w:hAnsi="Times New Roman"/>
          <w:i/>
          <w:color w:val="000000" w:themeColor="text1"/>
          <w:sz w:val="24"/>
          <w:szCs w:val="24"/>
          <w:lang w:val="ro-MD"/>
        </w:rPr>
      </w:pPr>
      <w:r w:rsidRPr="00D763CE">
        <w:rPr>
          <w:rFonts w:ascii="Times New Roman" w:hAnsi="Times New Roman"/>
          <w:i/>
          <w:color w:val="000000" w:themeColor="text1"/>
          <w:sz w:val="24"/>
          <w:szCs w:val="24"/>
          <w:lang w:val="ro-MD"/>
        </w:rPr>
        <w:t>la Regulamentul cu privire la organizarea și funcți</w:t>
      </w:r>
      <w:r w:rsidR="00B15781">
        <w:rPr>
          <w:rFonts w:ascii="Times New Roman" w:hAnsi="Times New Roman"/>
          <w:i/>
          <w:color w:val="000000" w:themeColor="text1"/>
          <w:sz w:val="24"/>
          <w:szCs w:val="24"/>
          <w:lang w:val="ro-MD"/>
        </w:rPr>
        <w:t>onarea Consiliului Național al M</w:t>
      </w:r>
      <w:r w:rsidRPr="00D763CE">
        <w:rPr>
          <w:rFonts w:ascii="Times New Roman" w:hAnsi="Times New Roman"/>
          <w:i/>
          <w:color w:val="000000" w:themeColor="text1"/>
          <w:sz w:val="24"/>
          <w:szCs w:val="24"/>
          <w:lang w:val="ro-MD"/>
        </w:rPr>
        <w:t>onumentelor Istorice, aprobat prin Hotărârea Guvernului nr. _____ din_________</w:t>
      </w:r>
    </w:p>
    <w:p w:rsidR="00043E46" w:rsidRPr="00D763CE" w:rsidRDefault="00043E46" w:rsidP="00043E46">
      <w:pPr>
        <w:ind w:right="-330"/>
        <w:jc w:val="center"/>
        <w:rPr>
          <w:rFonts w:ascii="Times New Roman" w:hAnsi="Times New Roman"/>
          <w:color w:val="000000" w:themeColor="text1"/>
          <w:sz w:val="24"/>
          <w:szCs w:val="24"/>
        </w:rPr>
      </w:pPr>
    </w:p>
    <w:p w:rsidR="00043E46" w:rsidRPr="00D763CE" w:rsidRDefault="00043E46" w:rsidP="00043E46">
      <w:pPr>
        <w:spacing w:after="0" w:line="240" w:lineRule="auto"/>
        <w:ind w:right="-330"/>
        <w:jc w:val="center"/>
        <w:rPr>
          <w:rFonts w:ascii="Times New Roman" w:hAnsi="Times New Roman"/>
          <w:b/>
          <w:color w:val="000000" w:themeColor="text1"/>
          <w:sz w:val="24"/>
          <w:szCs w:val="24"/>
        </w:rPr>
      </w:pPr>
      <w:r>
        <w:rPr>
          <w:rFonts w:ascii="Times New Roman" w:hAnsi="Times New Roman"/>
          <w:b/>
          <w:color w:val="000000" w:themeColor="text1"/>
          <w:sz w:val="24"/>
          <w:szCs w:val="24"/>
        </w:rPr>
        <w:t>Conținutul poriectului de execu</w:t>
      </w:r>
      <w:r>
        <w:rPr>
          <w:rFonts w:ascii="Times New Roman" w:hAnsi="Times New Roman"/>
          <w:b/>
          <w:color w:val="000000" w:themeColor="text1"/>
          <w:sz w:val="24"/>
          <w:szCs w:val="24"/>
          <w:lang w:val="ro-MD"/>
        </w:rPr>
        <w:t>ț</w:t>
      </w:r>
      <w:r>
        <w:rPr>
          <w:rFonts w:ascii="Times New Roman" w:hAnsi="Times New Roman"/>
          <w:b/>
          <w:color w:val="000000" w:themeColor="text1"/>
          <w:sz w:val="24"/>
          <w:szCs w:val="24"/>
        </w:rPr>
        <w:t>ie</w:t>
      </w:r>
    </w:p>
    <w:p w:rsidR="00043E46" w:rsidRPr="00292813" w:rsidRDefault="00043E46" w:rsidP="00043E46">
      <w:pPr>
        <w:spacing w:after="0" w:line="240" w:lineRule="auto"/>
        <w:ind w:right="-330"/>
        <w:jc w:val="both"/>
        <w:rPr>
          <w:rFonts w:ascii="Times New Roman" w:hAnsi="Times New Roman"/>
          <w:color w:val="000000" w:themeColor="text1"/>
          <w:sz w:val="24"/>
          <w:szCs w:val="24"/>
        </w:rPr>
      </w:pPr>
    </w:p>
    <w:p w:rsidR="00690CE5" w:rsidRDefault="00690CE5" w:rsidP="00690CE5">
      <w:pPr>
        <w:spacing w:after="0" w:line="240" w:lineRule="auto"/>
        <w:ind w:firstLine="567"/>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1. </w:t>
      </w:r>
      <w:r w:rsidR="00292813" w:rsidRPr="00292813">
        <w:rPr>
          <w:rFonts w:ascii="Times New Roman" w:hAnsi="Times New Roman"/>
          <w:b/>
          <w:bCs/>
          <w:color w:val="000000" w:themeColor="text1"/>
          <w:sz w:val="24"/>
          <w:szCs w:val="24"/>
        </w:rPr>
        <w:t>Compartiment Acte permisive și alte documente relevante</w:t>
      </w:r>
    </w:p>
    <w:p w:rsidR="00690CE5" w:rsidRPr="005A62F7" w:rsidRDefault="00690CE5" w:rsidP="00690CE5">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1.1. </w:t>
      </w:r>
      <w:r w:rsidR="00292813" w:rsidRPr="005A62F7">
        <w:rPr>
          <w:rFonts w:ascii="Times New Roman" w:hAnsi="Times New Roman"/>
          <w:color w:val="000000" w:themeColor="text1"/>
          <w:sz w:val="24"/>
          <w:szCs w:val="24"/>
        </w:rPr>
        <w:t>Tema de proiectare;</w:t>
      </w:r>
    </w:p>
    <w:p w:rsidR="00690CE5" w:rsidRPr="005A62F7" w:rsidRDefault="00690CE5" w:rsidP="00690CE5">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1.2. </w:t>
      </w:r>
      <w:r w:rsidR="00292813" w:rsidRPr="005A62F7">
        <w:rPr>
          <w:rFonts w:ascii="Times New Roman" w:hAnsi="Times New Roman"/>
          <w:color w:val="000000" w:themeColor="text1"/>
          <w:sz w:val="24"/>
          <w:szCs w:val="24"/>
        </w:rPr>
        <w:t>Certificatul de urbanism pentru proiectare valabil;</w:t>
      </w:r>
    </w:p>
    <w:p w:rsidR="00690CE5" w:rsidRPr="005A62F7" w:rsidRDefault="00690CE5" w:rsidP="00690CE5">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1.3. </w:t>
      </w:r>
      <w:r w:rsidR="00292813" w:rsidRPr="005A62F7">
        <w:rPr>
          <w:rFonts w:ascii="Times New Roman" w:hAnsi="Times New Roman"/>
          <w:color w:val="000000" w:themeColor="text1"/>
          <w:sz w:val="24"/>
          <w:szCs w:val="24"/>
        </w:rPr>
        <w:t>Fișa de avizare a fazei schiță de proiect în vigoare;</w:t>
      </w:r>
    </w:p>
    <w:p w:rsidR="00690CE5" w:rsidRPr="005A62F7" w:rsidRDefault="00690CE5" w:rsidP="00690CE5">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1.4. </w:t>
      </w:r>
      <w:r w:rsidR="00292813" w:rsidRPr="005A62F7">
        <w:rPr>
          <w:rFonts w:ascii="Times New Roman" w:hAnsi="Times New Roman"/>
          <w:color w:val="000000" w:themeColor="text1"/>
          <w:sz w:val="24"/>
          <w:szCs w:val="24"/>
        </w:rPr>
        <w:t>Raportul de expertiză tehnică;</w:t>
      </w:r>
    </w:p>
    <w:p w:rsidR="00690CE5" w:rsidRPr="005A62F7" w:rsidRDefault="00690CE5" w:rsidP="00690CE5">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1.5. </w:t>
      </w:r>
      <w:r w:rsidR="00292813" w:rsidRPr="005A62F7">
        <w:rPr>
          <w:rFonts w:ascii="Times New Roman" w:hAnsi="Times New Roman"/>
          <w:color w:val="000000" w:themeColor="text1"/>
          <w:sz w:val="24"/>
          <w:szCs w:val="24"/>
        </w:rPr>
        <w:t>Raport al studiu geologic;</w:t>
      </w:r>
    </w:p>
    <w:p w:rsidR="00690CE5" w:rsidRPr="005A62F7" w:rsidRDefault="00690CE5" w:rsidP="00690CE5">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1.6. </w:t>
      </w:r>
      <w:r w:rsidR="00292813" w:rsidRPr="005A62F7">
        <w:rPr>
          <w:rFonts w:ascii="Times New Roman" w:hAnsi="Times New Roman"/>
          <w:color w:val="000000" w:themeColor="text1"/>
          <w:sz w:val="24"/>
          <w:szCs w:val="24"/>
        </w:rPr>
        <w:t>Raport al investigaților instrumentale în situ (după caz);</w:t>
      </w:r>
    </w:p>
    <w:p w:rsidR="00690CE5" w:rsidRPr="005A62F7" w:rsidRDefault="00690CE5" w:rsidP="00690CE5">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1.7. </w:t>
      </w:r>
      <w:r w:rsidR="00292813" w:rsidRPr="005A62F7">
        <w:rPr>
          <w:rFonts w:ascii="Times New Roman" w:hAnsi="Times New Roman"/>
          <w:color w:val="000000" w:themeColor="text1"/>
          <w:sz w:val="24"/>
          <w:szCs w:val="24"/>
        </w:rPr>
        <w:t>Raport al investigaților instrumentale în laborator (după caz);</w:t>
      </w:r>
    </w:p>
    <w:p w:rsidR="00690CE5" w:rsidRPr="005A62F7" w:rsidRDefault="00690CE5" w:rsidP="00690CE5">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1.8. </w:t>
      </w:r>
      <w:r w:rsidR="00292813" w:rsidRPr="005A62F7">
        <w:rPr>
          <w:rFonts w:ascii="Times New Roman" w:hAnsi="Times New Roman"/>
          <w:color w:val="000000" w:themeColor="text1"/>
          <w:sz w:val="24"/>
          <w:szCs w:val="24"/>
        </w:rPr>
        <w:t>Raport al investigaților arheologice (după caz);</w:t>
      </w:r>
    </w:p>
    <w:p w:rsidR="00292813" w:rsidRPr="005A62F7" w:rsidRDefault="00690CE5" w:rsidP="00690CE5">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1.9. </w:t>
      </w:r>
      <w:r w:rsidR="00292813" w:rsidRPr="005A62F7">
        <w:rPr>
          <w:rFonts w:ascii="Times New Roman" w:hAnsi="Times New Roman"/>
          <w:color w:val="000000" w:themeColor="text1"/>
          <w:sz w:val="24"/>
          <w:szCs w:val="24"/>
        </w:rPr>
        <w:t>Certificat de descărcare de sarcină arheologică (după caz).</w:t>
      </w:r>
    </w:p>
    <w:p w:rsidR="00690CE5" w:rsidRDefault="00690CE5" w:rsidP="00292813">
      <w:pPr>
        <w:spacing w:after="0" w:line="240" w:lineRule="auto"/>
        <w:ind w:firstLine="567"/>
        <w:rPr>
          <w:rFonts w:ascii="Times New Roman" w:hAnsi="Times New Roman"/>
          <w:b/>
          <w:bCs/>
          <w:color w:val="000000" w:themeColor="text1"/>
          <w:sz w:val="24"/>
          <w:szCs w:val="24"/>
        </w:rPr>
      </w:pPr>
    </w:p>
    <w:p w:rsidR="005A62F7" w:rsidRDefault="00292813" w:rsidP="005A62F7">
      <w:pPr>
        <w:spacing w:after="0" w:line="240" w:lineRule="auto"/>
        <w:ind w:firstLine="567"/>
        <w:rPr>
          <w:rFonts w:ascii="Times New Roman" w:hAnsi="Times New Roman"/>
          <w:b/>
          <w:bCs/>
          <w:color w:val="000000" w:themeColor="text1"/>
          <w:sz w:val="24"/>
          <w:szCs w:val="24"/>
        </w:rPr>
      </w:pPr>
      <w:r w:rsidRPr="00292813">
        <w:rPr>
          <w:rFonts w:ascii="Times New Roman" w:hAnsi="Times New Roman"/>
          <w:b/>
          <w:bCs/>
          <w:color w:val="000000" w:themeColor="text1"/>
          <w:sz w:val="24"/>
          <w:szCs w:val="24"/>
        </w:rPr>
        <w:t>2</w:t>
      </w:r>
      <w:r w:rsidR="00690CE5">
        <w:rPr>
          <w:rFonts w:ascii="Times New Roman" w:hAnsi="Times New Roman"/>
          <w:b/>
          <w:bCs/>
          <w:color w:val="000000" w:themeColor="text1"/>
          <w:sz w:val="24"/>
          <w:szCs w:val="24"/>
        </w:rPr>
        <w:t xml:space="preserve">. </w:t>
      </w:r>
      <w:r w:rsidRPr="00292813">
        <w:rPr>
          <w:rFonts w:ascii="Times New Roman" w:hAnsi="Times New Roman"/>
          <w:b/>
          <w:bCs/>
          <w:color w:val="000000" w:themeColor="text1"/>
          <w:sz w:val="24"/>
          <w:szCs w:val="24"/>
        </w:rPr>
        <w:t>Compartiment memoriu explicativ</w:t>
      </w:r>
    </w:p>
    <w:p w:rsidR="005A62F7" w:rsidRPr="005A62F7" w:rsidRDefault="005A62F7" w:rsidP="005A62F7">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2.1. </w:t>
      </w:r>
      <w:r w:rsidR="00292813" w:rsidRPr="005A62F7">
        <w:rPr>
          <w:rFonts w:ascii="Times New Roman" w:hAnsi="Times New Roman"/>
          <w:color w:val="000000" w:themeColor="text1"/>
          <w:sz w:val="24"/>
          <w:szCs w:val="24"/>
        </w:rPr>
        <w:t>descrierea succintă a principalelor etape istorice care au influențat formarea volumetriei clădirii/clădirilor inclusiv modul de valorificare a parcelei cu referințe la memoriul istorico-arhitectural elaborat;</w:t>
      </w:r>
    </w:p>
    <w:p w:rsidR="005A62F7" w:rsidRPr="005A62F7" w:rsidRDefault="005A62F7" w:rsidP="005A62F7">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2.2. </w:t>
      </w:r>
      <w:r w:rsidR="00292813" w:rsidRPr="005A62F7">
        <w:rPr>
          <w:rFonts w:ascii="Times New Roman" w:hAnsi="Times New Roman"/>
          <w:color w:val="000000" w:themeColor="text1"/>
          <w:sz w:val="24"/>
          <w:szCs w:val="24"/>
        </w:rPr>
        <w:t>descrierea aspectului arhitectural actual al clădirii/clădirilor pentru care se propun intervenții;</w:t>
      </w:r>
    </w:p>
    <w:p w:rsidR="005A62F7" w:rsidRPr="005A62F7" w:rsidRDefault="005A62F7" w:rsidP="005A62F7">
      <w:pPr>
        <w:spacing w:after="0" w:line="240" w:lineRule="auto"/>
        <w:ind w:firstLine="567"/>
        <w:rPr>
          <w:rFonts w:ascii="Times New Roman" w:hAnsi="Times New Roman"/>
          <w:color w:val="000000" w:themeColor="text1"/>
          <w:sz w:val="24"/>
          <w:szCs w:val="24"/>
        </w:rPr>
      </w:pPr>
      <w:r w:rsidRPr="005A62F7">
        <w:rPr>
          <w:rFonts w:ascii="Times New Roman" w:hAnsi="Times New Roman"/>
          <w:bCs/>
          <w:color w:val="000000" w:themeColor="text1"/>
          <w:sz w:val="24"/>
          <w:szCs w:val="24"/>
        </w:rPr>
        <w:t xml:space="preserve">2.3. </w:t>
      </w:r>
      <w:r w:rsidR="00292813" w:rsidRPr="005A62F7">
        <w:rPr>
          <w:rFonts w:ascii="Times New Roman" w:hAnsi="Times New Roman"/>
          <w:color w:val="000000" w:themeColor="text1"/>
          <w:sz w:val="24"/>
          <w:szCs w:val="24"/>
        </w:rPr>
        <w:t>descrierea stării tehnice cu referințe la concluziile Raportului expertizei tehnice;</w:t>
      </w:r>
    </w:p>
    <w:p w:rsidR="005A62F7" w:rsidRPr="005A62F7" w:rsidRDefault="005A62F7" w:rsidP="005A62F7">
      <w:pPr>
        <w:spacing w:after="0" w:line="240" w:lineRule="auto"/>
        <w:ind w:firstLine="567"/>
        <w:rPr>
          <w:rFonts w:ascii="Times New Roman" w:hAnsi="Times New Roman"/>
          <w:bCs/>
          <w:color w:val="000000" w:themeColor="text1"/>
          <w:sz w:val="24"/>
          <w:szCs w:val="24"/>
        </w:rPr>
      </w:pPr>
      <w:r w:rsidRPr="005A62F7">
        <w:rPr>
          <w:rFonts w:ascii="Times New Roman" w:hAnsi="Times New Roman"/>
          <w:color w:val="000000" w:themeColor="text1"/>
          <w:sz w:val="24"/>
          <w:szCs w:val="24"/>
        </w:rPr>
        <w:t xml:space="preserve">2.4. </w:t>
      </w:r>
      <w:r w:rsidR="00292813" w:rsidRPr="005A62F7">
        <w:rPr>
          <w:rFonts w:ascii="Times New Roman" w:hAnsi="Times New Roman"/>
          <w:color w:val="000000" w:themeColor="text1"/>
          <w:sz w:val="24"/>
          <w:szCs w:val="24"/>
        </w:rPr>
        <w:t>descrierea degradărilor: degradare fizică ale construcțiilor, degradarea construcțiilo</w:t>
      </w:r>
      <w:r w:rsidR="001F6DB6" w:rsidRPr="005A62F7">
        <w:rPr>
          <w:rFonts w:ascii="Times New Roman" w:hAnsi="Times New Roman"/>
          <w:color w:val="000000" w:themeColor="text1"/>
          <w:sz w:val="24"/>
          <w:szCs w:val="24"/>
        </w:rPr>
        <w:t>r, degradări ale materialelor.</w:t>
      </w:r>
    </w:p>
    <w:p w:rsidR="005A62F7" w:rsidRPr="005A62F7" w:rsidRDefault="005A62F7" w:rsidP="005A62F7">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2.5. </w:t>
      </w:r>
      <w:r w:rsidR="00292813" w:rsidRPr="005A62F7">
        <w:rPr>
          <w:rFonts w:ascii="Times New Roman" w:hAnsi="Times New Roman"/>
          <w:color w:val="000000" w:themeColor="text1"/>
          <w:sz w:val="24"/>
          <w:szCs w:val="24"/>
        </w:rPr>
        <w:t>descrierea soluției unitare de intervenție asupra monumentului istoric, a părților lui componente sau a clădirilor din zona de protecție a monumentului istoric. Acestea se vor referi la: intervențiile asupra structurii portante (fundații, părțile subterane, pereții exteriori și interiori, planșeele intermediare, planșeele de pod, șarpanta, învelitoarea), parament, finisajele interioare și exterioare, decorul interior și exterior, elementele arhitecturale, mobilierul interior fix, amenajările exterioare istorice și propuse;</w:t>
      </w:r>
    </w:p>
    <w:p w:rsidR="005A62F7" w:rsidRPr="005A62F7" w:rsidRDefault="005A62F7" w:rsidP="005A62F7">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2.6. </w:t>
      </w:r>
      <w:r w:rsidR="00292813" w:rsidRPr="005A62F7">
        <w:rPr>
          <w:rFonts w:ascii="Times New Roman" w:hAnsi="Times New Roman"/>
          <w:color w:val="000000" w:themeColor="text1"/>
          <w:sz w:val="24"/>
          <w:szCs w:val="24"/>
        </w:rPr>
        <w:t>descrierea etapelor executării lucrărilor;</w:t>
      </w:r>
    </w:p>
    <w:p w:rsidR="005A62F7" w:rsidRPr="005A62F7" w:rsidRDefault="005A62F7" w:rsidP="005A62F7">
      <w:pPr>
        <w:spacing w:after="0" w:line="240" w:lineRule="auto"/>
        <w:ind w:firstLine="567"/>
        <w:rPr>
          <w:rFonts w:ascii="Times New Roman" w:hAnsi="Times New Roman"/>
          <w:color w:val="000000" w:themeColor="text1"/>
          <w:sz w:val="24"/>
          <w:szCs w:val="24"/>
        </w:rPr>
      </w:pPr>
      <w:r w:rsidRPr="005A62F7">
        <w:rPr>
          <w:rFonts w:ascii="Times New Roman" w:hAnsi="Times New Roman"/>
          <w:bCs/>
          <w:color w:val="000000" w:themeColor="text1"/>
          <w:sz w:val="24"/>
          <w:szCs w:val="24"/>
        </w:rPr>
        <w:t xml:space="preserve">2.7. </w:t>
      </w:r>
      <w:r w:rsidR="00292813" w:rsidRPr="005A62F7">
        <w:rPr>
          <w:rFonts w:ascii="Times New Roman" w:hAnsi="Times New Roman"/>
          <w:color w:val="000000" w:themeColor="text1"/>
          <w:sz w:val="24"/>
          <w:szCs w:val="24"/>
        </w:rPr>
        <w:t>descrierea propunerilor de re</w:t>
      </w:r>
      <w:r w:rsidRPr="005A62F7">
        <w:rPr>
          <w:rFonts w:ascii="Times New Roman" w:hAnsi="Times New Roman"/>
          <w:color w:val="000000" w:themeColor="text1"/>
          <w:sz w:val="24"/>
          <w:szCs w:val="24"/>
        </w:rPr>
        <w:t>utilare a rețelelor inginerești</w:t>
      </w:r>
    </w:p>
    <w:p w:rsidR="005A62F7" w:rsidRPr="005A62F7" w:rsidRDefault="005A62F7" w:rsidP="005A62F7">
      <w:pPr>
        <w:spacing w:after="0" w:line="240" w:lineRule="auto"/>
        <w:ind w:firstLine="567"/>
        <w:rPr>
          <w:rFonts w:ascii="Times New Roman" w:hAnsi="Times New Roman"/>
          <w:bCs/>
          <w:color w:val="000000" w:themeColor="text1"/>
          <w:sz w:val="24"/>
          <w:szCs w:val="24"/>
        </w:rPr>
      </w:pPr>
      <w:r w:rsidRPr="005A62F7">
        <w:rPr>
          <w:rFonts w:ascii="Times New Roman" w:hAnsi="Times New Roman"/>
          <w:color w:val="000000" w:themeColor="text1"/>
          <w:sz w:val="24"/>
          <w:szCs w:val="24"/>
        </w:rPr>
        <w:t xml:space="preserve">2.8. </w:t>
      </w:r>
      <w:r w:rsidR="00292813" w:rsidRPr="005A62F7">
        <w:rPr>
          <w:rFonts w:ascii="Times New Roman" w:hAnsi="Times New Roman"/>
          <w:color w:val="000000" w:themeColor="text1"/>
          <w:sz w:val="24"/>
          <w:szCs w:val="24"/>
        </w:rPr>
        <w:t>descrierea soluției unitare de amenajare a terenului aferent;</w:t>
      </w:r>
    </w:p>
    <w:p w:rsidR="005A62F7" w:rsidRPr="005A62F7" w:rsidRDefault="005A62F7" w:rsidP="005A62F7">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2.9. </w:t>
      </w:r>
      <w:r w:rsidR="00292813" w:rsidRPr="005A62F7">
        <w:rPr>
          <w:rFonts w:ascii="Times New Roman" w:hAnsi="Times New Roman"/>
          <w:color w:val="000000" w:themeColor="text1"/>
          <w:sz w:val="24"/>
          <w:szCs w:val="24"/>
        </w:rPr>
        <w:t>descrierea riscurilor afectării vecinătăților și măsurile de eliminare a acestora (</w:t>
      </w:r>
      <w:bookmarkStart w:id="0" w:name="_Hlk159485861"/>
      <w:r w:rsidR="00292813" w:rsidRPr="005A62F7">
        <w:rPr>
          <w:rFonts w:ascii="Times New Roman" w:hAnsi="Times New Roman"/>
          <w:color w:val="000000" w:themeColor="text1"/>
          <w:sz w:val="24"/>
          <w:szCs w:val="24"/>
        </w:rPr>
        <w:t>diminuare nivel iluminare naturală, diminuare nivel insolare, riscuri de incendiu și seismice, evacuarea apelor pluviale etc.)</w:t>
      </w:r>
      <w:bookmarkEnd w:id="0"/>
      <w:r w:rsidR="00292813" w:rsidRPr="005A62F7">
        <w:rPr>
          <w:rFonts w:ascii="Times New Roman" w:hAnsi="Times New Roman"/>
          <w:color w:val="000000" w:themeColor="text1"/>
          <w:sz w:val="24"/>
          <w:szCs w:val="24"/>
        </w:rPr>
        <w:t>;</w:t>
      </w:r>
    </w:p>
    <w:p w:rsidR="00292813" w:rsidRPr="005A62F7" w:rsidRDefault="005A62F7" w:rsidP="005A62F7">
      <w:pPr>
        <w:spacing w:after="0" w:line="240" w:lineRule="auto"/>
        <w:ind w:firstLine="567"/>
        <w:rPr>
          <w:rFonts w:ascii="Times New Roman" w:hAnsi="Times New Roman"/>
          <w:bCs/>
          <w:color w:val="000000" w:themeColor="text1"/>
          <w:sz w:val="24"/>
          <w:szCs w:val="24"/>
        </w:rPr>
      </w:pPr>
      <w:r w:rsidRPr="005A62F7">
        <w:rPr>
          <w:rFonts w:ascii="Times New Roman" w:hAnsi="Times New Roman"/>
          <w:bCs/>
          <w:color w:val="000000" w:themeColor="text1"/>
          <w:sz w:val="24"/>
          <w:szCs w:val="24"/>
        </w:rPr>
        <w:t xml:space="preserve">2.10. </w:t>
      </w:r>
      <w:r w:rsidR="00292813" w:rsidRPr="005A62F7">
        <w:rPr>
          <w:rFonts w:ascii="Times New Roman" w:hAnsi="Times New Roman"/>
          <w:color w:val="000000" w:themeColor="text1"/>
          <w:sz w:val="24"/>
          <w:szCs w:val="24"/>
        </w:rPr>
        <w:t>indicii tehnico-economici: aria terenului, zonei de studiu, aria construită la sol, aria desfășurată, aria utilă, volum construit, POT, CUT, RH.</w:t>
      </w:r>
    </w:p>
    <w:p w:rsidR="00AE0718" w:rsidRDefault="00AE0718" w:rsidP="00292813">
      <w:pPr>
        <w:spacing w:after="0" w:line="240" w:lineRule="auto"/>
        <w:ind w:firstLine="567"/>
        <w:rPr>
          <w:rFonts w:ascii="Times New Roman" w:hAnsi="Times New Roman"/>
          <w:b/>
          <w:bCs/>
          <w:color w:val="000000" w:themeColor="text1"/>
          <w:sz w:val="24"/>
          <w:szCs w:val="24"/>
        </w:rPr>
      </w:pPr>
    </w:p>
    <w:p w:rsidR="00AE0718" w:rsidRDefault="00292813" w:rsidP="00AE0718">
      <w:pPr>
        <w:spacing w:after="0" w:line="240" w:lineRule="auto"/>
        <w:ind w:firstLine="567"/>
        <w:rPr>
          <w:rFonts w:ascii="Times New Roman" w:hAnsi="Times New Roman"/>
          <w:b/>
          <w:bCs/>
          <w:color w:val="000000" w:themeColor="text1"/>
          <w:sz w:val="24"/>
          <w:szCs w:val="24"/>
        </w:rPr>
      </w:pPr>
      <w:r w:rsidRPr="00292813">
        <w:rPr>
          <w:rFonts w:ascii="Times New Roman" w:hAnsi="Times New Roman"/>
          <w:b/>
          <w:bCs/>
          <w:color w:val="000000" w:themeColor="text1"/>
          <w:sz w:val="24"/>
          <w:szCs w:val="24"/>
        </w:rPr>
        <w:t>3</w:t>
      </w:r>
      <w:r w:rsidR="00AE0718">
        <w:rPr>
          <w:rFonts w:ascii="Times New Roman" w:hAnsi="Times New Roman"/>
          <w:b/>
          <w:bCs/>
          <w:color w:val="000000" w:themeColor="text1"/>
          <w:sz w:val="24"/>
          <w:szCs w:val="24"/>
        </w:rPr>
        <w:t xml:space="preserve">. </w:t>
      </w:r>
      <w:r w:rsidRPr="00292813">
        <w:rPr>
          <w:rFonts w:ascii="Times New Roman" w:hAnsi="Times New Roman"/>
          <w:b/>
          <w:bCs/>
          <w:color w:val="000000" w:themeColor="text1"/>
          <w:sz w:val="24"/>
          <w:szCs w:val="24"/>
        </w:rPr>
        <w:t>Compartimentul plan general</w:t>
      </w:r>
    </w:p>
    <w:p w:rsidR="00AE0718" w:rsidRPr="00AE0718" w:rsidRDefault="00AE0718" w:rsidP="00AE0718">
      <w:pPr>
        <w:spacing w:after="0" w:line="240" w:lineRule="auto"/>
        <w:ind w:firstLine="567"/>
        <w:rPr>
          <w:rFonts w:ascii="Times New Roman" w:hAnsi="Times New Roman"/>
          <w:bCs/>
          <w:color w:val="000000" w:themeColor="text1"/>
          <w:sz w:val="24"/>
          <w:szCs w:val="24"/>
        </w:rPr>
      </w:pPr>
      <w:r w:rsidRPr="00AE0718">
        <w:rPr>
          <w:rFonts w:ascii="Times New Roman" w:hAnsi="Times New Roman"/>
          <w:bCs/>
          <w:color w:val="000000" w:themeColor="text1"/>
          <w:sz w:val="24"/>
          <w:szCs w:val="24"/>
        </w:rPr>
        <w:t xml:space="preserve">3.1. </w:t>
      </w:r>
      <w:r w:rsidR="00292813" w:rsidRPr="00AE0718">
        <w:rPr>
          <w:rFonts w:ascii="Times New Roman" w:hAnsi="Times New Roman"/>
          <w:color w:val="000000" w:themeColor="text1"/>
          <w:sz w:val="24"/>
          <w:szCs w:val="24"/>
        </w:rPr>
        <w:t>memoriu;</w:t>
      </w:r>
    </w:p>
    <w:p w:rsidR="00AE0718" w:rsidRPr="00AE0718" w:rsidRDefault="00AE0718" w:rsidP="00AE0718">
      <w:pPr>
        <w:spacing w:after="0" w:line="240" w:lineRule="auto"/>
        <w:ind w:firstLine="567"/>
        <w:rPr>
          <w:rFonts w:ascii="Times New Roman" w:hAnsi="Times New Roman"/>
          <w:bCs/>
          <w:color w:val="000000" w:themeColor="text1"/>
          <w:sz w:val="24"/>
          <w:szCs w:val="24"/>
        </w:rPr>
      </w:pPr>
      <w:r w:rsidRPr="00AE0718">
        <w:rPr>
          <w:rFonts w:ascii="Times New Roman" w:hAnsi="Times New Roman"/>
          <w:bCs/>
          <w:color w:val="000000" w:themeColor="text1"/>
          <w:sz w:val="24"/>
          <w:szCs w:val="24"/>
        </w:rPr>
        <w:t xml:space="preserve">3.2. </w:t>
      </w:r>
      <w:r w:rsidR="00292813" w:rsidRPr="00AE0718">
        <w:rPr>
          <w:rFonts w:ascii="Times New Roman" w:hAnsi="Times New Roman"/>
          <w:color w:val="000000" w:themeColor="text1"/>
          <w:sz w:val="24"/>
          <w:szCs w:val="24"/>
        </w:rPr>
        <w:t>plan încadrare în teritoriu – scara 1:2000; Acesta se realizează cu indicarea tramei stradale, parcelarului, monumentelor istorice și zonelor de protecție, siturilor arheologice, monumentelor de for public, a zonelor verzi;</w:t>
      </w:r>
    </w:p>
    <w:p w:rsidR="00AE0718" w:rsidRPr="00AE0718" w:rsidRDefault="00AE0718" w:rsidP="00AE0718">
      <w:pPr>
        <w:spacing w:after="0" w:line="240" w:lineRule="auto"/>
        <w:ind w:firstLine="567"/>
        <w:rPr>
          <w:rFonts w:ascii="Times New Roman" w:hAnsi="Times New Roman"/>
          <w:bCs/>
          <w:color w:val="000000" w:themeColor="text1"/>
          <w:sz w:val="24"/>
          <w:szCs w:val="24"/>
        </w:rPr>
      </w:pPr>
      <w:r w:rsidRPr="00AE0718">
        <w:rPr>
          <w:rFonts w:ascii="Times New Roman" w:hAnsi="Times New Roman"/>
          <w:bCs/>
          <w:color w:val="000000" w:themeColor="text1"/>
          <w:sz w:val="24"/>
          <w:szCs w:val="24"/>
        </w:rPr>
        <w:t xml:space="preserve">3.3. </w:t>
      </w:r>
      <w:r w:rsidR="00292813" w:rsidRPr="00AE0718">
        <w:rPr>
          <w:rFonts w:ascii="Times New Roman" w:hAnsi="Times New Roman"/>
          <w:color w:val="000000" w:themeColor="text1"/>
          <w:sz w:val="24"/>
          <w:szCs w:val="24"/>
        </w:rPr>
        <w:t>planul general – scara 1:200; 1: 500. Acesta se realizează pe suport topografic actualizat cu indicarea limitelor terenului, construcțiilor de pe teren inclusiv cele vecine, plantațiile istorice, amenajările existente și propuse, rețele edilitare cele majore;</w:t>
      </w:r>
    </w:p>
    <w:p w:rsidR="00AE0718" w:rsidRDefault="00AE0718" w:rsidP="00AE0718">
      <w:pPr>
        <w:spacing w:after="0" w:line="240" w:lineRule="auto"/>
        <w:ind w:firstLine="567"/>
        <w:rPr>
          <w:rFonts w:ascii="Times New Roman" w:hAnsi="Times New Roman"/>
          <w:color w:val="000000" w:themeColor="text1"/>
          <w:sz w:val="24"/>
          <w:szCs w:val="24"/>
        </w:rPr>
      </w:pPr>
      <w:r w:rsidRPr="00AE0718">
        <w:rPr>
          <w:rFonts w:ascii="Times New Roman" w:hAnsi="Times New Roman"/>
          <w:bCs/>
          <w:color w:val="000000" w:themeColor="text1"/>
          <w:sz w:val="24"/>
          <w:szCs w:val="24"/>
        </w:rPr>
        <w:t xml:space="preserve">3.4. </w:t>
      </w:r>
      <w:r w:rsidR="00292813" w:rsidRPr="00AE0718">
        <w:rPr>
          <w:rFonts w:ascii="Times New Roman" w:hAnsi="Times New Roman"/>
          <w:color w:val="000000" w:themeColor="text1"/>
          <w:sz w:val="24"/>
          <w:szCs w:val="24"/>
        </w:rPr>
        <w:t>planul trasare – scara 1:200; 1: 500;</w:t>
      </w:r>
    </w:p>
    <w:p w:rsidR="00AE0718" w:rsidRDefault="00AE0718" w:rsidP="00AE0718">
      <w:pPr>
        <w:spacing w:after="0" w:line="240" w:lineRule="auto"/>
        <w:ind w:firstLine="567"/>
        <w:rPr>
          <w:rFonts w:ascii="Times New Roman" w:hAnsi="Times New Roman"/>
          <w:b/>
          <w:bCs/>
          <w:color w:val="000000" w:themeColor="text1"/>
          <w:sz w:val="24"/>
          <w:szCs w:val="24"/>
        </w:rPr>
      </w:pPr>
      <w:r>
        <w:rPr>
          <w:rFonts w:ascii="Times New Roman" w:hAnsi="Times New Roman"/>
          <w:color w:val="000000" w:themeColor="text1"/>
          <w:sz w:val="24"/>
          <w:szCs w:val="24"/>
        </w:rPr>
        <w:lastRenderedPageBreak/>
        <w:t xml:space="preserve">3.5. </w:t>
      </w:r>
      <w:r w:rsidR="00292813" w:rsidRPr="00AE0718">
        <w:rPr>
          <w:rFonts w:ascii="Times New Roman" w:hAnsi="Times New Roman"/>
          <w:color w:val="000000" w:themeColor="text1"/>
          <w:sz w:val="24"/>
          <w:szCs w:val="24"/>
        </w:rPr>
        <w:t>plan amenajare – scara 1:200; 1: 500;</w:t>
      </w:r>
    </w:p>
    <w:p w:rsidR="00AE0718" w:rsidRPr="00AE0718" w:rsidRDefault="00AE0718" w:rsidP="00AE0718">
      <w:pPr>
        <w:spacing w:after="0" w:line="240" w:lineRule="auto"/>
        <w:ind w:firstLine="567"/>
        <w:rPr>
          <w:rFonts w:ascii="Times New Roman" w:hAnsi="Times New Roman"/>
          <w:bCs/>
          <w:color w:val="000000" w:themeColor="text1"/>
          <w:sz w:val="24"/>
          <w:szCs w:val="24"/>
        </w:rPr>
      </w:pPr>
      <w:r w:rsidRPr="00AE0718">
        <w:rPr>
          <w:rFonts w:ascii="Times New Roman" w:hAnsi="Times New Roman"/>
          <w:bCs/>
          <w:color w:val="000000" w:themeColor="text1"/>
          <w:sz w:val="24"/>
          <w:szCs w:val="24"/>
        </w:rPr>
        <w:t xml:space="preserve">3.6. </w:t>
      </w:r>
      <w:r w:rsidR="00292813" w:rsidRPr="00AE0718">
        <w:rPr>
          <w:rFonts w:ascii="Times New Roman" w:hAnsi="Times New Roman"/>
          <w:color w:val="000000" w:themeColor="text1"/>
          <w:sz w:val="24"/>
          <w:szCs w:val="24"/>
        </w:rPr>
        <w:t>plan dendrologic – scara 1:200; 1: 500;</w:t>
      </w:r>
    </w:p>
    <w:p w:rsidR="00AE0718" w:rsidRPr="00AE0718" w:rsidRDefault="00AE0718" w:rsidP="00AE0718">
      <w:pPr>
        <w:spacing w:after="0" w:line="240" w:lineRule="auto"/>
        <w:ind w:firstLine="567"/>
        <w:rPr>
          <w:rFonts w:ascii="Times New Roman" w:hAnsi="Times New Roman"/>
          <w:bCs/>
          <w:color w:val="000000" w:themeColor="text1"/>
          <w:sz w:val="24"/>
          <w:szCs w:val="24"/>
        </w:rPr>
      </w:pPr>
      <w:r w:rsidRPr="00AE0718">
        <w:rPr>
          <w:rFonts w:ascii="Times New Roman" w:hAnsi="Times New Roman"/>
          <w:bCs/>
          <w:color w:val="000000" w:themeColor="text1"/>
          <w:sz w:val="24"/>
          <w:szCs w:val="24"/>
        </w:rPr>
        <w:t xml:space="preserve">3.7. </w:t>
      </w:r>
      <w:r w:rsidR="00292813" w:rsidRPr="00AE0718">
        <w:rPr>
          <w:rFonts w:ascii="Times New Roman" w:hAnsi="Times New Roman"/>
          <w:color w:val="000000" w:themeColor="text1"/>
          <w:sz w:val="24"/>
          <w:szCs w:val="24"/>
        </w:rPr>
        <w:t>desfășuratele ale frontului stradal sau curte, fotografice și grafice – scara 1:200; 1: 500;</w:t>
      </w:r>
    </w:p>
    <w:p w:rsidR="00AE0718" w:rsidRPr="00AE0718" w:rsidRDefault="00AE0718" w:rsidP="00AE0718">
      <w:pPr>
        <w:spacing w:after="0" w:line="240" w:lineRule="auto"/>
        <w:ind w:firstLine="567"/>
        <w:rPr>
          <w:rFonts w:ascii="Times New Roman" w:hAnsi="Times New Roman"/>
          <w:bCs/>
          <w:color w:val="000000" w:themeColor="text1"/>
          <w:sz w:val="24"/>
          <w:szCs w:val="24"/>
        </w:rPr>
      </w:pPr>
      <w:r w:rsidRPr="00AE0718">
        <w:rPr>
          <w:rFonts w:ascii="Times New Roman" w:hAnsi="Times New Roman"/>
          <w:bCs/>
          <w:color w:val="000000" w:themeColor="text1"/>
          <w:sz w:val="24"/>
          <w:szCs w:val="24"/>
        </w:rPr>
        <w:t xml:space="preserve">3.8. </w:t>
      </w:r>
      <w:r w:rsidR="00292813" w:rsidRPr="00AE0718">
        <w:rPr>
          <w:rFonts w:ascii="Times New Roman" w:hAnsi="Times New Roman"/>
          <w:color w:val="000000" w:themeColor="text1"/>
          <w:sz w:val="24"/>
          <w:szCs w:val="24"/>
        </w:rPr>
        <w:t>detalii - scara 1:10; 1:20;</w:t>
      </w:r>
    </w:p>
    <w:p w:rsidR="00292813" w:rsidRPr="00AE0718" w:rsidRDefault="00AE0718" w:rsidP="00AE0718">
      <w:pPr>
        <w:spacing w:after="0" w:line="240" w:lineRule="auto"/>
        <w:ind w:firstLine="567"/>
        <w:rPr>
          <w:rFonts w:ascii="Times New Roman" w:hAnsi="Times New Roman"/>
          <w:b/>
          <w:bCs/>
          <w:color w:val="000000" w:themeColor="text1"/>
          <w:sz w:val="24"/>
          <w:szCs w:val="24"/>
        </w:rPr>
      </w:pPr>
      <w:r w:rsidRPr="00AE0718">
        <w:rPr>
          <w:rFonts w:ascii="Times New Roman" w:hAnsi="Times New Roman"/>
          <w:bCs/>
          <w:color w:val="000000" w:themeColor="text1"/>
          <w:sz w:val="24"/>
          <w:szCs w:val="24"/>
        </w:rPr>
        <w:t xml:space="preserve">3.9. </w:t>
      </w:r>
      <w:r w:rsidR="00292813" w:rsidRPr="00AE0718">
        <w:rPr>
          <w:rFonts w:ascii="Times New Roman" w:hAnsi="Times New Roman"/>
          <w:color w:val="000000" w:themeColor="text1"/>
          <w:sz w:val="24"/>
          <w:szCs w:val="24"/>
        </w:rPr>
        <w:t>alte desene relevante.</w:t>
      </w:r>
    </w:p>
    <w:p w:rsidR="00AE0718" w:rsidRDefault="00AE0718" w:rsidP="00292813">
      <w:pPr>
        <w:spacing w:after="0" w:line="240" w:lineRule="auto"/>
        <w:ind w:firstLine="567"/>
        <w:rPr>
          <w:rFonts w:ascii="Times New Roman" w:hAnsi="Times New Roman"/>
          <w:b/>
          <w:bCs/>
          <w:color w:val="000000" w:themeColor="text1"/>
          <w:sz w:val="24"/>
          <w:szCs w:val="24"/>
        </w:rPr>
      </w:pPr>
    </w:p>
    <w:p w:rsidR="00AE0718" w:rsidRDefault="00292813" w:rsidP="00AE0718">
      <w:pPr>
        <w:spacing w:after="0" w:line="240" w:lineRule="auto"/>
        <w:ind w:firstLine="567"/>
        <w:rPr>
          <w:rFonts w:ascii="Times New Roman" w:hAnsi="Times New Roman"/>
          <w:b/>
          <w:bCs/>
          <w:color w:val="000000" w:themeColor="text1"/>
          <w:sz w:val="24"/>
          <w:szCs w:val="24"/>
        </w:rPr>
      </w:pPr>
      <w:r w:rsidRPr="00292813">
        <w:rPr>
          <w:rFonts w:ascii="Times New Roman" w:hAnsi="Times New Roman"/>
          <w:b/>
          <w:bCs/>
          <w:color w:val="000000" w:themeColor="text1"/>
          <w:sz w:val="24"/>
          <w:szCs w:val="24"/>
        </w:rPr>
        <w:t>4</w:t>
      </w:r>
      <w:r w:rsidR="00AE0718">
        <w:rPr>
          <w:rFonts w:ascii="Times New Roman" w:hAnsi="Times New Roman"/>
          <w:b/>
          <w:bCs/>
          <w:color w:val="000000" w:themeColor="text1"/>
          <w:sz w:val="24"/>
          <w:szCs w:val="24"/>
        </w:rPr>
        <w:t xml:space="preserve">. </w:t>
      </w:r>
      <w:r w:rsidRPr="00292813">
        <w:rPr>
          <w:rFonts w:ascii="Times New Roman" w:hAnsi="Times New Roman"/>
          <w:b/>
          <w:bCs/>
          <w:color w:val="000000" w:themeColor="text1"/>
          <w:sz w:val="24"/>
          <w:szCs w:val="24"/>
        </w:rPr>
        <w:t>Compartimentul proiectul de organizare a executării lucrărilor de construcție</w:t>
      </w:r>
    </w:p>
    <w:p w:rsidR="00AE0718" w:rsidRPr="00AE0718" w:rsidRDefault="00AE0718" w:rsidP="00AE0718">
      <w:pPr>
        <w:spacing w:after="0" w:line="240" w:lineRule="auto"/>
        <w:ind w:firstLine="567"/>
        <w:rPr>
          <w:rFonts w:ascii="Times New Roman" w:hAnsi="Times New Roman"/>
          <w:bCs/>
          <w:color w:val="000000" w:themeColor="text1"/>
          <w:sz w:val="24"/>
          <w:szCs w:val="24"/>
        </w:rPr>
      </w:pPr>
      <w:r w:rsidRPr="00AE0718">
        <w:rPr>
          <w:rFonts w:ascii="Times New Roman" w:hAnsi="Times New Roman"/>
          <w:bCs/>
          <w:color w:val="000000" w:themeColor="text1"/>
          <w:sz w:val="24"/>
          <w:szCs w:val="24"/>
        </w:rPr>
        <w:t xml:space="preserve">4.1. </w:t>
      </w:r>
      <w:r w:rsidR="00292813" w:rsidRPr="00AE0718">
        <w:rPr>
          <w:rFonts w:ascii="Times New Roman" w:hAnsi="Times New Roman"/>
          <w:color w:val="000000" w:themeColor="text1"/>
          <w:sz w:val="24"/>
          <w:szCs w:val="24"/>
        </w:rPr>
        <w:t>memoriu;</w:t>
      </w:r>
    </w:p>
    <w:p w:rsidR="00AE0718" w:rsidRPr="00AE0718" w:rsidRDefault="00AE0718" w:rsidP="00AE0718">
      <w:pPr>
        <w:spacing w:after="0" w:line="240" w:lineRule="auto"/>
        <w:ind w:firstLine="567"/>
        <w:rPr>
          <w:rFonts w:ascii="Times New Roman" w:hAnsi="Times New Roman"/>
          <w:bCs/>
          <w:color w:val="000000" w:themeColor="text1"/>
          <w:sz w:val="24"/>
          <w:szCs w:val="24"/>
        </w:rPr>
      </w:pPr>
      <w:r w:rsidRPr="00AE0718">
        <w:rPr>
          <w:rFonts w:ascii="Times New Roman" w:hAnsi="Times New Roman"/>
          <w:bCs/>
          <w:color w:val="000000" w:themeColor="text1"/>
          <w:sz w:val="24"/>
          <w:szCs w:val="24"/>
        </w:rPr>
        <w:t xml:space="preserve">4.2. </w:t>
      </w:r>
      <w:r w:rsidR="00292813" w:rsidRPr="00AE0718">
        <w:rPr>
          <w:rFonts w:ascii="Times New Roman" w:hAnsi="Times New Roman"/>
          <w:color w:val="000000" w:themeColor="text1"/>
          <w:sz w:val="24"/>
          <w:szCs w:val="24"/>
        </w:rPr>
        <w:t>planul organizare șantier – scara 1:200; 1: 500;</w:t>
      </w:r>
    </w:p>
    <w:p w:rsidR="00292813" w:rsidRPr="00AE0718" w:rsidRDefault="00AE0718" w:rsidP="00AE0718">
      <w:pPr>
        <w:spacing w:after="0" w:line="240" w:lineRule="auto"/>
        <w:ind w:firstLine="567"/>
        <w:rPr>
          <w:rFonts w:ascii="Times New Roman" w:hAnsi="Times New Roman"/>
          <w:b/>
          <w:bCs/>
          <w:color w:val="000000" w:themeColor="text1"/>
          <w:sz w:val="24"/>
          <w:szCs w:val="24"/>
        </w:rPr>
      </w:pPr>
      <w:r w:rsidRPr="00AE0718">
        <w:rPr>
          <w:rFonts w:ascii="Times New Roman" w:hAnsi="Times New Roman"/>
          <w:bCs/>
          <w:color w:val="000000" w:themeColor="text1"/>
          <w:sz w:val="24"/>
          <w:szCs w:val="24"/>
        </w:rPr>
        <w:t>4.3</w:t>
      </w:r>
      <w:r>
        <w:rPr>
          <w:rFonts w:ascii="Times New Roman" w:hAnsi="Times New Roman"/>
          <w:b/>
          <w:bCs/>
          <w:color w:val="000000" w:themeColor="text1"/>
          <w:sz w:val="24"/>
          <w:szCs w:val="24"/>
        </w:rPr>
        <w:t xml:space="preserve">. </w:t>
      </w:r>
      <w:r w:rsidR="00292813" w:rsidRPr="00AE0718">
        <w:rPr>
          <w:rFonts w:ascii="Times New Roman" w:hAnsi="Times New Roman"/>
          <w:color w:val="000000" w:themeColor="text1"/>
          <w:sz w:val="24"/>
          <w:szCs w:val="24"/>
        </w:rPr>
        <w:t>alte desene relevante.</w:t>
      </w:r>
    </w:p>
    <w:p w:rsidR="00977BB3" w:rsidRDefault="00977BB3" w:rsidP="00AE0718">
      <w:pPr>
        <w:spacing w:after="0" w:line="240" w:lineRule="auto"/>
        <w:ind w:firstLine="567"/>
        <w:rPr>
          <w:rFonts w:ascii="Times New Roman" w:hAnsi="Times New Roman"/>
          <w:b/>
          <w:bCs/>
          <w:color w:val="000000" w:themeColor="text1"/>
          <w:sz w:val="24"/>
          <w:szCs w:val="24"/>
        </w:rPr>
      </w:pPr>
    </w:p>
    <w:p w:rsidR="00AE0718" w:rsidRDefault="00292813" w:rsidP="00AE0718">
      <w:pPr>
        <w:spacing w:after="0" w:line="240" w:lineRule="auto"/>
        <w:ind w:firstLine="567"/>
        <w:rPr>
          <w:rFonts w:ascii="Times New Roman" w:hAnsi="Times New Roman"/>
          <w:b/>
          <w:bCs/>
          <w:color w:val="000000" w:themeColor="text1"/>
          <w:sz w:val="24"/>
          <w:szCs w:val="24"/>
        </w:rPr>
      </w:pPr>
      <w:r w:rsidRPr="00292813">
        <w:rPr>
          <w:rFonts w:ascii="Times New Roman" w:hAnsi="Times New Roman"/>
          <w:b/>
          <w:bCs/>
          <w:color w:val="000000" w:themeColor="text1"/>
          <w:sz w:val="24"/>
          <w:szCs w:val="24"/>
        </w:rPr>
        <w:t>5</w:t>
      </w:r>
      <w:r w:rsidR="00AE0718">
        <w:rPr>
          <w:rFonts w:ascii="Times New Roman" w:hAnsi="Times New Roman"/>
          <w:b/>
          <w:bCs/>
          <w:color w:val="000000" w:themeColor="text1"/>
          <w:sz w:val="24"/>
          <w:szCs w:val="24"/>
        </w:rPr>
        <w:t>.</w:t>
      </w:r>
      <w:r w:rsidR="008C0BF4">
        <w:rPr>
          <w:rFonts w:ascii="Times New Roman" w:hAnsi="Times New Roman"/>
          <w:b/>
          <w:bCs/>
          <w:color w:val="000000" w:themeColor="text1"/>
          <w:sz w:val="24"/>
          <w:szCs w:val="24"/>
        </w:rPr>
        <w:t xml:space="preserve"> </w:t>
      </w:r>
      <w:r w:rsidRPr="00292813">
        <w:rPr>
          <w:rFonts w:ascii="Times New Roman" w:hAnsi="Times New Roman"/>
          <w:b/>
          <w:bCs/>
          <w:color w:val="000000" w:themeColor="text1"/>
          <w:sz w:val="24"/>
          <w:szCs w:val="24"/>
        </w:rPr>
        <w:t>Compartimentul soluții arhitecturale</w:t>
      </w:r>
    </w:p>
    <w:p w:rsidR="00AE0718" w:rsidRPr="00977BB3" w:rsidRDefault="00AE0718" w:rsidP="00AE0718">
      <w:pPr>
        <w:spacing w:after="0" w:line="240" w:lineRule="auto"/>
        <w:ind w:firstLine="567"/>
        <w:rPr>
          <w:rFonts w:ascii="Times New Roman" w:hAnsi="Times New Roman"/>
          <w:bCs/>
          <w:color w:val="000000" w:themeColor="text1"/>
          <w:sz w:val="24"/>
          <w:szCs w:val="24"/>
        </w:rPr>
      </w:pPr>
      <w:r w:rsidRPr="00977BB3">
        <w:rPr>
          <w:rFonts w:ascii="Times New Roman" w:hAnsi="Times New Roman"/>
          <w:bCs/>
          <w:color w:val="000000" w:themeColor="text1"/>
          <w:sz w:val="24"/>
          <w:szCs w:val="24"/>
        </w:rPr>
        <w:t xml:space="preserve">5.1. </w:t>
      </w:r>
      <w:r w:rsidR="00292813" w:rsidRPr="00977BB3">
        <w:rPr>
          <w:rFonts w:ascii="Times New Roman" w:hAnsi="Times New Roman"/>
          <w:color w:val="000000" w:themeColor="text1"/>
          <w:sz w:val="24"/>
          <w:szCs w:val="24"/>
        </w:rPr>
        <w:t>memoriu;</w:t>
      </w:r>
    </w:p>
    <w:p w:rsidR="00AE0718" w:rsidRPr="00977BB3" w:rsidRDefault="00AE0718" w:rsidP="00AE0718">
      <w:pPr>
        <w:spacing w:after="0" w:line="240" w:lineRule="auto"/>
        <w:ind w:firstLine="567"/>
        <w:rPr>
          <w:rFonts w:ascii="Times New Roman" w:hAnsi="Times New Roman"/>
          <w:bCs/>
          <w:color w:val="000000" w:themeColor="text1"/>
          <w:sz w:val="24"/>
          <w:szCs w:val="24"/>
        </w:rPr>
      </w:pPr>
      <w:r w:rsidRPr="00977BB3">
        <w:rPr>
          <w:rFonts w:ascii="Times New Roman" w:hAnsi="Times New Roman"/>
          <w:bCs/>
          <w:color w:val="000000" w:themeColor="text1"/>
          <w:sz w:val="24"/>
          <w:szCs w:val="24"/>
        </w:rPr>
        <w:t xml:space="preserve">5.2. </w:t>
      </w:r>
      <w:r w:rsidR="00292813" w:rsidRPr="00977BB3">
        <w:rPr>
          <w:rFonts w:ascii="Times New Roman" w:hAnsi="Times New Roman"/>
          <w:color w:val="000000" w:themeColor="text1"/>
          <w:sz w:val="24"/>
          <w:szCs w:val="24"/>
        </w:rPr>
        <w:t>planuri pe niveluri (structuri, amenajări, finisări) – scara 1:50; 1:100;</w:t>
      </w:r>
    </w:p>
    <w:p w:rsidR="00AE0718" w:rsidRPr="00977BB3" w:rsidRDefault="00AE0718" w:rsidP="00AE0718">
      <w:pPr>
        <w:spacing w:after="0" w:line="240" w:lineRule="auto"/>
        <w:ind w:firstLine="567"/>
        <w:rPr>
          <w:rFonts w:ascii="Times New Roman" w:hAnsi="Times New Roman"/>
          <w:bCs/>
          <w:color w:val="000000" w:themeColor="text1"/>
          <w:sz w:val="24"/>
          <w:szCs w:val="24"/>
        </w:rPr>
      </w:pPr>
      <w:r w:rsidRPr="00977BB3">
        <w:rPr>
          <w:rFonts w:ascii="Times New Roman" w:hAnsi="Times New Roman"/>
          <w:bCs/>
          <w:color w:val="000000" w:themeColor="text1"/>
          <w:sz w:val="24"/>
          <w:szCs w:val="24"/>
        </w:rPr>
        <w:t xml:space="preserve">5.3. </w:t>
      </w:r>
      <w:r w:rsidR="00292813" w:rsidRPr="00977BB3">
        <w:rPr>
          <w:rFonts w:ascii="Times New Roman" w:hAnsi="Times New Roman"/>
          <w:color w:val="000000" w:themeColor="text1"/>
          <w:sz w:val="24"/>
          <w:szCs w:val="24"/>
        </w:rPr>
        <w:t>secțiuni, fațade – scara 1:50; 1:100;</w:t>
      </w:r>
    </w:p>
    <w:p w:rsidR="00AE0718" w:rsidRPr="00977BB3" w:rsidRDefault="00AE0718" w:rsidP="00AE0718">
      <w:pPr>
        <w:spacing w:after="0" w:line="240" w:lineRule="auto"/>
        <w:ind w:firstLine="567"/>
        <w:rPr>
          <w:rFonts w:ascii="Times New Roman" w:hAnsi="Times New Roman"/>
          <w:bCs/>
          <w:color w:val="000000" w:themeColor="text1"/>
          <w:sz w:val="24"/>
          <w:szCs w:val="24"/>
        </w:rPr>
      </w:pPr>
      <w:r w:rsidRPr="00977BB3">
        <w:rPr>
          <w:rFonts w:ascii="Times New Roman" w:hAnsi="Times New Roman"/>
          <w:bCs/>
          <w:color w:val="000000" w:themeColor="text1"/>
          <w:sz w:val="24"/>
          <w:szCs w:val="24"/>
        </w:rPr>
        <w:t xml:space="preserve">5.4. </w:t>
      </w:r>
      <w:r w:rsidR="00292813" w:rsidRPr="00977BB3">
        <w:rPr>
          <w:rFonts w:ascii="Times New Roman" w:hAnsi="Times New Roman"/>
          <w:color w:val="000000" w:themeColor="text1"/>
          <w:sz w:val="24"/>
          <w:szCs w:val="24"/>
        </w:rPr>
        <w:t>soluția coloristică a fațadelor – scara 1:50; 1:100;</w:t>
      </w:r>
    </w:p>
    <w:p w:rsidR="00977BB3" w:rsidRPr="00977BB3" w:rsidRDefault="00AE0718" w:rsidP="00977BB3">
      <w:pPr>
        <w:spacing w:after="0" w:line="240" w:lineRule="auto"/>
        <w:ind w:firstLine="567"/>
        <w:rPr>
          <w:rFonts w:ascii="Times New Roman" w:hAnsi="Times New Roman"/>
          <w:bCs/>
          <w:color w:val="000000" w:themeColor="text1"/>
          <w:sz w:val="24"/>
          <w:szCs w:val="24"/>
        </w:rPr>
      </w:pPr>
      <w:r w:rsidRPr="00977BB3">
        <w:rPr>
          <w:rFonts w:ascii="Times New Roman" w:hAnsi="Times New Roman"/>
          <w:bCs/>
          <w:color w:val="000000" w:themeColor="text1"/>
          <w:sz w:val="24"/>
          <w:szCs w:val="24"/>
        </w:rPr>
        <w:t xml:space="preserve">5.5. </w:t>
      </w:r>
      <w:r w:rsidR="00292813" w:rsidRPr="00977BB3">
        <w:rPr>
          <w:rFonts w:ascii="Times New Roman" w:hAnsi="Times New Roman"/>
          <w:color w:val="000000" w:themeColor="text1"/>
          <w:sz w:val="24"/>
          <w:szCs w:val="24"/>
        </w:rPr>
        <w:t>fragmentele de plan (pardoseli, tavane) – scara 1:20; 1:50;</w:t>
      </w:r>
    </w:p>
    <w:p w:rsidR="00977BB3" w:rsidRPr="00977BB3" w:rsidRDefault="00977BB3" w:rsidP="00977BB3">
      <w:pPr>
        <w:spacing w:after="0" w:line="240" w:lineRule="auto"/>
        <w:ind w:firstLine="567"/>
        <w:rPr>
          <w:rFonts w:ascii="Times New Roman" w:hAnsi="Times New Roman"/>
          <w:bCs/>
          <w:color w:val="000000" w:themeColor="text1"/>
          <w:sz w:val="24"/>
          <w:szCs w:val="24"/>
        </w:rPr>
      </w:pPr>
      <w:r w:rsidRPr="00977BB3">
        <w:rPr>
          <w:rFonts w:ascii="Times New Roman" w:hAnsi="Times New Roman"/>
          <w:bCs/>
          <w:color w:val="000000" w:themeColor="text1"/>
          <w:sz w:val="24"/>
          <w:szCs w:val="24"/>
        </w:rPr>
        <w:t xml:space="preserve">5.6. </w:t>
      </w:r>
      <w:r w:rsidR="00292813" w:rsidRPr="00977BB3">
        <w:rPr>
          <w:rFonts w:ascii="Times New Roman" w:hAnsi="Times New Roman"/>
          <w:color w:val="000000" w:themeColor="text1"/>
          <w:sz w:val="24"/>
          <w:szCs w:val="24"/>
        </w:rPr>
        <w:t>fragmentele de fațadă, detalii ale elementelor decorative - scara 1:10; 1:20;</w:t>
      </w:r>
    </w:p>
    <w:p w:rsidR="00977BB3" w:rsidRPr="00977BB3" w:rsidRDefault="00977BB3" w:rsidP="00977BB3">
      <w:pPr>
        <w:spacing w:after="0" w:line="240" w:lineRule="auto"/>
        <w:ind w:firstLine="567"/>
        <w:rPr>
          <w:rFonts w:ascii="Times New Roman" w:hAnsi="Times New Roman"/>
          <w:bCs/>
          <w:color w:val="000000" w:themeColor="text1"/>
          <w:sz w:val="24"/>
          <w:szCs w:val="24"/>
        </w:rPr>
      </w:pPr>
      <w:r w:rsidRPr="00977BB3">
        <w:rPr>
          <w:rFonts w:ascii="Times New Roman" w:hAnsi="Times New Roman"/>
          <w:bCs/>
          <w:color w:val="000000" w:themeColor="text1"/>
          <w:sz w:val="24"/>
          <w:szCs w:val="24"/>
        </w:rPr>
        <w:t xml:space="preserve">5.7. </w:t>
      </w:r>
      <w:r w:rsidR="00292813" w:rsidRPr="00977BB3">
        <w:rPr>
          <w:rFonts w:ascii="Times New Roman" w:hAnsi="Times New Roman"/>
          <w:color w:val="000000" w:themeColor="text1"/>
          <w:sz w:val="24"/>
          <w:szCs w:val="24"/>
        </w:rPr>
        <w:t>propunerea iluminatului nocturn al fațadelor la front stradal - 1:100;</w:t>
      </w:r>
    </w:p>
    <w:p w:rsidR="00977BB3" w:rsidRPr="00977BB3" w:rsidRDefault="00977BB3" w:rsidP="00977BB3">
      <w:pPr>
        <w:spacing w:after="0" w:line="240" w:lineRule="auto"/>
        <w:ind w:firstLine="567"/>
        <w:rPr>
          <w:rFonts w:ascii="Times New Roman" w:hAnsi="Times New Roman"/>
          <w:bCs/>
          <w:color w:val="000000" w:themeColor="text1"/>
          <w:sz w:val="24"/>
          <w:szCs w:val="24"/>
        </w:rPr>
      </w:pPr>
      <w:r w:rsidRPr="00977BB3">
        <w:rPr>
          <w:rFonts w:ascii="Times New Roman" w:hAnsi="Times New Roman"/>
          <w:bCs/>
          <w:color w:val="000000" w:themeColor="text1"/>
          <w:sz w:val="24"/>
          <w:szCs w:val="24"/>
        </w:rPr>
        <w:t xml:space="preserve">5.8. </w:t>
      </w:r>
      <w:r w:rsidR="00292813" w:rsidRPr="00977BB3">
        <w:rPr>
          <w:rFonts w:ascii="Times New Roman" w:hAnsi="Times New Roman"/>
          <w:color w:val="000000" w:themeColor="text1"/>
          <w:sz w:val="24"/>
          <w:szCs w:val="24"/>
        </w:rPr>
        <w:t>imagini 3D (după caz);</w:t>
      </w:r>
    </w:p>
    <w:p w:rsidR="00292813" w:rsidRPr="00977BB3" w:rsidRDefault="00977BB3" w:rsidP="00977BB3">
      <w:pPr>
        <w:spacing w:after="0" w:line="240" w:lineRule="auto"/>
        <w:ind w:firstLine="567"/>
        <w:rPr>
          <w:rFonts w:ascii="Times New Roman" w:hAnsi="Times New Roman"/>
          <w:b/>
          <w:bCs/>
          <w:color w:val="000000" w:themeColor="text1"/>
          <w:sz w:val="24"/>
          <w:szCs w:val="24"/>
        </w:rPr>
      </w:pPr>
      <w:r w:rsidRPr="00977BB3">
        <w:rPr>
          <w:rFonts w:ascii="Times New Roman" w:hAnsi="Times New Roman"/>
          <w:bCs/>
          <w:color w:val="000000" w:themeColor="text1"/>
          <w:sz w:val="24"/>
          <w:szCs w:val="24"/>
        </w:rPr>
        <w:t xml:space="preserve">5.9. </w:t>
      </w:r>
      <w:r w:rsidR="00292813" w:rsidRPr="00977BB3">
        <w:rPr>
          <w:rFonts w:ascii="Times New Roman" w:hAnsi="Times New Roman"/>
          <w:color w:val="000000" w:themeColor="text1"/>
          <w:sz w:val="24"/>
          <w:szCs w:val="24"/>
        </w:rPr>
        <w:t>alte desene relevante.</w:t>
      </w:r>
    </w:p>
    <w:p w:rsidR="00AC496D" w:rsidRDefault="00AC496D" w:rsidP="00AC496D">
      <w:pPr>
        <w:spacing w:after="0" w:line="240" w:lineRule="auto"/>
        <w:ind w:firstLine="567"/>
        <w:rPr>
          <w:rFonts w:ascii="Times New Roman" w:hAnsi="Times New Roman"/>
          <w:b/>
          <w:bCs/>
          <w:color w:val="000000" w:themeColor="text1"/>
          <w:sz w:val="24"/>
          <w:szCs w:val="24"/>
        </w:rPr>
      </w:pPr>
    </w:p>
    <w:p w:rsidR="00AC496D" w:rsidRDefault="00292813" w:rsidP="00AC496D">
      <w:pPr>
        <w:spacing w:after="0" w:line="240" w:lineRule="auto"/>
        <w:ind w:firstLine="567"/>
        <w:rPr>
          <w:rFonts w:ascii="Times New Roman" w:hAnsi="Times New Roman"/>
          <w:b/>
          <w:bCs/>
          <w:color w:val="000000" w:themeColor="text1"/>
          <w:sz w:val="24"/>
          <w:szCs w:val="24"/>
        </w:rPr>
      </w:pPr>
      <w:r w:rsidRPr="00292813">
        <w:rPr>
          <w:rFonts w:ascii="Times New Roman" w:hAnsi="Times New Roman"/>
          <w:b/>
          <w:bCs/>
          <w:color w:val="000000" w:themeColor="text1"/>
          <w:sz w:val="24"/>
          <w:szCs w:val="24"/>
        </w:rPr>
        <w:t>6</w:t>
      </w:r>
      <w:r w:rsidR="00AC496D">
        <w:rPr>
          <w:rFonts w:ascii="Times New Roman" w:hAnsi="Times New Roman"/>
          <w:b/>
          <w:bCs/>
          <w:color w:val="000000" w:themeColor="text1"/>
          <w:sz w:val="24"/>
          <w:szCs w:val="24"/>
        </w:rPr>
        <w:t xml:space="preserve">. </w:t>
      </w:r>
      <w:r w:rsidRPr="00292813">
        <w:rPr>
          <w:rFonts w:ascii="Times New Roman" w:hAnsi="Times New Roman"/>
          <w:b/>
          <w:bCs/>
          <w:color w:val="000000" w:themeColor="text1"/>
          <w:sz w:val="24"/>
          <w:szCs w:val="24"/>
        </w:rPr>
        <w:t>Compartimentul soluții constructive</w:t>
      </w:r>
    </w:p>
    <w:p w:rsidR="00AC496D" w:rsidRPr="00AC496D" w:rsidRDefault="00AC496D" w:rsidP="00AC496D">
      <w:pPr>
        <w:spacing w:after="0" w:line="240" w:lineRule="auto"/>
        <w:ind w:firstLine="567"/>
        <w:rPr>
          <w:rFonts w:ascii="Times New Roman" w:hAnsi="Times New Roman"/>
          <w:bCs/>
          <w:color w:val="000000" w:themeColor="text1"/>
          <w:sz w:val="24"/>
          <w:szCs w:val="24"/>
        </w:rPr>
      </w:pPr>
      <w:bookmarkStart w:id="1" w:name="_GoBack"/>
      <w:r w:rsidRPr="00AC496D">
        <w:rPr>
          <w:rFonts w:ascii="Times New Roman" w:hAnsi="Times New Roman"/>
          <w:bCs/>
          <w:color w:val="000000" w:themeColor="text1"/>
          <w:sz w:val="24"/>
          <w:szCs w:val="24"/>
        </w:rPr>
        <w:t xml:space="preserve">6.1. </w:t>
      </w:r>
      <w:r w:rsidR="00292813" w:rsidRPr="00AC496D">
        <w:rPr>
          <w:rFonts w:ascii="Times New Roman" w:hAnsi="Times New Roman"/>
          <w:color w:val="000000" w:themeColor="text1"/>
          <w:sz w:val="24"/>
          <w:szCs w:val="24"/>
        </w:rPr>
        <w:t>memoriu;</w:t>
      </w:r>
    </w:p>
    <w:p w:rsidR="00AC496D" w:rsidRPr="00AC496D" w:rsidRDefault="00AC496D" w:rsidP="00AC496D">
      <w:pPr>
        <w:spacing w:after="0" w:line="240" w:lineRule="auto"/>
        <w:ind w:firstLine="567"/>
        <w:rPr>
          <w:rFonts w:ascii="Times New Roman" w:hAnsi="Times New Roman"/>
          <w:bCs/>
          <w:color w:val="000000" w:themeColor="text1"/>
          <w:sz w:val="24"/>
          <w:szCs w:val="24"/>
        </w:rPr>
      </w:pPr>
      <w:r w:rsidRPr="00AC496D">
        <w:rPr>
          <w:rFonts w:ascii="Times New Roman" w:hAnsi="Times New Roman"/>
          <w:bCs/>
          <w:color w:val="000000" w:themeColor="text1"/>
          <w:sz w:val="24"/>
          <w:szCs w:val="24"/>
        </w:rPr>
        <w:t xml:space="preserve">6.2. </w:t>
      </w:r>
      <w:r w:rsidR="00292813" w:rsidRPr="00AC496D">
        <w:rPr>
          <w:rFonts w:ascii="Times New Roman" w:hAnsi="Times New Roman"/>
          <w:color w:val="000000" w:themeColor="text1"/>
          <w:sz w:val="24"/>
          <w:szCs w:val="24"/>
        </w:rPr>
        <w:t>măsuri de consolidare corelate cu Raportul de expertiză tehnică;</w:t>
      </w:r>
    </w:p>
    <w:p w:rsidR="00AC496D" w:rsidRPr="00AC496D" w:rsidRDefault="00AC496D" w:rsidP="00AC496D">
      <w:pPr>
        <w:spacing w:after="0" w:line="240" w:lineRule="auto"/>
        <w:ind w:firstLine="567"/>
        <w:rPr>
          <w:rFonts w:ascii="Times New Roman" w:hAnsi="Times New Roman"/>
          <w:bCs/>
          <w:color w:val="000000" w:themeColor="text1"/>
          <w:sz w:val="24"/>
          <w:szCs w:val="24"/>
        </w:rPr>
      </w:pPr>
      <w:r w:rsidRPr="00AC496D">
        <w:rPr>
          <w:rFonts w:ascii="Times New Roman" w:hAnsi="Times New Roman"/>
          <w:bCs/>
          <w:color w:val="000000" w:themeColor="text1"/>
          <w:sz w:val="24"/>
          <w:szCs w:val="24"/>
        </w:rPr>
        <w:t xml:space="preserve">6.3. </w:t>
      </w:r>
      <w:r w:rsidR="00292813" w:rsidRPr="00AC496D">
        <w:rPr>
          <w:rFonts w:ascii="Times New Roman" w:hAnsi="Times New Roman"/>
          <w:color w:val="000000" w:themeColor="text1"/>
          <w:sz w:val="24"/>
          <w:szCs w:val="24"/>
        </w:rPr>
        <w:t>planuri pe niveluri, planuri tematice, secțiuni – scara 1:50; 1:100;</w:t>
      </w:r>
    </w:p>
    <w:p w:rsidR="00AC496D" w:rsidRPr="00AC496D" w:rsidRDefault="00AC496D" w:rsidP="00AC496D">
      <w:pPr>
        <w:spacing w:after="0" w:line="240" w:lineRule="auto"/>
        <w:ind w:firstLine="567"/>
        <w:rPr>
          <w:rFonts w:ascii="Times New Roman" w:hAnsi="Times New Roman"/>
          <w:bCs/>
          <w:color w:val="000000" w:themeColor="text1"/>
          <w:sz w:val="24"/>
          <w:szCs w:val="24"/>
        </w:rPr>
      </w:pPr>
      <w:r w:rsidRPr="00AC496D">
        <w:rPr>
          <w:rFonts w:ascii="Times New Roman" w:hAnsi="Times New Roman"/>
          <w:bCs/>
          <w:color w:val="000000" w:themeColor="text1"/>
          <w:sz w:val="24"/>
          <w:szCs w:val="24"/>
        </w:rPr>
        <w:t xml:space="preserve">6.4. </w:t>
      </w:r>
      <w:r w:rsidR="00292813" w:rsidRPr="00AC496D">
        <w:rPr>
          <w:rFonts w:ascii="Times New Roman" w:hAnsi="Times New Roman"/>
          <w:color w:val="000000" w:themeColor="text1"/>
          <w:sz w:val="24"/>
          <w:szCs w:val="24"/>
        </w:rPr>
        <w:t>detalii - scara 1:10; 1:20;</w:t>
      </w:r>
    </w:p>
    <w:p w:rsidR="00292813" w:rsidRPr="00AC496D" w:rsidRDefault="00AC496D" w:rsidP="00AC496D">
      <w:pPr>
        <w:spacing w:after="0" w:line="240" w:lineRule="auto"/>
        <w:ind w:firstLine="567"/>
        <w:rPr>
          <w:rFonts w:ascii="Times New Roman" w:hAnsi="Times New Roman"/>
          <w:bCs/>
          <w:color w:val="000000" w:themeColor="text1"/>
          <w:sz w:val="24"/>
          <w:szCs w:val="24"/>
        </w:rPr>
      </w:pPr>
      <w:r w:rsidRPr="00AC496D">
        <w:rPr>
          <w:rFonts w:ascii="Times New Roman" w:hAnsi="Times New Roman"/>
          <w:bCs/>
          <w:color w:val="000000" w:themeColor="text1"/>
          <w:sz w:val="24"/>
          <w:szCs w:val="24"/>
        </w:rPr>
        <w:t xml:space="preserve">6.5. </w:t>
      </w:r>
      <w:r w:rsidR="00292813" w:rsidRPr="00AC496D">
        <w:rPr>
          <w:rFonts w:ascii="Times New Roman" w:hAnsi="Times New Roman"/>
          <w:color w:val="000000" w:themeColor="text1"/>
          <w:sz w:val="24"/>
          <w:szCs w:val="24"/>
        </w:rPr>
        <w:t>alte desene relevante.</w:t>
      </w:r>
    </w:p>
    <w:bookmarkEnd w:id="1"/>
    <w:p w:rsidR="00AC496D" w:rsidRDefault="00AC496D" w:rsidP="00912E8D">
      <w:pPr>
        <w:spacing w:after="0" w:line="240" w:lineRule="auto"/>
        <w:ind w:firstLine="567"/>
        <w:rPr>
          <w:rFonts w:ascii="Times New Roman" w:hAnsi="Times New Roman"/>
          <w:b/>
          <w:bCs/>
          <w:color w:val="000000" w:themeColor="text1"/>
          <w:sz w:val="24"/>
          <w:szCs w:val="24"/>
        </w:rPr>
      </w:pPr>
    </w:p>
    <w:p w:rsidR="005354C2" w:rsidRPr="00912E8D" w:rsidRDefault="00292813" w:rsidP="00912E8D">
      <w:pPr>
        <w:spacing w:after="0" w:line="240" w:lineRule="auto"/>
        <w:ind w:firstLine="567"/>
        <w:rPr>
          <w:rFonts w:ascii="Times New Roman" w:hAnsi="Times New Roman"/>
          <w:b/>
          <w:bCs/>
          <w:color w:val="000000" w:themeColor="text1"/>
          <w:sz w:val="24"/>
          <w:szCs w:val="24"/>
        </w:rPr>
      </w:pPr>
      <w:r w:rsidRPr="00292813">
        <w:rPr>
          <w:rFonts w:ascii="Times New Roman" w:hAnsi="Times New Roman"/>
          <w:b/>
          <w:bCs/>
          <w:color w:val="000000" w:themeColor="text1"/>
          <w:sz w:val="24"/>
          <w:szCs w:val="24"/>
        </w:rPr>
        <w:t>7</w:t>
      </w:r>
      <w:r w:rsidR="00AC496D">
        <w:rPr>
          <w:rFonts w:ascii="Times New Roman" w:hAnsi="Times New Roman"/>
          <w:b/>
          <w:bCs/>
          <w:color w:val="000000" w:themeColor="text1"/>
          <w:sz w:val="24"/>
          <w:szCs w:val="24"/>
        </w:rPr>
        <w:t xml:space="preserve">. </w:t>
      </w:r>
      <w:r w:rsidRPr="00292813">
        <w:rPr>
          <w:rFonts w:ascii="Times New Roman" w:hAnsi="Times New Roman"/>
          <w:b/>
          <w:bCs/>
          <w:color w:val="000000" w:themeColor="text1"/>
          <w:sz w:val="24"/>
          <w:szCs w:val="24"/>
        </w:rPr>
        <w:t>Compartimente relevante sau cu impact asupra bunului/lor de patrimoniu cultural.</w:t>
      </w:r>
    </w:p>
    <w:sectPr w:rsidR="005354C2" w:rsidRPr="00912E8D" w:rsidSect="00FE7753">
      <w:pgSz w:w="11906" w:h="16838"/>
      <w:pgMar w:top="851" w:right="1440" w:bottom="851" w:left="1440" w:header="708" w:footer="41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69C"/>
    <w:multiLevelType w:val="hybridMultilevel"/>
    <w:tmpl w:val="400C8E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B4D2A"/>
    <w:multiLevelType w:val="hybridMultilevel"/>
    <w:tmpl w:val="7E60B2E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C936435"/>
    <w:multiLevelType w:val="hybridMultilevel"/>
    <w:tmpl w:val="7E60B2E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BBC0CC9"/>
    <w:multiLevelType w:val="hybridMultilevel"/>
    <w:tmpl w:val="7E60B2E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5A26342D"/>
    <w:multiLevelType w:val="hybridMultilevel"/>
    <w:tmpl w:val="B1941D9C"/>
    <w:lvl w:ilvl="0" w:tplc="4F96B2DE">
      <w:start w:val="1"/>
      <w:numFmt w:val="decimal"/>
      <w:lvlText w:val="%1."/>
      <w:lvlJc w:val="left"/>
      <w:pPr>
        <w:ind w:left="1260" w:hanging="360"/>
      </w:pPr>
      <w:rPr>
        <w:rFonts w:ascii="Times New Roman" w:hAnsi="Times New Roman" w:cs="Times New Roman" w:hint="default"/>
        <w:color w:val="auto"/>
        <w:sz w:val="28"/>
        <w:szCs w:val="28"/>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36C6092"/>
    <w:multiLevelType w:val="hybridMultilevel"/>
    <w:tmpl w:val="FB6AC2A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6B0326D9"/>
    <w:multiLevelType w:val="hybridMultilevel"/>
    <w:tmpl w:val="7E60B2E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6CDC1064"/>
    <w:multiLevelType w:val="hybridMultilevel"/>
    <w:tmpl w:val="7E60B2E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6D430254"/>
    <w:multiLevelType w:val="hybridMultilevel"/>
    <w:tmpl w:val="D748A6F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A5"/>
    <w:rsid w:val="00043E46"/>
    <w:rsid w:val="001F6DB6"/>
    <w:rsid w:val="00292813"/>
    <w:rsid w:val="00383C79"/>
    <w:rsid w:val="00512D8C"/>
    <w:rsid w:val="00522C4E"/>
    <w:rsid w:val="005354C2"/>
    <w:rsid w:val="005A62F7"/>
    <w:rsid w:val="005A635B"/>
    <w:rsid w:val="00690CE5"/>
    <w:rsid w:val="008316A7"/>
    <w:rsid w:val="008C0BF4"/>
    <w:rsid w:val="008F2EA5"/>
    <w:rsid w:val="00912E8D"/>
    <w:rsid w:val="00977BB3"/>
    <w:rsid w:val="00A36A62"/>
    <w:rsid w:val="00AC496D"/>
    <w:rsid w:val="00AE0718"/>
    <w:rsid w:val="00B15781"/>
    <w:rsid w:val="00CC1CAC"/>
    <w:rsid w:val="00E17CDF"/>
    <w:rsid w:val="00E30CAD"/>
    <w:rsid w:val="00E32644"/>
    <w:rsid w:val="00FE7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CFA3"/>
  <w15:chartTrackingRefBased/>
  <w15:docId w15:val="{582247C8-3489-426C-B5D5-81D5361E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A62"/>
    <w:pPr>
      <w:spacing w:after="200" w:line="27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E46"/>
    <w:pPr>
      <w:spacing w:after="160" w:line="252" w:lineRule="auto"/>
      <w:ind w:left="720"/>
      <w:contextualSpacing/>
    </w:pPr>
    <w:rPr>
      <w:rFonts w:asciiTheme="minorHAnsi" w:eastAsiaTheme="minorHAnsi" w:hAnsiTheme="minorHAnsi" w:cstheme="minorBidi"/>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2024-06-04T13:04:00Z</dcterms:created>
  <dcterms:modified xsi:type="dcterms:W3CDTF">2024-11-08T20:03:00Z</dcterms:modified>
</cp:coreProperties>
</file>