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EBF" w:rsidRPr="009844DD" w:rsidRDefault="002D4EBF" w:rsidP="002D4EBF">
      <w:pPr>
        <w:tabs>
          <w:tab w:val="left" w:pos="884"/>
          <w:tab w:val="left" w:pos="1196"/>
        </w:tabs>
        <w:ind w:left="-284" w:right="-143" w:firstLine="0"/>
        <w:rPr>
          <w:sz w:val="24"/>
          <w:szCs w:val="24"/>
          <w:lang w:val="ro-MD"/>
        </w:rPr>
      </w:pPr>
    </w:p>
    <w:p w:rsidR="002D4EBF" w:rsidRPr="009844DD" w:rsidRDefault="002D4EBF" w:rsidP="002D4EBF">
      <w:pPr>
        <w:tabs>
          <w:tab w:val="left" w:pos="884"/>
          <w:tab w:val="left" w:pos="1196"/>
        </w:tabs>
        <w:ind w:left="-426" w:right="424" w:firstLine="0"/>
        <w:jc w:val="center"/>
        <w:rPr>
          <w:sz w:val="24"/>
          <w:szCs w:val="24"/>
          <w:lang w:val="ro-MD"/>
        </w:rPr>
      </w:pPr>
      <w:r w:rsidRPr="009844DD">
        <w:rPr>
          <w:b/>
          <w:sz w:val="24"/>
          <w:szCs w:val="24"/>
          <w:lang w:val="ro-MD"/>
        </w:rPr>
        <w:t>NOTA DE FUNDAMENTARE</w:t>
      </w:r>
    </w:p>
    <w:p w:rsidR="002D4EBF" w:rsidRPr="009844DD" w:rsidRDefault="002D4EBF" w:rsidP="002D4EBF">
      <w:pPr>
        <w:pBdr>
          <w:bottom w:val="single" w:sz="12" w:space="9" w:color="000000"/>
        </w:pBdr>
        <w:ind w:left="-426" w:right="424" w:hanging="63"/>
        <w:jc w:val="center"/>
        <w:rPr>
          <w:b/>
          <w:color w:val="000000"/>
          <w:sz w:val="24"/>
          <w:szCs w:val="24"/>
          <w:lang w:val="ro-MD"/>
        </w:rPr>
      </w:pPr>
      <w:r w:rsidRPr="009844DD">
        <w:rPr>
          <w:b/>
          <w:sz w:val="24"/>
          <w:szCs w:val="24"/>
          <w:lang w:val="ro-MD"/>
        </w:rPr>
        <w:t xml:space="preserve">la proiectul </w:t>
      </w:r>
      <w:r w:rsidRPr="009844DD">
        <w:rPr>
          <w:b/>
          <w:color w:val="000000"/>
          <w:sz w:val="24"/>
          <w:szCs w:val="24"/>
          <w:lang w:val="ro-MD"/>
        </w:rPr>
        <w:t>Hotărârii de Guvern cu privire la modificarea Metodologiei de realizare a raportului de expertiză privind încetarea necesității menținerii în domeniul public a unor bunuri imobile destinate educației, aprobată prin Hotărârea Guvernului nr. 314/2018</w:t>
      </w:r>
    </w:p>
    <w:p w:rsidR="002D4EBF" w:rsidRPr="009844DD" w:rsidRDefault="002D4EBF" w:rsidP="002D4EBF">
      <w:pPr>
        <w:tabs>
          <w:tab w:val="left" w:pos="884"/>
          <w:tab w:val="left" w:pos="1196"/>
        </w:tabs>
        <w:ind w:firstLine="0"/>
        <w:jc w:val="center"/>
        <w:rPr>
          <w:sz w:val="24"/>
          <w:szCs w:val="24"/>
          <w:lang w:val="ro-MD"/>
        </w:rPr>
      </w:pPr>
    </w:p>
    <w:tbl>
      <w:tblPr>
        <w:tblStyle w:val="a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7"/>
      </w:tblGrid>
      <w:tr w:rsidR="002D4EBF" w:rsidRPr="009844DD" w:rsidTr="002A4FEC">
        <w:tc>
          <w:tcPr>
            <w:tcW w:w="8637" w:type="dxa"/>
            <w:tcBorders>
              <w:top w:val="single" w:sz="8" w:space="0" w:color="000000"/>
              <w:left w:val="single" w:sz="8" w:space="0" w:color="000000"/>
              <w:bottom w:val="single" w:sz="8" w:space="0" w:color="000000"/>
              <w:right w:val="single" w:sz="8" w:space="0" w:color="000000"/>
            </w:tcBorders>
            <w:shd w:val="clear" w:color="auto" w:fill="BFBFBF"/>
            <w:hideMark/>
          </w:tcPr>
          <w:p w:rsidR="002D4EBF" w:rsidRPr="009844DD" w:rsidRDefault="002D4EBF" w:rsidP="002A4FEC">
            <w:pPr>
              <w:ind w:firstLine="589"/>
              <w:rPr>
                <w:b/>
                <w:bCs/>
                <w:sz w:val="24"/>
                <w:szCs w:val="24"/>
                <w:lang w:val="ro-MD"/>
              </w:rPr>
            </w:pPr>
            <w:r w:rsidRPr="009844DD">
              <w:rPr>
                <w:b/>
                <w:bCs/>
                <w:sz w:val="24"/>
                <w:szCs w:val="24"/>
                <w:lang w:val="ro-MD"/>
              </w:rPr>
              <w:t>1. Denumirea sau numele autorului și, după caz, a/al participanților la elaborarea proiectului actului normativ</w:t>
            </w:r>
          </w:p>
        </w:tc>
      </w:tr>
      <w:tr w:rsidR="002D4EBF" w:rsidRPr="009844DD" w:rsidTr="002A4FEC">
        <w:tc>
          <w:tcPr>
            <w:tcW w:w="8637" w:type="dxa"/>
            <w:tcBorders>
              <w:top w:val="nil"/>
              <w:left w:val="single" w:sz="8" w:space="0" w:color="000000"/>
              <w:bottom w:val="single" w:sz="8" w:space="0" w:color="000000"/>
              <w:right w:val="single" w:sz="8" w:space="0" w:color="000000"/>
            </w:tcBorders>
            <w:hideMark/>
          </w:tcPr>
          <w:p w:rsidR="002D4EBF" w:rsidRPr="009844DD" w:rsidRDefault="002D4EBF" w:rsidP="002A4FEC">
            <w:pPr>
              <w:ind w:firstLine="589"/>
              <w:rPr>
                <w:sz w:val="24"/>
                <w:szCs w:val="24"/>
                <w:lang w:val="ro-MD"/>
              </w:rPr>
            </w:pPr>
            <w:r w:rsidRPr="009844DD">
              <w:rPr>
                <w:color w:val="000000"/>
                <w:sz w:val="24"/>
                <w:szCs w:val="24"/>
                <w:lang w:val="ro-MD"/>
              </w:rPr>
              <w:t>Proiectul Hotărârii de Guvern a fost elaborat de către Ministerul Educației și Cercetării</w:t>
            </w:r>
            <w:r w:rsidRPr="009844DD">
              <w:rPr>
                <w:sz w:val="24"/>
                <w:szCs w:val="24"/>
                <w:lang w:val="ro-MD"/>
              </w:rPr>
              <w:t>.</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BFBFBF"/>
            <w:hideMark/>
          </w:tcPr>
          <w:p w:rsidR="002D4EBF" w:rsidRPr="009844DD" w:rsidRDefault="002D4EBF" w:rsidP="002A4FEC">
            <w:pPr>
              <w:ind w:firstLine="589"/>
              <w:rPr>
                <w:b/>
                <w:bCs/>
                <w:sz w:val="24"/>
                <w:szCs w:val="24"/>
                <w:lang w:val="ro-MD"/>
              </w:rPr>
            </w:pPr>
            <w:r w:rsidRPr="009844DD">
              <w:rPr>
                <w:b/>
                <w:bCs/>
                <w:sz w:val="24"/>
                <w:szCs w:val="24"/>
                <w:lang w:val="ro-MD"/>
              </w:rPr>
              <w:t>2. Condițiile ce au impus elaborarea proiectului actului normativ</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b/>
                <w:i/>
                <w:sz w:val="24"/>
                <w:szCs w:val="24"/>
                <w:lang w:val="ro-MD"/>
              </w:rPr>
              <w:t>2.1.</w:t>
            </w:r>
            <w:r w:rsidRPr="009844DD">
              <w:rPr>
                <w:i/>
                <w:sz w:val="24"/>
                <w:szCs w:val="24"/>
                <w:lang w:val="ro-MD"/>
              </w:rPr>
              <w:t xml:space="preserve"> Temeiul legal sau, după caz, sursa proiectului actului normativ</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pBdr>
                <w:bottom w:val="single" w:sz="12" w:space="9" w:color="000000"/>
              </w:pBdr>
              <w:shd w:val="clear" w:color="auto" w:fill="FFFFFF" w:themeFill="background1"/>
              <w:ind w:right="-1" w:firstLine="589"/>
              <w:rPr>
                <w:color w:val="000000" w:themeColor="text1"/>
                <w:sz w:val="24"/>
                <w:szCs w:val="24"/>
                <w:lang w:val="ro-MD"/>
              </w:rPr>
            </w:pPr>
            <w:r w:rsidRPr="009844DD">
              <w:rPr>
                <w:color w:val="000000" w:themeColor="text1"/>
                <w:sz w:val="24"/>
                <w:szCs w:val="24"/>
                <w:lang w:val="ro-MD"/>
              </w:rPr>
              <w:t>Proiectul Hotărârii de Guvern cu privire la modificarea Metodologiei de realizare a raportului de expertiză privind încetarea necesității menținerii în domeniul public a unor bunuri imobile destinate educației, aprobată prin Hotărârea Guvernului nr. 314/2018</w:t>
            </w:r>
            <w:r w:rsidRPr="009844DD">
              <w:rPr>
                <w:sz w:val="24"/>
                <w:szCs w:val="24"/>
                <w:lang w:val="ro-MD"/>
              </w:rPr>
              <w:t xml:space="preserve"> a</w:t>
            </w:r>
            <w:r w:rsidRPr="009844DD">
              <w:rPr>
                <w:color w:val="000000"/>
                <w:sz w:val="24"/>
                <w:szCs w:val="24"/>
                <w:lang w:val="ro-MD"/>
              </w:rPr>
              <w:t xml:space="preserve"> fost elaborat de către Ministerul Educației și Cercetării</w:t>
            </w:r>
            <w:r w:rsidRPr="009844DD">
              <w:rPr>
                <w:sz w:val="24"/>
                <w:szCs w:val="24"/>
                <w:lang w:val="ro-MD"/>
              </w:rPr>
              <w:t xml:space="preserve"> în temeiul art.146 alin.(4) din Codul educației nr.152/2014.</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b/>
                <w:i/>
                <w:sz w:val="24"/>
                <w:szCs w:val="24"/>
                <w:lang w:val="ro-MD"/>
              </w:rPr>
              <w:t>2.2.</w:t>
            </w:r>
            <w:r w:rsidRPr="009844DD">
              <w:rPr>
                <w:i/>
                <w:sz w:val="24"/>
                <w:szCs w:val="24"/>
                <w:lang w:val="ro-MD"/>
              </w:rPr>
              <w:t xml:space="preserve"> Descrierea situației actuale și a problemelor care impun intervenția, inclusiv a cadrului normativ aplicabil și a deficiențelor/lacunelor normative</w:t>
            </w:r>
            <w:r w:rsidRPr="009844DD">
              <w:rPr>
                <w:i/>
                <w:color w:val="000000" w:themeColor="text1"/>
                <w:sz w:val="24"/>
                <w:szCs w:val="24"/>
                <w:lang w:val="ro-MD"/>
              </w:rPr>
              <w:t>.</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53"/>
              <w:rPr>
                <w:sz w:val="24"/>
                <w:szCs w:val="24"/>
                <w:lang w:val="ro-MD"/>
              </w:rPr>
            </w:pPr>
            <w:r w:rsidRPr="009844DD">
              <w:rPr>
                <w:sz w:val="24"/>
                <w:szCs w:val="24"/>
                <w:lang w:val="ro-MD"/>
              </w:rPr>
              <w:t>Bunurile imobile gestionate de instituțiile publice de învățământ pot fi folosite în alte scopuri decât cele educaționale sau aferente procesului educațional numai cu acordul Guvernului (art.146 alin.(4) din Codul educației nr.152/2014). Această garanție vine să asigure protejarea interesului public de asigurare a accesului la educație tuturor beneficiarilor, cetățeni ai Republicii Moldova.</w:t>
            </w:r>
          </w:p>
          <w:p w:rsidR="002D4EBF" w:rsidRPr="009844DD" w:rsidRDefault="002D4EBF" w:rsidP="002A4FEC">
            <w:pPr>
              <w:ind w:firstLine="553"/>
              <w:rPr>
                <w:sz w:val="24"/>
                <w:szCs w:val="24"/>
                <w:lang w:val="ro-MD"/>
              </w:rPr>
            </w:pPr>
            <w:r w:rsidRPr="009844DD">
              <w:rPr>
                <w:sz w:val="24"/>
                <w:szCs w:val="24"/>
                <w:lang w:val="ro-MD"/>
              </w:rPr>
              <w:t xml:space="preserve">Folosirea bunurilor destinate educației în alte scopuri decât cele educaționale sau aferente procesului educațional este permisă în baza acordului Guvernului care aprobă o Hotărâre în acest sens, doar în baza Avizului pozitiv al Comisiei de Avizare a rapoartelor de expertiză din cadrul Ministerului Educației și Cercetării. </w:t>
            </w:r>
          </w:p>
          <w:p w:rsidR="002D4EBF" w:rsidRPr="009844DD" w:rsidRDefault="002D4EBF" w:rsidP="002A4FEC">
            <w:pPr>
              <w:ind w:firstLine="553"/>
              <w:rPr>
                <w:sz w:val="24"/>
                <w:szCs w:val="24"/>
                <w:lang w:val="ro-MD"/>
              </w:rPr>
            </w:pPr>
            <w:r w:rsidRPr="009844DD">
              <w:rPr>
                <w:sz w:val="24"/>
                <w:szCs w:val="24"/>
                <w:lang w:val="ro-MD"/>
              </w:rPr>
              <w:t xml:space="preserve">La rândul său Comisia de Avizare a rapoartelor de expertiză examinează rapoartele de expertiză elaborate de Autoritățile administrației publice locale și de Autoritățile publice centrale, în baza </w:t>
            </w:r>
            <w:r w:rsidRPr="009844DD">
              <w:rPr>
                <w:color w:val="000000" w:themeColor="text1"/>
                <w:sz w:val="24"/>
                <w:szCs w:val="24"/>
                <w:lang w:val="ro-MD"/>
              </w:rPr>
              <w:t>Metodologiei de realizare a raportului de expertiză privind încetarea necesității menținerii în domeniul public a unor bunuri imobile destinate educației aprobată prin Hotărârea Guvernului nr. 314/2018.</w:t>
            </w:r>
          </w:p>
          <w:p w:rsidR="002D4EBF" w:rsidRPr="009844DD" w:rsidRDefault="002D4EBF" w:rsidP="002A4FEC">
            <w:pPr>
              <w:ind w:firstLine="553"/>
              <w:rPr>
                <w:color w:val="000000" w:themeColor="text1"/>
                <w:sz w:val="24"/>
                <w:szCs w:val="24"/>
                <w:lang w:val="ro-MD"/>
              </w:rPr>
            </w:pPr>
            <w:r w:rsidRPr="009844DD">
              <w:rPr>
                <w:sz w:val="24"/>
                <w:szCs w:val="24"/>
                <w:lang w:val="ro-MD"/>
              </w:rPr>
              <w:t xml:space="preserve">La moment procedura de expertizare, </w:t>
            </w:r>
            <w:r w:rsidRPr="009844DD">
              <w:rPr>
                <w:color w:val="000000" w:themeColor="text1"/>
                <w:sz w:val="24"/>
                <w:szCs w:val="24"/>
                <w:lang w:val="ro-MD"/>
              </w:rPr>
              <w:t>implică 2 etape (elaborarea raportului de expertiză și avizarea raportului de expertiză), care, în caz de aviz pozitiv al Comisiei de Avizare din cadrul Ministerului Educației și Cercetării, se finalizează cu Hotărâre de Guvern (promovată de Ministerul Educației și Cercetării).</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Totodată, raportul de expertiză are un conținut similar (6 secțiuni în cazul clădirilor destinate nemijlocit procesului de instruire, 5 secțiuni în cazul terenurilor și 4 secțiuni în cazul construcțiilor auxiliare) pentru toate bunurile imobile destinate educației independent de amplasamentul bunului și respectiv importanța acestui bun pentru procesul educațional.</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Potrivit metodologiei actuale, „Fondatorul” este inițiatorul procedurii de expertizare.</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Prin actualul proiect de Hotărâre de Guvern se dorește;</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 xml:space="preserve">1) simplificarea procedurii de expertizare a bunurilor imobile destinate educației din administrarea </w:t>
            </w:r>
            <w:r w:rsidRPr="009844DD">
              <w:rPr>
                <w:b/>
                <w:color w:val="000000" w:themeColor="text1"/>
                <w:sz w:val="24"/>
                <w:szCs w:val="24"/>
                <w:lang w:val="ro-MD"/>
              </w:rPr>
              <w:t>autorităților publice centrale</w:t>
            </w:r>
            <w:r w:rsidRPr="009844DD">
              <w:rPr>
                <w:color w:val="000000" w:themeColor="text1"/>
                <w:sz w:val="24"/>
                <w:szCs w:val="24"/>
                <w:lang w:val="ro-MD"/>
              </w:rPr>
              <w:t>;</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2) extinderea cercului de subiecți care pot iniția procedura de expertizare a bunurilor imobile destinate educației;</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 xml:space="preserve">3) extinderea cercului de subiecți care pot promova proiectul Hotărârii de Guvern cu privire la </w:t>
            </w:r>
            <w:r w:rsidRPr="009844DD">
              <w:rPr>
                <w:sz w:val="24"/>
                <w:szCs w:val="24"/>
                <w:lang w:val="ro-MD"/>
              </w:rPr>
              <w:t xml:space="preserve">acordul trecerii unor bunuri imobile destinate educației din domeniul public </w:t>
            </w:r>
            <w:r w:rsidRPr="009844DD">
              <w:rPr>
                <w:sz w:val="24"/>
                <w:szCs w:val="24"/>
                <w:lang w:val="ro-MD"/>
              </w:rPr>
              <w:lastRenderedPageBreak/>
              <w:t>în domeniul privat al statului sau a proiectului Hotărârii de Guvern cu privire la schimbarea destinației bunului imobil</w:t>
            </w:r>
            <w:r w:rsidRPr="009844DD">
              <w:rPr>
                <w:color w:val="000000" w:themeColor="text1"/>
                <w:sz w:val="24"/>
                <w:szCs w:val="24"/>
                <w:lang w:val="ro-MD"/>
              </w:rPr>
              <w:t>;</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4) clarificarea temeiurilor de avizare negativă a rapoartelor de expertiză.</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Simplificarea procedurii de expertizare a bunurilor imobile destinate educației din administrarea autorităților publice centrale se va asigura prin excluderea necesității trecerii raportului de expertiză prin etapa de avizare la Comisia de Avizare a rapoartelor de expertiză din cadrul Ministerului Educației și Cercetării, precum și prin reglementarea unui conținut mai restrîns al Raportului de expertiză pentru bunurile imobile destinate educației din localitățile rurale și pentru bunurile imobile destinate educației care nu erau/ nu sunt utilizate direct în procesul instructiv-educativ.</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Prin substituirea termenului „fondator” cu termenul „administrator” se va lărgi cercul de subiecți care pot iniția procedura de expertizare a bunurilor imobile proprietate publică. Această extindere este valabilă în special pentru bunurile imobile proprietate publică a statului, or, conform Legii nr.121/2007 privind administrarea și deetatizarea proprietății publice, competența de administrare a proprietății publice aparține concomitent la 2 sau mai multe structuri.</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eastAsia="ru-RU"/>
              </w:rPr>
              <w:t xml:space="preserve">În acest sens precizăm că, în cazul proprietății publice a statului competența de a administra </w:t>
            </w:r>
            <w:r w:rsidRPr="009844DD">
              <w:rPr>
                <w:b/>
                <w:bCs/>
                <w:color w:val="000000" w:themeColor="text1"/>
                <w:sz w:val="24"/>
                <w:szCs w:val="24"/>
                <w:lang w:val="ro-MD" w:eastAsia="ru-RU"/>
              </w:rPr>
              <w:t xml:space="preserve">construcțiile </w:t>
            </w:r>
            <w:r w:rsidRPr="009844DD">
              <w:rPr>
                <w:bCs/>
                <w:color w:val="000000" w:themeColor="text1"/>
                <w:sz w:val="24"/>
                <w:szCs w:val="24"/>
                <w:lang w:val="ro-MD" w:eastAsia="ru-RU"/>
              </w:rPr>
              <w:t>aparține organelor centrale de specialitate sau unor autorități publice/ administrative (entități publice centrale)</w:t>
            </w:r>
            <w:r w:rsidRPr="009844DD">
              <w:rPr>
                <w:color w:val="000000" w:themeColor="text1"/>
                <w:sz w:val="24"/>
                <w:szCs w:val="24"/>
                <w:lang w:val="ro-MD" w:eastAsia="ru-RU"/>
              </w:rPr>
              <w:t xml:space="preserve"> iar competența de administrare a </w:t>
            </w:r>
            <w:r w:rsidRPr="009844DD">
              <w:rPr>
                <w:b/>
                <w:bCs/>
                <w:color w:val="000000" w:themeColor="text1"/>
                <w:sz w:val="24"/>
                <w:szCs w:val="24"/>
                <w:lang w:val="ro-MD" w:eastAsia="ru-RU"/>
              </w:rPr>
              <w:t xml:space="preserve">terenului </w:t>
            </w:r>
            <w:r w:rsidRPr="009844DD">
              <w:rPr>
                <w:color w:val="000000" w:themeColor="text1"/>
                <w:sz w:val="24"/>
                <w:szCs w:val="24"/>
                <w:lang w:val="ro-MD" w:eastAsia="ru-RU"/>
              </w:rPr>
              <w:t>aferent construcțiilor aparține Agenției Proprietății Publice.</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eastAsia="ru-RU"/>
              </w:rPr>
              <w:t>Totodată, menționăm că în cazul bunurilor imobile (atât construcțiile cât și terenurile aferente) destinate educației, proprietate a unităților administrației publice locale, calitatea de „administrator” o deține doar consiliul local/ raional (fapt ce rezultă din art. 14 alin.(2) lit. b) și art. 43 alin.(1) lit. c) din Legea nr. 436/2006 privind administrația publică locală).</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 xml:space="preserve">Concomitent, odată cu lărgirea cercului de subiecți îndreptățiți de a iniția procedura de expertizare a bunurilor imobile destinate educației se va lărgi și cercul de subiecți cu drept de a iniția elaborarea proiectului Hotărârii de Guvern </w:t>
            </w:r>
            <w:r w:rsidRPr="009844DD">
              <w:rPr>
                <w:color w:val="000000" w:themeColor="text1"/>
                <w:sz w:val="24"/>
                <w:szCs w:val="24"/>
                <w:shd w:val="clear" w:color="auto" w:fill="FFFFFF"/>
                <w:lang w:val="ro-MD"/>
              </w:rPr>
              <w:t>cu privire la transferul bunurilor imobile expertizate din domeniul public în domeniul privat al statului sau a proiectului Hotărârii de Guvern cu privire la schimbarea destinației bunurilor imobile expertizate</w:t>
            </w:r>
            <w:r w:rsidRPr="009844DD">
              <w:rPr>
                <w:color w:val="000000" w:themeColor="text1"/>
                <w:sz w:val="24"/>
                <w:szCs w:val="24"/>
                <w:lang w:val="ro-MD"/>
              </w:rPr>
              <w:t>. Acestă regulă este valabilă pentru entitățile publice centrale care vor iniția procedura de expertizare a bunurilor imobile destinate educației din administrarea acestora.</w:t>
            </w:r>
          </w:p>
          <w:p w:rsidR="002D4EBF" w:rsidRPr="009844DD" w:rsidRDefault="002D4EBF" w:rsidP="002A4FEC">
            <w:pPr>
              <w:ind w:firstLine="553"/>
              <w:rPr>
                <w:sz w:val="24"/>
                <w:szCs w:val="24"/>
                <w:lang w:val="ro-MD"/>
              </w:rPr>
            </w:pPr>
            <w:r w:rsidRPr="009844DD">
              <w:rPr>
                <w:color w:val="000000" w:themeColor="text1"/>
                <w:sz w:val="24"/>
                <w:szCs w:val="24"/>
                <w:lang w:val="ro-MD"/>
              </w:rPr>
              <w:t>Clarificarea temeiurilor de avizare negativă a rapoartelor de expertiză se va realiza prin expunerea într-un nou cuprins a pct.19 din Metodologie și cu enumerarea expresă a 4 situații în care Comisia de Avizare are dreptul de a aviza negativ Raportul de expertiză înaintat spre avizare de autoritățile publice locale, precum și condițiile cumulative care trebuie întrunite pentru aceste 4 situații.</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BFBFBF"/>
            <w:hideMark/>
          </w:tcPr>
          <w:p w:rsidR="002D4EBF" w:rsidRPr="009844DD" w:rsidRDefault="002D4EBF" w:rsidP="002A4FEC">
            <w:pPr>
              <w:ind w:firstLine="589"/>
              <w:rPr>
                <w:b/>
                <w:bCs/>
                <w:sz w:val="24"/>
                <w:szCs w:val="24"/>
                <w:lang w:val="ro-MD"/>
              </w:rPr>
            </w:pPr>
            <w:r w:rsidRPr="009844DD">
              <w:rPr>
                <w:b/>
                <w:bCs/>
                <w:sz w:val="24"/>
                <w:szCs w:val="24"/>
                <w:lang w:val="ro-MD"/>
              </w:rPr>
              <w:lastRenderedPageBreak/>
              <w:t>3. Obiectivele urmărite și soluțiile propuse</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2F2F2" w:themeFill="background1" w:themeFillShade="F2"/>
            <w:hideMark/>
          </w:tcPr>
          <w:p w:rsidR="002D4EBF" w:rsidRPr="009844DD" w:rsidRDefault="002D4EBF" w:rsidP="002A4FEC">
            <w:pPr>
              <w:ind w:firstLine="589"/>
              <w:rPr>
                <w:i/>
                <w:sz w:val="24"/>
                <w:szCs w:val="24"/>
                <w:lang w:val="ro-MD"/>
              </w:rPr>
            </w:pPr>
            <w:r w:rsidRPr="009844DD">
              <w:rPr>
                <w:i/>
                <w:sz w:val="24"/>
                <w:szCs w:val="24"/>
                <w:lang w:val="ro-MD"/>
              </w:rPr>
              <w:t>3.1. Principalele prevederi ale proiectului și evidențierea elementelor noi</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53"/>
              <w:rPr>
                <w:sz w:val="24"/>
                <w:szCs w:val="24"/>
                <w:lang w:val="ro-MD"/>
              </w:rPr>
            </w:pPr>
            <w:r w:rsidRPr="009844DD">
              <w:rPr>
                <w:sz w:val="24"/>
                <w:szCs w:val="24"/>
                <w:lang w:val="ro-MD"/>
              </w:rPr>
              <w:t>Potrivit proiectului se propun modificări la pct.2, pct.5, pct.6, pct.8, pct.10, pct.12, pct.19, pct.23 și pct.25 din metodologie. Totodată se propune abrogarea punctului 24.</w:t>
            </w:r>
          </w:p>
          <w:p w:rsidR="002D4EBF" w:rsidRPr="009844DD" w:rsidRDefault="002D4EBF" w:rsidP="002A4FEC">
            <w:pPr>
              <w:ind w:firstLine="553"/>
              <w:rPr>
                <w:sz w:val="24"/>
                <w:szCs w:val="24"/>
                <w:lang w:val="ro-MD"/>
              </w:rPr>
            </w:pPr>
            <w:r w:rsidRPr="009844DD">
              <w:rPr>
                <w:sz w:val="24"/>
                <w:szCs w:val="24"/>
                <w:lang w:val="ro-MD"/>
              </w:rPr>
              <w:t>Prin modificările operate se urmărește precizarea denumirii subiectului îndreptățit cu dreptul de inițiere a procedurii de expertizare a bunurilor imobile destinate educației, extinderea posibilității de includere în grupul de expertiză și a altor specialiști decât angajații autorităților publice, clarificarea conținutului Raportului de expertiză și reglementarea posibilității autorităților publice centrale de a fi inițiatorii proiectului Hotărârii de Guvern cu privire la acordul trecerii unor bunuri imobile destinate educației din domeniul public în domeniul privat al statului sau a proiectului Hotărârii de Guvern cu privire la schimbarea destinației bunului imobil.</w:t>
            </w:r>
          </w:p>
          <w:p w:rsidR="002D4EBF" w:rsidRPr="009844DD" w:rsidRDefault="002D4EBF" w:rsidP="002A4FEC">
            <w:pPr>
              <w:ind w:firstLine="553"/>
              <w:rPr>
                <w:sz w:val="24"/>
                <w:szCs w:val="24"/>
                <w:lang w:val="ro-MD"/>
              </w:rPr>
            </w:pPr>
            <w:r w:rsidRPr="009844DD">
              <w:rPr>
                <w:sz w:val="24"/>
                <w:szCs w:val="24"/>
                <w:lang w:val="ro-MD"/>
              </w:rPr>
              <w:t>La pct.19 au fost actualizate și precizate temeiurile pentru avizare negativă a rapoartelor de expertiză.</w:t>
            </w:r>
          </w:p>
          <w:p w:rsidR="002D4EBF" w:rsidRPr="009844DD" w:rsidRDefault="002D4EBF" w:rsidP="002A4FEC">
            <w:pPr>
              <w:ind w:firstLine="553"/>
              <w:rPr>
                <w:sz w:val="24"/>
                <w:szCs w:val="24"/>
                <w:lang w:val="ro-MD"/>
              </w:rPr>
            </w:pPr>
            <w:r w:rsidRPr="009844DD">
              <w:rPr>
                <w:sz w:val="24"/>
                <w:szCs w:val="24"/>
                <w:lang w:val="ro-MD"/>
              </w:rPr>
              <w:t xml:space="preserve">Concomitent, potrivit proiectului se propune completarea </w:t>
            </w:r>
            <w:r w:rsidRPr="009844DD">
              <w:rPr>
                <w:color w:val="000000" w:themeColor="text1"/>
                <w:sz w:val="24"/>
                <w:szCs w:val="24"/>
                <w:lang w:val="ro-MD"/>
              </w:rPr>
              <w:t>Metodologia de realizare a raportului de expertiză cu puncte noi (pct.6</w:t>
            </w:r>
            <w:r w:rsidRPr="009844DD">
              <w:rPr>
                <w:color w:val="000000" w:themeColor="text1"/>
                <w:sz w:val="24"/>
                <w:szCs w:val="24"/>
                <w:vertAlign w:val="superscript"/>
                <w:lang w:val="ro-MD"/>
              </w:rPr>
              <w:t>1</w:t>
            </w:r>
            <w:r w:rsidRPr="009844DD">
              <w:rPr>
                <w:color w:val="000000" w:themeColor="text1"/>
                <w:sz w:val="24"/>
                <w:szCs w:val="24"/>
                <w:lang w:val="ro-MD"/>
              </w:rPr>
              <w:t>-pct.6</w:t>
            </w:r>
            <w:r w:rsidRPr="009844DD">
              <w:rPr>
                <w:color w:val="000000" w:themeColor="text1"/>
                <w:sz w:val="24"/>
                <w:szCs w:val="24"/>
                <w:vertAlign w:val="superscript"/>
                <w:lang w:val="ro-MD"/>
              </w:rPr>
              <w:t xml:space="preserve">3, </w:t>
            </w:r>
            <w:r w:rsidRPr="009844DD">
              <w:rPr>
                <w:color w:val="000000" w:themeColor="text1"/>
                <w:sz w:val="24"/>
                <w:szCs w:val="24"/>
                <w:lang w:val="ro-MD"/>
              </w:rPr>
              <w:t>pct.8</w:t>
            </w:r>
            <w:r w:rsidRPr="009844DD">
              <w:rPr>
                <w:color w:val="000000" w:themeColor="text1"/>
                <w:sz w:val="24"/>
                <w:szCs w:val="24"/>
                <w:vertAlign w:val="superscript"/>
                <w:lang w:val="ro-MD"/>
              </w:rPr>
              <w:t>1</w:t>
            </w:r>
            <w:r w:rsidRPr="009844DD">
              <w:rPr>
                <w:color w:val="000000" w:themeColor="text1"/>
                <w:sz w:val="24"/>
                <w:szCs w:val="24"/>
                <w:lang w:val="ro-MD"/>
              </w:rPr>
              <w:t>, pct.8</w:t>
            </w:r>
            <w:r w:rsidRPr="009844DD">
              <w:rPr>
                <w:color w:val="000000" w:themeColor="text1"/>
                <w:sz w:val="24"/>
                <w:szCs w:val="24"/>
                <w:vertAlign w:val="superscript"/>
                <w:lang w:val="ro-MD"/>
              </w:rPr>
              <w:t>2</w:t>
            </w:r>
            <w:r w:rsidRPr="009844DD">
              <w:rPr>
                <w:color w:val="000000" w:themeColor="text1"/>
                <w:sz w:val="24"/>
                <w:szCs w:val="24"/>
                <w:lang w:val="ro-MD"/>
              </w:rPr>
              <w:t>, pct.10</w:t>
            </w:r>
            <w:r w:rsidRPr="009844DD">
              <w:rPr>
                <w:color w:val="000000" w:themeColor="text1"/>
                <w:sz w:val="24"/>
                <w:szCs w:val="24"/>
                <w:vertAlign w:val="superscript"/>
                <w:lang w:val="ro-MD"/>
              </w:rPr>
              <w:t xml:space="preserve">1 </w:t>
            </w:r>
            <w:r w:rsidRPr="009844DD">
              <w:rPr>
                <w:color w:val="000000" w:themeColor="text1"/>
                <w:sz w:val="24"/>
                <w:szCs w:val="24"/>
                <w:lang w:val="ro-MD"/>
              </w:rPr>
              <w:t>și pct.13</w:t>
            </w:r>
            <w:r w:rsidRPr="009844DD">
              <w:rPr>
                <w:color w:val="000000" w:themeColor="text1"/>
                <w:sz w:val="24"/>
                <w:szCs w:val="24"/>
                <w:vertAlign w:val="superscript"/>
                <w:lang w:val="ro-MD"/>
              </w:rPr>
              <w:t>1</w:t>
            </w:r>
            <w:r w:rsidRPr="009844DD">
              <w:rPr>
                <w:color w:val="000000" w:themeColor="text1"/>
                <w:sz w:val="24"/>
                <w:szCs w:val="24"/>
                <w:lang w:val="ro-MD"/>
              </w:rPr>
              <w:t xml:space="preserve">), </w:t>
            </w:r>
            <w:r w:rsidRPr="009844DD">
              <w:rPr>
                <w:color w:val="000000" w:themeColor="text1"/>
                <w:sz w:val="24"/>
                <w:szCs w:val="24"/>
                <w:lang w:val="ro-MD"/>
              </w:rPr>
              <w:lastRenderedPageBreak/>
              <w:t>potrivit cărora se precizează conținutul Raportului de expertiză pentru bunurile imobile din localitățile rurale și pentru bunurile imobile destinate nemijlocit procesului intructiv precum și procedura de inițiere a expertizării bunurilor imobile destinate educației în cazul în care părțile componente ale bunului imobil (terenul și/ sau construcția) aparțin cu drept de administrare diferitor autorități publice.</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2F2F2" w:themeFill="background1" w:themeFillShade="F2"/>
            <w:hideMark/>
          </w:tcPr>
          <w:p w:rsidR="002D4EBF" w:rsidRPr="009844DD" w:rsidRDefault="002D4EBF" w:rsidP="002A4FEC">
            <w:pPr>
              <w:ind w:firstLine="589"/>
              <w:rPr>
                <w:i/>
                <w:sz w:val="24"/>
                <w:szCs w:val="24"/>
                <w:lang w:val="ro-MD"/>
              </w:rPr>
            </w:pPr>
            <w:r w:rsidRPr="009844DD">
              <w:rPr>
                <w:i/>
                <w:sz w:val="24"/>
                <w:szCs w:val="24"/>
                <w:lang w:val="ro-MD"/>
              </w:rPr>
              <w:lastRenderedPageBreak/>
              <w:t>3.2. Opțiunile alternative analizate și motivele pentru care acestea nu au fost luate în considerare</w:t>
            </w:r>
          </w:p>
        </w:tc>
      </w:tr>
      <w:tr w:rsidR="002D4EBF" w:rsidRPr="009844DD" w:rsidTr="002A4FEC">
        <w:tc>
          <w:tcPr>
            <w:tcW w:w="8637" w:type="dxa"/>
            <w:tcBorders>
              <w:top w:val="nil"/>
              <w:left w:val="single" w:sz="8" w:space="0" w:color="000000"/>
              <w:bottom w:val="single" w:sz="8" w:space="0" w:color="000000"/>
              <w:right w:val="single" w:sz="8" w:space="0" w:color="000000"/>
            </w:tcBorders>
            <w:hideMark/>
          </w:tcPr>
          <w:p w:rsidR="002D4EBF" w:rsidRPr="009844DD" w:rsidRDefault="002D4EBF" w:rsidP="002A4FEC">
            <w:pPr>
              <w:ind w:firstLine="589"/>
              <w:rPr>
                <w:b/>
                <w:sz w:val="24"/>
                <w:szCs w:val="24"/>
                <w:lang w:val="ro-MD"/>
              </w:rPr>
            </w:pPr>
            <w:r w:rsidRPr="009844DD">
              <w:rPr>
                <w:b/>
                <w:sz w:val="24"/>
                <w:szCs w:val="24"/>
                <w:lang w:val="ro-MD"/>
              </w:rPr>
              <w:t>Nu este aplicabil.</w:t>
            </w:r>
          </w:p>
        </w:tc>
      </w:tr>
      <w:tr w:rsidR="002D4EBF" w:rsidRPr="009844DD" w:rsidTr="002A4FEC">
        <w:trPr>
          <w:trHeight w:val="381"/>
        </w:trPr>
        <w:tc>
          <w:tcPr>
            <w:tcW w:w="8637" w:type="dxa"/>
            <w:tcBorders>
              <w:top w:val="nil"/>
              <w:left w:val="single" w:sz="8" w:space="0" w:color="000000"/>
              <w:bottom w:val="single" w:sz="8" w:space="0" w:color="000000"/>
              <w:right w:val="single" w:sz="8" w:space="0" w:color="000000"/>
            </w:tcBorders>
            <w:shd w:val="clear" w:color="auto" w:fill="BFBFBF"/>
            <w:hideMark/>
          </w:tcPr>
          <w:p w:rsidR="002D4EBF" w:rsidRPr="009844DD" w:rsidRDefault="002D4EBF" w:rsidP="002A4FEC">
            <w:pPr>
              <w:ind w:firstLine="589"/>
              <w:rPr>
                <w:b/>
                <w:bCs/>
                <w:sz w:val="24"/>
                <w:szCs w:val="24"/>
                <w:lang w:val="ro-MD"/>
              </w:rPr>
            </w:pPr>
            <w:r w:rsidRPr="009844DD">
              <w:rPr>
                <w:b/>
                <w:bCs/>
                <w:sz w:val="24"/>
                <w:szCs w:val="24"/>
                <w:lang w:val="ro-MD"/>
              </w:rPr>
              <w:t xml:space="preserve">4. Analiza impactului de reglementare </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i/>
                <w:sz w:val="24"/>
                <w:szCs w:val="24"/>
                <w:lang w:val="ro-MD"/>
              </w:rPr>
              <w:t>4.1. Impactul asupra sectorului public</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89"/>
              <w:rPr>
                <w:color w:val="000000"/>
                <w:sz w:val="24"/>
                <w:szCs w:val="24"/>
                <w:lang w:val="ro-MD"/>
              </w:rPr>
            </w:pPr>
            <w:r w:rsidRPr="009844DD">
              <w:rPr>
                <w:color w:val="000000"/>
                <w:sz w:val="24"/>
                <w:szCs w:val="24"/>
                <w:lang w:val="ro-MD"/>
              </w:rPr>
              <w:t>Implementarea prevederilor proiectului va avea un impact pozitiv asupra autorităților publice, fiind ușurată procedura de expertizare a bunurilor imobile destinate educației.</w:t>
            </w:r>
          </w:p>
          <w:p w:rsidR="002D4EBF" w:rsidRPr="009844DD" w:rsidRDefault="00221A76" w:rsidP="002A4FEC">
            <w:pPr>
              <w:ind w:firstLine="589"/>
              <w:rPr>
                <w:color w:val="000000" w:themeColor="text1"/>
                <w:sz w:val="24"/>
                <w:szCs w:val="24"/>
                <w:lang w:val="ro-MD"/>
              </w:rPr>
            </w:pPr>
            <w:r>
              <w:rPr>
                <w:color w:val="000000" w:themeColor="text1"/>
                <w:sz w:val="24"/>
                <w:szCs w:val="24"/>
                <w:lang w:val="ro-MD"/>
              </w:rPr>
              <w:t>Astfel, autoritățile</w:t>
            </w:r>
            <w:r w:rsidR="002D4EBF" w:rsidRPr="009844DD">
              <w:rPr>
                <w:color w:val="000000" w:themeColor="text1"/>
                <w:sz w:val="24"/>
                <w:szCs w:val="24"/>
                <w:lang w:val="ro-MD"/>
              </w:rPr>
              <w:t xml:space="preserve"> publice care dețin în administrare bunuri imobile destinate educației (consiliile locale/ raionale în cazul bunurilor imobile proprietate publică locală/ raională și organele centrale de specialitate, autoritățile administrative, autoritățile publice și alte entități publice centrale care dețin în administrare bunuri imobile proprietate publică a statului) vor avea posibilitatea de a include în grupul de expertiză și alți specialiști decât persoanele angajate în cadrul acestor autorități. </w:t>
            </w:r>
          </w:p>
          <w:p w:rsidR="002D4EBF" w:rsidRPr="009844DD" w:rsidRDefault="002D4EBF" w:rsidP="002A4FEC">
            <w:pPr>
              <w:ind w:firstLine="589"/>
              <w:rPr>
                <w:color w:val="000000" w:themeColor="text1"/>
                <w:sz w:val="24"/>
                <w:szCs w:val="24"/>
                <w:lang w:val="ro-MD"/>
              </w:rPr>
            </w:pPr>
            <w:r w:rsidRPr="009844DD">
              <w:rPr>
                <w:color w:val="000000" w:themeColor="text1"/>
                <w:sz w:val="24"/>
                <w:szCs w:val="24"/>
                <w:lang w:val="ro-MD"/>
              </w:rPr>
              <w:t>Totodată, elaborarea raportului de expertiză va implica mai puține eforturi și cheltuieli în condițiile în care pentru bunurile amplasate în localități rurale și pentru bunurile care nu au fost utilizate direct în procesul intructiv-educativ (garaje, depozite, etc.) nu va fi necesar raportul de expertiză tehnică.</w:t>
            </w:r>
          </w:p>
          <w:p w:rsidR="002D4EBF" w:rsidRPr="009844DD" w:rsidRDefault="002D4EBF" w:rsidP="002A4FEC">
            <w:pPr>
              <w:ind w:firstLine="589"/>
              <w:rPr>
                <w:color w:val="5B9BD5" w:themeColor="accent1"/>
                <w:sz w:val="24"/>
                <w:szCs w:val="24"/>
                <w:lang w:val="ro-MD"/>
              </w:rPr>
            </w:pPr>
            <w:r w:rsidRPr="009844DD">
              <w:rPr>
                <w:color w:val="000000" w:themeColor="text1"/>
                <w:sz w:val="24"/>
                <w:szCs w:val="24"/>
                <w:lang w:val="ro-MD"/>
              </w:rPr>
              <w:t>La fel, va fi lărgit cercul de autorități publice centrale care vor putea iniția procedura de expertizare a bunurilor imobile proprietate publică a statului destinate educației, respectiv, va crește gradul de valorizare a bunurilor imobile proprietate publică a statului.</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i/>
                <w:sz w:val="24"/>
                <w:szCs w:val="24"/>
                <w:lang w:val="ro-MD"/>
              </w:rPr>
              <w:t>4.2. Impactul financiar și argumentarea costurilor estimative</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53"/>
              <w:rPr>
                <w:color w:val="000000"/>
                <w:sz w:val="24"/>
                <w:szCs w:val="24"/>
                <w:lang w:val="ro-MD"/>
              </w:rPr>
            </w:pPr>
            <w:r w:rsidRPr="009844DD">
              <w:rPr>
                <w:color w:val="000000"/>
                <w:sz w:val="24"/>
                <w:szCs w:val="24"/>
                <w:lang w:val="ro-MD"/>
              </w:rPr>
              <w:t>Implementarea prevederilor proiectului nu necesită cheltuieli financiare suplimentare din bugetul de stat.</w:t>
            </w:r>
          </w:p>
          <w:p w:rsidR="002D4EBF" w:rsidRPr="009844DD" w:rsidRDefault="002D4EBF" w:rsidP="002A4FEC">
            <w:pPr>
              <w:ind w:firstLine="553"/>
              <w:rPr>
                <w:color w:val="000000" w:themeColor="text1"/>
                <w:sz w:val="24"/>
                <w:szCs w:val="24"/>
                <w:lang w:val="ro-MD"/>
              </w:rPr>
            </w:pPr>
            <w:r w:rsidRPr="009844DD">
              <w:rPr>
                <w:color w:val="000000" w:themeColor="text1"/>
                <w:sz w:val="24"/>
                <w:szCs w:val="24"/>
                <w:lang w:val="ro-MD"/>
              </w:rPr>
              <w:t xml:space="preserve">Fiecare </w:t>
            </w:r>
            <w:r w:rsidR="00EC50C5">
              <w:rPr>
                <w:color w:val="000000" w:themeColor="text1"/>
                <w:sz w:val="24"/>
                <w:szCs w:val="24"/>
                <w:lang w:val="ro-MD"/>
              </w:rPr>
              <w:t>autoritate</w:t>
            </w:r>
            <w:bookmarkStart w:id="0" w:name="_GoBack"/>
            <w:bookmarkEnd w:id="0"/>
            <w:r w:rsidRPr="009844DD">
              <w:rPr>
                <w:color w:val="000000" w:themeColor="text1"/>
                <w:sz w:val="24"/>
                <w:szCs w:val="24"/>
                <w:lang w:val="ro-MD"/>
              </w:rPr>
              <w:t xml:space="preserve"> publică care administrează bunuri imobile proprietate publică destinate educației va acoperi cheltuielile financiare necesare pentru realizarea rapoartelor de expertiză (remunerarea specialiștilor incluși în componența Grupurilor de expertiză, care nu sunt angajați în sectorul public) în limita alocațiilor disponibile.</w:t>
            </w:r>
          </w:p>
          <w:p w:rsidR="002D4EBF" w:rsidRPr="009844DD" w:rsidRDefault="002D4EBF" w:rsidP="002A4FEC">
            <w:pPr>
              <w:ind w:firstLine="553"/>
              <w:rPr>
                <w:color w:val="000000"/>
                <w:sz w:val="24"/>
                <w:szCs w:val="24"/>
                <w:lang w:val="ro-MD"/>
              </w:rPr>
            </w:pPr>
            <w:r w:rsidRPr="009844DD">
              <w:rPr>
                <w:color w:val="000000" w:themeColor="text1"/>
                <w:sz w:val="24"/>
                <w:szCs w:val="24"/>
                <w:lang w:val="ro-MD"/>
              </w:rPr>
              <w:t>Menționăm că la moment, eventualele cheltuieli pentru realizarea rapoartelor de expertiză (inclusiv a rapoartelor de expertiză tehnică) sunt acoperite de autoritatea publică în limita fondurilor disponibile.</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89"/>
              <w:rPr>
                <w:i/>
                <w:sz w:val="24"/>
                <w:szCs w:val="24"/>
                <w:lang w:val="ro-MD"/>
              </w:rPr>
            </w:pPr>
            <w:r w:rsidRPr="009844DD">
              <w:rPr>
                <w:i/>
                <w:sz w:val="24"/>
                <w:szCs w:val="24"/>
                <w:lang w:val="ro-MD"/>
              </w:rPr>
              <w:t>4.3. Impactul asupra sectorului privat</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89"/>
              <w:rPr>
                <w:sz w:val="24"/>
                <w:szCs w:val="24"/>
                <w:lang w:val="ro-MD"/>
              </w:rPr>
            </w:pPr>
            <w:r w:rsidRPr="009844DD">
              <w:rPr>
                <w:b/>
                <w:sz w:val="24"/>
                <w:szCs w:val="24"/>
                <w:lang w:val="ro-MD"/>
              </w:rPr>
              <w:t>Nu este aplicabil</w:t>
            </w:r>
            <w:r w:rsidRPr="009844DD">
              <w:rPr>
                <w:sz w:val="24"/>
                <w:szCs w:val="24"/>
                <w:lang w:val="ro-MD"/>
              </w:rPr>
              <w:t>.</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89"/>
              <w:rPr>
                <w:i/>
                <w:sz w:val="24"/>
                <w:szCs w:val="24"/>
                <w:lang w:val="ro-MD"/>
              </w:rPr>
            </w:pPr>
            <w:r w:rsidRPr="009844DD">
              <w:rPr>
                <w:i/>
                <w:sz w:val="24"/>
                <w:szCs w:val="24"/>
                <w:lang w:val="ro-MD"/>
              </w:rPr>
              <w:t>4.4. Impactul social</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89"/>
              <w:rPr>
                <w:color w:val="000000" w:themeColor="text1"/>
                <w:sz w:val="24"/>
                <w:szCs w:val="24"/>
                <w:lang w:val="ro-MD"/>
              </w:rPr>
            </w:pPr>
            <w:r w:rsidRPr="009844DD">
              <w:rPr>
                <w:color w:val="000000" w:themeColor="text1"/>
                <w:sz w:val="24"/>
                <w:szCs w:val="24"/>
                <w:lang w:val="ro-MD"/>
              </w:rPr>
              <w:t>Proiectul hotărârii de Guvern nu va avea impact negativ asupra beneficiarilor sistemului educațional, or, proiectul prevede temeiuri de avizare negativă a rapoartelor de expertiză pentru situațiile în care beneficiarilor sistemului educațional (copiilor și elevilor) nu le sunt asigurate condiții adecvate și accesibile la serviciile educaționale de nivelul corespunzător.</w:t>
            </w:r>
          </w:p>
          <w:p w:rsidR="002D4EBF" w:rsidRPr="009844DD" w:rsidRDefault="002D4EBF" w:rsidP="002A4FEC">
            <w:pPr>
              <w:ind w:firstLine="589"/>
              <w:rPr>
                <w:sz w:val="24"/>
                <w:szCs w:val="24"/>
                <w:lang w:val="ro-MD"/>
              </w:rPr>
            </w:pPr>
            <w:r w:rsidRPr="009844DD">
              <w:rPr>
                <w:color w:val="000000" w:themeColor="text1"/>
                <w:sz w:val="24"/>
                <w:szCs w:val="24"/>
                <w:lang w:val="ro-MD"/>
              </w:rPr>
              <w:t>Totodată, bunurile imobile expertizate care nu prezintă utilitate pentru sistemul educațional, vor putea fi utilizate în alte scopuri pentru satisfacerea intereselor populației locale.</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i/>
                <w:sz w:val="24"/>
                <w:szCs w:val="24"/>
                <w:lang w:val="ro-MD"/>
              </w:rPr>
              <w:t>4.4.1. Impactul asupra datelor cu caracter personal</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89"/>
              <w:rPr>
                <w:sz w:val="24"/>
                <w:szCs w:val="24"/>
                <w:lang w:val="ro-MD"/>
              </w:rPr>
            </w:pPr>
            <w:r w:rsidRPr="009844DD">
              <w:rPr>
                <w:b/>
                <w:sz w:val="24"/>
                <w:szCs w:val="24"/>
                <w:lang w:val="ro-MD"/>
              </w:rPr>
              <w:t>Nu este aplicabil.</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i/>
                <w:sz w:val="24"/>
                <w:szCs w:val="24"/>
                <w:lang w:val="ro-MD"/>
              </w:rPr>
              <w:t>4.4.2. Impactul asupra echității și egalității de gen</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89"/>
              <w:rPr>
                <w:sz w:val="24"/>
                <w:szCs w:val="24"/>
                <w:lang w:val="ro-MD"/>
              </w:rPr>
            </w:pPr>
            <w:r w:rsidRPr="009844DD">
              <w:rPr>
                <w:b/>
                <w:sz w:val="24"/>
                <w:szCs w:val="24"/>
                <w:lang w:val="ro-MD"/>
              </w:rPr>
              <w:t>Nu este aplicabil.</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i/>
                <w:sz w:val="24"/>
                <w:szCs w:val="24"/>
                <w:lang w:val="ro-MD"/>
              </w:rPr>
              <w:lastRenderedPageBreak/>
              <w:t>4.5. Impactul asupra mediului</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89"/>
              <w:rPr>
                <w:color w:val="000000" w:themeColor="text1"/>
                <w:sz w:val="24"/>
                <w:szCs w:val="24"/>
                <w:lang w:val="ro-MD"/>
              </w:rPr>
            </w:pPr>
            <w:r w:rsidRPr="009844DD">
              <w:rPr>
                <w:color w:val="000000" w:themeColor="text1"/>
                <w:sz w:val="24"/>
                <w:szCs w:val="24"/>
                <w:lang w:val="ro-MD"/>
              </w:rPr>
              <w:t>Proiectul hotărârii de Guvern va avea impact pozitiv asupra mediului înconjurător.</w:t>
            </w:r>
          </w:p>
          <w:p w:rsidR="002D4EBF" w:rsidRPr="009844DD" w:rsidRDefault="002D4EBF" w:rsidP="002A4FEC">
            <w:pPr>
              <w:ind w:firstLine="589"/>
              <w:rPr>
                <w:b/>
                <w:sz w:val="24"/>
                <w:szCs w:val="24"/>
                <w:lang w:val="ro-MD"/>
              </w:rPr>
            </w:pPr>
            <w:r w:rsidRPr="009844DD">
              <w:rPr>
                <w:color w:val="000000" w:themeColor="text1"/>
                <w:sz w:val="24"/>
                <w:szCs w:val="24"/>
                <w:lang w:val="ro-MD"/>
              </w:rPr>
              <w:t>Construcțiile destinate educației care de mult timp nu se folosesc conform destinației vor putea fi valorificate pentru alte necesități ale colectivității locale, prin reconstrucție, restaurare sau consolidare a acestora, fapt ce va influența benefic mediul înconjurător</w:t>
            </w:r>
            <w:r w:rsidRPr="009844DD">
              <w:rPr>
                <w:color w:val="5B9BD5" w:themeColor="accent1"/>
                <w:sz w:val="24"/>
                <w:szCs w:val="24"/>
                <w:lang w:val="ro-MD"/>
              </w:rPr>
              <w:t>.</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i/>
                <w:sz w:val="24"/>
                <w:szCs w:val="24"/>
                <w:lang w:val="ro-MD"/>
              </w:rPr>
              <w:t>4.6. Alte impacturi și informații relevante</w:t>
            </w:r>
          </w:p>
        </w:tc>
      </w:tr>
      <w:tr w:rsidR="002D4EBF" w:rsidRPr="009844DD" w:rsidTr="002A4FEC">
        <w:tc>
          <w:tcPr>
            <w:tcW w:w="8637" w:type="dxa"/>
            <w:tcBorders>
              <w:top w:val="nil"/>
              <w:left w:val="single" w:sz="8" w:space="0" w:color="000000"/>
              <w:bottom w:val="single" w:sz="8" w:space="0" w:color="000000"/>
              <w:right w:val="single" w:sz="8" w:space="0" w:color="000000"/>
            </w:tcBorders>
            <w:hideMark/>
          </w:tcPr>
          <w:p w:rsidR="002D4EBF" w:rsidRPr="009844DD" w:rsidRDefault="002D4EBF" w:rsidP="002A4FEC">
            <w:pPr>
              <w:ind w:firstLine="589"/>
              <w:rPr>
                <w:b/>
                <w:sz w:val="24"/>
                <w:szCs w:val="24"/>
                <w:lang w:val="ro-MD"/>
              </w:rPr>
            </w:pPr>
            <w:r w:rsidRPr="009844DD">
              <w:rPr>
                <w:b/>
                <w:sz w:val="24"/>
                <w:szCs w:val="24"/>
                <w:lang w:val="ro-MD"/>
              </w:rPr>
              <w:t>Nu este aplicabil.</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BFBFBF"/>
            <w:hideMark/>
          </w:tcPr>
          <w:p w:rsidR="002D4EBF" w:rsidRPr="009844DD" w:rsidRDefault="002D4EBF" w:rsidP="002A4FEC">
            <w:pPr>
              <w:ind w:firstLine="589"/>
              <w:rPr>
                <w:b/>
                <w:bCs/>
                <w:sz w:val="24"/>
                <w:szCs w:val="24"/>
                <w:lang w:val="ro-MD"/>
              </w:rPr>
            </w:pPr>
            <w:r w:rsidRPr="009844DD">
              <w:rPr>
                <w:b/>
                <w:bCs/>
                <w:sz w:val="24"/>
                <w:szCs w:val="24"/>
                <w:lang w:val="ro-MD"/>
              </w:rPr>
              <w:t xml:space="preserve">5. Compatibilitatea proiectului actului normativ cu legislația UE </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i/>
                <w:sz w:val="24"/>
                <w:szCs w:val="24"/>
                <w:lang w:val="ro-MD"/>
              </w:rPr>
              <w:t>5.1. Măsuri normative necesare pentru transpunerea actelor juridice ale UE în legislația națională</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FFFFFF" w:themeFill="background1"/>
            <w:hideMark/>
          </w:tcPr>
          <w:p w:rsidR="002D4EBF" w:rsidRPr="009844DD" w:rsidRDefault="002D4EBF" w:rsidP="002A4FEC">
            <w:pPr>
              <w:ind w:firstLine="589"/>
              <w:rPr>
                <w:b/>
                <w:sz w:val="24"/>
                <w:szCs w:val="24"/>
                <w:lang w:val="ro-MD"/>
              </w:rPr>
            </w:pPr>
            <w:r w:rsidRPr="009844DD">
              <w:rPr>
                <w:b/>
                <w:sz w:val="24"/>
                <w:szCs w:val="24"/>
                <w:lang w:val="ro-MD"/>
              </w:rPr>
              <w:t>Nu este aplicabil.</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EDEDED"/>
            <w:hideMark/>
          </w:tcPr>
          <w:p w:rsidR="002D4EBF" w:rsidRPr="009844DD" w:rsidRDefault="002D4EBF" w:rsidP="002A4FEC">
            <w:pPr>
              <w:ind w:firstLine="589"/>
              <w:rPr>
                <w:i/>
                <w:sz w:val="24"/>
                <w:szCs w:val="24"/>
                <w:lang w:val="ro-MD"/>
              </w:rPr>
            </w:pPr>
            <w:r w:rsidRPr="009844DD">
              <w:rPr>
                <w:i/>
                <w:sz w:val="24"/>
                <w:szCs w:val="24"/>
                <w:lang w:val="ro-MD"/>
              </w:rPr>
              <w:t>5.2. Măsuri normative care urmăresc crearea cadrului juridic intern necesar pentru implementarea legislației UE</w:t>
            </w:r>
          </w:p>
        </w:tc>
      </w:tr>
      <w:tr w:rsidR="002D4EBF" w:rsidRPr="009844DD" w:rsidTr="002A4FEC">
        <w:tc>
          <w:tcPr>
            <w:tcW w:w="8637" w:type="dxa"/>
            <w:tcBorders>
              <w:top w:val="nil"/>
              <w:left w:val="single" w:sz="8" w:space="0" w:color="000000"/>
              <w:bottom w:val="single" w:sz="8" w:space="0" w:color="000000"/>
              <w:right w:val="single" w:sz="8" w:space="0" w:color="000000"/>
            </w:tcBorders>
            <w:hideMark/>
          </w:tcPr>
          <w:p w:rsidR="002D4EBF" w:rsidRPr="009844DD" w:rsidRDefault="002D4EBF" w:rsidP="002A4FEC">
            <w:pPr>
              <w:ind w:firstLine="589"/>
              <w:rPr>
                <w:b/>
                <w:sz w:val="24"/>
                <w:szCs w:val="24"/>
                <w:lang w:val="ro-MD"/>
              </w:rPr>
            </w:pPr>
            <w:r w:rsidRPr="009844DD">
              <w:rPr>
                <w:b/>
                <w:sz w:val="24"/>
                <w:szCs w:val="24"/>
                <w:lang w:val="ro-MD"/>
              </w:rPr>
              <w:t>Nu este aplicabil.</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BFBFBF"/>
            <w:hideMark/>
          </w:tcPr>
          <w:p w:rsidR="002D4EBF" w:rsidRPr="009844DD" w:rsidRDefault="002D4EBF" w:rsidP="002A4FEC">
            <w:pPr>
              <w:ind w:firstLine="589"/>
              <w:rPr>
                <w:b/>
                <w:bCs/>
                <w:sz w:val="24"/>
                <w:szCs w:val="24"/>
                <w:lang w:val="ro-MD"/>
              </w:rPr>
            </w:pPr>
            <w:r w:rsidRPr="009844DD">
              <w:rPr>
                <w:b/>
                <w:bCs/>
                <w:sz w:val="24"/>
                <w:szCs w:val="24"/>
                <w:lang w:val="ro-MD"/>
              </w:rPr>
              <w:t>6. Avizarea și consultarea publică a proiectului actului normativ</w:t>
            </w:r>
          </w:p>
        </w:tc>
      </w:tr>
      <w:tr w:rsidR="002D4EBF" w:rsidRPr="009844DD" w:rsidTr="002A4FEC">
        <w:tc>
          <w:tcPr>
            <w:tcW w:w="8637" w:type="dxa"/>
            <w:tcBorders>
              <w:top w:val="nil"/>
              <w:left w:val="single" w:sz="8" w:space="0" w:color="000000"/>
              <w:bottom w:val="single" w:sz="8" w:space="0" w:color="000000"/>
              <w:right w:val="single" w:sz="8" w:space="0" w:color="000000"/>
            </w:tcBorders>
            <w:hideMark/>
          </w:tcPr>
          <w:p w:rsidR="002D4EBF" w:rsidRPr="009844DD" w:rsidRDefault="002D4EBF" w:rsidP="002A4FEC">
            <w:pPr>
              <w:ind w:firstLine="553"/>
              <w:rPr>
                <w:color w:val="000000"/>
                <w:sz w:val="24"/>
                <w:szCs w:val="24"/>
                <w:lang w:val="ro-MD"/>
              </w:rPr>
            </w:pPr>
            <w:r w:rsidRPr="009844DD">
              <w:rPr>
                <w:color w:val="000000"/>
                <w:sz w:val="24"/>
                <w:szCs w:val="24"/>
                <w:lang w:val="ro-MD"/>
              </w:rPr>
              <w:t xml:space="preserve">În scopul respectării prevederilor Legii nr.239/2008 privind transparența în procesul decizional, anunțul de inițiere a elaborării proiectului Hotărârii de Guvern a fost plasat pe pagina web oficială a Ministerului Educației și Cercetării </w:t>
            </w:r>
            <w:hyperlink r:id="rId4" w:history="1">
              <w:r w:rsidRPr="009844DD">
                <w:rPr>
                  <w:rStyle w:val="a3"/>
                  <w:color w:val="0563C1"/>
                  <w:sz w:val="24"/>
                  <w:szCs w:val="24"/>
                  <w:lang w:val="ro-MD"/>
                </w:rPr>
                <w:t>www.mec.gov.md</w:t>
              </w:r>
            </w:hyperlink>
            <w:r w:rsidRPr="009844DD">
              <w:rPr>
                <w:color w:val="0563C1"/>
                <w:sz w:val="24"/>
                <w:szCs w:val="24"/>
                <w:u w:val="single"/>
                <w:lang w:val="ro-MD"/>
              </w:rPr>
              <w:t xml:space="preserve"> (https://mec.gov.md/ro/content/modul-de-participare)</w:t>
            </w:r>
            <w:r w:rsidRPr="009844DD">
              <w:rPr>
                <w:color w:val="000000"/>
                <w:sz w:val="24"/>
                <w:szCs w:val="24"/>
                <w:lang w:val="ro-MD"/>
              </w:rPr>
              <w:t xml:space="preserve">, compartimentul Transparența decizională, precum și pe pagina web </w:t>
            </w:r>
            <w:hyperlink r:id="rId5" w:history="1">
              <w:r w:rsidRPr="009844DD">
                <w:rPr>
                  <w:rStyle w:val="a3"/>
                  <w:color w:val="0563C1"/>
                  <w:sz w:val="24"/>
                  <w:szCs w:val="24"/>
                  <w:lang w:val="ro-MD"/>
                </w:rPr>
                <w:t>www.particip.gov.md</w:t>
              </w:r>
            </w:hyperlink>
            <w:r w:rsidRPr="009844DD">
              <w:rPr>
                <w:color w:val="0563C1"/>
                <w:sz w:val="24"/>
                <w:szCs w:val="24"/>
                <w:u w:val="single"/>
                <w:lang w:val="ro-MD"/>
              </w:rPr>
              <w:t xml:space="preserve"> (</w:t>
            </w:r>
            <w:hyperlink r:id="rId6" w:history="1">
              <w:r w:rsidRPr="009844DD">
                <w:rPr>
                  <w:rStyle w:val="a3"/>
                  <w:sz w:val="24"/>
                  <w:szCs w:val="24"/>
                  <w:lang w:val="ro-MD"/>
                </w:rPr>
                <w:t>https://particip.gov.md/ro/document/stages/*/13044</w:t>
              </w:r>
            </w:hyperlink>
            <w:r w:rsidRPr="009844DD">
              <w:rPr>
                <w:sz w:val="24"/>
                <w:szCs w:val="24"/>
                <w:lang w:val="ro-MD"/>
              </w:rPr>
              <w:t>)</w:t>
            </w:r>
            <w:r w:rsidRPr="009844DD">
              <w:rPr>
                <w:color w:val="000000"/>
                <w:sz w:val="24"/>
                <w:szCs w:val="24"/>
                <w:lang w:val="ro-MD"/>
              </w:rPr>
              <w:t>.</w:t>
            </w:r>
          </w:p>
          <w:p w:rsidR="002D4EBF" w:rsidRPr="009844DD" w:rsidRDefault="002D4EBF" w:rsidP="002A4FEC">
            <w:pPr>
              <w:ind w:firstLine="553"/>
              <w:rPr>
                <w:sz w:val="24"/>
                <w:szCs w:val="24"/>
                <w:lang w:val="ro-MD"/>
              </w:rPr>
            </w:pPr>
            <w:r w:rsidRPr="009844DD">
              <w:rPr>
                <w:color w:val="000000"/>
                <w:sz w:val="24"/>
                <w:szCs w:val="24"/>
                <w:lang w:val="ro-MD"/>
              </w:rPr>
              <w:t xml:space="preserve">Proiectul a </w:t>
            </w:r>
            <w:r w:rsidR="00DB1CA8" w:rsidRPr="009844DD">
              <w:rPr>
                <w:color w:val="000000"/>
                <w:sz w:val="24"/>
                <w:szCs w:val="24"/>
                <w:lang w:val="ro-MD"/>
              </w:rPr>
              <w:t>f</w:t>
            </w:r>
            <w:r w:rsidRPr="009844DD">
              <w:rPr>
                <w:color w:val="000000"/>
                <w:sz w:val="24"/>
                <w:szCs w:val="24"/>
                <w:lang w:val="ro-MD"/>
              </w:rPr>
              <w:t xml:space="preserve">ost plasat spre consultare publică pe pagina web oficială a Ministerului Educației și Cercetării </w:t>
            </w:r>
            <w:hyperlink r:id="rId7" w:history="1">
              <w:r w:rsidRPr="009844DD">
                <w:rPr>
                  <w:rStyle w:val="a3"/>
                  <w:color w:val="0563C1"/>
                  <w:sz w:val="24"/>
                  <w:szCs w:val="24"/>
                  <w:lang w:val="ro-MD"/>
                </w:rPr>
                <w:t>www.mec.gov.md</w:t>
              </w:r>
            </w:hyperlink>
            <w:r w:rsidRPr="009844DD">
              <w:rPr>
                <w:color w:val="0563C1"/>
                <w:sz w:val="24"/>
                <w:szCs w:val="24"/>
                <w:u w:val="single"/>
                <w:lang w:val="ro-MD"/>
              </w:rPr>
              <w:t xml:space="preserve"> (https://mec.gov.md/ro/content/modul-de-participare)</w:t>
            </w:r>
            <w:r w:rsidRPr="009844DD">
              <w:rPr>
                <w:color w:val="000000"/>
                <w:sz w:val="24"/>
                <w:szCs w:val="24"/>
                <w:lang w:val="ro-MD"/>
              </w:rPr>
              <w:t xml:space="preserve">, compartimentul Transparența decizională, precum și pe pagina web </w:t>
            </w:r>
            <w:hyperlink r:id="rId8" w:history="1">
              <w:r w:rsidRPr="009844DD">
                <w:rPr>
                  <w:rStyle w:val="a3"/>
                  <w:sz w:val="24"/>
                  <w:szCs w:val="24"/>
                  <w:lang w:val="ro-MD"/>
                </w:rPr>
                <w:t>https://particip.gov.md/ro/document/stages/*/13219</w:t>
              </w:r>
            </w:hyperlink>
            <w:r w:rsidRPr="009844DD">
              <w:rPr>
                <w:sz w:val="24"/>
                <w:szCs w:val="24"/>
                <w:lang w:val="ro-MD"/>
              </w:rPr>
              <w:t>)</w:t>
            </w:r>
            <w:r w:rsidRPr="009844DD">
              <w:rPr>
                <w:color w:val="000000"/>
                <w:sz w:val="24"/>
                <w:szCs w:val="24"/>
                <w:lang w:val="ro-MD"/>
              </w:rPr>
              <w:t>.</w:t>
            </w:r>
          </w:p>
          <w:p w:rsidR="002D4EBF" w:rsidRPr="009844DD" w:rsidRDefault="002D4EBF" w:rsidP="002A4FEC">
            <w:pPr>
              <w:ind w:firstLine="553"/>
              <w:rPr>
                <w:color w:val="000000"/>
                <w:sz w:val="24"/>
                <w:szCs w:val="24"/>
                <w:lang w:val="ro-MD"/>
              </w:rPr>
            </w:pPr>
            <w:r w:rsidRPr="009844DD">
              <w:rPr>
                <w:color w:val="000000"/>
                <w:sz w:val="24"/>
                <w:szCs w:val="24"/>
                <w:lang w:val="ro-MD"/>
              </w:rPr>
              <w:t xml:space="preserve">Proiectul a fost avizat de către Ministerul Sănătății, Ministerul Culturii, Ministerul Dezvoltării Economice și Digitalizării, Congresul Autorităților Publice Locale și Agenția </w:t>
            </w:r>
            <w:r w:rsidRPr="009844DD">
              <w:rPr>
                <w:color w:val="000000" w:themeColor="text1"/>
                <w:sz w:val="24"/>
                <w:szCs w:val="24"/>
                <w:lang w:val="ro-MD"/>
              </w:rPr>
              <w:t>Proprietății Publice</w:t>
            </w:r>
            <w:r w:rsidRPr="009844DD">
              <w:rPr>
                <w:color w:val="000000"/>
                <w:sz w:val="24"/>
                <w:szCs w:val="24"/>
                <w:lang w:val="ro-MD"/>
              </w:rPr>
              <w:t>.</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BFBFBF"/>
            <w:hideMark/>
          </w:tcPr>
          <w:p w:rsidR="002D4EBF" w:rsidRPr="009844DD" w:rsidRDefault="002D4EBF" w:rsidP="002A4FEC">
            <w:pPr>
              <w:ind w:firstLine="589"/>
              <w:rPr>
                <w:b/>
                <w:bCs/>
                <w:sz w:val="24"/>
                <w:szCs w:val="24"/>
                <w:lang w:val="ro-MD"/>
              </w:rPr>
            </w:pPr>
            <w:r w:rsidRPr="009844DD">
              <w:rPr>
                <w:b/>
                <w:bCs/>
                <w:sz w:val="24"/>
                <w:szCs w:val="24"/>
                <w:lang w:val="ro-MD"/>
              </w:rPr>
              <w:t>7. Concluziile expertizelor</w:t>
            </w:r>
          </w:p>
        </w:tc>
      </w:tr>
      <w:tr w:rsidR="002D4EBF" w:rsidRPr="00221A76" w:rsidTr="002A4FEC">
        <w:tc>
          <w:tcPr>
            <w:tcW w:w="8637" w:type="dxa"/>
            <w:tcBorders>
              <w:top w:val="nil"/>
              <w:left w:val="single" w:sz="8" w:space="0" w:color="000000"/>
              <w:bottom w:val="single" w:sz="8" w:space="0" w:color="000000"/>
              <w:right w:val="single" w:sz="8" w:space="0" w:color="000000"/>
            </w:tcBorders>
            <w:shd w:val="clear" w:color="auto" w:fill="FFFFFF"/>
            <w:hideMark/>
          </w:tcPr>
          <w:p w:rsidR="002D4EBF" w:rsidRDefault="00A55D37" w:rsidP="00125465">
            <w:pPr>
              <w:ind w:firstLine="553"/>
              <w:rPr>
                <w:color w:val="000000" w:themeColor="text1"/>
                <w:sz w:val="24"/>
                <w:szCs w:val="24"/>
                <w:lang w:val="ro-MD"/>
              </w:rPr>
            </w:pPr>
            <w:r>
              <w:rPr>
                <w:color w:val="000000"/>
                <w:sz w:val="24"/>
                <w:szCs w:val="24"/>
                <w:lang w:val="ro-MD"/>
              </w:rPr>
              <w:t xml:space="preserve">Proiectul </w:t>
            </w:r>
            <w:r w:rsidR="00DB1CA8" w:rsidRPr="009844DD">
              <w:rPr>
                <w:color w:val="000000"/>
                <w:sz w:val="24"/>
                <w:szCs w:val="24"/>
                <w:lang w:val="ro-MD"/>
              </w:rPr>
              <w:t>a fost</w:t>
            </w:r>
            <w:r w:rsidR="002D4EBF" w:rsidRPr="009844DD">
              <w:rPr>
                <w:color w:val="000000"/>
                <w:sz w:val="24"/>
                <w:szCs w:val="24"/>
                <w:lang w:val="ro-MD"/>
              </w:rPr>
              <w:t xml:space="preserve"> supus expertizei anticorupție la </w:t>
            </w:r>
            <w:r w:rsidR="00125465" w:rsidRPr="009844DD">
              <w:rPr>
                <w:color w:val="000000"/>
                <w:sz w:val="24"/>
                <w:szCs w:val="24"/>
                <w:lang w:val="ro-MD"/>
              </w:rPr>
              <w:t xml:space="preserve">Centrul Național Anticorupție (raport </w:t>
            </w:r>
            <w:r w:rsidR="00125465" w:rsidRPr="009844DD">
              <w:rPr>
                <w:color w:val="000000" w:themeColor="text1"/>
                <w:sz w:val="24"/>
                <w:szCs w:val="24"/>
                <w:lang w:val="ro-MD"/>
              </w:rPr>
              <w:t>nr. EGH24/10037 din 11 octombrie 2024</w:t>
            </w:r>
            <w:r w:rsidR="00125465" w:rsidRPr="009844DD">
              <w:rPr>
                <w:color w:val="000000"/>
                <w:sz w:val="24"/>
                <w:szCs w:val="24"/>
                <w:lang w:val="ro-MD"/>
              </w:rPr>
              <w:t xml:space="preserve">) și </w:t>
            </w:r>
            <w:r w:rsidR="002D4EBF" w:rsidRPr="009844DD">
              <w:rPr>
                <w:color w:val="000000"/>
                <w:sz w:val="24"/>
                <w:szCs w:val="24"/>
                <w:lang w:val="ro-MD"/>
              </w:rPr>
              <w:t>expertizei juridice la Ministerul Justiției</w:t>
            </w:r>
            <w:r w:rsidR="00125465" w:rsidRPr="009844DD">
              <w:rPr>
                <w:color w:val="000000"/>
                <w:sz w:val="24"/>
                <w:szCs w:val="24"/>
                <w:lang w:val="ro-MD"/>
              </w:rPr>
              <w:t xml:space="preserve"> (Aviz </w:t>
            </w:r>
            <w:r w:rsidR="00125465" w:rsidRPr="009844DD">
              <w:rPr>
                <w:color w:val="000000" w:themeColor="text1"/>
                <w:sz w:val="24"/>
                <w:szCs w:val="24"/>
                <w:lang w:val="ro-MD"/>
              </w:rPr>
              <w:t>nr.04/2-9082 din 16 octombrie 2024).</w:t>
            </w:r>
          </w:p>
          <w:p w:rsidR="00A55D37" w:rsidRPr="009844DD" w:rsidRDefault="00A55D37" w:rsidP="00125465">
            <w:pPr>
              <w:ind w:firstLine="553"/>
              <w:rPr>
                <w:color w:val="000000"/>
                <w:sz w:val="24"/>
                <w:szCs w:val="24"/>
                <w:lang w:val="ro-MD"/>
              </w:rPr>
            </w:pPr>
            <w:r>
              <w:rPr>
                <w:color w:val="000000" w:themeColor="text1"/>
                <w:sz w:val="24"/>
                <w:szCs w:val="24"/>
                <w:lang w:val="ro-MD"/>
              </w:rPr>
              <w:t>Obiecțiile și recomandările Centrului Național Anticorupție și respectiv ale Ministerului Justiției, precum și argumentele autorului proiectului a</w:t>
            </w:r>
            <w:r w:rsidR="00B12C22">
              <w:rPr>
                <w:color w:val="000000" w:themeColor="text1"/>
                <w:sz w:val="24"/>
                <w:szCs w:val="24"/>
                <w:lang w:val="ro-MD"/>
              </w:rPr>
              <w:t xml:space="preserve">u </w:t>
            </w:r>
            <w:r>
              <w:rPr>
                <w:color w:val="000000" w:themeColor="text1"/>
                <w:sz w:val="24"/>
                <w:szCs w:val="24"/>
                <w:lang w:val="ro-MD"/>
              </w:rPr>
              <w:t>fost expuse în sinteza obiecțiilor și propunerilor.</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BFBFBF"/>
            <w:hideMark/>
          </w:tcPr>
          <w:p w:rsidR="002D4EBF" w:rsidRPr="009844DD" w:rsidRDefault="002D4EBF" w:rsidP="002A4FEC">
            <w:pPr>
              <w:ind w:firstLine="589"/>
              <w:rPr>
                <w:b/>
                <w:bCs/>
                <w:sz w:val="24"/>
                <w:szCs w:val="24"/>
                <w:lang w:val="ro-MD"/>
              </w:rPr>
            </w:pPr>
            <w:r w:rsidRPr="009844DD">
              <w:rPr>
                <w:b/>
                <w:bCs/>
                <w:sz w:val="24"/>
                <w:szCs w:val="24"/>
                <w:lang w:val="ro-MD"/>
              </w:rPr>
              <w:t>8. Modul de încorporare a actului în cadrul normativ existent</w:t>
            </w:r>
          </w:p>
        </w:tc>
      </w:tr>
      <w:tr w:rsidR="002D4EBF" w:rsidRPr="009844DD" w:rsidTr="002A4FEC">
        <w:tc>
          <w:tcPr>
            <w:tcW w:w="8637" w:type="dxa"/>
            <w:tcBorders>
              <w:top w:val="nil"/>
              <w:left w:val="single" w:sz="8" w:space="0" w:color="000000"/>
              <w:bottom w:val="single" w:sz="8" w:space="0" w:color="000000"/>
              <w:right w:val="single" w:sz="8" w:space="0" w:color="000000"/>
            </w:tcBorders>
            <w:hideMark/>
          </w:tcPr>
          <w:p w:rsidR="002D4EBF" w:rsidRPr="009844DD" w:rsidRDefault="002D4EBF" w:rsidP="002A4FEC">
            <w:pPr>
              <w:ind w:firstLine="589"/>
              <w:rPr>
                <w:b/>
                <w:sz w:val="24"/>
                <w:szCs w:val="24"/>
                <w:lang w:val="ro-MD"/>
              </w:rPr>
            </w:pPr>
            <w:r w:rsidRPr="009844DD">
              <w:rPr>
                <w:b/>
                <w:sz w:val="24"/>
                <w:szCs w:val="24"/>
                <w:lang w:val="ro-MD"/>
              </w:rPr>
              <w:t>Nu este aplicabil.</w:t>
            </w:r>
          </w:p>
        </w:tc>
      </w:tr>
      <w:tr w:rsidR="002D4EBF" w:rsidRPr="009844DD" w:rsidTr="002A4FEC">
        <w:tc>
          <w:tcPr>
            <w:tcW w:w="8637" w:type="dxa"/>
            <w:tcBorders>
              <w:top w:val="nil"/>
              <w:left w:val="single" w:sz="8" w:space="0" w:color="000000"/>
              <w:bottom w:val="single" w:sz="8" w:space="0" w:color="000000"/>
              <w:right w:val="single" w:sz="8" w:space="0" w:color="000000"/>
            </w:tcBorders>
            <w:shd w:val="clear" w:color="auto" w:fill="BFBFBF"/>
            <w:hideMark/>
          </w:tcPr>
          <w:p w:rsidR="002D4EBF" w:rsidRPr="009844DD" w:rsidRDefault="002D4EBF" w:rsidP="002A4FEC">
            <w:pPr>
              <w:ind w:firstLine="589"/>
              <w:rPr>
                <w:b/>
                <w:bCs/>
                <w:sz w:val="24"/>
                <w:szCs w:val="24"/>
                <w:lang w:val="ro-MD"/>
              </w:rPr>
            </w:pPr>
            <w:r w:rsidRPr="009844DD">
              <w:rPr>
                <w:b/>
                <w:bCs/>
                <w:sz w:val="24"/>
                <w:szCs w:val="24"/>
                <w:lang w:val="ro-MD"/>
              </w:rPr>
              <w:t>9. Măsurile necesare pentru implementarea prevederilor proiectului actului normativ</w:t>
            </w:r>
          </w:p>
        </w:tc>
      </w:tr>
      <w:tr w:rsidR="002D4EBF" w:rsidRPr="009844DD" w:rsidTr="002A4FEC">
        <w:tc>
          <w:tcPr>
            <w:tcW w:w="8637" w:type="dxa"/>
            <w:tcBorders>
              <w:top w:val="nil"/>
              <w:left w:val="single" w:sz="8" w:space="0" w:color="000000"/>
              <w:bottom w:val="single" w:sz="8" w:space="0" w:color="000000"/>
              <w:right w:val="single" w:sz="8" w:space="0" w:color="000000"/>
            </w:tcBorders>
            <w:hideMark/>
          </w:tcPr>
          <w:p w:rsidR="002D4EBF" w:rsidRPr="009844DD" w:rsidRDefault="002D4EBF" w:rsidP="002A4FEC">
            <w:pPr>
              <w:ind w:firstLine="589"/>
              <w:rPr>
                <w:sz w:val="24"/>
                <w:szCs w:val="24"/>
                <w:lang w:val="ro-MD"/>
              </w:rPr>
            </w:pPr>
            <w:r w:rsidRPr="009844DD">
              <w:rPr>
                <w:sz w:val="24"/>
                <w:szCs w:val="24"/>
                <w:lang w:val="ro-MD"/>
              </w:rPr>
              <w:t>Pentru implementarea prevederilor proiectului actului normativ nu sunt necesare măsuri suplimentare.</w:t>
            </w:r>
          </w:p>
        </w:tc>
      </w:tr>
    </w:tbl>
    <w:p w:rsidR="002D4EBF" w:rsidRPr="009844DD" w:rsidRDefault="002D4EBF" w:rsidP="002D4EBF">
      <w:pPr>
        <w:tabs>
          <w:tab w:val="left" w:pos="884"/>
          <w:tab w:val="left" w:pos="1196"/>
        </w:tabs>
        <w:rPr>
          <w:b/>
          <w:i/>
          <w:iCs/>
          <w:sz w:val="24"/>
          <w:szCs w:val="24"/>
          <w:lang w:val="ro-MD"/>
        </w:rPr>
      </w:pPr>
    </w:p>
    <w:p w:rsidR="002D4EBF" w:rsidRPr="009844DD" w:rsidRDefault="002D4EBF" w:rsidP="002D4EBF">
      <w:pPr>
        <w:tabs>
          <w:tab w:val="left" w:pos="884"/>
          <w:tab w:val="left" w:pos="1196"/>
        </w:tabs>
        <w:ind w:firstLine="0"/>
        <w:rPr>
          <w:b/>
          <w:i/>
          <w:iCs/>
          <w:lang w:val="ro-MD"/>
        </w:rPr>
      </w:pPr>
    </w:p>
    <w:p w:rsidR="002D4EBF" w:rsidRPr="009844DD" w:rsidRDefault="002D4EBF" w:rsidP="002D4EBF">
      <w:pPr>
        <w:tabs>
          <w:tab w:val="left" w:pos="884"/>
          <w:tab w:val="left" w:pos="1196"/>
        </w:tabs>
        <w:ind w:firstLine="0"/>
        <w:rPr>
          <w:b/>
          <w:i/>
          <w:iCs/>
          <w:lang w:val="ro-MD"/>
        </w:rPr>
      </w:pPr>
    </w:p>
    <w:p w:rsidR="002D4EBF" w:rsidRPr="009844DD" w:rsidRDefault="002D4EBF" w:rsidP="002D4EBF">
      <w:pPr>
        <w:tabs>
          <w:tab w:val="left" w:pos="884"/>
          <w:tab w:val="left" w:pos="1196"/>
        </w:tabs>
        <w:ind w:right="708" w:firstLine="0"/>
        <w:jc w:val="center"/>
        <w:rPr>
          <w:b/>
          <w:iCs/>
          <w:sz w:val="24"/>
          <w:szCs w:val="24"/>
          <w:lang w:val="ro-MD"/>
        </w:rPr>
      </w:pPr>
      <w:r w:rsidRPr="009844DD">
        <w:rPr>
          <w:b/>
          <w:iCs/>
          <w:sz w:val="24"/>
          <w:szCs w:val="24"/>
          <w:lang w:val="ro-MD"/>
        </w:rPr>
        <w:t>Mi</w:t>
      </w:r>
      <w:r w:rsidR="00B12C22">
        <w:rPr>
          <w:b/>
          <w:iCs/>
          <w:sz w:val="24"/>
          <w:szCs w:val="24"/>
          <w:lang w:val="ro-MD"/>
        </w:rPr>
        <w:t xml:space="preserve">nistrul </w:t>
      </w:r>
      <w:r w:rsidRPr="009844DD">
        <w:rPr>
          <w:b/>
          <w:iCs/>
          <w:sz w:val="24"/>
          <w:szCs w:val="24"/>
          <w:lang w:val="ro-MD"/>
        </w:rPr>
        <w:tab/>
      </w:r>
      <w:r w:rsidRPr="009844DD">
        <w:rPr>
          <w:b/>
          <w:iCs/>
          <w:sz w:val="24"/>
          <w:szCs w:val="24"/>
          <w:lang w:val="ro-MD"/>
        </w:rPr>
        <w:tab/>
      </w:r>
      <w:r w:rsidRPr="009844DD">
        <w:rPr>
          <w:b/>
          <w:iCs/>
          <w:sz w:val="24"/>
          <w:szCs w:val="24"/>
          <w:lang w:val="ro-MD"/>
        </w:rPr>
        <w:tab/>
      </w:r>
      <w:r w:rsidRPr="009844DD">
        <w:rPr>
          <w:b/>
          <w:iCs/>
          <w:sz w:val="24"/>
          <w:szCs w:val="24"/>
          <w:lang w:val="ro-MD"/>
        </w:rPr>
        <w:tab/>
        <w:t>Dan PERCIUN</w:t>
      </w:r>
    </w:p>
    <w:p w:rsidR="002D4EBF" w:rsidRPr="009844DD" w:rsidRDefault="002D4EBF" w:rsidP="002D4EBF">
      <w:pPr>
        <w:ind w:right="424" w:firstLine="0"/>
        <w:rPr>
          <w:lang w:val="ro-MD"/>
        </w:rPr>
      </w:pPr>
    </w:p>
    <w:p w:rsidR="002D4EBF" w:rsidRPr="009844DD" w:rsidRDefault="002D4EBF" w:rsidP="002D4EBF">
      <w:pPr>
        <w:ind w:right="424" w:firstLine="0"/>
        <w:rPr>
          <w:lang w:val="ro-MD"/>
        </w:rPr>
      </w:pPr>
    </w:p>
    <w:p w:rsidR="002D4EBF" w:rsidRPr="009844DD" w:rsidRDefault="002D4EBF" w:rsidP="002D4EBF">
      <w:pPr>
        <w:tabs>
          <w:tab w:val="left" w:pos="1152"/>
        </w:tabs>
        <w:ind w:right="424"/>
        <w:rPr>
          <w:lang w:val="ro-MD"/>
        </w:rPr>
      </w:pPr>
    </w:p>
    <w:p w:rsidR="002D4EBF" w:rsidRPr="009844DD" w:rsidRDefault="002D4EBF" w:rsidP="002D4EBF">
      <w:pPr>
        <w:tabs>
          <w:tab w:val="left" w:pos="1152"/>
        </w:tabs>
        <w:ind w:right="424"/>
        <w:rPr>
          <w:lang w:val="ro-MD"/>
        </w:rPr>
      </w:pPr>
    </w:p>
    <w:p w:rsidR="002D4EBF" w:rsidRPr="009844DD" w:rsidRDefault="002D4EBF" w:rsidP="00B12C22">
      <w:pPr>
        <w:ind w:right="424" w:firstLine="0"/>
        <w:rPr>
          <w:lang w:val="ro-MD"/>
        </w:rPr>
      </w:pPr>
    </w:p>
    <w:p w:rsidR="002D4EBF" w:rsidRPr="009844DD" w:rsidRDefault="002D4EBF" w:rsidP="002D4EBF">
      <w:pPr>
        <w:ind w:right="424"/>
        <w:rPr>
          <w:lang w:val="ro-MD"/>
        </w:rPr>
      </w:pPr>
    </w:p>
    <w:p w:rsidR="002D4EBF" w:rsidRPr="009844DD" w:rsidRDefault="002D4EBF" w:rsidP="002D4EBF">
      <w:pPr>
        <w:ind w:firstLine="0"/>
        <w:rPr>
          <w:sz w:val="12"/>
          <w:szCs w:val="12"/>
          <w:lang w:val="ro-MD"/>
        </w:rPr>
      </w:pPr>
      <w:r w:rsidRPr="009844DD">
        <w:rPr>
          <w:sz w:val="12"/>
          <w:szCs w:val="12"/>
          <w:lang w:val="ro-MD"/>
        </w:rPr>
        <w:t xml:space="preserve">Ex. Vasile Secrieru, consultant juridic </w:t>
      </w:r>
    </w:p>
    <w:p w:rsidR="002C501C" w:rsidRPr="00747EBD" w:rsidRDefault="00747EBD" w:rsidP="00747EBD">
      <w:pPr>
        <w:ind w:firstLine="0"/>
        <w:rPr>
          <w:sz w:val="12"/>
          <w:szCs w:val="12"/>
          <w:lang w:val="ro-MD"/>
        </w:rPr>
      </w:pPr>
      <w:r>
        <w:rPr>
          <w:sz w:val="12"/>
          <w:szCs w:val="12"/>
          <w:lang w:val="ro-MD"/>
        </w:rPr>
        <w:t>Tel. 068269785</w:t>
      </w:r>
    </w:p>
    <w:sectPr w:rsidR="002C501C" w:rsidRPr="00747EBD" w:rsidSect="00C3202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9B0"/>
    <w:rsid w:val="00125465"/>
    <w:rsid w:val="00221A76"/>
    <w:rsid w:val="002C501C"/>
    <w:rsid w:val="002D4EBF"/>
    <w:rsid w:val="002E7127"/>
    <w:rsid w:val="004079B0"/>
    <w:rsid w:val="00747EBD"/>
    <w:rsid w:val="009844DD"/>
    <w:rsid w:val="00A55D37"/>
    <w:rsid w:val="00B12C22"/>
    <w:rsid w:val="00C84D69"/>
    <w:rsid w:val="00DB1CA8"/>
    <w:rsid w:val="00EC50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C8F29"/>
  <w15:chartTrackingRefBased/>
  <w15:docId w15:val="{A12DF532-825B-4B39-AEA4-C38E156F7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EBF"/>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D4EBF"/>
    <w:rPr>
      <w:color w:val="0563C1" w:themeColor="hyperlink"/>
      <w:u w:val="single"/>
    </w:rPr>
  </w:style>
  <w:style w:type="table" w:styleId="a4">
    <w:name w:val="Table Grid"/>
    <w:basedOn w:val="a1"/>
    <w:uiPriority w:val="39"/>
    <w:rsid w:val="002D4EBF"/>
    <w:pPr>
      <w:spacing w:after="0" w:line="240" w:lineRule="auto"/>
      <w:ind w:firstLine="709"/>
      <w:jc w:val="both"/>
    </w:pPr>
    <w:rPr>
      <w:rFonts w:ascii="Calibri" w:eastAsia="Calibri" w:hAnsi="Calibri"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B12C22"/>
    <w:rPr>
      <w:rFonts w:ascii="Segoe UI" w:hAnsi="Segoe UI" w:cs="Segoe UI"/>
      <w:sz w:val="18"/>
      <w:szCs w:val="18"/>
    </w:rPr>
  </w:style>
  <w:style w:type="character" w:customStyle="1" w:styleId="a6">
    <w:name w:val="Текст выноски Знак"/>
    <w:basedOn w:val="a0"/>
    <w:link w:val="a5"/>
    <w:uiPriority w:val="99"/>
    <w:semiHidden/>
    <w:rsid w:val="00B12C22"/>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3219" TargetMode="External"/><Relationship Id="rId3" Type="http://schemas.openxmlformats.org/officeDocument/2006/relationships/webSettings" Target="webSettings.xml"/><Relationship Id="rId7" Type="http://schemas.openxmlformats.org/officeDocument/2006/relationships/hyperlink" Target="http://www.mec.gov.m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cip.gov.md/ro/document/stages/*/13044" TargetMode="External"/><Relationship Id="rId5" Type="http://schemas.openxmlformats.org/officeDocument/2006/relationships/hyperlink" Target="http://www.particip.gov.md" TargetMode="External"/><Relationship Id="rId10" Type="http://schemas.openxmlformats.org/officeDocument/2006/relationships/theme" Target="theme/theme1.xml"/><Relationship Id="rId4" Type="http://schemas.openxmlformats.org/officeDocument/2006/relationships/hyperlink" Target="http://www.mec.gov.md"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2094</Words>
  <Characters>11939</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2024-10-21T07:08:00Z</cp:lastPrinted>
  <dcterms:created xsi:type="dcterms:W3CDTF">2024-10-20T16:42:00Z</dcterms:created>
  <dcterms:modified xsi:type="dcterms:W3CDTF">2024-10-29T12:08:00Z</dcterms:modified>
</cp:coreProperties>
</file>