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97B2B" w14:textId="77777777" w:rsidR="00167BD0" w:rsidRPr="00CA2BA8" w:rsidRDefault="00167BD0" w:rsidP="00167BD0">
      <w:pPr>
        <w:jc w:val="center"/>
        <w:rPr>
          <w:rFonts w:asciiTheme="majorBidi" w:hAnsiTheme="majorBidi" w:cstheme="majorBidi"/>
          <w:b/>
          <w:noProof/>
          <w:sz w:val="22"/>
          <w:szCs w:val="22"/>
          <w:lang w:val="ro-MD"/>
        </w:rPr>
      </w:pPr>
      <w:r w:rsidRPr="00CA2BA8">
        <w:rPr>
          <w:rFonts w:asciiTheme="majorBidi" w:hAnsiTheme="majorBidi" w:cstheme="majorBidi"/>
          <w:b/>
          <w:noProof/>
          <w:sz w:val="22"/>
          <w:szCs w:val="22"/>
          <w:lang w:val="ro-MD"/>
        </w:rPr>
        <w:t>TABEL DE CONCORDANȚĂ</w:t>
      </w:r>
    </w:p>
    <w:p w14:paraId="3A688740" w14:textId="77777777" w:rsidR="00167BD0" w:rsidRPr="00CA2BA8" w:rsidRDefault="00167BD0" w:rsidP="00167BD0">
      <w:pPr>
        <w:jc w:val="center"/>
        <w:rPr>
          <w:rFonts w:asciiTheme="majorBidi" w:hAnsiTheme="majorBidi" w:cstheme="majorBidi"/>
          <w:b/>
          <w:noProof/>
          <w:sz w:val="22"/>
          <w:szCs w:val="22"/>
          <w:lang w:val="ro-RO"/>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13770"/>
      </w:tblGrid>
      <w:tr w:rsidR="00167BD0" w:rsidRPr="00EC48E1" w14:paraId="20053858" w14:textId="77777777" w:rsidTr="00553665">
        <w:trPr>
          <w:jc w:val="center"/>
        </w:trPr>
        <w:tc>
          <w:tcPr>
            <w:tcW w:w="141" w:type="pct"/>
            <w:shd w:val="clear" w:color="auto" w:fill="auto"/>
          </w:tcPr>
          <w:p w14:paraId="57196323" w14:textId="77777777" w:rsidR="00167BD0" w:rsidRPr="00EC48E1" w:rsidRDefault="00167BD0" w:rsidP="000004B9">
            <w:pPr>
              <w:ind w:firstLine="0"/>
              <w:jc w:val="center"/>
              <w:rPr>
                <w:b/>
                <w:lang w:val="ro-MD"/>
              </w:rPr>
            </w:pPr>
            <w:r w:rsidRPr="00EC48E1">
              <w:rPr>
                <w:b/>
                <w:lang w:val="ro-MD"/>
              </w:rPr>
              <w:t>1</w:t>
            </w:r>
          </w:p>
        </w:tc>
        <w:tc>
          <w:tcPr>
            <w:tcW w:w="4859" w:type="pct"/>
            <w:shd w:val="clear" w:color="auto" w:fill="auto"/>
            <w:vAlign w:val="center"/>
          </w:tcPr>
          <w:p w14:paraId="03FD1B19" w14:textId="60C91E07" w:rsidR="00167BD0" w:rsidRPr="00192DAB" w:rsidRDefault="00286AEE" w:rsidP="00553665">
            <w:pPr>
              <w:ind w:firstLine="0"/>
              <w:jc w:val="left"/>
              <w:rPr>
                <w:b/>
                <w:lang w:val="ro-MD"/>
              </w:rPr>
            </w:pPr>
            <w:proofErr w:type="spellStart"/>
            <w:r w:rsidRPr="00192DAB">
              <w:rPr>
                <w:b/>
                <w:bCs/>
                <w:color w:val="333333"/>
                <w:shd w:val="clear" w:color="auto" w:fill="FFFFFF"/>
              </w:rPr>
              <w:t>Regulamentul</w:t>
            </w:r>
            <w:proofErr w:type="spellEnd"/>
            <w:r w:rsidRPr="00192DAB">
              <w:rPr>
                <w:b/>
                <w:bCs/>
                <w:color w:val="333333"/>
                <w:shd w:val="clear" w:color="auto" w:fill="FFFFFF"/>
              </w:rPr>
              <w:t xml:space="preserve"> (UE) nr. 1086/2011 al </w:t>
            </w:r>
            <w:proofErr w:type="spellStart"/>
            <w:r w:rsidRPr="00192DAB">
              <w:rPr>
                <w:b/>
                <w:bCs/>
                <w:color w:val="333333"/>
                <w:shd w:val="clear" w:color="auto" w:fill="FFFFFF"/>
              </w:rPr>
              <w:t>Comisiei</w:t>
            </w:r>
            <w:proofErr w:type="spellEnd"/>
            <w:r w:rsidRPr="00192DAB">
              <w:rPr>
                <w:b/>
                <w:bCs/>
                <w:color w:val="333333"/>
                <w:shd w:val="clear" w:color="auto" w:fill="FFFFFF"/>
              </w:rPr>
              <w:t xml:space="preserve"> din 27 </w:t>
            </w:r>
            <w:proofErr w:type="spellStart"/>
            <w:r w:rsidRPr="00192DAB">
              <w:rPr>
                <w:b/>
                <w:bCs/>
                <w:color w:val="333333"/>
                <w:shd w:val="clear" w:color="auto" w:fill="FFFFFF"/>
              </w:rPr>
              <w:t>octombrie</w:t>
            </w:r>
            <w:proofErr w:type="spellEnd"/>
            <w:r w:rsidRPr="00192DAB">
              <w:rPr>
                <w:b/>
                <w:bCs/>
                <w:color w:val="333333"/>
                <w:shd w:val="clear" w:color="auto" w:fill="FFFFFF"/>
              </w:rPr>
              <w:t xml:space="preserve"> 2011 de </w:t>
            </w:r>
            <w:proofErr w:type="spellStart"/>
            <w:r w:rsidRPr="00192DAB">
              <w:rPr>
                <w:b/>
                <w:bCs/>
                <w:color w:val="333333"/>
                <w:shd w:val="clear" w:color="auto" w:fill="FFFFFF"/>
              </w:rPr>
              <w:t>modificare</w:t>
            </w:r>
            <w:proofErr w:type="spellEnd"/>
            <w:r w:rsidRPr="00192DAB">
              <w:rPr>
                <w:b/>
                <w:bCs/>
                <w:color w:val="333333"/>
                <w:shd w:val="clear" w:color="auto" w:fill="FFFFFF"/>
              </w:rPr>
              <w:t xml:space="preserve"> </w:t>
            </w:r>
            <w:proofErr w:type="gramStart"/>
            <w:r w:rsidRPr="00192DAB">
              <w:rPr>
                <w:b/>
                <w:bCs/>
                <w:color w:val="333333"/>
                <w:shd w:val="clear" w:color="auto" w:fill="FFFFFF"/>
              </w:rPr>
              <w:t>a</w:t>
            </w:r>
            <w:proofErr w:type="gramEnd"/>
            <w:r w:rsidRPr="00192DAB">
              <w:rPr>
                <w:b/>
                <w:bCs/>
                <w:color w:val="333333"/>
                <w:shd w:val="clear" w:color="auto" w:fill="FFFFFF"/>
              </w:rPr>
              <w:t xml:space="preserve"> </w:t>
            </w:r>
            <w:proofErr w:type="spellStart"/>
            <w:r w:rsidRPr="00192DAB">
              <w:rPr>
                <w:b/>
                <w:bCs/>
                <w:color w:val="333333"/>
                <w:shd w:val="clear" w:color="auto" w:fill="FFFFFF"/>
              </w:rPr>
              <w:t>anexei</w:t>
            </w:r>
            <w:proofErr w:type="spellEnd"/>
            <w:r w:rsidRPr="00192DAB">
              <w:rPr>
                <w:b/>
                <w:bCs/>
                <w:color w:val="333333"/>
                <w:shd w:val="clear" w:color="auto" w:fill="FFFFFF"/>
              </w:rPr>
              <w:t xml:space="preserve"> II la </w:t>
            </w:r>
            <w:proofErr w:type="spellStart"/>
            <w:r w:rsidRPr="00192DAB">
              <w:rPr>
                <w:b/>
                <w:bCs/>
                <w:color w:val="333333"/>
                <w:shd w:val="clear" w:color="auto" w:fill="FFFFFF"/>
              </w:rPr>
              <w:t>Regulamentul</w:t>
            </w:r>
            <w:proofErr w:type="spellEnd"/>
            <w:r w:rsidRPr="00192DAB">
              <w:rPr>
                <w:b/>
                <w:bCs/>
                <w:color w:val="333333"/>
                <w:shd w:val="clear" w:color="auto" w:fill="FFFFFF"/>
              </w:rPr>
              <w:t xml:space="preserve"> (CE) nr. 2160/2003 al </w:t>
            </w:r>
            <w:proofErr w:type="spellStart"/>
            <w:r w:rsidRPr="00192DAB">
              <w:rPr>
                <w:b/>
                <w:bCs/>
                <w:color w:val="333333"/>
                <w:shd w:val="clear" w:color="auto" w:fill="FFFFFF"/>
              </w:rPr>
              <w:t>Parlamentului</w:t>
            </w:r>
            <w:proofErr w:type="spellEnd"/>
            <w:r w:rsidRPr="00192DAB">
              <w:rPr>
                <w:b/>
                <w:bCs/>
                <w:color w:val="333333"/>
                <w:shd w:val="clear" w:color="auto" w:fill="FFFFFF"/>
              </w:rPr>
              <w:t xml:space="preserve"> European </w:t>
            </w:r>
            <w:proofErr w:type="spellStart"/>
            <w:r w:rsidRPr="00192DAB">
              <w:rPr>
                <w:b/>
                <w:bCs/>
                <w:color w:val="333333"/>
                <w:shd w:val="clear" w:color="auto" w:fill="FFFFFF"/>
              </w:rPr>
              <w:t>și</w:t>
            </w:r>
            <w:proofErr w:type="spellEnd"/>
            <w:r w:rsidRPr="00192DAB">
              <w:rPr>
                <w:b/>
                <w:bCs/>
                <w:color w:val="333333"/>
                <w:shd w:val="clear" w:color="auto" w:fill="FFFFFF"/>
              </w:rPr>
              <w:t xml:space="preserve"> al </w:t>
            </w:r>
            <w:proofErr w:type="spellStart"/>
            <w:r w:rsidRPr="00192DAB">
              <w:rPr>
                <w:b/>
                <w:bCs/>
                <w:color w:val="333333"/>
                <w:shd w:val="clear" w:color="auto" w:fill="FFFFFF"/>
              </w:rPr>
              <w:t>Consiliului</w:t>
            </w:r>
            <w:proofErr w:type="spellEnd"/>
            <w:r w:rsidRPr="00192DAB">
              <w:rPr>
                <w:b/>
                <w:bCs/>
                <w:color w:val="333333"/>
                <w:shd w:val="clear" w:color="auto" w:fill="FFFFFF"/>
              </w:rPr>
              <w:t xml:space="preserve"> </w:t>
            </w:r>
            <w:proofErr w:type="spellStart"/>
            <w:r w:rsidRPr="00192DAB">
              <w:rPr>
                <w:b/>
                <w:bCs/>
                <w:color w:val="333333"/>
                <w:shd w:val="clear" w:color="auto" w:fill="FFFFFF"/>
              </w:rPr>
              <w:t>și</w:t>
            </w:r>
            <w:proofErr w:type="spellEnd"/>
            <w:r w:rsidRPr="00192DAB">
              <w:rPr>
                <w:b/>
                <w:bCs/>
                <w:color w:val="333333"/>
                <w:shd w:val="clear" w:color="auto" w:fill="FFFFFF"/>
              </w:rPr>
              <w:t xml:space="preserve"> </w:t>
            </w:r>
            <w:proofErr w:type="gramStart"/>
            <w:r w:rsidRPr="00192DAB">
              <w:rPr>
                <w:b/>
                <w:bCs/>
                <w:color w:val="333333"/>
                <w:shd w:val="clear" w:color="auto" w:fill="FFFFFF"/>
              </w:rPr>
              <w:t>a</w:t>
            </w:r>
            <w:proofErr w:type="gramEnd"/>
            <w:r w:rsidRPr="00192DAB">
              <w:rPr>
                <w:b/>
                <w:bCs/>
                <w:color w:val="333333"/>
                <w:shd w:val="clear" w:color="auto" w:fill="FFFFFF"/>
              </w:rPr>
              <w:t xml:space="preserve"> </w:t>
            </w:r>
            <w:proofErr w:type="spellStart"/>
            <w:r w:rsidRPr="00192DAB">
              <w:rPr>
                <w:b/>
                <w:bCs/>
                <w:color w:val="333333"/>
                <w:shd w:val="clear" w:color="auto" w:fill="FFFFFF"/>
              </w:rPr>
              <w:t>anexei</w:t>
            </w:r>
            <w:proofErr w:type="spellEnd"/>
            <w:r w:rsidRPr="00192DAB">
              <w:rPr>
                <w:b/>
                <w:bCs/>
                <w:color w:val="333333"/>
                <w:shd w:val="clear" w:color="auto" w:fill="FFFFFF"/>
              </w:rPr>
              <w:t xml:space="preserve"> I la </w:t>
            </w:r>
            <w:proofErr w:type="spellStart"/>
            <w:r w:rsidRPr="00192DAB">
              <w:rPr>
                <w:b/>
                <w:bCs/>
                <w:color w:val="333333"/>
                <w:shd w:val="clear" w:color="auto" w:fill="FFFFFF"/>
              </w:rPr>
              <w:t>Regulamentul</w:t>
            </w:r>
            <w:proofErr w:type="spellEnd"/>
            <w:r w:rsidRPr="00192DAB">
              <w:rPr>
                <w:b/>
                <w:bCs/>
                <w:color w:val="333333"/>
                <w:shd w:val="clear" w:color="auto" w:fill="FFFFFF"/>
              </w:rPr>
              <w:t xml:space="preserve"> (CE) nr. 2073/2005 al </w:t>
            </w:r>
            <w:proofErr w:type="spellStart"/>
            <w:r w:rsidRPr="00192DAB">
              <w:rPr>
                <w:b/>
                <w:bCs/>
                <w:color w:val="333333"/>
                <w:shd w:val="clear" w:color="auto" w:fill="FFFFFF"/>
              </w:rPr>
              <w:t>Comisiei</w:t>
            </w:r>
            <w:proofErr w:type="spellEnd"/>
            <w:r w:rsidRPr="00192DAB">
              <w:rPr>
                <w:b/>
                <w:bCs/>
                <w:color w:val="333333"/>
                <w:shd w:val="clear" w:color="auto" w:fill="FFFFFF"/>
              </w:rPr>
              <w:t xml:space="preserve"> </w:t>
            </w:r>
            <w:proofErr w:type="spellStart"/>
            <w:r w:rsidRPr="00192DAB">
              <w:rPr>
                <w:b/>
                <w:bCs/>
                <w:color w:val="333333"/>
                <w:shd w:val="clear" w:color="auto" w:fill="FFFFFF"/>
              </w:rPr>
              <w:t>în</w:t>
            </w:r>
            <w:proofErr w:type="spellEnd"/>
            <w:r w:rsidRPr="00192DAB">
              <w:rPr>
                <w:b/>
                <w:bCs/>
                <w:color w:val="333333"/>
                <w:shd w:val="clear" w:color="auto" w:fill="FFFFFF"/>
              </w:rPr>
              <w:t xml:space="preserve"> </w:t>
            </w:r>
            <w:proofErr w:type="spellStart"/>
            <w:r w:rsidRPr="00192DAB">
              <w:rPr>
                <w:b/>
                <w:bCs/>
                <w:color w:val="333333"/>
                <w:shd w:val="clear" w:color="auto" w:fill="FFFFFF"/>
              </w:rPr>
              <w:t>ceea</w:t>
            </w:r>
            <w:proofErr w:type="spellEnd"/>
            <w:r w:rsidRPr="00192DAB">
              <w:rPr>
                <w:b/>
                <w:bCs/>
                <w:color w:val="333333"/>
                <w:shd w:val="clear" w:color="auto" w:fill="FFFFFF"/>
              </w:rPr>
              <w:t xml:space="preserve"> </w:t>
            </w:r>
            <w:proofErr w:type="spellStart"/>
            <w:r w:rsidRPr="00192DAB">
              <w:rPr>
                <w:b/>
                <w:bCs/>
                <w:color w:val="333333"/>
                <w:shd w:val="clear" w:color="auto" w:fill="FFFFFF"/>
              </w:rPr>
              <w:t>ce</w:t>
            </w:r>
            <w:proofErr w:type="spellEnd"/>
            <w:r w:rsidRPr="00192DAB">
              <w:rPr>
                <w:b/>
                <w:bCs/>
                <w:color w:val="333333"/>
                <w:shd w:val="clear" w:color="auto" w:fill="FFFFFF"/>
              </w:rPr>
              <w:t xml:space="preserve"> </w:t>
            </w:r>
            <w:proofErr w:type="spellStart"/>
            <w:r w:rsidRPr="00192DAB">
              <w:rPr>
                <w:b/>
                <w:bCs/>
                <w:color w:val="333333"/>
                <w:shd w:val="clear" w:color="auto" w:fill="FFFFFF"/>
              </w:rPr>
              <w:t>privește</w:t>
            </w:r>
            <w:proofErr w:type="spellEnd"/>
            <w:r w:rsidRPr="00192DAB">
              <w:rPr>
                <w:b/>
                <w:bCs/>
                <w:color w:val="333333"/>
                <w:shd w:val="clear" w:color="auto" w:fill="FFFFFF"/>
              </w:rPr>
              <w:t xml:space="preserve"> Salmonella din </w:t>
            </w:r>
            <w:proofErr w:type="spellStart"/>
            <w:r w:rsidRPr="00192DAB">
              <w:rPr>
                <w:b/>
                <w:bCs/>
                <w:color w:val="333333"/>
                <w:shd w:val="clear" w:color="auto" w:fill="FFFFFF"/>
              </w:rPr>
              <w:t>carnea</w:t>
            </w:r>
            <w:proofErr w:type="spellEnd"/>
            <w:r w:rsidRPr="00192DAB">
              <w:rPr>
                <w:b/>
                <w:bCs/>
                <w:color w:val="333333"/>
                <w:shd w:val="clear" w:color="auto" w:fill="FFFFFF"/>
              </w:rPr>
              <w:t xml:space="preserve"> </w:t>
            </w:r>
            <w:proofErr w:type="spellStart"/>
            <w:r w:rsidRPr="00192DAB">
              <w:rPr>
                <w:b/>
                <w:bCs/>
                <w:color w:val="333333"/>
                <w:shd w:val="clear" w:color="auto" w:fill="FFFFFF"/>
              </w:rPr>
              <w:t>proaspătă</w:t>
            </w:r>
            <w:proofErr w:type="spellEnd"/>
            <w:r w:rsidRPr="00192DAB">
              <w:rPr>
                <w:b/>
                <w:bCs/>
                <w:color w:val="333333"/>
                <w:shd w:val="clear" w:color="auto" w:fill="FFFFFF"/>
              </w:rPr>
              <w:t xml:space="preserve"> de </w:t>
            </w:r>
            <w:proofErr w:type="spellStart"/>
            <w:r w:rsidRPr="00192DAB">
              <w:rPr>
                <w:b/>
                <w:bCs/>
                <w:color w:val="333333"/>
                <w:shd w:val="clear" w:color="auto" w:fill="FFFFFF"/>
              </w:rPr>
              <w:t>pasăre</w:t>
            </w:r>
            <w:proofErr w:type="spellEnd"/>
            <w:r w:rsidR="00553665" w:rsidRPr="00192DAB">
              <w:rPr>
                <w:b/>
                <w:bCs/>
                <w:color w:val="333333"/>
                <w:shd w:val="clear" w:color="auto" w:fill="FFFFFF"/>
              </w:rPr>
              <w:t>, CELEX nr</w:t>
            </w:r>
            <w:r w:rsidRPr="00192DAB">
              <w:rPr>
                <w:b/>
                <w:bCs/>
                <w:color w:val="333333"/>
                <w:shd w:val="clear" w:color="auto" w:fill="FFFFFF"/>
              </w:rPr>
              <w:t>.</w:t>
            </w:r>
            <w:r w:rsidRPr="00192DAB">
              <w:rPr>
                <w:b/>
                <w:bCs/>
                <w:color w:val="333333"/>
                <w:shd w:val="clear" w:color="auto" w:fill="FFFFFF"/>
              </w:rPr>
              <w:t>32011R1086</w:t>
            </w:r>
          </w:p>
        </w:tc>
      </w:tr>
      <w:tr w:rsidR="00054974" w:rsidRPr="00EC48E1" w14:paraId="1BE2E447" w14:textId="77777777" w:rsidTr="00553665">
        <w:trPr>
          <w:jc w:val="center"/>
        </w:trPr>
        <w:tc>
          <w:tcPr>
            <w:tcW w:w="141" w:type="pct"/>
            <w:shd w:val="clear" w:color="auto" w:fill="auto"/>
          </w:tcPr>
          <w:p w14:paraId="04090D64" w14:textId="45A1E602" w:rsidR="00054974" w:rsidRPr="00EC48E1" w:rsidRDefault="00054974" w:rsidP="000004B9">
            <w:pPr>
              <w:ind w:firstLine="0"/>
              <w:jc w:val="center"/>
              <w:rPr>
                <w:b/>
                <w:lang w:val="ro-MD"/>
              </w:rPr>
            </w:pPr>
            <w:r>
              <w:rPr>
                <w:b/>
                <w:lang w:val="ro-MD"/>
              </w:rPr>
              <w:t>2</w:t>
            </w:r>
          </w:p>
        </w:tc>
        <w:tc>
          <w:tcPr>
            <w:tcW w:w="4859" w:type="pct"/>
            <w:shd w:val="clear" w:color="auto" w:fill="auto"/>
            <w:vAlign w:val="center"/>
          </w:tcPr>
          <w:p w14:paraId="6A5361FC" w14:textId="0A825920" w:rsidR="00054974" w:rsidRPr="00192DAB" w:rsidRDefault="00054974" w:rsidP="00553665">
            <w:pPr>
              <w:ind w:firstLine="0"/>
              <w:jc w:val="left"/>
              <w:rPr>
                <w:b/>
                <w:bCs/>
                <w:color w:val="333333"/>
                <w:shd w:val="clear" w:color="auto" w:fill="FFFFFF"/>
              </w:rPr>
            </w:pPr>
            <w:proofErr w:type="spellStart"/>
            <w:r w:rsidRPr="00192DAB">
              <w:rPr>
                <w:b/>
                <w:bCs/>
                <w:color w:val="333333"/>
                <w:shd w:val="clear" w:color="auto" w:fill="FFFFFF"/>
              </w:rPr>
              <w:t>Proiectul</w:t>
            </w:r>
            <w:proofErr w:type="spellEnd"/>
            <w:r w:rsidRPr="00192DAB">
              <w:rPr>
                <w:b/>
                <w:bCs/>
                <w:color w:val="333333"/>
                <w:shd w:val="clear" w:color="auto" w:fill="FFFFFF"/>
              </w:rPr>
              <w:t xml:space="preserve"> </w:t>
            </w:r>
            <w:proofErr w:type="spellStart"/>
            <w:r w:rsidRPr="00192DAB">
              <w:rPr>
                <w:b/>
                <w:bCs/>
                <w:color w:val="333333"/>
                <w:shd w:val="clear" w:color="auto" w:fill="FFFFFF"/>
              </w:rPr>
              <w:t>Hotărîrii</w:t>
            </w:r>
            <w:proofErr w:type="spellEnd"/>
            <w:r w:rsidRPr="00192DAB">
              <w:rPr>
                <w:b/>
                <w:bCs/>
                <w:color w:val="333333"/>
                <w:shd w:val="clear" w:color="auto" w:fill="FFFFFF"/>
              </w:rPr>
              <w:t xml:space="preserve"> de </w:t>
            </w:r>
            <w:proofErr w:type="spellStart"/>
            <w:r w:rsidRPr="00192DAB">
              <w:rPr>
                <w:b/>
                <w:bCs/>
                <w:color w:val="333333"/>
                <w:shd w:val="clear" w:color="auto" w:fill="FFFFFF"/>
              </w:rPr>
              <w:t>Guvern</w:t>
            </w:r>
            <w:proofErr w:type="spellEnd"/>
            <w:r w:rsidRPr="00192DAB">
              <w:rPr>
                <w:b/>
                <w:bCs/>
                <w:color w:val="333333"/>
                <w:shd w:val="clear" w:color="auto" w:fill="FFFFFF"/>
              </w:rPr>
              <w:t xml:space="preserve"> cu </w:t>
            </w:r>
            <w:proofErr w:type="spellStart"/>
            <w:r w:rsidRPr="00192DAB">
              <w:rPr>
                <w:b/>
                <w:bCs/>
                <w:color w:val="333333"/>
                <w:shd w:val="clear" w:color="auto" w:fill="FFFFFF"/>
              </w:rPr>
              <w:t>privire</w:t>
            </w:r>
            <w:proofErr w:type="spellEnd"/>
            <w:r w:rsidRPr="00192DAB">
              <w:rPr>
                <w:b/>
                <w:bCs/>
                <w:color w:val="333333"/>
                <w:shd w:val="clear" w:color="auto" w:fill="FFFFFF"/>
              </w:rPr>
              <w:t xml:space="preserve"> la </w:t>
            </w:r>
            <w:proofErr w:type="spellStart"/>
            <w:r w:rsidRPr="00192DAB">
              <w:rPr>
                <w:b/>
                <w:bCs/>
                <w:color w:val="333333"/>
                <w:shd w:val="clear" w:color="auto" w:fill="FFFFFF"/>
              </w:rPr>
              <w:t>modificarea</w:t>
            </w:r>
            <w:proofErr w:type="spellEnd"/>
            <w:r w:rsidRPr="00192DAB">
              <w:rPr>
                <w:b/>
                <w:bCs/>
                <w:color w:val="333333"/>
                <w:shd w:val="clear" w:color="auto" w:fill="FFFFFF"/>
              </w:rPr>
              <w:t xml:space="preserve"> </w:t>
            </w:r>
            <w:proofErr w:type="spellStart"/>
            <w:r w:rsidRPr="00192DAB">
              <w:rPr>
                <w:b/>
                <w:bCs/>
                <w:color w:val="333333"/>
                <w:shd w:val="clear" w:color="auto" w:fill="FFFFFF"/>
              </w:rPr>
              <w:t>unor</w:t>
            </w:r>
            <w:proofErr w:type="spellEnd"/>
            <w:r w:rsidRPr="00192DAB">
              <w:rPr>
                <w:b/>
                <w:bCs/>
                <w:color w:val="333333"/>
                <w:shd w:val="clear" w:color="auto" w:fill="FFFFFF"/>
              </w:rPr>
              <w:t xml:space="preserve"> </w:t>
            </w:r>
            <w:proofErr w:type="spellStart"/>
            <w:r w:rsidRPr="00192DAB">
              <w:rPr>
                <w:b/>
                <w:bCs/>
                <w:color w:val="333333"/>
                <w:shd w:val="clear" w:color="auto" w:fill="FFFFFF"/>
              </w:rPr>
              <w:t>hotărîri</w:t>
            </w:r>
            <w:proofErr w:type="spellEnd"/>
            <w:r w:rsidRPr="00192DAB">
              <w:rPr>
                <w:b/>
                <w:bCs/>
                <w:color w:val="333333"/>
                <w:shd w:val="clear" w:color="auto" w:fill="FFFFFF"/>
              </w:rPr>
              <w:t xml:space="preserve"> de </w:t>
            </w:r>
            <w:proofErr w:type="spellStart"/>
            <w:r w:rsidRPr="00192DAB">
              <w:rPr>
                <w:b/>
                <w:bCs/>
                <w:color w:val="333333"/>
                <w:shd w:val="clear" w:color="auto" w:fill="FFFFFF"/>
              </w:rPr>
              <w:t>Guvern</w:t>
            </w:r>
            <w:proofErr w:type="spellEnd"/>
          </w:p>
        </w:tc>
      </w:tr>
      <w:tr w:rsidR="00167BD0" w:rsidRPr="00EC48E1" w14:paraId="305E48A6" w14:textId="77777777" w:rsidTr="00553665">
        <w:trPr>
          <w:jc w:val="center"/>
        </w:trPr>
        <w:tc>
          <w:tcPr>
            <w:tcW w:w="141" w:type="pct"/>
            <w:shd w:val="clear" w:color="auto" w:fill="auto"/>
          </w:tcPr>
          <w:p w14:paraId="1417FA10" w14:textId="77777777" w:rsidR="00167BD0" w:rsidRPr="00EC48E1" w:rsidRDefault="00167BD0" w:rsidP="000004B9">
            <w:pPr>
              <w:ind w:firstLine="0"/>
              <w:rPr>
                <w:b/>
                <w:lang w:val="ro-MD"/>
              </w:rPr>
            </w:pPr>
            <w:r w:rsidRPr="00EC48E1">
              <w:rPr>
                <w:b/>
                <w:lang w:val="ro-MD"/>
              </w:rPr>
              <w:t>3</w:t>
            </w:r>
          </w:p>
        </w:tc>
        <w:tc>
          <w:tcPr>
            <w:tcW w:w="4859" w:type="pct"/>
            <w:shd w:val="clear" w:color="auto" w:fill="auto"/>
            <w:vAlign w:val="center"/>
          </w:tcPr>
          <w:p w14:paraId="76E0FD31" w14:textId="77777777" w:rsidR="00167BD0" w:rsidRPr="00192DAB" w:rsidRDefault="00CA2BA8" w:rsidP="00553665">
            <w:pPr>
              <w:ind w:firstLine="0"/>
              <w:jc w:val="left"/>
              <w:rPr>
                <w:b/>
                <w:lang w:val="ro-MD"/>
              </w:rPr>
            </w:pPr>
            <w:r w:rsidRPr="00192DAB">
              <w:rPr>
                <w:b/>
                <w:lang w:val="ro-MD"/>
              </w:rPr>
              <w:t>C</w:t>
            </w:r>
            <w:r w:rsidR="00167BD0" w:rsidRPr="00192DAB">
              <w:rPr>
                <w:b/>
                <w:lang w:val="ro-MD"/>
              </w:rPr>
              <w:t>ompatibil</w:t>
            </w:r>
          </w:p>
        </w:tc>
      </w:tr>
      <w:tr w:rsidR="00553665" w:rsidRPr="00EC48E1" w14:paraId="0A6923B9" w14:textId="77777777" w:rsidTr="00553665">
        <w:trPr>
          <w:jc w:val="center"/>
        </w:trPr>
        <w:tc>
          <w:tcPr>
            <w:tcW w:w="141" w:type="pct"/>
            <w:shd w:val="clear" w:color="auto" w:fill="auto"/>
          </w:tcPr>
          <w:p w14:paraId="6656338C" w14:textId="7E8C28D9" w:rsidR="00553665" w:rsidRPr="00EC48E1" w:rsidRDefault="00553665" w:rsidP="000004B9">
            <w:pPr>
              <w:ind w:firstLine="0"/>
              <w:rPr>
                <w:b/>
                <w:lang w:val="ro-MD"/>
              </w:rPr>
            </w:pPr>
            <w:r>
              <w:rPr>
                <w:b/>
                <w:lang w:val="ro-MD"/>
              </w:rPr>
              <w:t>4</w:t>
            </w:r>
          </w:p>
        </w:tc>
        <w:tc>
          <w:tcPr>
            <w:tcW w:w="4859" w:type="pct"/>
            <w:shd w:val="clear" w:color="auto" w:fill="auto"/>
            <w:vAlign w:val="center"/>
          </w:tcPr>
          <w:p w14:paraId="14047780" w14:textId="0BA16D9E" w:rsidR="00553665" w:rsidRPr="00192DAB" w:rsidRDefault="00553665" w:rsidP="00553665">
            <w:pPr>
              <w:ind w:firstLine="0"/>
              <w:jc w:val="left"/>
              <w:rPr>
                <w:b/>
                <w:lang w:val="ro-MD"/>
              </w:rPr>
            </w:pPr>
            <w:r w:rsidRPr="00192DAB">
              <w:rPr>
                <w:b/>
                <w:lang w:val="ro-MD"/>
              </w:rPr>
              <w:t>Ministerul Agriculturii și Industriei Alimentare/Mereuță Albina</w:t>
            </w:r>
          </w:p>
        </w:tc>
      </w:tr>
      <w:tr w:rsidR="00553665" w:rsidRPr="00EC48E1" w14:paraId="547F10E1" w14:textId="77777777" w:rsidTr="00553665">
        <w:trPr>
          <w:jc w:val="center"/>
        </w:trPr>
        <w:tc>
          <w:tcPr>
            <w:tcW w:w="141" w:type="pct"/>
            <w:shd w:val="clear" w:color="auto" w:fill="auto"/>
          </w:tcPr>
          <w:p w14:paraId="237096CF" w14:textId="29B76DDE" w:rsidR="00553665" w:rsidRDefault="00553665" w:rsidP="000004B9">
            <w:pPr>
              <w:ind w:firstLine="0"/>
              <w:rPr>
                <w:b/>
                <w:lang w:val="ro-MD"/>
              </w:rPr>
            </w:pPr>
            <w:r>
              <w:rPr>
                <w:b/>
                <w:lang w:val="ro-MD"/>
              </w:rPr>
              <w:t>5</w:t>
            </w:r>
          </w:p>
        </w:tc>
        <w:tc>
          <w:tcPr>
            <w:tcW w:w="4859" w:type="pct"/>
            <w:shd w:val="clear" w:color="auto" w:fill="auto"/>
            <w:vAlign w:val="center"/>
          </w:tcPr>
          <w:p w14:paraId="31563D6B" w14:textId="5C12697C" w:rsidR="00553665" w:rsidRPr="00192DAB" w:rsidRDefault="00553665" w:rsidP="00553665">
            <w:pPr>
              <w:ind w:firstLine="0"/>
              <w:jc w:val="left"/>
              <w:rPr>
                <w:b/>
                <w:lang w:val="ro-MD"/>
              </w:rPr>
            </w:pPr>
            <w:r w:rsidRPr="00192DAB">
              <w:rPr>
                <w:b/>
                <w:lang w:val="ro-MD"/>
              </w:rPr>
              <w:t>Data întocmirii:0</w:t>
            </w:r>
            <w:r w:rsidR="00286AEE" w:rsidRPr="00192DAB">
              <w:rPr>
                <w:b/>
                <w:lang w:val="ro-MD"/>
              </w:rPr>
              <w:t>5</w:t>
            </w:r>
            <w:r w:rsidRPr="00192DAB">
              <w:rPr>
                <w:b/>
                <w:lang w:val="ro-MD"/>
              </w:rPr>
              <w:t>.09.2024</w:t>
            </w:r>
          </w:p>
        </w:tc>
      </w:tr>
    </w:tbl>
    <w:tbl>
      <w:tblPr>
        <w:tblStyle w:val="TableGrid1"/>
        <w:tblW w:w="14132" w:type="dxa"/>
        <w:jc w:val="center"/>
        <w:tblLayout w:type="fixed"/>
        <w:tblLook w:val="04A0" w:firstRow="1" w:lastRow="0" w:firstColumn="1" w:lastColumn="0" w:noHBand="0" w:noVBand="1"/>
      </w:tblPr>
      <w:tblGrid>
        <w:gridCol w:w="6799"/>
        <w:gridCol w:w="4536"/>
        <w:gridCol w:w="1589"/>
        <w:gridCol w:w="1192"/>
        <w:gridCol w:w="16"/>
      </w:tblGrid>
      <w:tr w:rsidR="00553665" w:rsidRPr="00CA2BA8" w14:paraId="1896BA5C" w14:textId="77777777" w:rsidTr="00553665">
        <w:trPr>
          <w:gridAfter w:val="1"/>
          <w:wAfter w:w="16" w:type="dxa"/>
          <w:trHeight w:val="706"/>
          <w:jc w:val="center"/>
        </w:trPr>
        <w:tc>
          <w:tcPr>
            <w:tcW w:w="6799" w:type="dxa"/>
            <w:vAlign w:val="center"/>
          </w:tcPr>
          <w:p w14:paraId="2C15C7EC" w14:textId="7298F7C7" w:rsidR="00553665" w:rsidRPr="00CA2BA8" w:rsidRDefault="00553665" w:rsidP="00553665">
            <w:pPr>
              <w:ind w:firstLine="0"/>
              <w:jc w:val="center"/>
              <w:rPr>
                <w:b/>
                <w:lang w:val="ro-MD"/>
              </w:rPr>
            </w:pPr>
            <w:r>
              <w:rPr>
                <w:b/>
                <w:lang w:val="ro-MD"/>
              </w:rPr>
              <w:t xml:space="preserve">6 </w:t>
            </w:r>
            <w:r w:rsidRPr="00CA2BA8">
              <w:rPr>
                <w:b/>
                <w:lang w:val="ro-MD"/>
              </w:rPr>
              <w:t>Actul Uniunii Europene</w:t>
            </w:r>
          </w:p>
        </w:tc>
        <w:tc>
          <w:tcPr>
            <w:tcW w:w="4536" w:type="dxa"/>
            <w:vAlign w:val="center"/>
          </w:tcPr>
          <w:p w14:paraId="5AA36460" w14:textId="06B0CE7E" w:rsidR="00553665" w:rsidRPr="00CA2BA8" w:rsidRDefault="00553665" w:rsidP="00553665">
            <w:pPr>
              <w:ind w:firstLine="0"/>
              <w:jc w:val="center"/>
              <w:rPr>
                <w:b/>
                <w:lang w:val="ro-MD"/>
              </w:rPr>
            </w:pPr>
            <w:r>
              <w:rPr>
                <w:b/>
                <w:lang w:val="ro-MD"/>
              </w:rPr>
              <w:t xml:space="preserve">7 </w:t>
            </w:r>
            <w:r w:rsidRPr="00CA2BA8">
              <w:rPr>
                <w:b/>
                <w:lang w:val="ro-MD"/>
              </w:rPr>
              <w:t>Proiectul de act normativ național</w:t>
            </w:r>
          </w:p>
        </w:tc>
        <w:tc>
          <w:tcPr>
            <w:tcW w:w="1589" w:type="dxa"/>
            <w:vAlign w:val="center"/>
          </w:tcPr>
          <w:p w14:paraId="494EA731" w14:textId="2480F41D" w:rsidR="00553665" w:rsidRPr="00CA2BA8" w:rsidRDefault="00553665" w:rsidP="00553665">
            <w:pPr>
              <w:ind w:firstLine="0"/>
              <w:jc w:val="center"/>
              <w:rPr>
                <w:b/>
                <w:lang w:val="ro-MD"/>
              </w:rPr>
            </w:pPr>
            <w:r>
              <w:rPr>
                <w:b/>
                <w:lang w:val="ro-MD"/>
              </w:rPr>
              <w:t xml:space="preserve">8 </w:t>
            </w:r>
            <w:r w:rsidRPr="00CA2BA8">
              <w:rPr>
                <w:b/>
                <w:lang w:val="ro-MD"/>
              </w:rPr>
              <w:t>Gradul de compatibilitate</w:t>
            </w:r>
          </w:p>
        </w:tc>
        <w:tc>
          <w:tcPr>
            <w:tcW w:w="1192" w:type="dxa"/>
            <w:vAlign w:val="center"/>
          </w:tcPr>
          <w:p w14:paraId="6970E75A" w14:textId="652A4991" w:rsidR="00553665" w:rsidRPr="00CA2BA8" w:rsidRDefault="00553665" w:rsidP="00553665">
            <w:pPr>
              <w:ind w:firstLine="0"/>
              <w:jc w:val="center"/>
              <w:rPr>
                <w:b/>
                <w:lang w:val="ro-MD"/>
              </w:rPr>
            </w:pPr>
            <w:r>
              <w:rPr>
                <w:b/>
                <w:lang w:val="ro-MD"/>
              </w:rPr>
              <w:t xml:space="preserve">9 </w:t>
            </w:r>
            <w:r w:rsidRPr="00CA2BA8">
              <w:rPr>
                <w:b/>
                <w:lang w:val="ro-MD"/>
              </w:rPr>
              <w:t>Observații</w:t>
            </w:r>
          </w:p>
        </w:tc>
      </w:tr>
      <w:tr w:rsidR="00553665" w:rsidRPr="00CA2BA8" w14:paraId="7D42254C" w14:textId="77777777" w:rsidTr="008A06A1">
        <w:tblPrEx>
          <w:jc w:val="left"/>
        </w:tblPrEx>
        <w:trPr>
          <w:trHeight w:val="3569"/>
        </w:trPr>
        <w:tc>
          <w:tcPr>
            <w:tcW w:w="6799" w:type="dxa"/>
          </w:tcPr>
          <w:p w14:paraId="2A185CAB" w14:textId="77777777" w:rsidR="00286AEE" w:rsidRDefault="00286AEE" w:rsidP="00286AEE">
            <w:pPr>
              <w:ind w:firstLine="0"/>
            </w:pPr>
          </w:p>
          <w:p w14:paraId="03A7CE10" w14:textId="77777777" w:rsidR="00286AEE" w:rsidRDefault="00286AEE" w:rsidP="00286AEE">
            <w:pPr>
              <w:ind w:firstLine="0"/>
              <w:jc w:val="center"/>
            </w:pPr>
            <w:proofErr w:type="spellStart"/>
            <w:r>
              <w:t>Articolul</w:t>
            </w:r>
            <w:proofErr w:type="spellEnd"/>
            <w:r>
              <w:t xml:space="preserve"> 1</w:t>
            </w:r>
          </w:p>
          <w:p w14:paraId="5798E94B" w14:textId="77777777" w:rsidR="00286AEE" w:rsidRDefault="00286AEE" w:rsidP="00286AEE">
            <w:pPr>
              <w:ind w:firstLine="0"/>
              <w:jc w:val="center"/>
            </w:pPr>
          </w:p>
          <w:p w14:paraId="203AC5E7" w14:textId="77777777" w:rsidR="00286AEE" w:rsidRDefault="00286AEE" w:rsidP="00286AEE">
            <w:pPr>
              <w:ind w:firstLine="0"/>
            </w:pPr>
            <w:proofErr w:type="spellStart"/>
            <w:r>
              <w:t>Punctul</w:t>
            </w:r>
            <w:proofErr w:type="spellEnd"/>
            <w:r>
              <w:t xml:space="preserve"> 1 din </w:t>
            </w:r>
            <w:proofErr w:type="spellStart"/>
            <w:r>
              <w:t>partea</w:t>
            </w:r>
            <w:proofErr w:type="spellEnd"/>
            <w:r>
              <w:t xml:space="preserve"> E </w:t>
            </w:r>
            <w:proofErr w:type="gramStart"/>
            <w:r>
              <w:t>a</w:t>
            </w:r>
            <w:proofErr w:type="gramEnd"/>
            <w:r>
              <w:t xml:space="preserve"> </w:t>
            </w:r>
            <w:proofErr w:type="spellStart"/>
            <w:r>
              <w:t>anexei</w:t>
            </w:r>
            <w:proofErr w:type="spellEnd"/>
            <w:r>
              <w:t xml:space="preserve"> II la </w:t>
            </w:r>
            <w:proofErr w:type="spellStart"/>
            <w:r>
              <w:t>Regulamentul</w:t>
            </w:r>
            <w:proofErr w:type="spellEnd"/>
            <w:r>
              <w:t xml:space="preserve"> (CE) nr. 2160/2003 se </w:t>
            </w:r>
            <w:proofErr w:type="spellStart"/>
            <w:r>
              <w:t>înlocuiește</w:t>
            </w:r>
            <w:proofErr w:type="spellEnd"/>
            <w:r>
              <w:t xml:space="preserve"> cu </w:t>
            </w:r>
            <w:proofErr w:type="spellStart"/>
            <w:r>
              <w:t>următorul</w:t>
            </w:r>
            <w:proofErr w:type="spellEnd"/>
            <w:r>
              <w:t xml:space="preserve"> text:</w:t>
            </w:r>
          </w:p>
          <w:p w14:paraId="09C6F8BA" w14:textId="77777777" w:rsidR="00286AEE" w:rsidRDefault="00286AEE" w:rsidP="00286AEE">
            <w:pPr>
              <w:ind w:firstLine="0"/>
            </w:pPr>
          </w:p>
          <w:p w14:paraId="3140A7D3" w14:textId="77777777" w:rsidR="00286AEE" w:rsidRDefault="00286AEE" w:rsidP="00286AEE">
            <w:pPr>
              <w:ind w:firstLine="0"/>
            </w:pPr>
            <w:r>
              <w:t xml:space="preserve">„1. </w:t>
            </w:r>
            <w:proofErr w:type="spellStart"/>
            <w:r>
              <w:t>Începând</w:t>
            </w:r>
            <w:proofErr w:type="spellEnd"/>
            <w:r>
              <w:t xml:space="preserve"> cu 1 </w:t>
            </w:r>
            <w:proofErr w:type="spellStart"/>
            <w:r>
              <w:t>decembrie</w:t>
            </w:r>
            <w:proofErr w:type="spellEnd"/>
            <w:r>
              <w:t xml:space="preserve"> 2011, </w:t>
            </w:r>
            <w:proofErr w:type="spellStart"/>
            <w:r>
              <w:t>carnea</w:t>
            </w:r>
            <w:proofErr w:type="spellEnd"/>
            <w:r>
              <w:t xml:space="preserve"> </w:t>
            </w:r>
            <w:proofErr w:type="spellStart"/>
            <w:r>
              <w:t>proaspătă</w:t>
            </w:r>
            <w:proofErr w:type="spellEnd"/>
            <w:r>
              <w:t xml:space="preserve"> de </w:t>
            </w:r>
            <w:proofErr w:type="spellStart"/>
            <w:r>
              <w:t>pasăre</w:t>
            </w:r>
            <w:proofErr w:type="spellEnd"/>
            <w:r>
              <w:t xml:space="preserve"> </w:t>
            </w:r>
            <w:proofErr w:type="spellStart"/>
            <w:r>
              <w:t>provenită</w:t>
            </w:r>
            <w:proofErr w:type="spellEnd"/>
            <w:r>
              <w:t xml:space="preserve"> de la </w:t>
            </w:r>
            <w:proofErr w:type="spellStart"/>
            <w:r>
              <w:t>efective</w:t>
            </w:r>
            <w:proofErr w:type="spellEnd"/>
            <w:r>
              <w:t xml:space="preserve"> de </w:t>
            </w:r>
            <w:proofErr w:type="spellStart"/>
            <w:r>
              <w:t>animale</w:t>
            </w:r>
            <w:proofErr w:type="spellEnd"/>
            <w:r>
              <w:t xml:space="preserve"> enumerate </w:t>
            </w:r>
            <w:proofErr w:type="spellStart"/>
            <w:r>
              <w:t>în</w:t>
            </w:r>
            <w:proofErr w:type="spellEnd"/>
            <w:r>
              <w:t xml:space="preserve"> </w:t>
            </w:r>
            <w:proofErr w:type="spellStart"/>
            <w:r>
              <w:t>anexa</w:t>
            </w:r>
            <w:proofErr w:type="spellEnd"/>
            <w:r>
              <w:t xml:space="preserve"> I </w:t>
            </w:r>
            <w:proofErr w:type="spellStart"/>
            <w:r>
              <w:t>îndeplinește</w:t>
            </w:r>
            <w:proofErr w:type="spellEnd"/>
            <w:r>
              <w:t xml:space="preserve"> </w:t>
            </w:r>
            <w:proofErr w:type="spellStart"/>
            <w:r>
              <w:t>criteriul</w:t>
            </w:r>
            <w:proofErr w:type="spellEnd"/>
            <w:r>
              <w:t xml:space="preserve"> microbiologic relevant </w:t>
            </w:r>
            <w:proofErr w:type="spellStart"/>
            <w:r>
              <w:t>precizat</w:t>
            </w:r>
            <w:proofErr w:type="spellEnd"/>
            <w:r>
              <w:t xml:space="preserve"> la </w:t>
            </w:r>
            <w:proofErr w:type="spellStart"/>
            <w:r>
              <w:t>rândul</w:t>
            </w:r>
            <w:proofErr w:type="spellEnd"/>
            <w:r>
              <w:t xml:space="preserve"> 1.28 din </w:t>
            </w:r>
            <w:proofErr w:type="spellStart"/>
            <w:r>
              <w:t>capitolul</w:t>
            </w:r>
            <w:proofErr w:type="spellEnd"/>
            <w:r>
              <w:t xml:space="preserve"> 1 al </w:t>
            </w:r>
            <w:proofErr w:type="spellStart"/>
            <w:r>
              <w:t>anexei</w:t>
            </w:r>
            <w:proofErr w:type="spellEnd"/>
            <w:r>
              <w:t xml:space="preserve"> I la </w:t>
            </w:r>
            <w:proofErr w:type="spellStart"/>
            <w:r>
              <w:t>Regulamentul</w:t>
            </w:r>
            <w:proofErr w:type="spellEnd"/>
            <w:r>
              <w:t xml:space="preserve"> (CE) nr. 2073/2005 al </w:t>
            </w:r>
            <w:proofErr w:type="spellStart"/>
            <w:r>
              <w:t>Comisiei</w:t>
            </w:r>
            <w:proofErr w:type="spellEnd"/>
            <w:r>
              <w:t xml:space="preserve"> </w:t>
            </w:r>
            <w:proofErr w:type="gramStart"/>
            <w:r>
              <w:t>( 12</w:t>
            </w:r>
            <w:proofErr w:type="gramEnd"/>
            <w:r>
              <w:t xml:space="preserve"> ).</w:t>
            </w:r>
          </w:p>
          <w:p w14:paraId="18732298" w14:textId="77777777" w:rsidR="00286AEE" w:rsidRDefault="00286AEE" w:rsidP="00286AEE">
            <w:pPr>
              <w:ind w:firstLine="0"/>
              <w:jc w:val="center"/>
            </w:pPr>
          </w:p>
          <w:p w14:paraId="1402EC00" w14:textId="77777777" w:rsidR="00286AEE" w:rsidRDefault="00286AEE" w:rsidP="00286AEE">
            <w:pPr>
              <w:ind w:firstLine="0"/>
              <w:jc w:val="center"/>
            </w:pPr>
            <w:proofErr w:type="spellStart"/>
            <w:r>
              <w:t>Articolul</w:t>
            </w:r>
            <w:proofErr w:type="spellEnd"/>
            <w:r>
              <w:t xml:space="preserve"> 2</w:t>
            </w:r>
          </w:p>
          <w:p w14:paraId="4F247A1D" w14:textId="77777777" w:rsidR="00286AEE" w:rsidRDefault="00286AEE" w:rsidP="00286AEE">
            <w:pPr>
              <w:ind w:firstLine="0"/>
              <w:jc w:val="center"/>
            </w:pPr>
          </w:p>
          <w:p w14:paraId="29FD4693" w14:textId="456D9AA1" w:rsidR="00553665" w:rsidRPr="0067228F" w:rsidRDefault="00286AEE" w:rsidP="00286AEE">
            <w:pPr>
              <w:ind w:firstLine="0"/>
            </w:pPr>
            <w:proofErr w:type="spellStart"/>
            <w:r>
              <w:t>Anexa</w:t>
            </w:r>
            <w:proofErr w:type="spellEnd"/>
            <w:r>
              <w:t xml:space="preserve"> I la </w:t>
            </w:r>
            <w:proofErr w:type="spellStart"/>
            <w:r>
              <w:t>Regulamentul</w:t>
            </w:r>
            <w:proofErr w:type="spellEnd"/>
            <w:r>
              <w:t xml:space="preserve"> (CE) nr. 2073/2005 se </w:t>
            </w:r>
            <w:proofErr w:type="spellStart"/>
            <w:r>
              <w:t>modifică</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anexa</w:t>
            </w:r>
            <w:proofErr w:type="spellEnd"/>
            <w:r>
              <w:t xml:space="preserve"> la </w:t>
            </w:r>
            <w:proofErr w:type="spellStart"/>
            <w:r>
              <w:t>prezentul</w:t>
            </w:r>
            <w:proofErr w:type="spellEnd"/>
            <w:r>
              <w:t xml:space="preserve"> </w:t>
            </w:r>
            <w:proofErr w:type="spellStart"/>
            <w:r>
              <w:t>regulament</w:t>
            </w:r>
            <w:proofErr w:type="spellEnd"/>
            <w:r>
              <w:t>.</w:t>
            </w:r>
          </w:p>
        </w:tc>
        <w:tc>
          <w:tcPr>
            <w:tcW w:w="4536" w:type="dxa"/>
          </w:tcPr>
          <w:p w14:paraId="63113426" w14:textId="77777777" w:rsidR="00286AEE" w:rsidRPr="00286AEE" w:rsidRDefault="00286AEE" w:rsidP="00286AEE">
            <w:pPr>
              <w:ind w:firstLine="0"/>
              <w:rPr>
                <w:bCs/>
                <w:lang w:val="ro-MD"/>
              </w:rPr>
            </w:pPr>
            <w:r w:rsidRPr="00286AEE">
              <w:rPr>
                <w:bCs/>
                <w:lang w:val="ro-MD"/>
              </w:rPr>
              <w:t xml:space="preserve">3.Punctul 56 din Hotărârea de Guvern nr. 398/2012 pentru aprobarea unor norme sanitar-veterinare privind controlul </w:t>
            </w:r>
            <w:proofErr w:type="spellStart"/>
            <w:r w:rsidRPr="00286AEE">
              <w:rPr>
                <w:bCs/>
                <w:lang w:val="ro-MD"/>
              </w:rPr>
              <w:t>şi</w:t>
            </w:r>
            <w:proofErr w:type="spellEnd"/>
            <w:r w:rsidRPr="00286AEE">
              <w:rPr>
                <w:bCs/>
                <w:lang w:val="ro-MD"/>
              </w:rPr>
              <w:t xml:space="preserve"> reducerea prevalenței </w:t>
            </w:r>
            <w:proofErr w:type="spellStart"/>
            <w:r w:rsidRPr="00286AEE">
              <w:rPr>
                <w:bCs/>
                <w:lang w:val="ro-MD"/>
              </w:rPr>
              <w:t>salmonelelor</w:t>
            </w:r>
            <w:proofErr w:type="spellEnd"/>
            <w:r w:rsidRPr="00286AEE">
              <w:rPr>
                <w:bCs/>
                <w:lang w:val="ro-MD"/>
              </w:rPr>
              <w:t xml:space="preserve"> în efectivele de animale (Monitorul Oficial al Republicii Moldova, 2012, nr. 120-125, art.440) cu modificările ulterioare, va avea următorul cuprins:</w:t>
            </w:r>
          </w:p>
          <w:p w14:paraId="081DF682" w14:textId="260A763D" w:rsidR="00553665" w:rsidRPr="00E563E8" w:rsidRDefault="00286AEE" w:rsidP="00286AEE">
            <w:pPr>
              <w:ind w:firstLine="0"/>
              <w:rPr>
                <w:rFonts w:asciiTheme="majorBidi" w:hAnsiTheme="majorBidi" w:cstheme="majorBidi"/>
                <w:bCs/>
                <w:lang w:val="ro-RO"/>
              </w:rPr>
            </w:pPr>
            <w:r w:rsidRPr="00286AEE">
              <w:rPr>
                <w:bCs/>
                <w:lang w:val="ro-MD"/>
              </w:rPr>
              <w:t>“56. Carnea proaspătă de pasăre provenită de la efectiv de animale enumerate în Anexa 1 la prezenta Normă sanitar-veterinară îndeplinește criteriul microbiologic precizat în Anexa la Regulilor privind criteriile microbiologice pentru produsele alimentare, aprobate prin Hotărârea Guvernului nr.221/2009.”</w:t>
            </w:r>
          </w:p>
        </w:tc>
        <w:tc>
          <w:tcPr>
            <w:tcW w:w="1589" w:type="dxa"/>
          </w:tcPr>
          <w:p w14:paraId="00869553" w14:textId="77777777" w:rsidR="00553665" w:rsidRPr="00655E6D" w:rsidRDefault="00553665" w:rsidP="00EC48E1">
            <w:pPr>
              <w:ind w:firstLine="0"/>
              <w:jc w:val="center"/>
              <w:rPr>
                <w:rFonts w:asciiTheme="majorBidi" w:hAnsiTheme="majorBidi" w:cstheme="majorBidi"/>
                <w:b/>
                <w:noProof/>
                <w:color w:val="FF0000"/>
                <w:lang w:val="ro-RO"/>
              </w:rPr>
            </w:pPr>
            <w:r w:rsidRPr="00EC48E1">
              <w:rPr>
                <w:rFonts w:asciiTheme="majorBidi" w:hAnsiTheme="majorBidi" w:cstheme="majorBidi"/>
                <w:b/>
                <w:noProof/>
                <w:color w:val="000000" w:themeColor="text1"/>
                <w:lang w:val="ro-RO"/>
              </w:rPr>
              <w:t>Compatibil</w:t>
            </w:r>
          </w:p>
        </w:tc>
        <w:tc>
          <w:tcPr>
            <w:tcW w:w="1208" w:type="dxa"/>
            <w:gridSpan w:val="2"/>
          </w:tcPr>
          <w:p w14:paraId="461B3831" w14:textId="77777777" w:rsidR="00553665" w:rsidRPr="00655E6D" w:rsidRDefault="00553665" w:rsidP="00EC48E1">
            <w:pPr>
              <w:ind w:firstLine="0"/>
              <w:jc w:val="center"/>
              <w:rPr>
                <w:rFonts w:asciiTheme="majorBidi" w:hAnsiTheme="majorBidi" w:cstheme="majorBidi"/>
                <w:b/>
                <w:noProof/>
                <w:color w:val="FF0000"/>
                <w:lang w:val="ro-RO"/>
              </w:rPr>
            </w:pPr>
          </w:p>
        </w:tc>
      </w:tr>
      <w:tr w:rsidR="00553665" w:rsidRPr="00CA2BA8" w14:paraId="7C22615C" w14:textId="77777777" w:rsidTr="00553665">
        <w:tblPrEx>
          <w:jc w:val="left"/>
        </w:tblPrEx>
        <w:trPr>
          <w:trHeight w:val="414"/>
        </w:trPr>
        <w:tc>
          <w:tcPr>
            <w:tcW w:w="6799" w:type="dxa"/>
          </w:tcPr>
          <w:p w14:paraId="6BF2E79A" w14:textId="77777777" w:rsidR="00286AEE" w:rsidRPr="00286AEE" w:rsidRDefault="00286AEE" w:rsidP="00286AEE">
            <w:pPr>
              <w:ind w:firstLine="0"/>
              <w:jc w:val="center"/>
              <w:rPr>
                <w:iCs/>
                <w:lang w:val="ro-RO"/>
              </w:rPr>
            </w:pPr>
            <w:r w:rsidRPr="00286AEE">
              <w:rPr>
                <w:iCs/>
                <w:lang w:val="ro-RO"/>
              </w:rPr>
              <w:t>ANEXĂ</w:t>
            </w:r>
          </w:p>
          <w:p w14:paraId="60AC012B" w14:textId="77777777" w:rsidR="00286AEE" w:rsidRPr="00286AEE" w:rsidRDefault="00286AEE" w:rsidP="00286AEE">
            <w:pPr>
              <w:ind w:firstLine="0"/>
              <w:rPr>
                <w:iCs/>
                <w:lang w:val="ro-RO"/>
              </w:rPr>
            </w:pPr>
          </w:p>
          <w:p w14:paraId="41B5C323" w14:textId="77777777" w:rsidR="00286AEE" w:rsidRPr="00286AEE" w:rsidRDefault="00286AEE" w:rsidP="00286AEE">
            <w:pPr>
              <w:ind w:firstLine="0"/>
              <w:rPr>
                <w:iCs/>
                <w:lang w:val="ro-RO"/>
              </w:rPr>
            </w:pPr>
            <w:r w:rsidRPr="00286AEE">
              <w:rPr>
                <w:iCs/>
                <w:lang w:val="ro-RO"/>
              </w:rPr>
              <w:t>Anexa I la Regulamentul (CE) nr. 2073/2005 se modifică după cum urmează:</w:t>
            </w:r>
          </w:p>
          <w:p w14:paraId="750BDA7F" w14:textId="77777777" w:rsidR="00286AEE" w:rsidRPr="00286AEE" w:rsidRDefault="00286AEE" w:rsidP="00286AEE">
            <w:pPr>
              <w:ind w:firstLine="0"/>
              <w:rPr>
                <w:iCs/>
                <w:lang w:val="ro-RO"/>
              </w:rPr>
            </w:pPr>
          </w:p>
          <w:p w14:paraId="62A835B7" w14:textId="6A21A0B8" w:rsidR="00553665" w:rsidRPr="008A06A1" w:rsidRDefault="00286AEE" w:rsidP="008A06A1">
            <w:pPr>
              <w:ind w:firstLine="0"/>
              <w:rPr>
                <w:iCs/>
                <w:lang w:val="ro-RO"/>
              </w:rPr>
            </w:pPr>
            <w:r w:rsidRPr="008A06A1">
              <w:rPr>
                <w:iCs/>
                <w:lang w:val="ro-RO"/>
              </w:rPr>
              <w:t>La capitolul 1, se adaugă următorul rând 1.28 și notele de subsol corespunzătoare 20 și 21:</w:t>
            </w:r>
          </w:p>
          <w:p w14:paraId="457786C4" w14:textId="77777777" w:rsidR="008A06A1" w:rsidRDefault="008A06A1" w:rsidP="008A06A1">
            <w:pPr>
              <w:rPr>
                <w:iCs/>
                <w:lang w:val="ro-RO"/>
              </w:rPr>
            </w:pPr>
          </w:p>
          <w:tbl>
            <w:tblPr>
              <w:tblW w:w="6393"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106"/>
              <w:gridCol w:w="893"/>
              <w:gridCol w:w="283"/>
              <w:gridCol w:w="305"/>
              <w:gridCol w:w="675"/>
              <w:gridCol w:w="1807"/>
              <w:gridCol w:w="1324"/>
            </w:tblGrid>
            <w:tr w:rsidR="008A06A1" w:rsidRPr="008A06A1" w14:paraId="068DC574" w14:textId="77777777" w:rsidTr="008A06A1">
              <w:trPr>
                <w:trHeight w:val="1570"/>
              </w:trPr>
              <w:tc>
                <w:tcPr>
                  <w:tcW w:w="1106" w:type="dxa"/>
                  <w:tcBorders>
                    <w:top w:val="outset" w:sz="6" w:space="0" w:color="auto"/>
                    <w:left w:val="outset" w:sz="6" w:space="0" w:color="auto"/>
                    <w:bottom w:val="outset" w:sz="6" w:space="0" w:color="auto"/>
                    <w:right w:val="outset" w:sz="6" w:space="0" w:color="auto"/>
                  </w:tcBorders>
                  <w:shd w:val="clear" w:color="auto" w:fill="FFFFFF"/>
                  <w:hideMark/>
                </w:tcPr>
                <w:p w14:paraId="61F7797A"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lastRenderedPageBreak/>
                    <w:t>1.28  Carne proaspătă de pasăre </w:t>
                  </w:r>
                  <w:hyperlink r:id="rId8" w:anchor="E0013" w:history="1">
                    <w:r w:rsidRPr="008A06A1">
                      <w:rPr>
                        <w:rStyle w:val="Hyperlink"/>
                        <w:rFonts w:eastAsia="Arial Unicode MS"/>
                        <w:color w:val="337AB7"/>
                        <w:sz w:val="20"/>
                        <w:szCs w:val="20"/>
                      </w:rPr>
                      <w:t>(</w:t>
                    </w:r>
                    <w:r w:rsidRPr="008A06A1">
                      <w:rPr>
                        <w:rStyle w:val="superscript"/>
                        <w:rFonts w:eastAsia="Arial Unicode MS"/>
                        <w:color w:val="337AB7"/>
                        <w:sz w:val="20"/>
                        <w:szCs w:val="20"/>
                        <w:vertAlign w:val="superscript"/>
                      </w:rPr>
                      <w:t>1</w:t>
                    </w:r>
                    <w:r w:rsidRPr="008A06A1">
                      <w:rPr>
                        <w:rStyle w:val="Hyperlink"/>
                        <w:rFonts w:eastAsia="Arial Unicode MS"/>
                        <w:color w:val="337AB7"/>
                        <w:sz w:val="20"/>
                        <w:szCs w:val="20"/>
                      </w:rPr>
                      <w:t>)</w:t>
                    </w:r>
                  </w:hyperlink>
                </w:p>
              </w:tc>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6DFC3A60"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Style w:val="italics"/>
                      <w:rFonts w:eastAsia="Arial Unicode MS"/>
                      <w:i/>
                      <w:iCs/>
                      <w:color w:val="333333"/>
                      <w:sz w:val="20"/>
                      <w:szCs w:val="20"/>
                    </w:rPr>
                    <w:t xml:space="preserve">Salmonella </w:t>
                  </w:r>
                  <w:proofErr w:type="spellStart"/>
                  <w:r w:rsidRPr="008A06A1">
                    <w:rPr>
                      <w:rStyle w:val="italics"/>
                      <w:rFonts w:eastAsia="Arial Unicode MS"/>
                      <w:i/>
                      <w:iCs/>
                      <w:color w:val="333333"/>
                      <w:sz w:val="20"/>
                      <w:szCs w:val="20"/>
                    </w:rPr>
                    <w:t>typhimurium</w:t>
                  </w:r>
                  <w:proofErr w:type="spellEnd"/>
                  <w:r w:rsidRPr="008A06A1">
                    <w:rPr>
                      <w:rFonts w:eastAsia="Arial Unicode MS"/>
                      <w:color w:val="333333"/>
                      <w:sz w:val="20"/>
                      <w:szCs w:val="20"/>
                    </w:rPr>
                    <w:t> </w:t>
                  </w:r>
                  <w:hyperlink r:id="rId9" w:anchor="E0014" w:history="1">
                    <w:r w:rsidRPr="008A06A1">
                      <w:rPr>
                        <w:rStyle w:val="Hyperlink"/>
                        <w:rFonts w:eastAsia="Arial Unicode MS"/>
                        <w:color w:val="337AB7"/>
                        <w:sz w:val="20"/>
                        <w:szCs w:val="20"/>
                      </w:rPr>
                      <w:t>(</w:t>
                    </w:r>
                    <w:r w:rsidRPr="008A06A1">
                      <w:rPr>
                        <w:rStyle w:val="superscript"/>
                        <w:rFonts w:eastAsia="Arial Unicode MS"/>
                        <w:color w:val="337AB7"/>
                        <w:sz w:val="20"/>
                        <w:szCs w:val="20"/>
                        <w:vertAlign w:val="superscript"/>
                      </w:rPr>
                      <w:t>2</w:t>
                    </w:r>
                    <w:r w:rsidRPr="008A06A1">
                      <w:rPr>
                        <w:rStyle w:val="Hyperlink"/>
                        <w:rFonts w:eastAsia="Arial Unicode MS"/>
                        <w:color w:val="337AB7"/>
                        <w:sz w:val="20"/>
                        <w:szCs w:val="20"/>
                      </w:rPr>
                      <w:t>)</w:t>
                    </w:r>
                  </w:hyperlink>
                </w:p>
                <w:p w14:paraId="005854CA"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Style w:val="italics"/>
                      <w:rFonts w:eastAsia="Arial Unicode MS"/>
                      <w:i/>
                      <w:iCs/>
                      <w:color w:val="333333"/>
                      <w:sz w:val="20"/>
                      <w:szCs w:val="20"/>
                    </w:rPr>
                    <w:t xml:space="preserve">Salmonella </w:t>
                  </w:r>
                  <w:proofErr w:type="spellStart"/>
                  <w:r w:rsidRPr="008A06A1">
                    <w:rPr>
                      <w:rStyle w:val="italics"/>
                      <w:rFonts w:eastAsia="Arial Unicode MS"/>
                      <w:i/>
                      <w:iCs/>
                      <w:color w:val="333333"/>
                      <w:sz w:val="20"/>
                      <w:szCs w:val="20"/>
                    </w:rPr>
                    <w:t>enteritidis</w:t>
                  </w:r>
                  <w:proofErr w:type="spellEnd"/>
                </w:p>
              </w:tc>
              <w:tc>
                <w:tcPr>
                  <w:tcW w:w="283" w:type="dxa"/>
                  <w:tcBorders>
                    <w:top w:val="outset" w:sz="6" w:space="0" w:color="auto"/>
                    <w:left w:val="outset" w:sz="6" w:space="0" w:color="auto"/>
                    <w:bottom w:val="outset" w:sz="6" w:space="0" w:color="auto"/>
                    <w:right w:val="outset" w:sz="6" w:space="0" w:color="auto"/>
                  </w:tcBorders>
                  <w:shd w:val="clear" w:color="auto" w:fill="FFFFFF"/>
                  <w:hideMark/>
                </w:tcPr>
                <w:p w14:paraId="57B969AD"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5</w:t>
                  </w:r>
                </w:p>
              </w:tc>
              <w:tc>
                <w:tcPr>
                  <w:tcW w:w="305" w:type="dxa"/>
                  <w:tcBorders>
                    <w:top w:val="outset" w:sz="6" w:space="0" w:color="auto"/>
                    <w:left w:val="outset" w:sz="6" w:space="0" w:color="auto"/>
                    <w:bottom w:val="outset" w:sz="6" w:space="0" w:color="auto"/>
                    <w:right w:val="outset" w:sz="6" w:space="0" w:color="auto"/>
                  </w:tcBorders>
                  <w:shd w:val="clear" w:color="auto" w:fill="FFFFFF"/>
                  <w:hideMark/>
                </w:tcPr>
                <w:p w14:paraId="7F17F6B3"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0</w:t>
                  </w:r>
                </w:p>
              </w:tc>
              <w:tc>
                <w:tcPr>
                  <w:tcW w:w="675" w:type="dxa"/>
                  <w:tcBorders>
                    <w:top w:val="outset" w:sz="6" w:space="0" w:color="auto"/>
                    <w:left w:val="outset" w:sz="6" w:space="0" w:color="auto"/>
                    <w:bottom w:val="outset" w:sz="6" w:space="0" w:color="auto"/>
                    <w:right w:val="outset" w:sz="6" w:space="0" w:color="auto"/>
                  </w:tcBorders>
                  <w:shd w:val="clear" w:color="auto" w:fill="FFFFFF"/>
                  <w:hideMark/>
                </w:tcPr>
                <w:p w14:paraId="55602BFC"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Absență în 25 g</w:t>
                  </w:r>
                </w:p>
              </w:tc>
              <w:tc>
                <w:tcPr>
                  <w:tcW w:w="1807" w:type="dxa"/>
                  <w:tcBorders>
                    <w:top w:val="outset" w:sz="6" w:space="0" w:color="auto"/>
                    <w:left w:val="outset" w:sz="6" w:space="0" w:color="auto"/>
                    <w:bottom w:val="outset" w:sz="6" w:space="0" w:color="auto"/>
                    <w:right w:val="outset" w:sz="6" w:space="0" w:color="auto"/>
                  </w:tcBorders>
                  <w:shd w:val="clear" w:color="auto" w:fill="FFFFFF"/>
                  <w:hideMark/>
                </w:tcPr>
                <w:p w14:paraId="65843F3B"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EN/ISO 6579 (pentru detecție) sistemul White-</w:t>
                  </w:r>
                  <w:proofErr w:type="spellStart"/>
                  <w:r w:rsidRPr="008A06A1">
                    <w:rPr>
                      <w:rFonts w:eastAsia="Arial Unicode MS"/>
                      <w:color w:val="333333"/>
                      <w:sz w:val="20"/>
                      <w:szCs w:val="20"/>
                    </w:rPr>
                    <w:t>Kaufmann</w:t>
                  </w:r>
                  <w:proofErr w:type="spellEnd"/>
                  <w:r w:rsidRPr="008A06A1">
                    <w:rPr>
                      <w:rFonts w:eastAsia="Arial Unicode MS"/>
                      <w:color w:val="333333"/>
                      <w:sz w:val="20"/>
                      <w:szCs w:val="20"/>
                    </w:rPr>
                    <w:t xml:space="preserve">-Le Minor (pentru </w:t>
                  </w:r>
                  <w:proofErr w:type="spellStart"/>
                  <w:r w:rsidRPr="008A06A1">
                    <w:rPr>
                      <w:rFonts w:eastAsia="Arial Unicode MS"/>
                      <w:color w:val="333333"/>
                      <w:sz w:val="20"/>
                      <w:szCs w:val="20"/>
                    </w:rPr>
                    <w:t>serotipizare</w:t>
                  </w:r>
                  <w:proofErr w:type="spellEnd"/>
                  <w:r w:rsidRPr="008A06A1">
                    <w:rPr>
                      <w:rFonts w:eastAsia="Arial Unicode MS"/>
                      <w:color w:val="333333"/>
                      <w:sz w:val="20"/>
                      <w:szCs w:val="20"/>
                    </w:rPr>
                    <w:t>)</w:t>
                  </w:r>
                </w:p>
              </w:tc>
              <w:tc>
                <w:tcPr>
                  <w:tcW w:w="1324" w:type="dxa"/>
                  <w:tcBorders>
                    <w:top w:val="outset" w:sz="6" w:space="0" w:color="auto"/>
                    <w:left w:val="outset" w:sz="6" w:space="0" w:color="auto"/>
                    <w:bottom w:val="outset" w:sz="6" w:space="0" w:color="auto"/>
                    <w:right w:val="outset" w:sz="6" w:space="0" w:color="auto"/>
                  </w:tcBorders>
                  <w:shd w:val="clear" w:color="auto" w:fill="FFFFFF"/>
                  <w:hideMark/>
                </w:tcPr>
                <w:p w14:paraId="1D7AAEBA"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Produse introduse pe piață în timpul perioadei lor de conservare</w:t>
                  </w:r>
                </w:p>
              </w:tc>
            </w:tr>
            <w:tr w:rsidR="008A06A1" w:rsidRPr="008A06A1" w14:paraId="62987F1A" w14:textId="77777777" w:rsidTr="008A06A1">
              <w:trPr>
                <w:trHeight w:val="1556"/>
              </w:trPr>
              <w:tc>
                <w:tcPr>
                  <w:tcW w:w="6393"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7DCA93E"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w:t>
                  </w:r>
                  <w:r w:rsidRPr="008A06A1">
                    <w:rPr>
                      <w:rStyle w:val="superscript"/>
                      <w:rFonts w:eastAsia="Arial Unicode MS"/>
                      <w:color w:val="333333"/>
                      <w:sz w:val="20"/>
                      <w:szCs w:val="20"/>
                      <w:vertAlign w:val="superscript"/>
                    </w:rPr>
                    <w:t>1</w:t>
                  </w:r>
                  <w:r w:rsidRPr="008A06A1">
                    <w:rPr>
                      <w:rFonts w:eastAsia="Arial Unicode MS"/>
                      <w:color w:val="333333"/>
                      <w:sz w:val="20"/>
                      <w:szCs w:val="20"/>
                    </w:rPr>
                    <w:t>)   Criteriul se aplică cărnii proaspete provenite din efective de reproducere din specia </w:t>
                  </w:r>
                  <w:proofErr w:type="spellStart"/>
                  <w:r w:rsidRPr="008A06A1">
                    <w:rPr>
                      <w:rStyle w:val="italics"/>
                      <w:rFonts w:eastAsia="Arial Unicode MS"/>
                      <w:i/>
                      <w:iCs/>
                      <w:color w:val="333333"/>
                      <w:sz w:val="20"/>
                      <w:szCs w:val="20"/>
                    </w:rPr>
                    <w:t>Gallus</w:t>
                  </w:r>
                  <w:proofErr w:type="spellEnd"/>
                  <w:r w:rsidRPr="008A06A1">
                    <w:rPr>
                      <w:rStyle w:val="italics"/>
                      <w:rFonts w:eastAsia="Arial Unicode MS"/>
                      <w:i/>
                      <w:iCs/>
                      <w:color w:val="333333"/>
                      <w:sz w:val="20"/>
                      <w:szCs w:val="20"/>
                    </w:rPr>
                    <w:t xml:space="preserve"> </w:t>
                  </w:r>
                  <w:proofErr w:type="spellStart"/>
                  <w:r w:rsidRPr="008A06A1">
                    <w:rPr>
                      <w:rStyle w:val="italics"/>
                      <w:rFonts w:eastAsia="Arial Unicode MS"/>
                      <w:i/>
                      <w:iCs/>
                      <w:color w:val="333333"/>
                      <w:sz w:val="20"/>
                      <w:szCs w:val="20"/>
                    </w:rPr>
                    <w:t>gallus</w:t>
                  </w:r>
                  <w:proofErr w:type="spellEnd"/>
                  <w:r w:rsidRPr="008A06A1">
                    <w:rPr>
                      <w:rFonts w:eastAsia="Arial Unicode MS"/>
                      <w:color w:val="333333"/>
                      <w:sz w:val="20"/>
                      <w:szCs w:val="20"/>
                    </w:rPr>
                    <w:t>, din găini ouătoare, din pui de carne și din efective de curcani pentru reproducere și pentru îngrășare.</w:t>
                  </w:r>
                </w:p>
                <w:p w14:paraId="3755688B"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w:t>
                  </w:r>
                  <w:r w:rsidRPr="008A06A1">
                    <w:rPr>
                      <w:rStyle w:val="superscript"/>
                      <w:rFonts w:eastAsia="Arial Unicode MS"/>
                      <w:color w:val="333333"/>
                      <w:sz w:val="20"/>
                      <w:szCs w:val="20"/>
                      <w:vertAlign w:val="superscript"/>
                    </w:rPr>
                    <w:t>2</w:t>
                  </w:r>
                  <w:r w:rsidRPr="008A06A1">
                    <w:rPr>
                      <w:rFonts w:eastAsia="Arial Unicode MS"/>
                      <w:color w:val="333333"/>
                      <w:sz w:val="20"/>
                      <w:szCs w:val="20"/>
                    </w:rPr>
                    <w:t>)   În ceea ce privește </w:t>
                  </w:r>
                  <w:r w:rsidRPr="008A06A1">
                    <w:rPr>
                      <w:rStyle w:val="italics"/>
                      <w:rFonts w:eastAsia="Arial Unicode MS"/>
                      <w:i/>
                      <w:iCs/>
                      <w:color w:val="333333"/>
                      <w:sz w:val="20"/>
                      <w:szCs w:val="20"/>
                    </w:rPr>
                    <w:t xml:space="preserve">Salmonella </w:t>
                  </w:r>
                  <w:proofErr w:type="spellStart"/>
                  <w:r w:rsidRPr="008A06A1">
                    <w:rPr>
                      <w:rStyle w:val="italics"/>
                      <w:rFonts w:eastAsia="Arial Unicode MS"/>
                      <w:i/>
                      <w:iCs/>
                      <w:color w:val="333333"/>
                      <w:sz w:val="20"/>
                      <w:szCs w:val="20"/>
                    </w:rPr>
                    <w:t>typhimurium</w:t>
                  </w:r>
                  <w:proofErr w:type="spellEnd"/>
                  <w:r w:rsidRPr="008A06A1">
                    <w:rPr>
                      <w:rFonts w:eastAsia="Arial Unicode MS"/>
                      <w:color w:val="333333"/>
                      <w:sz w:val="20"/>
                      <w:szCs w:val="20"/>
                    </w:rPr>
                    <w:t> monofazică, numai </w:t>
                  </w:r>
                  <w:hyperlink r:id="rId10" w:tooltip="32011R1086R(04): REPLACED" w:history="1">
                    <w:r w:rsidRPr="008A06A1">
                      <w:rPr>
                        <w:rStyle w:val="boldface"/>
                        <w:rFonts w:eastAsia="Arial Unicode MS"/>
                        <w:b/>
                        <w:bCs/>
                        <w:color w:val="337AB7"/>
                        <w:sz w:val="20"/>
                        <w:szCs w:val="20"/>
                      </w:rPr>
                      <w:t>►C1</w:t>
                    </w:r>
                    <w:r w:rsidRPr="008A06A1">
                      <w:rPr>
                        <w:rStyle w:val="Hyperlink"/>
                        <w:rFonts w:eastAsia="Arial Unicode MS"/>
                        <w:color w:val="337AB7"/>
                        <w:sz w:val="20"/>
                        <w:szCs w:val="20"/>
                      </w:rPr>
                      <w:t> </w:t>
                    </w:r>
                  </w:hyperlink>
                  <w:r w:rsidRPr="008A06A1">
                    <w:rPr>
                      <w:rFonts w:eastAsia="Arial Unicode MS"/>
                      <w:color w:val="333333"/>
                      <w:sz w:val="20"/>
                      <w:szCs w:val="20"/>
                    </w:rPr>
                    <w:t> </w:t>
                  </w:r>
                  <w:r w:rsidRPr="008A06A1">
                    <w:rPr>
                      <w:rStyle w:val="underline"/>
                      <w:rFonts w:eastAsia="Arial Unicode MS"/>
                      <w:color w:val="333333"/>
                      <w:sz w:val="20"/>
                      <w:szCs w:val="20"/>
                      <w:u w:val="single"/>
                    </w:rPr>
                    <w:t>1</w:t>
                  </w:r>
                  <w:r w:rsidRPr="008A06A1">
                    <w:rPr>
                      <w:rFonts w:eastAsia="Arial Unicode MS"/>
                      <w:color w:val="333333"/>
                      <w:sz w:val="20"/>
                      <w:szCs w:val="20"/>
                    </w:rPr>
                    <w:t>,4,[5],12:i:-</w:t>
                  </w:r>
                  <w:r w:rsidRPr="008A06A1">
                    <w:rPr>
                      <w:rStyle w:val="boldface"/>
                      <w:rFonts w:eastAsia="Arial Unicode MS"/>
                      <w:b/>
                      <w:bCs/>
                      <w:color w:val="333333"/>
                      <w:sz w:val="20"/>
                      <w:szCs w:val="20"/>
                    </w:rPr>
                    <w:t> ◄ </w:t>
                  </w:r>
                  <w:r w:rsidRPr="008A06A1">
                    <w:rPr>
                      <w:rFonts w:eastAsia="Arial Unicode MS"/>
                      <w:color w:val="333333"/>
                      <w:sz w:val="20"/>
                      <w:szCs w:val="20"/>
                    </w:rPr>
                    <w:t>este inclusă.”</w:t>
                  </w:r>
                </w:p>
              </w:tc>
            </w:tr>
          </w:tbl>
          <w:p w14:paraId="01567A86" w14:textId="77777777" w:rsidR="008A06A1" w:rsidRPr="008A06A1" w:rsidRDefault="008A06A1" w:rsidP="008A06A1">
            <w:pPr>
              <w:rPr>
                <w:iCs/>
              </w:rPr>
            </w:pPr>
          </w:p>
          <w:p w14:paraId="4BBD27DD" w14:textId="77777777" w:rsidR="008A06A1" w:rsidRPr="008A06A1" w:rsidRDefault="008A06A1" w:rsidP="008A06A1">
            <w:pPr>
              <w:rPr>
                <w:iCs/>
                <w:lang w:val="ro-RO"/>
              </w:rPr>
            </w:pPr>
            <w:r w:rsidRPr="008A06A1">
              <w:rPr>
                <w:iCs/>
                <w:lang w:val="ro-RO"/>
              </w:rPr>
              <w:t>2. La capitolul 2, rândul 2.1.5 se înlocuiește cu următorul text și se adaugă nota de subsol corespunzătoare 10:</w:t>
            </w:r>
          </w:p>
          <w:p w14:paraId="3FE81397" w14:textId="77777777" w:rsidR="008A06A1" w:rsidRDefault="008A06A1" w:rsidP="008A06A1">
            <w:pPr>
              <w:rPr>
                <w:iCs/>
                <w:lang w:val="ro-RO"/>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576"/>
              <w:gridCol w:w="1809"/>
              <w:gridCol w:w="302"/>
              <w:gridCol w:w="1041"/>
              <w:gridCol w:w="987"/>
              <w:gridCol w:w="943"/>
              <w:gridCol w:w="1073"/>
              <w:gridCol w:w="1659"/>
            </w:tblGrid>
            <w:tr w:rsidR="008A06A1" w:rsidRPr="008A06A1" w14:paraId="4322C68A" w14:textId="77777777" w:rsidTr="008A06A1">
              <w:tc>
                <w:tcPr>
                  <w:tcW w:w="1576" w:type="dxa"/>
                  <w:tcBorders>
                    <w:top w:val="outset" w:sz="6" w:space="0" w:color="auto"/>
                    <w:left w:val="outset" w:sz="6" w:space="0" w:color="auto"/>
                    <w:bottom w:val="outset" w:sz="6" w:space="0" w:color="auto"/>
                    <w:right w:val="outset" w:sz="6" w:space="0" w:color="auto"/>
                  </w:tcBorders>
                  <w:shd w:val="clear" w:color="auto" w:fill="FFFFFF"/>
                  <w:hideMark/>
                </w:tcPr>
                <w:p w14:paraId="31812927"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„2.1.5.  Carcase de pui de carne și de curcani</w:t>
                  </w:r>
                </w:p>
              </w:tc>
              <w:tc>
                <w:tcPr>
                  <w:tcW w:w="1809" w:type="dxa"/>
                  <w:tcBorders>
                    <w:top w:val="outset" w:sz="6" w:space="0" w:color="auto"/>
                    <w:left w:val="outset" w:sz="6" w:space="0" w:color="auto"/>
                    <w:bottom w:val="outset" w:sz="6" w:space="0" w:color="auto"/>
                    <w:right w:val="outset" w:sz="6" w:space="0" w:color="auto"/>
                  </w:tcBorders>
                  <w:shd w:val="clear" w:color="auto" w:fill="FFFFFF"/>
                  <w:hideMark/>
                </w:tcPr>
                <w:p w14:paraId="43148FBD"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Style w:val="italics"/>
                      <w:rFonts w:eastAsia="Arial Unicode MS"/>
                      <w:i/>
                      <w:iCs/>
                      <w:color w:val="333333"/>
                      <w:sz w:val="20"/>
                      <w:szCs w:val="20"/>
                    </w:rPr>
                    <w:t>Salmonella</w:t>
                  </w:r>
                  <w:r w:rsidRPr="008A06A1">
                    <w:rPr>
                      <w:rFonts w:eastAsia="Arial Unicode MS"/>
                      <w:color w:val="333333"/>
                      <w:sz w:val="20"/>
                      <w:szCs w:val="20"/>
                    </w:rPr>
                    <w:t> </w:t>
                  </w:r>
                  <w:proofErr w:type="spellStart"/>
                  <w:r w:rsidRPr="008A06A1">
                    <w:rPr>
                      <w:rFonts w:eastAsia="Arial Unicode MS"/>
                      <w:color w:val="333333"/>
                      <w:sz w:val="20"/>
                      <w:szCs w:val="20"/>
                    </w:rPr>
                    <w:t>spp</w:t>
                  </w:r>
                  <w:proofErr w:type="spellEnd"/>
                  <w:r w:rsidRPr="008A06A1">
                    <w:rPr>
                      <w:rFonts w:eastAsia="Arial Unicode MS"/>
                      <w:color w:val="333333"/>
                      <w:sz w:val="20"/>
                      <w:szCs w:val="20"/>
                    </w:rPr>
                    <w:t>. </w:t>
                  </w:r>
                  <w:hyperlink r:id="rId11" w:anchor="E0015" w:history="1">
                    <w:r w:rsidRPr="008A06A1">
                      <w:rPr>
                        <w:rStyle w:val="Hyperlink"/>
                        <w:rFonts w:eastAsia="Arial Unicode MS"/>
                        <w:color w:val="337AB7"/>
                        <w:sz w:val="20"/>
                        <w:szCs w:val="20"/>
                      </w:rPr>
                      <w:t>(</w:t>
                    </w:r>
                    <w:r w:rsidRPr="008A06A1">
                      <w:rPr>
                        <w:rStyle w:val="superscript"/>
                        <w:rFonts w:eastAsia="Arial Unicode MS"/>
                        <w:color w:val="337AB7"/>
                        <w:sz w:val="20"/>
                        <w:szCs w:val="20"/>
                        <w:vertAlign w:val="superscript"/>
                      </w:rPr>
                      <w:t>1</w:t>
                    </w:r>
                    <w:r w:rsidRPr="008A06A1">
                      <w:rPr>
                        <w:rStyle w:val="Hyperlink"/>
                        <w:rFonts w:eastAsia="Arial Unicode MS"/>
                        <w:color w:val="337AB7"/>
                        <w:sz w:val="20"/>
                        <w:szCs w:val="20"/>
                      </w:rPr>
                      <w:t>)</w:t>
                    </w:r>
                  </w:hyperlink>
                </w:p>
              </w:tc>
              <w:tc>
                <w:tcPr>
                  <w:tcW w:w="302" w:type="dxa"/>
                  <w:tcBorders>
                    <w:top w:val="outset" w:sz="6" w:space="0" w:color="auto"/>
                    <w:left w:val="outset" w:sz="6" w:space="0" w:color="auto"/>
                    <w:bottom w:val="outset" w:sz="6" w:space="0" w:color="auto"/>
                    <w:right w:val="outset" w:sz="6" w:space="0" w:color="auto"/>
                  </w:tcBorders>
                  <w:shd w:val="clear" w:color="auto" w:fill="FFFFFF"/>
                  <w:hideMark/>
                </w:tcPr>
                <w:p w14:paraId="06DB25F2"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50 (</w:t>
                  </w:r>
                  <w:r w:rsidRPr="008A06A1">
                    <w:rPr>
                      <w:rStyle w:val="superscript"/>
                      <w:rFonts w:eastAsia="Arial Unicode MS"/>
                      <w:color w:val="333333"/>
                      <w:sz w:val="20"/>
                      <w:szCs w:val="20"/>
                      <w:vertAlign w:val="superscript"/>
                    </w:rPr>
                    <w:t>5</w:t>
                  </w:r>
                  <w:r w:rsidRPr="008A06A1">
                    <w:rPr>
                      <w:rFonts w:eastAsia="Arial Unicode MS"/>
                      <w:color w:val="333333"/>
                      <w:sz w:val="20"/>
                      <w:szCs w:val="20"/>
                    </w:rPr>
                    <w:t>)</w:t>
                  </w:r>
                </w:p>
              </w:tc>
              <w:tc>
                <w:tcPr>
                  <w:tcW w:w="1041" w:type="dxa"/>
                  <w:tcBorders>
                    <w:top w:val="outset" w:sz="6" w:space="0" w:color="auto"/>
                    <w:left w:val="outset" w:sz="6" w:space="0" w:color="auto"/>
                    <w:bottom w:val="outset" w:sz="6" w:space="0" w:color="auto"/>
                    <w:right w:val="outset" w:sz="6" w:space="0" w:color="auto"/>
                  </w:tcBorders>
                  <w:shd w:val="clear" w:color="auto" w:fill="FFFFFF"/>
                  <w:hideMark/>
                </w:tcPr>
                <w:p w14:paraId="204B780D"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7 (</w:t>
                  </w:r>
                  <w:r w:rsidRPr="008A06A1">
                    <w:rPr>
                      <w:rStyle w:val="superscript"/>
                      <w:rFonts w:eastAsia="Arial Unicode MS"/>
                      <w:color w:val="333333"/>
                      <w:sz w:val="20"/>
                      <w:szCs w:val="20"/>
                      <w:vertAlign w:val="superscript"/>
                    </w:rPr>
                    <w:t>6</w:t>
                  </w:r>
                  <w:r w:rsidRPr="008A06A1">
                    <w:rPr>
                      <w:rFonts w:eastAsia="Arial Unicode MS"/>
                      <w:color w:val="333333"/>
                      <w:sz w:val="20"/>
                      <w:szCs w:val="20"/>
                    </w:rPr>
                    <w:t>)</w:t>
                  </w:r>
                </w:p>
                <w:p w14:paraId="0A495AF9"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Începând cu 1.1.2012 c = 5 pentru puii de carne</w:t>
                  </w:r>
                </w:p>
                <w:p w14:paraId="3B33CA8A"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Începând cu 1.1.2013 c = 5 pentru curcani</w:t>
                  </w:r>
                </w:p>
              </w:tc>
              <w:tc>
                <w:tcPr>
                  <w:tcW w:w="987" w:type="dxa"/>
                  <w:tcBorders>
                    <w:top w:val="outset" w:sz="6" w:space="0" w:color="auto"/>
                    <w:left w:val="outset" w:sz="6" w:space="0" w:color="auto"/>
                    <w:bottom w:val="outset" w:sz="6" w:space="0" w:color="auto"/>
                    <w:right w:val="outset" w:sz="6" w:space="0" w:color="auto"/>
                  </w:tcBorders>
                  <w:shd w:val="clear" w:color="auto" w:fill="FFFFFF"/>
                  <w:hideMark/>
                </w:tcPr>
                <w:p w14:paraId="4CEDDFEE"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Absența în 25 g dintr-o probă grupată de piele de pe gât</w:t>
                  </w:r>
                </w:p>
              </w:tc>
              <w:tc>
                <w:tcPr>
                  <w:tcW w:w="943" w:type="dxa"/>
                  <w:tcBorders>
                    <w:top w:val="outset" w:sz="6" w:space="0" w:color="auto"/>
                    <w:left w:val="outset" w:sz="6" w:space="0" w:color="auto"/>
                    <w:bottom w:val="outset" w:sz="6" w:space="0" w:color="auto"/>
                    <w:right w:val="outset" w:sz="6" w:space="0" w:color="auto"/>
                  </w:tcBorders>
                  <w:shd w:val="clear" w:color="auto" w:fill="FFFFFF"/>
                  <w:hideMark/>
                </w:tcPr>
                <w:p w14:paraId="5CB49875"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EN/ISO 6579 (pentru detecție)</w:t>
                  </w:r>
                </w:p>
              </w:tc>
              <w:tc>
                <w:tcPr>
                  <w:tcW w:w="1073" w:type="dxa"/>
                  <w:tcBorders>
                    <w:top w:val="outset" w:sz="6" w:space="0" w:color="auto"/>
                    <w:left w:val="outset" w:sz="6" w:space="0" w:color="auto"/>
                    <w:bottom w:val="outset" w:sz="6" w:space="0" w:color="auto"/>
                    <w:right w:val="outset" w:sz="6" w:space="0" w:color="auto"/>
                  </w:tcBorders>
                  <w:shd w:val="clear" w:color="auto" w:fill="FFFFFF"/>
                  <w:hideMark/>
                </w:tcPr>
                <w:p w14:paraId="1749A908"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Carcase după refrigerare</w:t>
                  </w:r>
                </w:p>
              </w:tc>
              <w:tc>
                <w:tcPr>
                  <w:tcW w:w="1659" w:type="dxa"/>
                  <w:tcBorders>
                    <w:top w:val="outset" w:sz="6" w:space="0" w:color="auto"/>
                    <w:left w:val="outset" w:sz="6" w:space="0" w:color="auto"/>
                    <w:bottom w:val="outset" w:sz="6" w:space="0" w:color="auto"/>
                    <w:right w:val="outset" w:sz="6" w:space="0" w:color="auto"/>
                  </w:tcBorders>
                  <w:shd w:val="clear" w:color="auto" w:fill="FFFFFF"/>
                  <w:hideMark/>
                </w:tcPr>
                <w:p w14:paraId="7FE65A4A"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t xml:space="preserve">Ameliorarea igienei la sacrificare și revizuirea controalelor de procedură, a originii animalelor și a măsurilor de </w:t>
                  </w:r>
                  <w:proofErr w:type="spellStart"/>
                  <w:r w:rsidRPr="008A06A1">
                    <w:rPr>
                      <w:rFonts w:eastAsia="Arial Unicode MS"/>
                      <w:color w:val="333333"/>
                      <w:sz w:val="20"/>
                      <w:szCs w:val="20"/>
                    </w:rPr>
                    <w:t>biosecuritate</w:t>
                  </w:r>
                  <w:proofErr w:type="spellEnd"/>
                  <w:r w:rsidRPr="008A06A1">
                    <w:rPr>
                      <w:rFonts w:eastAsia="Arial Unicode MS"/>
                      <w:color w:val="333333"/>
                      <w:sz w:val="20"/>
                      <w:szCs w:val="20"/>
                    </w:rPr>
                    <w:t xml:space="preserve"> în exploatațiile de origine</w:t>
                  </w:r>
                </w:p>
              </w:tc>
            </w:tr>
            <w:tr w:rsidR="008A06A1" w:rsidRPr="008A06A1" w14:paraId="0AAC7CBD" w14:textId="77777777" w:rsidTr="008A06A1">
              <w:tc>
                <w:tcPr>
                  <w:tcW w:w="9390" w:type="dxa"/>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14:paraId="28276723" w14:textId="77777777" w:rsidR="008A06A1" w:rsidRPr="008A06A1" w:rsidRDefault="008A06A1" w:rsidP="008A06A1">
                  <w:pPr>
                    <w:pStyle w:val="tbl-norm"/>
                    <w:spacing w:before="60" w:beforeAutospacing="0" w:after="60" w:afterAutospacing="0" w:line="312" w:lineRule="atLeast"/>
                    <w:jc w:val="both"/>
                    <w:rPr>
                      <w:rFonts w:eastAsia="Arial Unicode MS"/>
                      <w:color w:val="333333"/>
                      <w:sz w:val="20"/>
                      <w:szCs w:val="20"/>
                    </w:rPr>
                  </w:pPr>
                  <w:r w:rsidRPr="008A06A1">
                    <w:rPr>
                      <w:rFonts w:eastAsia="Arial Unicode MS"/>
                      <w:color w:val="333333"/>
                      <w:sz w:val="20"/>
                      <w:szCs w:val="20"/>
                    </w:rPr>
                    <w:lastRenderedPageBreak/>
                    <w:t>(</w:t>
                  </w:r>
                  <w:r w:rsidRPr="008A06A1">
                    <w:rPr>
                      <w:rStyle w:val="superscript"/>
                      <w:rFonts w:eastAsia="Arial Unicode MS"/>
                      <w:color w:val="333333"/>
                      <w:sz w:val="20"/>
                      <w:szCs w:val="20"/>
                      <w:vertAlign w:val="superscript"/>
                    </w:rPr>
                    <w:t>1</w:t>
                  </w:r>
                  <w:r w:rsidRPr="008A06A1">
                    <w:rPr>
                      <w:rFonts w:eastAsia="Arial Unicode MS"/>
                      <w:color w:val="333333"/>
                      <w:sz w:val="20"/>
                      <w:szCs w:val="20"/>
                    </w:rPr>
                    <w:t>)   Unde se descoperă </w:t>
                  </w:r>
                  <w:r w:rsidRPr="008A06A1">
                    <w:rPr>
                      <w:rStyle w:val="italics"/>
                      <w:rFonts w:eastAsia="Arial Unicode MS"/>
                      <w:i/>
                      <w:iCs/>
                      <w:color w:val="333333"/>
                      <w:sz w:val="20"/>
                      <w:szCs w:val="20"/>
                    </w:rPr>
                    <w:t>Salmonella</w:t>
                  </w:r>
                  <w:r w:rsidRPr="008A06A1">
                    <w:rPr>
                      <w:rFonts w:eastAsia="Arial Unicode MS"/>
                      <w:color w:val="333333"/>
                      <w:sz w:val="20"/>
                      <w:szCs w:val="20"/>
                    </w:rPr>
                    <w:t> </w:t>
                  </w:r>
                  <w:proofErr w:type="spellStart"/>
                  <w:r w:rsidRPr="008A06A1">
                    <w:rPr>
                      <w:rFonts w:eastAsia="Arial Unicode MS"/>
                      <w:color w:val="333333"/>
                      <w:sz w:val="20"/>
                      <w:szCs w:val="20"/>
                    </w:rPr>
                    <w:t>spp</w:t>
                  </w:r>
                  <w:proofErr w:type="spellEnd"/>
                  <w:r w:rsidRPr="008A06A1">
                    <w:rPr>
                      <w:rFonts w:eastAsia="Arial Unicode MS"/>
                      <w:color w:val="333333"/>
                      <w:sz w:val="20"/>
                      <w:szCs w:val="20"/>
                    </w:rPr>
                    <w:t xml:space="preserve">., izolatele sunt </w:t>
                  </w:r>
                  <w:proofErr w:type="spellStart"/>
                  <w:r w:rsidRPr="008A06A1">
                    <w:rPr>
                      <w:rFonts w:eastAsia="Arial Unicode MS"/>
                      <w:color w:val="333333"/>
                      <w:sz w:val="20"/>
                      <w:szCs w:val="20"/>
                    </w:rPr>
                    <w:t>serotipizate</w:t>
                  </w:r>
                  <w:proofErr w:type="spellEnd"/>
                  <w:r w:rsidRPr="008A06A1">
                    <w:rPr>
                      <w:rFonts w:eastAsia="Arial Unicode MS"/>
                      <w:color w:val="333333"/>
                      <w:sz w:val="20"/>
                      <w:szCs w:val="20"/>
                    </w:rPr>
                    <w:t xml:space="preserve"> în continuare pentru detectarea eventuală a </w:t>
                  </w:r>
                  <w:r w:rsidRPr="008A06A1">
                    <w:rPr>
                      <w:rStyle w:val="italics"/>
                      <w:rFonts w:eastAsia="Arial Unicode MS"/>
                      <w:i/>
                      <w:iCs/>
                      <w:color w:val="333333"/>
                      <w:sz w:val="20"/>
                      <w:szCs w:val="20"/>
                    </w:rPr>
                    <w:t xml:space="preserve">Salmonella </w:t>
                  </w:r>
                  <w:proofErr w:type="spellStart"/>
                  <w:r w:rsidRPr="008A06A1">
                    <w:rPr>
                      <w:rStyle w:val="italics"/>
                      <w:rFonts w:eastAsia="Arial Unicode MS"/>
                      <w:i/>
                      <w:iCs/>
                      <w:color w:val="333333"/>
                      <w:sz w:val="20"/>
                      <w:szCs w:val="20"/>
                    </w:rPr>
                    <w:t>typhimurium</w:t>
                  </w:r>
                  <w:proofErr w:type="spellEnd"/>
                  <w:r w:rsidRPr="008A06A1">
                    <w:rPr>
                      <w:rFonts w:eastAsia="Arial Unicode MS"/>
                      <w:color w:val="333333"/>
                      <w:sz w:val="20"/>
                      <w:szCs w:val="20"/>
                    </w:rPr>
                    <w:t> și a </w:t>
                  </w:r>
                  <w:r w:rsidRPr="008A06A1">
                    <w:rPr>
                      <w:rStyle w:val="italics"/>
                      <w:rFonts w:eastAsia="Arial Unicode MS"/>
                      <w:i/>
                      <w:iCs/>
                      <w:color w:val="333333"/>
                      <w:sz w:val="20"/>
                      <w:szCs w:val="20"/>
                    </w:rPr>
                    <w:t xml:space="preserve">Salmonella </w:t>
                  </w:r>
                  <w:proofErr w:type="spellStart"/>
                  <w:r w:rsidRPr="008A06A1">
                    <w:rPr>
                      <w:rStyle w:val="italics"/>
                      <w:rFonts w:eastAsia="Arial Unicode MS"/>
                      <w:i/>
                      <w:iCs/>
                      <w:color w:val="333333"/>
                      <w:sz w:val="20"/>
                      <w:szCs w:val="20"/>
                    </w:rPr>
                    <w:t>enteritidis</w:t>
                  </w:r>
                  <w:proofErr w:type="spellEnd"/>
                  <w:r w:rsidRPr="008A06A1">
                    <w:rPr>
                      <w:rFonts w:eastAsia="Arial Unicode MS"/>
                      <w:color w:val="333333"/>
                      <w:sz w:val="20"/>
                      <w:szCs w:val="20"/>
                    </w:rPr>
                    <w:t>, în vederea verificării respectării criteriului microbiologic precizat la rândul 1.28 din capitolul 1.”</w:t>
                  </w:r>
                </w:p>
              </w:tc>
            </w:tr>
          </w:tbl>
          <w:p w14:paraId="6C44F13F" w14:textId="77777777" w:rsidR="008A06A1" w:rsidRPr="008A06A1" w:rsidRDefault="008A06A1" w:rsidP="008A06A1">
            <w:pPr>
              <w:rPr>
                <w:iCs/>
              </w:rPr>
            </w:pPr>
          </w:p>
          <w:p w14:paraId="0DE0B6DD" w14:textId="77777777" w:rsidR="008A06A1" w:rsidRPr="008A06A1" w:rsidRDefault="008A06A1" w:rsidP="008A06A1">
            <w:pPr>
              <w:rPr>
                <w:iCs/>
                <w:lang w:val="ro-RO"/>
              </w:rPr>
            </w:pPr>
            <w:r w:rsidRPr="008A06A1">
              <w:rPr>
                <w:iCs/>
                <w:lang w:val="ro-RO"/>
              </w:rPr>
              <w:t>3. La capitolul 3, secțiunea 3.2 se înlocuiește cu următorul text:</w:t>
            </w:r>
          </w:p>
          <w:p w14:paraId="00D3E5E0" w14:textId="77777777" w:rsidR="008A06A1" w:rsidRPr="008A06A1" w:rsidRDefault="008A06A1" w:rsidP="008A06A1">
            <w:pPr>
              <w:rPr>
                <w:iCs/>
                <w:lang w:val="ro-RO"/>
              </w:rPr>
            </w:pPr>
          </w:p>
          <w:p w14:paraId="5C268596" w14:textId="77777777" w:rsidR="008A06A1" w:rsidRPr="008A06A1" w:rsidRDefault="008A06A1" w:rsidP="008A06A1">
            <w:pPr>
              <w:rPr>
                <w:iCs/>
                <w:lang w:val="ro-RO"/>
              </w:rPr>
            </w:pPr>
            <w:r w:rsidRPr="008A06A1">
              <w:rPr>
                <w:iCs/>
                <w:lang w:val="ro-RO"/>
              </w:rPr>
              <w:t>„3.2.    Prelevarea de probe bacteriologice în abatoarele și unitățile de producție a cărnii tocate și a preparatelor din carne, a cărnii separate mecanic și a cărnii proaspete</w:t>
            </w:r>
          </w:p>
          <w:p w14:paraId="4CDFA2B6" w14:textId="77777777" w:rsidR="008A06A1" w:rsidRPr="008A06A1" w:rsidRDefault="008A06A1" w:rsidP="008A06A1">
            <w:pPr>
              <w:rPr>
                <w:iCs/>
                <w:lang w:val="ro-RO"/>
              </w:rPr>
            </w:pPr>
          </w:p>
          <w:p w14:paraId="3A71EF8B" w14:textId="77777777" w:rsidR="008A06A1" w:rsidRPr="008A06A1" w:rsidRDefault="008A06A1" w:rsidP="008A06A1">
            <w:pPr>
              <w:rPr>
                <w:iCs/>
                <w:lang w:val="ro-RO"/>
              </w:rPr>
            </w:pPr>
            <w:r w:rsidRPr="008A06A1">
              <w:rPr>
                <w:iCs/>
                <w:lang w:val="ro-RO"/>
              </w:rPr>
              <w:t>Norme de prelevare a probelor pentru carcasele de bovine, porcine, ovine, caprine și cabaline</w:t>
            </w:r>
          </w:p>
          <w:p w14:paraId="3FFF6FA7" w14:textId="77777777" w:rsidR="008A06A1" w:rsidRPr="008A06A1" w:rsidRDefault="008A06A1" w:rsidP="008A06A1">
            <w:pPr>
              <w:rPr>
                <w:iCs/>
                <w:lang w:val="ro-RO"/>
              </w:rPr>
            </w:pPr>
          </w:p>
          <w:p w14:paraId="456B306F" w14:textId="77777777" w:rsidR="008A06A1" w:rsidRPr="008A06A1" w:rsidRDefault="008A06A1" w:rsidP="008A06A1">
            <w:pPr>
              <w:rPr>
                <w:iCs/>
                <w:lang w:val="ro-RO"/>
              </w:rPr>
            </w:pPr>
            <w:r w:rsidRPr="008A06A1">
              <w:rPr>
                <w:iCs/>
                <w:lang w:val="ro-RO"/>
              </w:rPr>
              <w:t>Metodele destructive și nedestructive de prelevare de probe, selectarea zonelor pentru prelevarea de probe și normele pentru depozitarea și transportul probelor care urmează a fi utilizate sunt descrise în standardul ISO 17604.</w:t>
            </w:r>
          </w:p>
          <w:p w14:paraId="3C2DF934" w14:textId="77777777" w:rsidR="008A06A1" w:rsidRPr="008A06A1" w:rsidRDefault="008A06A1" w:rsidP="008A06A1">
            <w:pPr>
              <w:rPr>
                <w:iCs/>
                <w:lang w:val="ro-RO"/>
              </w:rPr>
            </w:pPr>
          </w:p>
          <w:p w14:paraId="4ABE026D" w14:textId="77777777" w:rsidR="008A06A1" w:rsidRPr="008A06A1" w:rsidRDefault="008A06A1" w:rsidP="008A06A1">
            <w:pPr>
              <w:rPr>
                <w:iCs/>
                <w:lang w:val="ro-RO"/>
              </w:rPr>
            </w:pPr>
            <w:r w:rsidRPr="008A06A1">
              <w:rPr>
                <w:iCs/>
                <w:lang w:val="ro-RO"/>
              </w:rPr>
              <w:t xml:space="preserve">La fiecare sesiune de prelevare de probe, acestea se </w:t>
            </w:r>
            <w:proofErr w:type="spellStart"/>
            <w:r w:rsidRPr="008A06A1">
              <w:rPr>
                <w:iCs/>
                <w:lang w:val="ro-RO"/>
              </w:rPr>
              <w:t>prelevează</w:t>
            </w:r>
            <w:proofErr w:type="spellEnd"/>
            <w:r w:rsidRPr="008A06A1">
              <w:rPr>
                <w:iCs/>
                <w:lang w:val="ro-RO"/>
              </w:rPr>
              <w:t xml:space="preserve"> aleatoriu din cinci carcase. Zonele pentru prelevarea de probe se selectează ținându-se seama de tehnologia de sacrificare utilizată în fiecare unitate.</w:t>
            </w:r>
          </w:p>
          <w:p w14:paraId="766FF4D3" w14:textId="77777777" w:rsidR="008A06A1" w:rsidRPr="008A06A1" w:rsidRDefault="008A06A1" w:rsidP="008A06A1">
            <w:pPr>
              <w:rPr>
                <w:iCs/>
                <w:lang w:val="ro-RO"/>
              </w:rPr>
            </w:pPr>
          </w:p>
          <w:p w14:paraId="40102BB4" w14:textId="77777777" w:rsidR="008A06A1" w:rsidRPr="008A06A1" w:rsidRDefault="008A06A1" w:rsidP="008A06A1">
            <w:pPr>
              <w:rPr>
                <w:iCs/>
                <w:lang w:val="ro-RO"/>
              </w:rPr>
            </w:pPr>
            <w:r w:rsidRPr="008A06A1">
              <w:rPr>
                <w:iCs/>
                <w:lang w:val="ro-RO"/>
              </w:rPr>
              <w:t xml:space="preserve">Prelevarea de probe pentru analizele referitoare la enterobacterii și numărul de colonii aerobe se efectuează din patru zone ale fiecărei carcase. Patru probe de țesut reprezentând o suprafață totală de 20 cm2 se </w:t>
            </w:r>
            <w:proofErr w:type="spellStart"/>
            <w:r w:rsidRPr="008A06A1">
              <w:rPr>
                <w:iCs/>
                <w:lang w:val="ro-RO"/>
              </w:rPr>
              <w:t>prelevează</w:t>
            </w:r>
            <w:proofErr w:type="spellEnd"/>
            <w:r w:rsidRPr="008A06A1">
              <w:rPr>
                <w:iCs/>
                <w:lang w:val="ro-RO"/>
              </w:rPr>
              <w:t xml:space="preserve"> prin metoda destructivă. În cazul în care se folosește metoda nedestructivă în acest scop, suprafața de prelevare este de minimum 100 cm2 (50 cm2 pentru carcasele de rumegătoare mici) pentru fiecare zonă de prelevare.</w:t>
            </w:r>
          </w:p>
          <w:p w14:paraId="47696558" w14:textId="77777777" w:rsidR="008A06A1" w:rsidRPr="008A06A1" w:rsidRDefault="008A06A1" w:rsidP="008A06A1">
            <w:pPr>
              <w:rPr>
                <w:iCs/>
                <w:lang w:val="ro-RO"/>
              </w:rPr>
            </w:pPr>
          </w:p>
          <w:p w14:paraId="3161A95A" w14:textId="77777777" w:rsidR="008A06A1" w:rsidRPr="008A06A1" w:rsidRDefault="008A06A1" w:rsidP="008A06A1">
            <w:pPr>
              <w:rPr>
                <w:iCs/>
                <w:lang w:val="ro-RO"/>
              </w:rPr>
            </w:pPr>
            <w:r w:rsidRPr="008A06A1">
              <w:rPr>
                <w:iCs/>
                <w:lang w:val="ro-RO"/>
              </w:rPr>
              <w:t>Prelevarea de probe pentru analizele referitoare la salmonelă se efectuează cu ajutorul metodei buretelui abraziv. Trebuie selectate suprafețe a căror contaminare este cea mai probabilă. Suprafața totală de prelevare este de minimum 400 cm2.</w:t>
            </w:r>
          </w:p>
          <w:p w14:paraId="0AAAA702" w14:textId="77777777" w:rsidR="008A06A1" w:rsidRPr="008A06A1" w:rsidRDefault="008A06A1" w:rsidP="008A06A1">
            <w:pPr>
              <w:rPr>
                <w:iCs/>
                <w:lang w:val="ro-RO"/>
              </w:rPr>
            </w:pPr>
          </w:p>
          <w:p w14:paraId="4FD5ABE0" w14:textId="77777777" w:rsidR="008A06A1" w:rsidRPr="008A06A1" w:rsidRDefault="008A06A1" w:rsidP="008A06A1">
            <w:pPr>
              <w:rPr>
                <w:iCs/>
                <w:lang w:val="ro-RO"/>
              </w:rPr>
            </w:pPr>
            <w:r w:rsidRPr="008A06A1">
              <w:rPr>
                <w:iCs/>
                <w:lang w:val="ro-RO"/>
              </w:rPr>
              <w:t>În cazul în care probele sunt prelevate din diferite zone de prelevare ale carcasei, acestea sunt grupate înaintea examinării.</w:t>
            </w:r>
          </w:p>
          <w:p w14:paraId="532F9A66" w14:textId="77777777" w:rsidR="008A06A1" w:rsidRPr="008A06A1" w:rsidRDefault="008A06A1" w:rsidP="008A06A1">
            <w:pPr>
              <w:rPr>
                <w:iCs/>
                <w:lang w:val="ro-RO"/>
              </w:rPr>
            </w:pPr>
          </w:p>
          <w:p w14:paraId="644315B7" w14:textId="77777777" w:rsidR="008A06A1" w:rsidRPr="008A06A1" w:rsidRDefault="008A06A1" w:rsidP="008A06A1">
            <w:pPr>
              <w:rPr>
                <w:iCs/>
                <w:lang w:val="ro-RO"/>
              </w:rPr>
            </w:pPr>
            <w:r w:rsidRPr="008A06A1">
              <w:rPr>
                <w:iCs/>
                <w:lang w:val="ro-RO"/>
              </w:rPr>
              <w:lastRenderedPageBreak/>
              <w:t>Reguli de prelevare pentru carcasele de pasăre și pentru carnea proaspătă de pasăre</w:t>
            </w:r>
          </w:p>
          <w:p w14:paraId="7CA50570" w14:textId="77777777" w:rsidR="008A06A1" w:rsidRPr="008A06A1" w:rsidRDefault="008A06A1" w:rsidP="008A06A1">
            <w:pPr>
              <w:rPr>
                <w:iCs/>
                <w:lang w:val="ro-RO"/>
              </w:rPr>
            </w:pPr>
          </w:p>
          <w:p w14:paraId="61CE9278" w14:textId="77777777" w:rsidR="008A06A1" w:rsidRPr="008A06A1" w:rsidRDefault="008A06A1" w:rsidP="008A06A1">
            <w:pPr>
              <w:rPr>
                <w:iCs/>
                <w:lang w:val="ro-RO"/>
              </w:rPr>
            </w:pPr>
            <w:r w:rsidRPr="008A06A1">
              <w:rPr>
                <w:iCs/>
                <w:lang w:val="ro-RO"/>
              </w:rPr>
              <w:t xml:space="preserve">Abatoarele trebuie să </w:t>
            </w:r>
            <w:proofErr w:type="spellStart"/>
            <w:r w:rsidRPr="008A06A1">
              <w:rPr>
                <w:iCs/>
                <w:lang w:val="ro-RO"/>
              </w:rPr>
              <w:t>preleveze</w:t>
            </w:r>
            <w:proofErr w:type="spellEnd"/>
            <w:r w:rsidRPr="008A06A1">
              <w:rPr>
                <w:iCs/>
                <w:lang w:val="ro-RO"/>
              </w:rPr>
              <w:t xml:space="preserve"> carcase întregi de pasăre cu piele de pe gât pentru analize de detectare a salmonelei. Alte unități care prelucrează carnea proaspătă de pasăre trebuie să </w:t>
            </w:r>
            <w:proofErr w:type="spellStart"/>
            <w:r w:rsidRPr="008A06A1">
              <w:rPr>
                <w:iCs/>
                <w:lang w:val="ro-RO"/>
              </w:rPr>
              <w:t>preleveze</w:t>
            </w:r>
            <w:proofErr w:type="spellEnd"/>
            <w:r w:rsidRPr="008A06A1">
              <w:rPr>
                <w:iCs/>
                <w:lang w:val="ro-RO"/>
              </w:rPr>
              <w:t xml:space="preserve"> cu prioritate carcase întregi de pasăre cu piele de pe gât pentru analiza de detectare a salmonelei, în limita posibilităților, dar trebuie să se asigure că sunt analizate și bucăți de pui cu piele și/sau bucăți de pui fără piele ori cu foarte puține porțiuni cu piele, iar această alegere trebuie făcută pe baza evaluării riscurilor.</w:t>
            </w:r>
          </w:p>
          <w:p w14:paraId="4CD5FE4E" w14:textId="77777777" w:rsidR="008A06A1" w:rsidRPr="008A06A1" w:rsidRDefault="008A06A1" w:rsidP="008A06A1">
            <w:pPr>
              <w:rPr>
                <w:iCs/>
                <w:lang w:val="ro-RO"/>
              </w:rPr>
            </w:pPr>
          </w:p>
          <w:p w14:paraId="4889C1B7" w14:textId="77777777" w:rsidR="008A06A1" w:rsidRPr="008A06A1" w:rsidRDefault="008A06A1" w:rsidP="008A06A1">
            <w:pPr>
              <w:rPr>
                <w:iCs/>
                <w:lang w:val="ro-RO"/>
              </w:rPr>
            </w:pPr>
            <w:r w:rsidRPr="008A06A1">
              <w:rPr>
                <w:iCs/>
                <w:lang w:val="ro-RO"/>
              </w:rPr>
              <w:t xml:space="preserve">Abatoarele trebuie să includă în planurile lor de prelevare carcase de pasăre provenite de la efective cu un statut necunoscut în privința salmonelei sau cu un statut pozitiv pentru Salmonella </w:t>
            </w:r>
            <w:proofErr w:type="spellStart"/>
            <w:r w:rsidRPr="008A06A1">
              <w:rPr>
                <w:iCs/>
                <w:lang w:val="ro-RO"/>
              </w:rPr>
              <w:t>enteritidis</w:t>
            </w:r>
            <w:proofErr w:type="spellEnd"/>
            <w:r w:rsidRPr="008A06A1">
              <w:rPr>
                <w:iCs/>
                <w:lang w:val="ro-RO"/>
              </w:rPr>
              <w:t xml:space="preserve"> sau Salmonella </w:t>
            </w:r>
            <w:proofErr w:type="spellStart"/>
            <w:r w:rsidRPr="008A06A1">
              <w:rPr>
                <w:iCs/>
                <w:lang w:val="ro-RO"/>
              </w:rPr>
              <w:t>typhimurium</w:t>
            </w:r>
            <w:proofErr w:type="spellEnd"/>
            <w:r w:rsidRPr="008A06A1">
              <w:rPr>
                <w:iCs/>
                <w:lang w:val="ro-RO"/>
              </w:rPr>
              <w:t>.</w:t>
            </w:r>
          </w:p>
          <w:p w14:paraId="67D958FA" w14:textId="77777777" w:rsidR="008A06A1" w:rsidRPr="008A06A1" w:rsidRDefault="008A06A1" w:rsidP="008A06A1">
            <w:pPr>
              <w:rPr>
                <w:iCs/>
                <w:lang w:val="ro-RO"/>
              </w:rPr>
            </w:pPr>
          </w:p>
          <w:p w14:paraId="18376450" w14:textId="77777777" w:rsidR="008A06A1" w:rsidRPr="008A06A1" w:rsidRDefault="008A06A1" w:rsidP="008A06A1">
            <w:pPr>
              <w:rPr>
                <w:iCs/>
                <w:lang w:val="ro-RO"/>
              </w:rPr>
            </w:pPr>
            <w:r w:rsidRPr="008A06A1">
              <w:rPr>
                <w:iCs/>
                <w:lang w:val="ro-RO"/>
              </w:rPr>
              <w:t xml:space="preserve">În cazul în care se efectuează teste pentru verificarea respectării criteriului de igienă a procedeelor precizat la rândul 2.1.5 din capitolul 2, în ceea ce privește salmonela din carcasele de pasăre în abatoare, trebuie prelevată în mod aleatoriu piele de pe gât de la cel puțin 15 carcase de pasăre după răcirea lor în cursul fiecărei sesiuni de prelevare. Se </w:t>
            </w:r>
            <w:proofErr w:type="spellStart"/>
            <w:r w:rsidRPr="008A06A1">
              <w:rPr>
                <w:iCs/>
                <w:lang w:val="ro-RO"/>
              </w:rPr>
              <w:t>prelevează</w:t>
            </w:r>
            <w:proofErr w:type="spellEnd"/>
            <w:r w:rsidRPr="008A06A1">
              <w:rPr>
                <w:iCs/>
                <w:lang w:val="ro-RO"/>
              </w:rPr>
              <w:t xml:space="preserve"> de la fiecare carcasă de pasăre o bucată de piele de pe gât de aproximativ 10 g. De fiecare dată, probele de piele de pe gât de la trei carcase de pasăre din același efectiv de origine se grupează înaintea examinării pentru a forma cinci probe finale de câte 25 g. Aceste probe se utilizează și pentru verificarea respectării criteriului de siguranță alimentară precizat la rândul 1.28 din capitolul 1.</w:t>
            </w:r>
          </w:p>
          <w:p w14:paraId="200FFD59" w14:textId="77777777" w:rsidR="008A06A1" w:rsidRPr="008A06A1" w:rsidRDefault="008A06A1" w:rsidP="008A06A1">
            <w:pPr>
              <w:rPr>
                <w:iCs/>
                <w:lang w:val="ro-RO"/>
              </w:rPr>
            </w:pPr>
          </w:p>
          <w:p w14:paraId="20770039" w14:textId="77777777" w:rsidR="008A06A1" w:rsidRPr="008A06A1" w:rsidRDefault="008A06A1" w:rsidP="008A06A1">
            <w:pPr>
              <w:rPr>
                <w:iCs/>
                <w:lang w:val="ro-RO"/>
              </w:rPr>
            </w:pPr>
            <w:r w:rsidRPr="008A06A1">
              <w:rPr>
                <w:iCs/>
                <w:lang w:val="ro-RO"/>
              </w:rPr>
              <w:t xml:space="preserve">În cazul analizelor referitoare la salmonelă efectuate pe carnea proaspătă de pasăre alta decât carcasele de pasăre, se </w:t>
            </w:r>
            <w:proofErr w:type="spellStart"/>
            <w:r w:rsidRPr="008A06A1">
              <w:rPr>
                <w:iCs/>
                <w:lang w:val="ro-RO"/>
              </w:rPr>
              <w:t>prelevează</w:t>
            </w:r>
            <w:proofErr w:type="spellEnd"/>
            <w:r w:rsidRPr="008A06A1">
              <w:rPr>
                <w:iCs/>
                <w:lang w:val="ro-RO"/>
              </w:rPr>
              <w:t xml:space="preserve"> cinci probe de cel puțin 25 g din același lot. Proba prelevată din bucăți de pui cu piele trebuie să conțină piele și o tranșă fină de mușchi superficial în cazul în care cantitatea de piele nu este suficientă pentru a forma o unitate prelevată. Proba prelevată din bucăți de pui fără piele sau cu o cantitate redusă de piele trebuie să conțină una sau mai multe tranșe fine de mușchi superficial în plus față de orice piele prezentă, pentru a obține o unitate prelevată suficientă. Tranșele de carne se </w:t>
            </w:r>
            <w:proofErr w:type="spellStart"/>
            <w:r w:rsidRPr="008A06A1">
              <w:rPr>
                <w:iCs/>
                <w:lang w:val="ro-RO"/>
              </w:rPr>
              <w:t>prelevează</w:t>
            </w:r>
            <w:proofErr w:type="spellEnd"/>
            <w:r w:rsidRPr="008A06A1">
              <w:rPr>
                <w:iCs/>
                <w:lang w:val="ro-RO"/>
              </w:rPr>
              <w:t xml:space="preserve"> astfel încât să se includă o suprafață cât mai mare a cărnii.</w:t>
            </w:r>
          </w:p>
          <w:p w14:paraId="105049BA" w14:textId="77777777" w:rsidR="008A06A1" w:rsidRPr="008A06A1" w:rsidRDefault="008A06A1" w:rsidP="008A06A1">
            <w:pPr>
              <w:rPr>
                <w:iCs/>
                <w:lang w:val="ro-RO"/>
              </w:rPr>
            </w:pPr>
          </w:p>
          <w:p w14:paraId="73290ED4" w14:textId="77777777" w:rsidR="008A06A1" w:rsidRPr="008A06A1" w:rsidRDefault="008A06A1" w:rsidP="008A06A1">
            <w:pPr>
              <w:rPr>
                <w:iCs/>
                <w:lang w:val="ro-RO"/>
              </w:rPr>
            </w:pPr>
            <w:r w:rsidRPr="008A06A1">
              <w:rPr>
                <w:iCs/>
                <w:lang w:val="ro-RO"/>
              </w:rPr>
              <w:t>Orientări pentru prelevarea de probe</w:t>
            </w:r>
          </w:p>
          <w:p w14:paraId="092AC5F1" w14:textId="77777777" w:rsidR="008A06A1" w:rsidRPr="008A06A1" w:rsidRDefault="008A06A1" w:rsidP="008A06A1">
            <w:pPr>
              <w:rPr>
                <w:iCs/>
                <w:lang w:val="ro-RO"/>
              </w:rPr>
            </w:pPr>
          </w:p>
          <w:p w14:paraId="48F869D2" w14:textId="77777777" w:rsidR="008A06A1" w:rsidRPr="008A06A1" w:rsidRDefault="008A06A1" w:rsidP="008A06A1">
            <w:pPr>
              <w:rPr>
                <w:iCs/>
                <w:lang w:val="ro-RO"/>
              </w:rPr>
            </w:pPr>
            <w:r w:rsidRPr="008A06A1">
              <w:rPr>
                <w:iCs/>
                <w:lang w:val="ro-RO"/>
              </w:rPr>
              <w:lastRenderedPageBreak/>
              <w:t>Orientări mai detaliate privind prelevarea de probe de la carcase, în special în ceea ce privește zonele de prelevare a probelor, pot fi incluse în ghidurile de bune practici menționate la articolul 7 din Regulamentul (CE) nr. 852/2004.</w:t>
            </w:r>
          </w:p>
          <w:p w14:paraId="7D006AC3" w14:textId="77777777" w:rsidR="008A06A1" w:rsidRPr="008A06A1" w:rsidRDefault="008A06A1" w:rsidP="008A06A1">
            <w:pPr>
              <w:rPr>
                <w:iCs/>
                <w:lang w:val="ro-RO"/>
              </w:rPr>
            </w:pPr>
          </w:p>
          <w:p w14:paraId="140CB400" w14:textId="77777777" w:rsidR="008A06A1" w:rsidRPr="008A06A1" w:rsidRDefault="008A06A1" w:rsidP="008A06A1">
            <w:pPr>
              <w:rPr>
                <w:iCs/>
                <w:lang w:val="ro-RO"/>
              </w:rPr>
            </w:pPr>
            <w:r w:rsidRPr="008A06A1">
              <w:rPr>
                <w:iCs/>
                <w:lang w:val="ro-RO"/>
              </w:rPr>
              <w:t>Frecvențele prelevării de probe pentru carcase, carne tocată, preparate din carne, carne separată mecanic și carne proaspătă de pasăre</w:t>
            </w:r>
          </w:p>
          <w:p w14:paraId="466232E6" w14:textId="77777777" w:rsidR="008A06A1" w:rsidRPr="008A06A1" w:rsidRDefault="008A06A1" w:rsidP="008A06A1">
            <w:pPr>
              <w:rPr>
                <w:iCs/>
                <w:lang w:val="ro-RO"/>
              </w:rPr>
            </w:pPr>
          </w:p>
          <w:p w14:paraId="404785A9" w14:textId="77777777" w:rsidR="008A06A1" w:rsidRPr="008A06A1" w:rsidRDefault="008A06A1" w:rsidP="008A06A1">
            <w:pPr>
              <w:rPr>
                <w:iCs/>
                <w:lang w:val="ro-RO"/>
              </w:rPr>
            </w:pPr>
            <w:r w:rsidRPr="008A06A1">
              <w:rPr>
                <w:iCs/>
                <w:lang w:val="ro-RO"/>
              </w:rPr>
              <w:t xml:space="preserve">Operatorii din sectorul alimentar al abatoarelor sau unităților care produc carne tocată, preparate din carne, carne separată mecanic sau carne proaspătă de pasăre </w:t>
            </w:r>
            <w:proofErr w:type="spellStart"/>
            <w:r w:rsidRPr="008A06A1">
              <w:rPr>
                <w:iCs/>
                <w:lang w:val="ro-RO"/>
              </w:rPr>
              <w:t>prelevează</w:t>
            </w:r>
            <w:proofErr w:type="spellEnd"/>
            <w:r w:rsidRPr="008A06A1">
              <w:rPr>
                <w:iCs/>
                <w:lang w:val="ro-RO"/>
              </w:rPr>
              <w:t xml:space="preserve"> probe pentru analizele microbiologice cel puțin o dată pe săptămână. Ziua prelevării de probe se modifică în fiecare săptămână, astfel încât să se </w:t>
            </w:r>
            <w:proofErr w:type="spellStart"/>
            <w:r w:rsidRPr="008A06A1">
              <w:rPr>
                <w:iCs/>
                <w:lang w:val="ro-RO"/>
              </w:rPr>
              <w:t>preleveze</w:t>
            </w:r>
            <w:proofErr w:type="spellEnd"/>
            <w:r w:rsidRPr="008A06A1">
              <w:rPr>
                <w:iCs/>
                <w:lang w:val="ro-RO"/>
              </w:rPr>
              <w:t xml:space="preserve"> probe în fiecare zi a săptămânii.</w:t>
            </w:r>
          </w:p>
          <w:p w14:paraId="12DF71A6" w14:textId="77777777" w:rsidR="008A06A1" w:rsidRPr="008A06A1" w:rsidRDefault="008A06A1" w:rsidP="008A06A1">
            <w:pPr>
              <w:rPr>
                <w:iCs/>
                <w:lang w:val="ro-RO"/>
              </w:rPr>
            </w:pPr>
          </w:p>
          <w:p w14:paraId="2117AB33" w14:textId="77777777" w:rsidR="008A06A1" w:rsidRPr="008A06A1" w:rsidRDefault="008A06A1" w:rsidP="008A06A1">
            <w:pPr>
              <w:rPr>
                <w:iCs/>
                <w:lang w:val="ro-RO"/>
              </w:rPr>
            </w:pPr>
            <w:r w:rsidRPr="008A06A1">
              <w:rPr>
                <w:iCs/>
                <w:lang w:val="ro-RO"/>
              </w:rPr>
              <w:t>În cazul prelevării de probe din carne tocată și preparate din carne pentru analizele referitoare la E. coli și la numărul de colonii aerobe și al prelevării de probe din carcase pentru analizele referitoare la enterobacterii și la numărul de colonii aerobe, frecvența poate fi redusă la o dată la două săptămâni, în cazul în care se obțin rezultate satisfăcătoare timp de șase săptămâni consecutive.</w:t>
            </w:r>
          </w:p>
          <w:p w14:paraId="240F785B" w14:textId="77777777" w:rsidR="008A06A1" w:rsidRPr="008A06A1" w:rsidRDefault="008A06A1" w:rsidP="008A06A1">
            <w:pPr>
              <w:rPr>
                <w:iCs/>
                <w:lang w:val="ro-RO"/>
              </w:rPr>
            </w:pPr>
          </w:p>
          <w:p w14:paraId="0088F0B6" w14:textId="77777777" w:rsidR="008A06A1" w:rsidRPr="008A06A1" w:rsidRDefault="008A06A1" w:rsidP="008A06A1">
            <w:pPr>
              <w:rPr>
                <w:iCs/>
                <w:lang w:val="ro-RO"/>
              </w:rPr>
            </w:pPr>
            <w:r w:rsidRPr="008A06A1">
              <w:rPr>
                <w:iCs/>
                <w:lang w:val="ro-RO"/>
              </w:rPr>
              <w:t>Pentru prelevarea de probe din carne tocată, preparate din carne, carcase și carne proaspătă de pasăre pentru analizele referitoare la salmonelă, frecvența poate fi redusă la o dată la două săptămâni, în cazul în care se obțin rezultate satisfăcătoare timp de 30 de săptămâni consecutive. Frecvența prelevării de probe pentru salmonelă poate fi redusă și în cazul în care există un program național sau regional de control al salmonelei, iar programul respectiv cuprinde teste care înlocuiesc prelevarea de probe descrisă mai sus. Această frecvență poate fi redusă și mai mult în cazul în care programul național sau regional de control al salmonelei demonstrează că prevalența salmonelei este scăzută la animalele cumpărate de abator.</w:t>
            </w:r>
          </w:p>
          <w:p w14:paraId="20872BB1" w14:textId="77777777" w:rsidR="008A06A1" w:rsidRPr="008A06A1" w:rsidRDefault="008A06A1" w:rsidP="008A06A1">
            <w:pPr>
              <w:rPr>
                <w:iCs/>
                <w:lang w:val="ro-RO"/>
              </w:rPr>
            </w:pPr>
          </w:p>
          <w:p w14:paraId="7CA3FA44" w14:textId="77777777" w:rsidR="008A06A1" w:rsidRPr="008A06A1" w:rsidRDefault="008A06A1" w:rsidP="008A06A1">
            <w:pPr>
              <w:rPr>
                <w:iCs/>
                <w:lang w:val="ro-RO"/>
              </w:rPr>
            </w:pPr>
            <w:r w:rsidRPr="008A06A1">
              <w:rPr>
                <w:iCs/>
                <w:lang w:val="ro-RO"/>
              </w:rPr>
              <w:t>Cu toate acestea, în cazul în care acest lucru se justifică în urma unei analize a riscurilor și este autorizat în consecință de autoritatea competentă, abatoarele și unitățile mici care produc carne tocată, preparate din carne și carne proaspătă de pasăre în cantități mici pot fi scutite de obligația de a respecta aceste frecvențe de prelevare a probelor.”</w:t>
            </w:r>
          </w:p>
          <w:p w14:paraId="135E0CB8" w14:textId="62CA3099" w:rsidR="008A06A1" w:rsidRPr="008A06A1" w:rsidRDefault="008A06A1" w:rsidP="008A06A1">
            <w:pPr>
              <w:rPr>
                <w:iCs/>
                <w:lang w:val="ro-RO"/>
              </w:rPr>
            </w:pPr>
          </w:p>
        </w:tc>
        <w:tc>
          <w:tcPr>
            <w:tcW w:w="4536" w:type="dxa"/>
          </w:tcPr>
          <w:p w14:paraId="1A1AA52B" w14:textId="62FB45F2" w:rsidR="00553665" w:rsidRPr="00E563E8" w:rsidRDefault="008A06A1" w:rsidP="00EC48E1">
            <w:pPr>
              <w:ind w:firstLine="0"/>
              <w:rPr>
                <w:rFonts w:asciiTheme="majorBidi" w:hAnsiTheme="majorBidi" w:cstheme="majorBidi"/>
                <w:bCs/>
                <w:lang w:val="ro-RO"/>
              </w:rPr>
            </w:pPr>
            <w:r>
              <w:rPr>
                <w:rFonts w:asciiTheme="majorBidi" w:hAnsiTheme="majorBidi" w:cstheme="majorBidi"/>
                <w:bCs/>
                <w:lang w:val="ro-RO"/>
              </w:rPr>
              <w:lastRenderedPageBreak/>
              <w:t xml:space="preserve">Prevederi transpuse în anexa la </w:t>
            </w:r>
            <w:proofErr w:type="spellStart"/>
            <w:r>
              <w:rPr>
                <w:rFonts w:asciiTheme="majorBidi" w:hAnsiTheme="majorBidi" w:cstheme="majorBidi"/>
                <w:bCs/>
                <w:lang w:val="ro-RO"/>
              </w:rPr>
              <w:t>Hotărîrea</w:t>
            </w:r>
            <w:proofErr w:type="spellEnd"/>
            <w:r>
              <w:rPr>
                <w:rFonts w:asciiTheme="majorBidi" w:hAnsiTheme="majorBidi" w:cstheme="majorBidi"/>
                <w:bCs/>
                <w:lang w:val="ro-RO"/>
              </w:rPr>
              <w:t xml:space="preserve"> de Guvern nr.221/2009 pentru aprobarea </w:t>
            </w:r>
            <w:r w:rsidRPr="008A06A1">
              <w:rPr>
                <w:rFonts w:asciiTheme="majorBidi" w:hAnsiTheme="majorBidi" w:cstheme="majorBidi"/>
                <w:bCs/>
                <w:lang w:val="ro-RO"/>
              </w:rPr>
              <w:t>Regulil</w:t>
            </w:r>
            <w:r>
              <w:rPr>
                <w:rFonts w:asciiTheme="majorBidi" w:hAnsiTheme="majorBidi" w:cstheme="majorBidi"/>
                <w:bCs/>
                <w:lang w:val="ro-RO"/>
              </w:rPr>
              <w:t>or</w:t>
            </w:r>
            <w:r w:rsidRPr="008A06A1">
              <w:rPr>
                <w:rFonts w:asciiTheme="majorBidi" w:hAnsiTheme="majorBidi" w:cstheme="majorBidi"/>
                <w:bCs/>
                <w:lang w:val="ro-RO"/>
              </w:rPr>
              <w:t xml:space="preserve"> privind criteriile microbiologice pentru produsele alimentare</w:t>
            </w:r>
          </w:p>
        </w:tc>
        <w:tc>
          <w:tcPr>
            <w:tcW w:w="1589" w:type="dxa"/>
          </w:tcPr>
          <w:p w14:paraId="0B3F308D" w14:textId="77777777" w:rsidR="00553665" w:rsidRPr="00655E6D" w:rsidRDefault="00553665" w:rsidP="00EC48E1">
            <w:pPr>
              <w:ind w:firstLine="0"/>
              <w:jc w:val="center"/>
              <w:rPr>
                <w:rFonts w:asciiTheme="majorBidi" w:hAnsiTheme="majorBidi" w:cstheme="majorBidi"/>
                <w:b/>
                <w:noProof/>
                <w:color w:val="FF0000"/>
                <w:lang w:val="ro-RO"/>
              </w:rPr>
            </w:pPr>
            <w:r w:rsidRPr="00EC48E1">
              <w:rPr>
                <w:rFonts w:asciiTheme="majorBidi" w:hAnsiTheme="majorBidi" w:cstheme="majorBidi"/>
                <w:b/>
                <w:noProof/>
                <w:color w:val="000000" w:themeColor="text1"/>
                <w:lang w:val="ro-RO"/>
              </w:rPr>
              <w:t>Compatibil</w:t>
            </w:r>
          </w:p>
        </w:tc>
        <w:tc>
          <w:tcPr>
            <w:tcW w:w="1208" w:type="dxa"/>
            <w:gridSpan w:val="2"/>
          </w:tcPr>
          <w:p w14:paraId="1236411B" w14:textId="77777777" w:rsidR="00553665" w:rsidRPr="00655E6D" w:rsidRDefault="00553665" w:rsidP="00EC48E1">
            <w:pPr>
              <w:ind w:firstLine="0"/>
              <w:jc w:val="center"/>
              <w:rPr>
                <w:rFonts w:asciiTheme="majorBidi" w:hAnsiTheme="majorBidi" w:cstheme="majorBidi"/>
                <w:b/>
                <w:noProof/>
                <w:color w:val="FF0000"/>
                <w:lang w:val="ro-RO"/>
              </w:rPr>
            </w:pPr>
          </w:p>
        </w:tc>
      </w:tr>
    </w:tbl>
    <w:p w14:paraId="16603540" w14:textId="77777777" w:rsidR="00E27A70" w:rsidRDefault="00E27A70" w:rsidP="00F62E98">
      <w:pPr>
        <w:ind w:firstLine="0"/>
        <w:rPr>
          <w:lang w:val="ro-RO"/>
        </w:rPr>
      </w:pPr>
    </w:p>
    <w:sectPr w:rsidR="00E27A70" w:rsidSect="00F62E98">
      <w:footerReference w:type="default" r:id="rId12"/>
      <w:pgSz w:w="16838" w:h="11906" w:orient="landscape"/>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B3846" w14:textId="77777777" w:rsidR="00F14FF7" w:rsidRDefault="00F14FF7" w:rsidP="00167BD0">
      <w:r>
        <w:separator/>
      </w:r>
    </w:p>
  </w:endnote>
  <w:endnote w:type="continuationSeparator" w:id="0">
    <w:p w14:paraId="084EB79B" w14:textId="77777777" w:rsidR="00F14FF7" w:rsidRDefault="00F14FF7"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788055"/>
      <w:docPartObj>
        <w:docPartGallery w:val="Page Numbers (Bottom of Page)"/>
        <w:docPartUnique/>
      </w:docPartObj>
    </w:sdtPr>
    <w:sdtContent>
      <w:p w14:paraId="24C34F0D" w14:textId="77777777" w:rsidR="002B7348" w:rsidRDefault="002B7348">
        <w:pPr>
          <w:pStyle w:val="Subsol"/>
          <w:jc w:val="center"/>
        </w:pPr>
        <w:r>
          <w:fldChar w:fldCharType="begin"/>
        </w:r>
        <w:r>
          <w:instrText>PAGE   \* MERGEFORMAT</w:instrText>
        </w:r>
        <w:r>
          <w:fldChar w:fldCharType="separate"/>
        </w:r>
        <w:r w:rsidR="00E563E8" w:rsidRPr="00E563E8">
          <w:rPr>
            <w:noProof/>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19463" w14:textId="77777777" w:rsidR="00F14FF7" w:rsidRDefault="00F14FF7" w:rsidP="00167BD0">
      <w:r>
        <w:separator/>
      </w:r>
    </w:p>
  </w:footnote>
  <w:footnote w:type="continuationSeparator" w:id="0">
    <w:p w14:paraId="313D6094" w14:textId="77777777" w:rsidR="00F14FF7" w:rsidRDefault="00F14FF7" w:rsidP="0016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304D62"/>
    <w:multiLevelType w:val="hybridMultilevel"/>
    <w:tmpl w:val="2F9E36CE"/>
    <w:lvl w:ilvl="0" w:tplc="CFA68D6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9F3524A"/>
    <w:multiLevelType w:val="hybridMultilevel"/>
    <w:tmpl w:val="62A00236"/>
    <w:lvl w:ilvl="0" w:tplc="8F761044">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35207776">
    <w:abstractNumId w:val="1"/>
  </w:num>
  <w:num w:numId="2" w16cid:durableId="145359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D0"/>
    <w:rsid w:val="000004B9"/>
    <w:rsid w:val="00054974"/>
    <w:rsid w:val="0009108C"/>
    <w:rsid w:val="000B69A6"/>
    <w:rsid w:val="000D2DCE"/>
    <w:rsid w:val="000F7CB4"/>
    <w:rsid w:val="001126BB"/>
    <w:rsid w:val="00136FFF"/>
    <w:rsid w:val="00167BD0"/>
    <w:rsid w:val="00192DAB"/>
    <w:rsid w:val="001E2AC1"/>
    <w:rsid w:val="0023517C"/>
    <w:rsid w:val="00257597"/>
    <w:rsid w:val="00286AEE"/>
    <w:rsid w:val="00290FE6"/>
    <w:rsid w:val="002A6BD7"/>
    <w:rsid w:val="002B7348"/>
    <w:rsid w:val="00332E73"/>
    <w:rsid w:val="00371DEA"/>
    <w:rsid w:val="0037712F"/>
    <w:rsid w:val="003B0D28"/>
    <w:rsid w:val="003B4B4E"/>
    <w:rsid w:val="003E784D"/>
    <w:rsid w:val="003E7A6A"/>
    <w:rsid w:val="003F72FF"/>
    <w:rsid w:val="004C658A"/>
    <w:rsid w:val="00553665"/>
    <w:rsid w:val="0056130B"/>
    <w:rsid w:val="005725CE"/>
    <w:rsid w:val="005C06FA"/>
    <w:rsid w:val="005C3862"/>
    <w:rsid w:val="005E5E4D"/>
    <w:rsid w:val="00617EA5"/>
    <w:rsid w:val="00655DE9"/>
    <w:rsid w:val="00655E6D"/>
    <w:rsid w:val="00666F71"/>
    <w:rsid w:val="0067228F"/>
    <w:rsid w:val="00677352"/>
    <w:rsid w:val="006A525B"/>
    <w:rsid w:val="006B564C"/>
    <w:rsid w:val="006B6204"/>
    <w:rsid w:val="007008D3"/>
    <w:rsid w:val="00724A38"/>
    <w:rsid w:val="00767862"/>
    <w:rsid w:val="007B1B33"/>
    <w:rsid w:val="007F0546"/>
    <w:rsid w:val="00814B6F"/>
    <w:rsid w:val="00835A71"/>
    <w:rsid w:val="008434AB"/>
    <w:rsid w:val="008A06A1"/>
    <w:rsid w:val="008B2646"/>
    <w:rsid w:val="008D5485"/>
    <w:rsid w:val="008F49B0"/>
    <w:rsid w:val="009478F1"/>
    <w:rsid w:val="00992BA8"/>
    <w:rsid w:val="0099604E"/>
    <w:rsid w:val="0099768B"/>
    <w:rsid w:val="009A61EA"/>
    <w:rsid w:val="009C6C8F"/>
    <w:rsid w:val="00A05140"/>
    <w:rsid w:val="00A5130A"/>
    <w:rsid w:val="00A809AB"/>
    <w:rsid w:val="00AA5115"/>
    <w:rsid w:val="00AB020D"/>
    <w:rsid w:val="00AC4446"/>
    <w:rsid w:val="00AD1612"/>
    <w:rsid w:val="00AE6A2D"/>
    <w:rsid w:val="00B0124E"/>
    <w:rsid w:val="00B016E4"/>
    <w:rsid w:val="00B5227F"/>
    <w:rsid w:val="00B75B92"/>
    <w:rsid w:val="00BA63C1"/>
    <w:rsid w:val="00C56372"/>
    <w:rsid w:val="00C87AC1"/>
    <w:rsid w:val="00C944B3"/>
    <w:rsid w:val="00CA2BA8"/>
    <w:rsid w:val="00CB5461"/>
    <w:rsid w:val="00D97E49"/>
    <w:rsid w:val="00DF45AD"/>
    <w:rsid w:val="00E27A70"/>
    <w:rsid w:val="00E563E8"/>
    <w:rsid w:val="00E774E7"/>
    <w:rsid w:val="00E94188"/>
    <w:rsid w:val="00EC48E1"/>
    <w:rsid w:val="00F14FF7"/>
    <w:rsid w:val="00F2583D"/>
    <w:rsid w:val="00F4170A"/>
    <w:rsid w:val="00F57A85"/>
    <w:rsid w:val="00F62E98"/>
    <w:rsid w:val="00FC2172"/>
    <w:rsid w:val="00FD3A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2075"/>
  <w15:chartTrackingRefBased/>
  <w15:docId w15:val="{E6E0475B-F00A-498E-BFA5-77C32A56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8F49B0"/>
    <w:rPr>
      <w:color w:val="0563C1" w:themeColor="hyperlink"/>
      <w:u w:val="single"/>
    </w:rPr>
  </w:style>
  <w:style w:type="paragraph" w:customStyle="1" w:styleId="tbl-norm">
    <w:name w:val="tbl-norm"/>
    <w:basedOn w:val="Normal"/>
    <w:rsid w:val="008F49B0"/>
    <w:pPr>
      <w:spacing w:before="100" w:beforeAutospacing="1" w:after="100" w:afterAutospacing="1"/>
      <w:ind w:firstLine="0"/>
      <w:jc w:val="left"/>
    </w:pPr>
    <w:rPr>
      <w:sz w:val="24"/>
      <w:szCs w:val="24"/>
      <w:lang w:val="ro-RO" w:eastAsia="ro-RO"/>
    </w:rPr>
  </w:style>
  <w:style w:type="paragraph" w:customStyle="1" w:styleId="tbl-left">
    <w:name w:val="tbl-left"/>
    <w:basedOn w:val="Normal"/>
    <w:rsid w:val="008F49B0"/>
    <w:pPr>
      <w:spacing w:before="100" w:beforeAutospacing="1" w:after="100" w:afterAutospacing="1"/>
      <w:ind w:firstLine="0"/>
      <w:jc w:val="left"/>
    </w:pPr>
    <w:rPr>
      <w:sz w:val="24"/>
      <w:szCs w:val="24"/>
      <w:lang w:val="ro-RO" w:eastAsia="ro-RO"/>
    </w:rPr>
  </w:style>
  <w:style w:type="character" w:customStyle="1" w:styleId="italics">
    <w:name w:val="italics"/>
    <w:basedOn w:val="Fontdeparagrafimplicit"/>
    <w:rsid w:val="008F49B0"/>
  </w:style>
  <w:style w:type="character" w:customStyle="1" w:styleId="superscript">
    <w:name w:val="superscript"/>
    <w:basedOn w:val="Fontdeparagrafimplicit"/>
    <w:rsid w:val="008F49B0"/>
  </w:style>
  <w:style w:type="paragraph" w:customStyle="1" w:styleId="oj-normal">
    <w:name w:val="oj-normal"/>
    <w:basedOn w:val="Normal"/>
    <w:rsid w:val="006A525B"/>
    <w:pPr>
      <w:spacing w:before="100" w:beforeAutospacing="1" w:after="100" w:afterAutospacing="1"/>
      <w:ind w:firstLine="0"/>
      <w:jc w:val="left"/>
    </w:pPr>
    <w:rPr>
      <w:sz w:val="24"/>
      <w:szCs w:val="24"/>
      <w:lang w:val="ro-RO" w:eastAsia="ro-RO"/>
    </w:rPr>
  </w:style>
  <w:style w:type="character" w:customStyle="1" w:styleId="oj-super">
    <w:name w:val="oj-super"/>
    <w:basedOn w:val="Fontdeparagrafimplicit"/>
    <w:rsid w:val="006A525B"/>
  </w:style>
  <w:style w:type="paragraph" w:customStyle="1" w:styleId="oj-note">
    <w:name w:val="oj-note"/>
    <w:basedOn w:val="Normal"/>
    <w:rsid w:val="006A525B"/>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99604E"/>
  </w:style>
  <w:style w:type="paragraph" w:customStyle="1" w:styleId="oj-tbl-hdr">
    <w:name w:val="oj-tbl-hdr"/>
    <w:basedOn w:val="Normal"/>
    <w:rsid w:val="006B6204"/>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6B6204"/>
    <w:pPr>
      <w:spacing w:before="100" w:beforeAutospacing="1" w:after="100" w:afterAutospacing="1"/>
      <w:ind w:firstLine="0"/>
      <w:jc w:val="left"/>
    </w:pPr>
    <w:rPr>
      <w:sz w:val="24"/>
      <w:szCs w:val="24"/>
      <w:lang w:val="ro-RO" w:eastAsia="ro-RO"/>
    </w:rPr>
  </w:style>
  <w:style w:type="paragraph" w:customStyle="1" w:styleId="oj-signatory">
    <w:name w:val="oj-signatory"/>
    <w:basedOn w:val="Normal"/>
    <w:rsid w:val="003E784D"/>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8A06A1"/>
  </w:style>
  <w:style w:type="character" w:customStyle="1" w:styleId="underline">
    <w:name w:val="underline"/>
    <w:basedOn w:val="Fontdeparagrafimplicit"/>
    <w:rsid w:val="008A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13443">
      <w:bodyDiv w:val="1"/>
      <w:marLeft w:val="0"/>
      <w:marRight w:val="0"/>
      <w:marTop w:val="0"/>
      <w:marBottom w:val="0"/>
      <w:divBdr>
        <w:top w:val="none" w:sz="0" w:space="0" w:color="auto"/>
        <w:left w:val="none" w:sz="0" w:space="0" w:color="auto"/>
        <w:bottom w:val="none" w:sz="0" w:space="0" w:color="auto"/>
        <w:right w:val="none" w:sz="0" w:space="0" w:color="auto"/>
      </w:divBdr>
    </w:div>
    <w:div w:id="316229707">
      <w:bodyDiv w:val="1"/>
      <w:marLeft w:val="0"/>
      <w:marRight w:val="0"/>
      <w:marTop w:val="0"/>
      <w:marBottom w:val="0"/>
      <w:divBdr>
        <w:top w:val="none" w:sz="0" w:space="0" w:color="auto"/>
        <w:left w:val="none" w:sz="0" w:space="0" w:color="auto"/>
        <w:bottom w:val="none" w:sz="0" w:space="0" w:color="auto"/>
        <w:right w:val="none" w:sz="0" w:space="0" w:color="auto"/>
      </w:divBdr>
    </w:div>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319532236">
      <w:bodyDiv w:val="1"/>
      <w:marLeft w:val="0"/>
      <w:marRight w:val="0"/>
      <w:marTop w:val="0"/>
      <w:marBottom w:val="0"/>
      <w:divBdr>
        <w:top w:val="none" w:sz="0" w:space="0" w:color="auto"/>
        <w:left w:val="none" w:sz="0" w:space="0" w:color="auto"/>
        <w:bottom w:val="none" w:sz="0" w:space="0" w:color="auto"/>
        <w:right w:val="none" w:sz="0" w:space="0" w:color="auto"/>
      </w:divBdr>
    </w:div>
    <w:div w:id="1361929477">
      <w:bodyDiv w:val="1"/>
      <w:marLeft w:val="0"/>
      <w:marRight w:val="0"/>
      <w:marTop w:val="0"/>
      <w:marBottom w:val="0"/>
      <w:divBdr>
        <w:top w:val="none" w:sz="0" w:space="0" w:color="auto"/>
        <w:left w:val="none" w:sz="0" w:space="0" w:color="auto"/>
        <w:bottom w:val="none" w:sz="0" w:space="0" w:color="auto"/>
        <w:right w:val="none" w:sz="0" w:space="0" w:color="auto"/>
      </w:divBdr>
    </w:div>
    <w:div w:id="1452478460">
      <w:bodyDiv w:val="1"/>
      <w:marLeft w:val="0"/>
      <w:marRight w:val="0"/>
      <w:marTop w:val="0"/>
      <w:marBottom w:val="0"/>
      <w:divBdr>
        <w:top w:val="none" w:sz="0" w:space="0" w:color="auto"/>
        <w:left w:val="none" w:sz="0" w:space="0" w:color="auto"/>
        <w:bottom w:val="none" w:sz="0" w:space="0" w:color="auto"/>
        <w:right w:val="none" w:sz="0" w:space="0" w:color="auto"/>
      </w:divBdr>
    </w:div>
    <w:div w:id="1496603589">
      <w:bodyDiv w:val="1"/>
      <w:marLeft w:val="0"/>
      <w:marRight w:val="0"/>
      <w:marTop w:val="0"/>
      <w:marBottom w:val="0"/>
      <w:divBdr>
        <w:top w:val="none" w:sz="0" w:space="0" w:color="auto"/>
        <w:left w:val="none" w:sz="0" w:space="0" w:color="auto"/>
        <w:bottom w:val="none" w:sz="0" w:space="0" w:color="auto"/>
        <w:right w:val="none" w:sz="0" w:space="0" w:color="auto"/>
      </w:divBdr>
    </w:div>
    <w:div w:id="1564094841">
      <w:bodyDiv w:val="1"/>
      <w:marLeft w:val="0"/>
      <w:marRight w:val="0"/>
      <w:marTop w:val="0"/>
      <w:marBottom w:val="0"/>
      <w:divBdr>
        <w:top w:val="none" w:sz="0" w:space="0" w:color="auto"/>
        <w:left w:val="none" w:sz="0" w:space="0" w:color="auto"/>
        <w:bottom w:val="none" w:sz="0" w:space="0" w:color="auto"/>
        <w:right w:val="none" w:sz="0" w:space="0" w:color="auto"/>
      </w:divBdr>
    </w:div>
    <w:div w:id="1771780151">
      <w:bodyDiv w:val="1"/>
      <w:marLeft w:val="0"/>
      <w:marRight w:val="0"/>
      <w:marTop w:val="0"/>
      <w:marBottom w:val="0"/>
      <w:divBdr>
        <w:top w:val="none" w:sz="0" w:space="0" w:color="auto"/>
        <w:left w:val="none" w:sz="0" w:space="0" w:color="auto"/>
        <w:bottom w:val="none" w:sz="0" w:space="0" w:color="auto"/>
        <w:right w:val="none" w:sz="0" w:space="0" w:color="auto"/>
      </w:divBdr>
    </w:div>
    <w:div w:id="1873640981">
      <w:bodyDiv w:val="1"/>
      <w:marLeft w:val="0"/>
      <w:marRight w:val="0"/>
      <w:marTop w:val="0"/>
      <w:marBottom w:val="0"/>
      <w:divBdr>
        <w:top w:val="none" w:sz="0" w:space="0" w:color="auto"/>
        <w:left w:val="none" w:sz="0" w:space="0" w:color="auto"/>
        <w:bottom w:val="none" w:sz="0" w:space="0" w:color="auto"/>
        <w:right w:val="none" w:sz="0" w:space="0" w:color="auto"/>
      </w:divBdr>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1558">
          <w:marLeft w:val="48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167720856">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sChild>
    </w:div>
    <w:div w:id="2082438913">
      <w:bodyDiv w:val="1"/>
      <w:marLeft w:val="0"/>
      <w:marRight w:val="0"/>
      <w:marTop w:val="0"/>
      <w:marBottom w:val="0"/>
      <w:divBdr>
        <w:top w:val="none" w:sz="0" w:space="0" w:color="auto"/>
        <w:left w:val="none" w:sz="0" w:space="0" w:color="auto"/>
        <w:bottom w:val="none" w:sz="0" w:space="0" w:color="auto"/>
        <w:right w:val="none" w:sz="0" w:space="0" w:color="auto"/>
      </w:divBdr>
    </w:div>
    <w:div w:id="21471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11R1086-201111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uri=CELEX%3A02011R1086-20111117" TargetMode="External"/><Relationship Id="rId5" Type="http://schemas.openxmlformats.org/officeDocument/2006/relationships/webSettings" Target="webSettings.xml"/><Relationship Id="rId10" Type="http://schemas.openxmlformats.org/officeDocument/2006/relationships/hyperlink" Target="https://eur-lex.europa.eu/legal-content/RO/AUTO/?uri=celex:32011R1086R%2804%29" TargetMode="External"/><Relationship Id="rId4" Type="http://schemas.openxmlformats.org/officeDocument/2006/relationships/settings" Target="settings.xml"/><Relationship Id="rId9" Type="http://schemas.openxmlformats.org/officeDocument/2006/relationships/hyperlink" Target="https://eur-lex.europa.eu/legal-content/RO/TXT/?uri=CELEX%3A02011R1086-20111117"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43B39-6019-48C4-A3B5-AEBD65F04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8675</Characters>
  <Application>Microsoft Office Word</Application>
  <DocSecurity>0</DocSecurity>
  <Lines>72</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Albina Mereuță</cp:lastModifiedBy>
  <cp:revision>2</cp:revision>
  <dcterms:created xsi:type="dcterms:W3CDTF">2024-09-05T11:14:00Z</dcterms:created>
  <dcterms:modified xsi:type="dcterms:W3CDTF">2024-09-05T11:14:00Z</dcterms:modified>
</cp:coreProperties>
</file>