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97B2B" w14:textId="77777777" w:rsidR="00167BD0" w:rsidRPr="00CA2BA8" w:rsidRDefault="00167BD0" w:rsidP="00167BD0">
      <w:pPr>
        <w:jc w:val="center"/>
        <w:rPr>
          <w:rFonts w:asciiTheme="majorBidi" w:hAnsiTheme="majorBidi" w:cstheme="majorBidi"/>
          <w:b/>
          <w:noProof/>
          <w:sz w:val="22"/>
          <w:szCs w:val="22"/>
          <w:lang w:val="ro-MD"/>
        </w:rPr>
      </w:pPr>
      <w:r w:rsidRPr="00CA2BA8">
        <w:rPr>
          <w:rFonts w:asciiTheme="majorBidi" w:hAnsiTheme="majorBidi" w:cstheme="majorBidi"/>
          <w:b/>
          <w:noProof/>
          <w:sz w:val="22"/>
          <w:szCs w:val="22"/>
          <w:lang w:val="ro-MD"/>
        </w:rPr>
        <w:t>TABEL DE CONCORDANȚĂ</w:t>
      </w:r>
    </w:p>
    <w:p w14:paraId="3A688740" w14:textId="77777777" w:rsidR="00167BD0" w:rsidRPr="00CA2BA8" w:rsidRDefault="00167BD0" w:rsidP="00167BD0">
      <w:pPr>
        <w:jc w:val="center"/>
        <w:rPr>
          <w:rFonts w:asciiTheme="majorBidi" w:hAnsiTheme="majorBidi" w:cstheme="majorBidi"/>
          <w:b/>
          <w:noProof/>
          <w:sz w:val="22"/>
          <w:szCs w:val="22"/>
          <w:lang w:val="ro-RO"/>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13770"/>
      </w:tblGrid>
      <w:tr w:rsidR="00167BD0" w:rsidRPr="00EC48E1" w14:paraId="20053858" w14:textId="77777777" w:rsidTr="00553665">
        <w:trPr>
          <w:jc w:val="center"/>
        </w:trPr>
        <w:tc>
          <w:tcPr>
            <w:tcW w:w="141" w:type="pct"/>
            <w:shd w:val="clear" w:color="auto" w:fill="auto"/>
          </w:tcPr>
          <w:p w14:paraId="57196323" w14:textId="77777777" w:rsidR="00167BD0" w:rsidRPr="00EC48E1" w:rsidRDefault="00167BD0" w:rsidP="000004B9">
            <w:pPr>
              <w:ind w:firstLine="0"/>
              <w:jc w:val="center"/>
              <w:rPr>
                <w:b/>
                <w:lang w:val="ro-MD"/>
              </w:rPr>
            </w:pPr>
            <w:r w:rsidRPr="00EC48E1">
              <w:rPr>
                <w:b/>
                <w:lang w:val="ro-MD"/>
              </w:rPr>
              <w:t>1</w:t>
            </w:r>
          </w:p>
        </w:tc>
        <w:tc>
          <w:tcPr>
            <w:tcW w:w="4859" w:type="pct"/>
            <w:shd w:val="clear" w:color="auto" w:fill="auto"/>
            <w:vAlign w:val="center"/>
          </w:tcPr>
          <w:p w14:paraId="03FD1B19" w14:textId="7A8224C2" w:rsidR="00167BD0" w:rsidRPr="00EC48E1" w:rsidRDefault="00666F71" w:rsidP="00553665">
            <w:pPr>
              <w:ind w:firstLine="0"/>
              <w:jc w:val="left"/>
              <w:rPr>
                <w:b/>
                <w:lang w:val="ro-MD"/>
              </w:rPr>
            </w:pPr>
            <w:r w:rsidRPr="00EC48E1">
              <w:rPr>
                <w:b/>
                <w:bCs/>
                <w:color w:val="333333"/>
                <w:sz w:val="21"/>
                <w:szCs w:val="21"/>
                <w:shd w:val="clear" w:color="auto" w:fill="FFFFFF"/>
              </w:rPr>
              <w:t>Regulamentul (UE) 2020/205 al Comisiei din 14 februarie 2020 de modificare a Regulamentului (CE) nr. 2073/2005 în ceea ce privește Salmonella în carnea de reptile</w:t>
            </w:r>
            <w:r w:rsidR="00553665">
              <w:rPr>
                <w:b/>
                <w:bCs/>
                <w:color w:val="333333"/>
                <w:sz w:val="21"/>
                <w:szCs w:val="21"/>
                <w:shd w:val="clear" w:color="auto" w:fill="FFFFFF"/>
              </w:rPr>
              <w:t xml:space="preserve">, CELEX nr. </w:t>
            </w:r>
            <w:r w:rsidR="00553665" w:rsidRPr="00553665">
              <w:rPr>
                <w:b/>
                <w:bCs/>
                <w:color w:val="333333"/>
                <w:sz w:val="21"/>
                <w:szCs w:val="21"/>
                <w:shd w:val="clear" w:color="auto" w:fill="FFFFFF"/>
              </w:rPr>
              <w:t>02005R2073-20200308</w:t>
            </w:r>
            <w:r w:rsidRPr="00EC48E1">
              <w:rPr>
                <w:b/>
                <w:bCs/>
                <w:color w:val="333333"/>
                <w:sz w:val="21"/>
                <w:szCs w:val="21"/>
                <w:shd w:val="clear" w:color="auto" w:fill="FFFFFF"/>
              </w:rPr>
              <w:t xml:space="preserve"> </w:t>
            </w:r>
          </w:p>
        </w:tc>
      </w:tr>
      <w:tr w:rsidR="00054974" w:rsidRPr="00EC48E1" w14:paraId="1BE2E447" w14:textId="77777777" w:rsidTr="00553665">
        <w:trPr>
          <w:jc w:val="center"/>
        </w:trPr>
        <w:tc>
          <w:tcPr>
            <w:tcW w:w="141" w:type="pct"/>
            <w:shd w:val="clear" w:color="auto" w:fill="auto"/>
          </w:tcPr>
          <w:p w14:paraId="04090D64" w14:textId="45A1E602" w:rsidR="00054974" w:rsidRPr="00EC48E1" w:rsidRDefault="00054974" w:rsidP="000004B9">
            <w:pPr>
              <w:ind w:firstLine="0"/>
              <w:jc w:val="center"/>
              <w:rPr>
                <w:b/>
                <w:lang w:val="ro-MD"/>
              </w:rPr>
            </w:pPr>
            <w:r>
              <w:rPr>
                <w:b/>
                <w:lang w:val="ro-MD"/>
              </w:rPr>
              <w:t>2</w:t>
            </w:r>
          </w:p>
        </w:tc>
        <w:tc>
          <w:tcPr>
            <w:tcW w:w="4859" w:type="pct"/>
            <w:shd w:val="clear" w:color="auto" w:fill="auto"/>
            <w:vAlign w:val="center"/>
          </w:tcPr>
          <w:p w14:paraId="6A5361FC" w14:textId="0A825920" w:rsidR="00054974" w:rsidRPr="00EC48E1" w:rsidRDefault="00054974" w:rsidP="00553665">
            <w:pPr>
              <w:ind w:firstLine="0"/>
              <w:jc w:val="left"/>
              <w:rPr>
                <w:b/>
                <w:bCs/>
                <w:color w:val="333333"/>
                <w:sz w:val="21"/>
                <w:szCs w:val="21"/>
                <w:shd w:val="clear" w:color="auto" w:fill="FFFFFF"/>
              </w:rPr>
            </w:pPr>
            <w:r w:rsidRPr="00054974">
              <w:rPr>
                <w:b/>
                <w:bCs/>
                <w:color w:val="333333"/>
                <w:sz w:val="21"/>
                <w:szCs w:val="21"/>
                <w:shd w:val="clear" w:color="auto" w:fill="FFFFFF"/>
              </w:rPr>
              <w:t>Proiectul Hotărîrii de Guvern cu privire la modificarea unor hotărîri de Guvern</w:t>
            </w:r>
          </w:p>
        </w:tc>
      </w:tr>
      <w:tr w:rsidR="00167BD0" w:rsidRPr="00EC48E1" w14:paraId="305E48A6" w14:textId="77777777" w:rsidTr="00553665">
        <w:trPr>
          <w:jc w:val="center"/>
        </w:trPr>
        <w:tc>
          <w:tcPr>
            <w:tcW w:w="141" w:type="pct"/>
            <w:shd w:val="clear" w:color="auto" w:fill="auto"/>
          </w:tcPr>
          <w:p w14:paraId="1417FA10" w14:textId="77777777" w:rsidR="00167BD0" w:rsidRPr="00EC48E1" w:rsidRDefault="00167BD0" w:rsidP="000004B9">
            <w:pPr>
              <w:ind w:firstLine="0"/>
              <w:rPr>
                <w:b/>
                <w:lang w:val="ro-MD"/>
              </w:rPr>
            </w:pPr>
            <w:r w:rsidRPr="00EC48E1">
              <w:rPr>
                <w:b/>
                <w:lang w:val="ro-MD"/>
              </w:rPr>
              <w:t>3</w:t>
            </w:r>
          </w:p>
        </w:tc>
        <w:tc>
          <w:tcPr>
            <w:tcW w:w="4859" w:type="pct"/>
            <w:shd w:val="clear" w:color="auto" w:fill="auto"/>
            <w:vAlign w:val="center"/>
          </w:tcPr>
          <w:p w14:paraId="76E0FD31" w14:textId="77777777" w:rsidR="00167BD0" w:rsidRPr="00EC48E1" w:rsidRDefault="00CA2BA8" w:rsidP="00553665">
            <w:pPr>
              <w:ind w:firstLine="0"/>
              <w:jc w:val="left"/>
              <w:rPr>
                <w:b/>
                <w:lang w:val="ro-MD"/>
              </w:rPr>
            </w:pPr>
            <w:r w:rsidRPr="00EC48E1">
              <w:rPr>
                <w:b/>
                <w:lang w:val="ro-MD"/>
              </w:rPr>
              <w:t>C</w:t>
            </w:r>
            <w:r w:rsidR="00167BD0" w:rsidRPr="00EC48E1">
              <w:rPr>
                <w:b/>
                <w:lang w:val="ro-MD"/>
              </w:rPr>
              <w:t>ompatibil</w:t>
            </w:r>
          </w:p>
        </w:tc>
      </w:tr>
      <w:tr w:rsidR="00553665" w:rsidRPr="00EC48E1" w14:paraId="0A6923B9" w14:textId="77777777" w:rsidTr="00553665">
        <w:trPr>
          <w:jc w:val="center"/>
        </w:trPr>
        <w:tc>
          <w:tcPr>
            <w:tcW w:w="141" w:type="pct"/>
            <w:shd w:val="clear" w:color="auto" w:fill="auto"/>
          </w:tcPr>
          <w:p w14:paraId="6656338C" w14:textId="7E8C28D9" w:rsidR="00553665" w:rsidRPr="00EC48E1" w:rsidRDefault="00553665" w:rsidP="000004B9">
            <w:pPr>
              <w:ind w:firstLine="0"/>
              <w:rPr>
                <w:b/>
                <w:lang w:val="ro-MD"/>
              </w:rPr>
            </w:pPr>
            <w:r>
              <w:rPr>
                <w:b/>
                <w:lang w:val="ro-MD"/>
              </w:rPr>
              <w:t>4</w:t>
            </w:r>
          </w:p>
        </w:tc>
        <w:tc>
          <w:tcPr>
            <w:tcW w:w="4859" w:type="pct"/>
            <w:shd w:val="clear" w:color="auto" w:fill="auto"/>
            <w:vAlign w:val="center"/>
          </w:tcPr>
          <w:p w14:paraId="14047780" w14:textId="0BA16D9E" w:rsidR="00553665" w:rsidRPr="00EC48E1" w:rsidRDefault="00553665" w:rsidP="00553665">
            <w:pPr>
              <w:ind w:firstLine="0"/>
              <w:jc w:val="left"/>
              <w:rPr>
                <w:b/>
                <w:lang w:val="ro-MD"/>
              </w:rPr>
            </w:pPr>
            <w:r>
              <w:rPr>
                <w:b/>
                <w:lang w:val="ro-MD"/>
              </w:rPr>
              <w:t>Ministerul Agriculturii și Industriei Alimentare/Mereuță Albina</w:t>
            </w:r>
          </w:p>
        </w:tc>
      </w:tr>
      <w:tr w:rsidR="00553665" w:rsidRPr="00EC48E1" w14:paraId="547F10E1" w14:textId="77777777" w:rsidTr="00553665">
        <w:trPr>
          <w:jc w:val="center"/>
        </w:trPr>
        <w:tc>
          <w:tcPr>
            <w:tcW w:w="141" w:type="pct"/>
            <w:shd w:val="clear" w:color="auto" w:fill="auto"/>
          </w:tcPr>
          <w:p w14:paraId="237096CF" w14:textId="29B76DDE" w:rsidR="00553665" w:rsidRDefault="00553665" w:rsidP="000004B9">
            <w:pPr>
              <w:ind w:firstLine="0"/>
              <w:rPr>
                <w:b/>
                <w:lang w:val="ro-MD"/>
              </w:rPr>
            </w:pPr>
            <w:r>
              <w:rPr>
                <w:b/>
                <w:lang w:val="ro-MD"/>
              </w:rPr>
              <w:t>5</w:t>
            </w:r>
          </w:p>
        </w:tc>
        <w:tc>
          <w:tcPr>
            <w:tcW w:w="4859" w:type="pct"/>
            <w:shd w:val="clear" w:color="auto" w:fill="auto"/>
            <w:vAlign w:val="center"/>
          </w:tcPr>
          <w:p w14:paraId="31563D6B" w14:textId="23FC4E85" w:rsidR="00553665" w:rsidRDefault="00553665" w:rsidP="00553665">
            <w:pPr>
              <w:ind w:firstLine="0"/>
              <w:jc w:val="left"/>
              <w:rPr>
                <w:b/>
                <w:lang w:val="ro-MD"/>
              </w:rPr>
            </w:pPr>
            <w:r>
              <w:rPr>
                <w:b/>
                <w:lang w:val="ro-MD"/>
              </w:rPr>
              <w:t>Data întocmirii:03.09.2024</w:t>
            </w:r>
          </w:p>
        </w:tc>
      </w:tr>
    </w:tbl>
    <w:tbl>
      <w:tblPr>
        <w:tblStyle w:val="TableGrid1"/>
        <w:tblW w:w="14132" w:type="dxa"/>
        <w:jc w:val="center"/>
        <w:tblLayout w:type="fixed"/>
        <w:tblLook w:val="04A0" w:firstRow="1" w:lastRow="0" w:firstColumn="1" w:lastColumn="0" w:noHBand="0" w:noVBand="1"/>
      </w:tblPr>
      <w:tblGrid>
        <w:gridCol w:w="6799"/>
        <w:gridCol w:w="4536"/>
        <w:gridCol w:w="1589"/>
        <w:gridCol w:w="1192"/>
        <w:gridCol w:w="16"/>
      </w:tblGrid>
      <w:tr w:rsidR="00553665" w:rsidRPr="00CA2BA8" w14:paraId="1896BA5C" w14:textId="77777777" w:rsidTr="00553665">
        <w:trPr>
          <w:gridAfter w:val="1"/>
          <w:wAfter w:w="16" w:type="dxa"/>
          <w:trHeight w:val="706"/>
          <w:jc w:val="center"/>
        </w:trPr>
        <w:tc>
          <w:tcPr>
            <w:tcW w:w="6799" w:type="dxa"/>
            <w:vAlign w:val="center"/>
          </w:tcPr>
          <w:p w14:paraId="2C15C7EC" w14:textId="7298F7C7" w:rsidR="00553665" w:rsidRPr="00CA2BA8" w:rsidRDefault="00553665" w:rsidP="00553665">
            <w:pPr>
              <w:ind w:firstLine="0"/>
              <w:jc w:val="center"/>
              <w:rPr>
                <w:b/>
                <w:lang w:val="ro-MD"/>
              </w:rPr>
            </w:pPr>
            <w:r>
              <w:rPr>
                <w:b/>
                <w:lang w:val="ro-MD"/>
              </w:rPr>
              <w:t xml:space="preserve">6 </w:t>
            </w:r>
            <w:r w:rsidRPr="00CA2BA8">
              <w:rPr>
                <w:b/>
                <w:lang w:val="ro-MD"/>
              </w:rPr>
              <w:t>Actul Uniunii Europene</w:t>
            </w:r>
          </w:p>
        </w:tc>
        <w:tc>
          <w:tcPr>
            <w:tcW w:w="4536" w:type="dxa"/>
            <w:vAlign w:val="center"/>
          </w:tcPr>
          <w:p w14:paraId="5AA36460" w14:textId="06B0CE7E" w:rsidR="00553665" w:rsidRPr="00CA2BA8" w:rsidRDefault="00553665" w:rsidP="00553665">
            <w:pPr>
              <w:ind w:firstLine="0"/>
              <w:jc w:val="center"/>
              <w:rPr>
                <w:b/>
                <w:lang w:val="ro-MD"/>
              </w:rPr>
            </w:pPr>
            <w:r>
              <w:rPr>
                <w:b/>
                <w:lang w:val="ro-MD"/>
              </w:rPr>
              <w:t xml:space="preserve">7 </w:t>
            </w:r>
            <w:r w:rsidRPr="00CA2BA8">
              <w:rPr>
                <w:b/>
                <w:lang w:val="ro-MD"/>
              </w:rPr>
              <w:t>Proiectul de act normativ național</w:t>
            </w:r>
          </w:p>
        </w:tc>
        <w:tc>
          <w:tcPr>
            <w:tcW w:w="1589" w:type="dxa"/>
            <w:vAlign w:val="center"/>
          </w:tcPr>
          <w:p w14:paraId="494EA731" w14:textId="2480F41D" w:rsidR="00553665" w:rsidRPr="00CA2BA8" w:rsidRDefault="00553665" w:rsidP="00553665">
            <w:pPr>
              <w:ind w:firstLine="0"/>
              <w:jc w:val="center"/>
              <w:rPr>
                <w:b/>
                <w:lang w:val="ro-MD"/>
              </w:rPr>
            </w:pPr>
            <w:r>
              <w:rPr>
                <w:b/>
                <w:lang w:val="ro-MD"/>
              </w:rPr>
              <w:t xml:space="preserve">8 </w:t>
            </w:r>
            <w:r w:rsidRPr="00CA2BA8">
              <w:rPr>
                <w:b/>
                <w:lang w:val="ro-MD"/>
              </w:rPr>
              <w:t>Gradul de compatibilitate</w:t>
            </w:r>
          </w:p>
        </w:tc>
        <w:tc>
          <w:tcPr>
            <w:tcW w:w="1192" w:type="dxa"/>
            <w:vAlign w:val="center"/>
          </w:tcPr>
          <w:p w14:paraId="6970E75A" w14:textId="652A4991" w:rsidR="00553665" w:rsidRPr="00CA2BA8" w:rsidRDefault="00553665" w:rsidP="00553665">
            <w:pPr>
              <w:ind w:firstLine="0"/>
              <w:jc w:val="center"/>
              <w:rPr>
                <w:b/>
                <w:lang w:val="ro-MD"/>
              </w:rPr>
            </w:pPr>
            <w:r>
              <w:rPr>
                <w:b/>
                <w:lang w:val="ro-MD"/>
              </w:rPr>
              <w:t xml:space="preserve">9 </w:t>
            </w:r>
            <w:r w:rsidRPr="00CA2BA8">
              <w:rPr>
                <w:b/>
                <w:lang w:val="ro-MD"/>
              </w:rPr>
              <w:t>Observații</w:t>
            </w:r>
          </w:p>
        </w:tc>
      </w:tr>
      <w:tr w:rsidR="00553665" w:rsidRPr="00CA2BA8" w14:paraId="7D42254C" w14:textId="77777777" w:rsidTr="00553665">
        <w:tblPrEx>
          <w:jc w:val="left"/>
        </w:tblPrEx>
        <w:trPr>
          <w:trHeight w:val="5359"/>
        </w:trPr>
        <w:tc>
          <w:tcPr>
            <w:tcW w:w="6799" w:type="dxa"/>
          </w:tcPr>
          <w:p w14:paraId="353DA2CF" w14:textId="77777777" w:rsidR="00553665" w:rsidRPr="001E2AC1" w:rsidRDefault="00553665" w:rsidP="00EC48E1">
            <w:pPr>
              <w:ind w:firstLine="0"/>
              <w:jc w:val="center"/>
              <w:rPr>
                <w:i/>
                <w:lang w:val="ro-MD"/>
              </w:rPr>
            </w:pPr>
            <w:r w:rsidRPr="001E2AC1">
              <w:rPr>
                <w:i/>
                <w:lang w:val="ro-MD"/>
              </w:rPr>
              <w:t>Articolul 1</w:t>
            </w:r>
          </w:p>
          <w:p w14:paraId="189BABEE" w14:textId="77777777" w:rsidR="00553665" w:rsidRPr="001E2AC1" w:rsidRDefault="00553665" w:rsidP="00EC48E1">
            <w:pPr>
              <w:ind w:firstLine="0"/>
              <w:jc w:val="center"/>
              <w:rPr>
                <w:b/>
                <w:lang w:val="ro-MD"/>
              </w:rPr>
            </w:pPr>
            <w:r w:rsidRPr="001E2AC1">
              <w:rPr>
                <w:b/>
                <w:lang w:val="ro-MD"/>
              </w:rPr>
              <w:t>Modificări ale Regulamentului (CE) nr. 2073/2005</w:t>
            </w:r>
          </w:p>
          <w:p w14:paraId="271F7CF0" w14:textId="77777777" w:rsidR="00553665" w:rsidRPr="001E2AC1" w:rsidRDefault="00553665" w:rsidP="00EC48E1">
            <w:pPr>
              <w:ind w:firstLine="0"/>
              <w:rPr>
                <w:b/>
                <w:lang w:val="ro-MD"/>
              </w:rPr>
            </w:pPr>
          </w:p>
          <w:p w14:paraId="7E08D4DB" w14:textId="77777777" w:rsidR="00553665" w:rsidRPr="001E2AC1" w:rsidRDefault="00553665" w:rsidP="00EC48E1">
            <w:pPr>
              <w:ind w:firstLine="0"/>
              <w:rPr>
                <w:lang w:val="ro-MD"/>
              </w:rPr>
            </w:pPr>
            <w:r w:rsidRPr="001E2AC1">
              <w:rPr>
                <w:lang w:val="ro-MD"/>
              </w:rPr>
              <w:t>Regulamentul (CE) nr. 2073/2005 se modifică după cum urmează:</w:t>
            </w:r>
          </w:p>
          <w:tbl>
            <w:tblPr>
              <w:tblW w:w="4711" w:type="pct"/>
              <w:shd w:val="clear" w:color="auto" w:fill="FFFFFF"/>
              <w:tblLayout w:type="fixed"/>
              <w:tblCellMar>
                <w:left w:w="0" w:type="dxa"/>
                <w:right w:w="0" w:type="dxa"/>
              </w:tblCellMar>
              <w:tblLook w:val="04A0" w:firstRow="1" w:lastRow="0" w:firstColumn="1" w:lastColumn="0" w:noHBand="0" w:noVBand="1"/>
            </w:tblPr>
            <w:tblGrid>
              <w:gridCol w:w="139"/>
              <w:gridCol w:w="6064"/>
            </w:tblGrid>
            <w:tr w:rsidR="00553665" w:rsidRPr="0099604E" w14:paraId="5C4DA69A" w14:textId="77777777" w:rsidTr="00553665">
              <w:trPr>
                <w:trHeight w:val="1086"/>
              </w:trPr>
              <w:tc>
                <w:tcPr>
                  <w:tcW w:w="149" w:type="dxa"/>
                  <w:shd w:val="clear" w:color="auto" w:fill="FFFFFF"/>
                  <w:hideMark/>
                </w:tcPr>
                <w:p w14:paraId="33DAD550" w14:textId="77777777" w:rsidR="00553665" w:rsidRPr="0099604E" w:rsidRDefault="00553665" w:rsidP="00EC48E1">
                  <w:pPr>
                    <w:spacing w:before="120"/>
                    <w:ind w:firstLine="0"/>
                    <w:rPr>
                      <w:color w:val="333333"/>
                      <w:lang w:val="ro-RO" w:eastAsia="ro-RO"/>
                    </w:rPr>
                  </w:pPr>
                  <w:r w:rsidRPr="0099604E">
                    <w:rPr>
                      <w:color w:val="333333"/>
                      <w:lang w:val="ro-RO" w:eastAsia="ro-RO"/>
                    </w:rPr>
                    <w:t>1.</w:t>
                  </w:r>
                </w:p>
              </w:tc>
              <w:tc>
                <w:tcPr>
                  <w:tcW w:w="6546" w:type="dxa"/>
                  <w:shd w:val="clear" w:color="auto" w:fill="FFFFFF"/>
                  <w:hideMark/>
                </w:tcPr>
                <w:p w14:paraId="6D362C5C" w14:textId="77777777" w:rsidR="00553665" w:rsidRPr="0099604E" w:rsidRDefault="00553665" w:rsidP="00EC48E1">
                  <w:pPr>
                    <w:spacing w:before="120"/>
                    <w:ind w:firstLine="0"/>
                    <w:rPr>
                      <w:color w:val="333333"/>
                      <w:lang w:val="ro-RO" w:eastAsia="ro-RO"/>
                    </w:rPr>
                  </w:pPr>
                  <w:r w:rsidRPr="0099604E">
                    <w:rPr>
                      <w:color w:val="333333"/>
                      <w:lang w:val="ro-RO" w:eastAsia="ro-RO"/>
                    </w:rPr>
                    <w:t>La articolul 2, se adaugă următoarea literă (q):</w:t>
                  </w:r>
                </w:p>
                <w:tbl>
                  <w:tblPr>
                    <w:tblW w:w="4866" w:type="pct"/>
                    <w:tblLayout w:type="fixed"/>
                    <w:tblCellMar>
                      <w:left w:w="0" w:type="dxa"/>
                      <w:right w:w="0" w:type="dxa"/>
                    </w:tblCellMar>
                    <w:tblLook w:val="04A0" w:firstRow="1" w:lastRow="0" w:firstColumn="1" w:lastColumn="0" w:noHBand="0" w:noVBand="1"/>
                  </w:tblPr>
                  <w:tblGrid>
                    <w:gridCol w:w="332"/>
                    <w:gridCol w:w="5569"/>
                  </w:tblGrid>
                  <w:tr w:rsidR="00553665" w:rsidRPr="0099604E" w14:paraId="621EDA02" w14:textId="77777777" w:rsidTr="00553665">
                    <w:trPr>
                      <w:trHeight w:val="394"/>
                    </w:trPr>
                    <w:tc>
                      <w:tcPr>
                        <w:tcW w:w="357" w:type="dxa"/>
                        <w:shd w:val="clear" w:color="auto" w:fill="auto"/>
                        <w:hideMark/>
                      </w:tcPr>
                      <w:p w14:paraId="5250BE81" w14:textId="77777777" w:rsidR="00553665" w:rsidRPr="0099604E" w:rsidRDefault="00553665" w:rsidP="00EC48E1">
                        <w:pPr>
                          <w:spacing w:before="120"/>
                          <w:ind w:firstLine="0"/>
                          <w:rPr>
                            <w:lang w:val="ro-RO" w:eastAsia="ro-RO"/>
                          </w:rPr>
                        </w:pPr>
                        <w:r>
                          <w:rPr>
                            <w:lang w:val="ro-RO" w:eastAsia="ro-RO"/>
                          </w:rPr>
                          <w:t>„(q</w:t>
                        </w:r>
                        <w:r w:rsidRPr="0099604E">
                          <w:rPr>
                            <w:lang w:val="ro-RO" w:eastAsia="ro-RO"/>
                          </w:rPr>
                          <w:t>)</w:t>
                        </w:r>
                      </w:p>
                    </w:tc>
                    <w:tc>
                      <w:tcPr>
                        <w:tcW w:w="6014" w:type="dxa"/>
                        <w:shd w:val="clear" w:color="auto" w:fill="auto"/>
                        <w:hideMark/>
                      </w:tcPr>
                      <w:p w14:paraId="7EA94914" w14:textId="77777777" w:rsidR="00553665" w:rsidRDefault="00553665" w:rsidP="00EC48E1">
                        <w:pPr>
                          <w:spacing w:before="120"/>
                          <w:ind w:firstLine="0"/>
                          <w:rPr>
                            <w:lang w:val="ro-RO" w:eastAsia="ro-RO"/>
                          </w:rPr>
                        </w:pPr>
                        <w:r w:rsidRPr="0099604E">
                          <w:rPr>
                            <w:lang w:val="ro-RO" w:eastAsia="ro-RO"/>
                          </w:rPr>
                          <w:t>«carne de reptile» înseamnă carne de reptile, astfel cum se prevede la articolul 2 punctul 16 din Regulamentul d</w:t>
                        </w:r>
                        <w:r>
                          <w:rPr>
                            <w:lang w:val="ro-RO" w:eastAsia="ro-RO"/>
                          </w:rPr>
                          <w:t>elegat (UE) 2019/625 al Comisie</w:t>
                        </w:r>
                      </w:p>
                      <w:p w14:paraId="3F658BE3" w14:textId="77777777" w:rsidR="00553665" w:rsidRDefault="00553665" w:rsidP="00EC48E1">
                        <w:pPr>
                          <w:spacing w:before="120"/>
                          <w:ind w:firstLine="0"/>
                          <w:rPr>
                            <w:lang w:val="ro-RO" w:eastAsia="ro-RO"/>
                          </w:rPr>
                        </w:pPr>
                        <w:r w:rsidRPr="00AE6A2D">
                          <w:rPr>
                            <w:b/>
                            <w:lang w:val="ro-RO" w:eastAsia="ro-RO"/>
                          </w:rPr>
                          <w:t>Regulamentul delegat (UE) 2022/2292</w:t>
                        </w:r>
                        <w:r w:rsidRPr="00C944B3">
                          <w:rPr>
                            <w:lang w:val="ro-RO" w:eastAsia="ro-RO"/>
                          </w:rPr>
                          <w:t xml:space="preserve"> al Comisiei din 6 septembrie 2022 de completare a Regulamentului (UE) 2017/625 al Parlamentului European și al Consiliului în ceea ce privește cerințele pentru intrarea în Uniune a transporturilor de animale de la care se obțin produse alimentare și de anumite mărfuri destinate consumului uman</w:t>
                        </w:r>
                      </w:p>
                      <w:p w14:paraId="35B4549D" w14:textId="77777777" w:rsidR="00553665" w:rsidRPr="0099604E" w:rsidRDefault="00553665" w:rsidP="00EC48E1">
                        <w:pPr>
                          <w:spacing w:before="120"/>
                          <w:ind w:firstLine="0"/>
                          <w:rPr>
                            <w:lang w:val="ro-RO" w:eastAsia="ro-RO"/>
                          </w:rPr>
                        </w:pPr>
                        <w:r w:rsidRPr="00EC48E1">
                          <w:rPr>
                            <w:lang w:val="ro-RO" w:eastAsia="ro-RO"/>
                          </w:rPr>
                          <w:t>„</w:t>
                        </w:r>
                        <w:r w:rsidRPr="00EC48E1">
                          <w:rPr>
                            <w:i/>
                            <w:lang w:val="ro-RO" w:eastAsia="ro-RO"/>
                          </w:rPr>
                          <w:t>carne de reptile</w:t>
                        </w:r>
                        <w:r w:rsidRPr="00EC48E1">
                          <w:rPr>
                            <w:lang w:val="ro-RO" w:eastAsia="ro-RO"/>
                          </w:rPr>
                          <w:t>” înseamnă părțile comestibile, neprelucrate sau prelucrate, derivate din reptile de crescătorie, aparținând speciilor Alligator mississippiensis, Crocodylus johnstoni, Crocodylus niloticus, Crocodylus porosus, Timon lepidus, Python reticulatus, Python molurus bivittatus sau Pelodiscus sinensis, care sunt, după caz, autorizate în conformitate cu Regulamentul (UE) 2015/2283 și incluse în lista cu alimente noi a Uniunii;</w:t>
                        </w:r>
                      </w:p>
                    </w:tc>
                  </w:tr>
                </w:tbl>
                <w:p w14:paraId="549E69CC" w14:textId="77777777" w:rsidR="00553665" w:rsidRPr="0099604E" w:rsidRDefault="00553665" w:rsidP="00EC48E1">
                  <w:pPr>
                    <w:spacing w:before="60" w:after="60"/>
                    <w:ind w:firstLine="0"/>
                    <w:rPr>
                      <w:color w:val="333333"/>
                      <w:lang w:val="ro-RO" w:eastAsia="ro-RO"/>
                    </w:rPr>
                  </w:pPr>
                </w:p>
              </w:tc>
            </w:tr>
          </w:tbl>
          <w:p w14:paraId="29FD4693" w14:textId="77777777" w:rsidR="00553665" w:rsidRPr="0067228F" w:rsidRDefault="00553665" w:rsidP="00EC48E1">
            <w:pPr>
              <w:ind w:firstLine="0"/>
            </w:pPr>
          </w:p>
        </w:tc>
        <w:tc>
          <w:tcPr>
            <w:tcW w:w="4536" w:type="dxa"/>
          </w:tcPr>
          <w:p w14:paraId="74894D11" w14:textId="77777777" w:rsidR="00553665" w:rsidRPr="00E563E8" w:rsidRDefault="00553665" w:rsidP="00E563E8">
            <w:pPr>
              <w:ind w:firstLine="0"/>
              <w:rPr>
                <w:lang w:val="ro-MD"/>
              </w:rPr>
            </w:pPr>
            <w:r>
              <w:rPr>
                <w:b/>
                <w:lang w:val="ro-MD"/>
              </w:rPr>
              <w:t>2.</w:t>
            </w:r>
            <w:r w:rsidRPr="00E563E8">
              <w:rPr>
                <w:lang w:val="ro-MD"/>
              </w:rPr>
              <w:t>Regulile privind criteriile microbiologice pentru produsele alimentare aprobate prin Hotărîrea de Guvern nr. 221/2009 (Monitorul Oficial al Republicii Moldova, 2009, nr.59-61, art.nr. 272) cu modificările ulterioare se modifică după cum urmează:</w:t>
            </w:r>
          </w:p>
          <w:p w14:paraId="525E72F2" w14:textId="77777777" w:rsidR="00553665" w:rsidRPr="00E563E8" w:rsidRDefault="00553665" w:rsidP="00E563E8">
            <w:pPr>
              <w:ind w:firstLine="0"/>
              <w:rPr>
                <w:rFonts w:asciiTheme="majorBidi" w:hAnsiTheme="majorBidi" w:cstheme="majorBidi"/>
                <w:bCs/>
                <w:lang w:val="ro-RO"/>
              </w:rPr>
            </w:pPr>
            <w:r w:rsidRPr="00E563E8">
              <w:rPr>
                <w:lang w:val="ro-MD"/>
              </w:rPr>
              <w:t>1) la Clauza de armonizare textul ”Regulamentul (UE) nr. 2019/229 al Comisiei din 7 februarie 2019.” se substituie cu textul ”Regulamentul (UE) 2020/205 al Comisiei din 14 februarie 2020”.</w:t>
            </w:r>
          </w:p>
          <w:p w14:paraId="0C6C8BCD" w14:textId="77777777" w:rsidR="00553665" w:rsidRDefault="00553665" w:rsidP="00E563E8">
            <w:pPr>
              <w:ind w:firstLine="0"/>
              <w:rPr>
                <w:rFonts w:asciiTheme="majorBidi" w:hAnsiTheme="majorBidi" w:cstheme="majorBidi"/>
                <w:bCs/>
                <w:lang w:val="ro-RO"/>
              </w:rPr>
            </w:pPr>
          </w:p>
          <w:p w14:paraId="3B3C01CD"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bCs/>
                <w:lang w:val="ro-RO"/>
              </w:rPr>
              <w:t>b) punctul 4 se completează cu noțiunea de ”carne de reptile” cu următorul cuprins:</w:t>
            </w:r>
          </w:p>
          <w:p w14:paraId="081DF682"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bCs/>
                <w:lang w:val="ro-RO"/>
              </w:rPr>
              <w:t>”carne de reptile” - părțile comestibile, neprelucrate sau prelucrate, derivate din reptile de crescătorie, aparținând speciilor Alligator mississippiensis, Crocodylus johnstoni, Crocodylus niloticus, Crocodylus porosus, Timon lepidus, Python reticulatus, Python molurus bivittatus sau Pelodiscus sinensis, care sunt însoțite de Certificatul de sănătate și incluse în lista cu alimente noi aprobată de Guvern.”</w:t>
            </w:r>
          </w:p>
        </w:tc>
        <w:tc>
          <w:tcPr>
            <w:tcW w:w="1589" w:type="dxa"/>
          </w:tcPr>
          <w:p w14:paraId="00869553" w14:textId="77777777" w:rsidR="00553665" w:rsidRPr="00655E6D" w:rsidRDefault="00553665" w:rsidP="00EC48E1">
            <w:pPr>
              <w:ind w:firstLine="0"/>
              <w:jc w:val="center"/>
              <w:rPr>
                <w:rFonts w:asciiTheme="majorBidi" w:hAnsiTheme="majorBidi" w:cstheme="majorBidi"/>
                <w:b/>
                <w:noProof/>
                <w:color w:val="FF0000"/>
                <w:lang w:val="ro-RO"/>
              </w:rPr>
            </w:pPr>
            <w:r w:rsidRPr="00EC48E1">
              <w:rPr>
                <w:rFonts w:asciiTheme="majorBidi" w:hAnsiTheme="majorBidi" w:cstheme="majorBidi"/>
                <w:b/>
                <w:noProof/>
                <w:color w:val="000000" w:themeColor="text1"/>
                <w:lang w:val="ro-RO"/>
              </w:rPr>
              <w:t>Compatibil</w:t>
            </w:r>
          </w:p>
        </w:tc>
        <w:tc>
          <w:tcPr>
            <w:tcW w:w="1208" w:type="dxa"/>
            <w:gridSpan w:val="2"/>
          </w:tcPr>
          <w:p w14:paraId="461B3831" w14:textId="77777777" w:rsidR="00553665" w:rsidRPr="00655E6D" w:rsidRDefault="00553665" w:rsidP="00EC48E1">
            <w:pPr>
              <w:ind w:firstLine="0"/>
              <w:jc w:val="center"/>
              <w:rPr>
                <w:rFonts w:asciiTheme="majorBidi" w:hAnsiTheme="majorBidi" w:cstheme="majorBidi"/>
                <w:b/>
                <w:noProof/>
                <w:color w:val="FF0000"/>
                <w:lang w:val="ro-RO"/>
              </w:rPr>
            </w:pPr>
          </w:p>
        </w:tc>
      </w:tr>
      <w:tr w:rsidR="00553665" w:rsidRPr="00CA2BA8" w14:paraId="7C22615C" w14:textId="77777777" w:rsidTr="00553665">
        <w:tblPrEx>
          <w:jc w:val="left"/>
        </w:tblPrEx>
        <w:trPr>
          <w:trHeight w:val="414"/>
        </w:trPr>
        <w:tc>
          <w:tcPr>
            <w:tcW w:w="6799" w:type="dxa"/>
          </w:tcPr>
          <w:tbl>
            <w:tblPr>
              <w:tblW w:w="4981" w:type="pct"/>
              <w:shd w:val="clear" w:color="auto" w:fill="FFFFFF"/>
              <w:tblLayout w:type="fixed"/>
              <w:tblCellMar>
                <w:left w:w="0" w:type="dxa"/>
                <w:right w:w="0" w:type="dxa"/>
              </w:tblCellMar>
              <w:tblLook w:val="04A0" w:firstRow="1" w:lastRow="0" w:firstColumn="1" w:lastColumn="0" w:noHBand="0" w:noVBand="1"/>
            </w:tblPr>
            <w:tblGrid>
              <w:gridCol w:w="181"/>
              <w:gridCol w:w="6377"/>
            </w:tblGrid>
            <w:tr w:rsidR="00553665" w:rsidRPr="0099604E" w14:paraId="4696699A" w14:textId="77777777" w:rsidTr="00553665">
              <w:trPr>
                <w:trHeight w:val="80"/>
              </w:trPr>
              <w:tc>
                <w:tcPr>
                  <w:tcW w:w="194" w:type="dxa"/>
                  <w:shd w:val="clear" w:color="auto" w:fill="FFFFFF"/>
                  <w:hideMark/>
                </w:tcPr>
                <w:p w14:paraId="6D9DBF28" w14:textId="77777777" w:rsidR="00553665" w:rsidRPr="0099604E" w:rsidRDefault="00553665" w:rsidP="00EC48E1">
                  <w:pPr>
                    <w:spacing w:before="120"/>
                    <w:ind w:firstLine="0"/>
                    <w:rPr>
                      <w:color w:val="333333"/>
                      <w:lang w:val="ro-RO" w:eastAsia="ro-RO"/>
                    </w:rPr>
                  </w:pPr>
                  <w:r w:rsidRPr="0099604E">
                    <w:rPr>
                      <w:color w:val="333333"/>
                      <w:lang w:val="ro-RO" w:eastAsia="ro-RO"/>
                    </w:rPr>
                    <w:t>2.</w:t>
                  </w:r>
                </w:p>
              </w:tc>
              <w:tc>
                <w:tcPr>
                  <w:tcW w:w="6885" w:type="dxa"/>
                  <w:shd w:val="clear" w:color="auto" w:fill="FFFFFF"/>
                  <w:hideMark/>
                </w:tcPr>
                <w:p w14:paraId="57BB46C2" w14:textId="77777777" w:rsidR="00553665" w:rsidRPr="0099604E" w:rsidRDefault="00553665" w:rsidP="00EC48E1">
                  <w:pPr>
                    <w:spacing w:before="120"/>
                    <w:ind w:firstLine="0"/>
                    <w:rPr>
                      <w:color w:val="333333"/>
                      <w:lang w:val="ro-RO" w:eastAsia="ro-RO"/>
                    </w:rPr>
                  </w:pPr>
                  <w:r w:rsidRPr="0099604E">
                    <w:rPr>
                      <w:color w:val="333333"/>
                      <w:lang w:val="ro-RO" w:eastAsia="ro-RO"/>
                    </w:rPr>
                    <w:t>Anexa I se modifică în conformitate cu anexa la prezentul regulamen</w:t>
                  </w:r>
                  <w:r w:rsidRPr="001E2AC1">
                    <w:rPr>
                      <w:color w:val="333333"/>
                      <w:lang w:val="ro-RO" w:eastAsia="ro-RO"/>
                    </w:rPr>
                    <w:t>t.</w:t>
                  </w:r>
                </w:p>
              </w:tc>
            </w:tr>
          </w:tbl>
          <w:p w14:paraId="135E0CB8" w14:textId="77777777" w:rsidR="00553665" w:rsidRPr="00EC48E1" w:rsidRDefault="00553665" w:rsidP="00EC48E1">
            <w:pPr>
              <w:ind w:firstLine="0"/>
              <w:jc w:val="center"/>
              <w:rPr>
                <w:i/>
                <w:lang w:val="ro-RO"/>
              </w:rPr>
            </w:pPr>
          </w:p>
        </w:tc>
        <w:tc>
          <w:tcPr>
            <w:tcW w:w="4536" w:type="dxa"/>
          </w:tcPr>
          <w:p w14:paraId="1A1AA52B" w14:textId="77777777" w:rsidR="00553665" w:rsidRPr="00E563E8" w:rsidRDefault="00553665" w:rsidP="00EC48E1">
            <w:pPr>
              <w:ind w:firstLine="0"/>
              <w:rPr>
                <w:rFonts w:asciiTheme="majorBidi" w:hAnsiTheme="majorBidi" w:cstheme="majorBidi"/>
                <w:bCs/>
                <w:lang w:val="ro-RO"/>
              </w:rPr>
            </w:pPr>
            <w:r w:rsidRPr="00E563E8">
              <w:rPr>
                <w:rFonts w:asciiTheme="majorBidi" w:hAnsiTheme="majorBidi" w:cstheme="majorBidi"/>
                <w:bCs/>
                <w:lang w:val="ro-RO"/>
              </w:rPr>
              <w:t>3) Anexa la compartimentul Criteriile de siguranță a produselor alimentare se completează cu pct.1.30 cu următorul cuprins:</w:t>
            </w:r>
          </w:p>
        </w:tc>
        <w:tc>
          <w:tcPr>
            <w:tcW w:w="1589" w:type="dxa"/>
          </w:tcPr>
          <w:p w14:paraId="0B3F308D" w14:textId="77777777" w:rsidR="00553665" w:rsidRPr="00655E6D" w:rsidRDefault="00553665" w:rsidP="00EC48E1">
            <w:pPr>
              <w:ind w:firstLine="0"/>
              <w:jc w:val="center"/>
              <w:rPr>
                <w:rFonts w:asciiTheme="majorBidi" w:hAnsiTheme="majorBidi" w:cstheme="majorBidi"/>
                <w:b/>
                <w:noProof/>
                <w:color w:val="FF0000"/>
                <w:lang w:val="ro-RO"/>
              </w:rPr>
            </w:pPr>
            <w:r w:rsidRPr="00EC48E1">
              <w:rPr>
                <w:rFonts w:asciiTheme="majorBidi" w:hAnsiTheme="majorBidi" w:cstheme="majorBidi"/>
                <w:b/>
                <w:noProof/>
                <w:color w:val="000000" w:themeColor="text1"/>
                <w:lang w:val="ro-RO"/>
              </w:rPr>
              <w:t>Compatibil</w:t>
            </w:r>
          </w:p>
        </w:tc>
        <w:tc>
          <w:tcPr>
            <w:tcW w:w="1208" w:type="dxa"/>
            <w:gridSpan w:val="2"/>
          </w:tcPr>
          <w:p w14:paraId="1236411B" w14:textId="77777777" w:rsidR="00553665" w:rsidRPr="00655E6D" w:rsidRDefault="00553665" w:rsidP="00EC48E1">
            <w:pPr>
              <w:ind w:firstLine="0"/>
              <w:jc w:val="center"/>
              <w:rPr>
                <w:rFonts w:asciiTheme="majorBidi" w:hAnsiTheme="majorBidi" w:cstheme="majorBidi"/>
                <w:b/>
                <w:noProof/>
                <w:color w:val="FF0000"/>
                <w:lang w:val="ro-RO"/>
              </w:rPr>
            </w:pPr>
          </w:p>
        </w:tc>
      </w:tr>
      <w:tr w:rsidR="00553665" w:rsidRPr="00FC2172" w14:paraId="1E860450" w14:textId="77777777" w:rsidTr="00553665">
        <w:tblPrEx>
          <w:jc w:val="left"/>
        </w:tblPrEx>
        <w:trPr>
          <w:gridAfter w:val="1"/>
          <w:wAfter w:w="16" w:type="dxa"/>
          <w:trHeight w:val="5948"/>
        </w:trPr>
        <w:tc>
          <w:tcPr>
            <w:tcW w:w="6799" w:type="dxa"/>
          </w:tcPr>
          <w:p w14:paraId="4DFE081F" w14:textId="77777777" w:rsidR="00553665" w:rsidRPr="001E2AC1" w:rsidRDefault="00553665" w:rsidP="009478F1">
            <w:pPr>
              <w:ind w:firstLine="0"/>
              <w:jc w:val="center"/>
              <w:rPr>
                <w:i/>
                <w:lang w:val="ro-MD"/>
              </w:rPr>
            </w:pPr>
            <w:r w:rsidRPr="001E2AC1">
              <w:rPr>
                <w:i/>
                <w:lang w:val="ro-MD"/>
              </w:rPr>
              <w:lastRenderedPageBreak/>
              <w:t>ANEXĂ</w:t>
            </w:r>
          </w:p>
          <w:p w14:paraId="258A774A" w14:textId="77777777" w:rsidR="00553665" w:rsidRPr="001E2AC1" w:rsidRDefault="00553665" w:rsidP="009A61EA">
            <w:pPr>
              <w:ind w:firstLine="0"/>
              <w:rPr>
                <w:color w:val="333333"/>
                <w:shd w:val="clear" w:color="auto" w:fill="FFFFFF"/>
              </w:rPr>
            </w:pPr>
            <w:r w:rsidRPr="001E2AC1">
              <w:rPr>
                <w:color w:val="333333"/>
                <w:shd w:val="clear" w:color="auto" w:fill="FFFFFF"/>
              </w:rPr>
              <w:t>Anexa I la Regulamentul (CE) nr. 2073/2005 se modifică după cum urmează:</w:t>
            </w:r>
          </w:p>
          <w:p w14:paraId="4C0F062F" w14:textId="77777777" w:rsidR="00553665" w:rsidRPr="009478F1" w:rsidRDefault="00553665" w:rsidP="009478F1">
            <w:pPr>
              <w:pStyle w:val="Listparagraf"/>
              <w:numPr>
                <w:ilvl w:val="0"/>
                <w:numId w:val="1"/>
              </w:numPr>
              <w:rPr>
                <w:color w:val="333333"/>
              </w:rPr>
            </w:pPr>
            <w:r w:rsidRPr="009478F1">
              <w:rPr>
                <w:color w:val="333333"/>
              </w:rPr>
              <w:t>În capitolul 1, se adaugă următorul rând 1.30:</w:t>
            </w:r>
          </w:p>
          <w:p w14:paraId="776D0AAB" w14:textId="77777777" w:rsidR="00553665" w:rsidRPr="009478F1" w:rsidRDefault="00553665" w:rsidP="009478F1">
            <w:pPr>
              <w:pStyle w:val="Listparagraf"/>
              <w:ind w:firstLine="0"/>
              <w:rPr>
                <w:color w:val="333333"/>
              </w:rPr>
            </w:pPr>
          </w:p>
          <w:tbl>
            <w:tblPr>
              <w:tblW w:w="6547" w:type="dxa"/>
              <w:tblInd w:w="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41"/>
              <w:gridCol w:w="951"/>
              <w:gridCol w:w="407"/>
              <w:gridCol w:w="409"/>
              <w:gridCol w:w="543"/>
              <w:gridCol w:w="408"/>
              <w:gridCol w:w="992"/>
              <w:gridCol w:w="1496"/>
            </w:tblGrid>
            <w:tr w:rsidR="00553665" w:rsidRPr="001E2AC1" w14:paraId="6CD6DE58" w14:textId="77777777" w:rsidTr="00553665">
              <w:trPr>
                <w:trHeight w:val="1374"/>
              </w:trPr>
              <w:tc>
                <w:tcPr>
                  <w:tcW w:w="134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D3F3AE8" w14:textId="77777777" w:rsidR="00553665" w:rsidRPr="001E2AC1" w:rsidRDefault="00553665" w:rsidP="003E7A6A">
                  <w:pPr>
                    <w:spacing w:before="60" w:after="60" w:line="312" w:lineRule="atLeast"/>
                    <w:ind w:right="195" w:firstLine="0"/>
                    <w:jc w:val="center"/>
                    <w:rPr>
                      <w:b/>
                      <w:bCs/>
                      <w:lang w:val="ro-RO" w:eastAsia="ro-RO"/>
                    </w:rPr>
                  </w:pPr>
                  <w:r w:rsidRPr="006B6204">
                    <w:rPr>
                      <w:b/>
                      <w:bCs/>
                      <w:lang w:val="ro-RO" w:eastAsia="ro-RO"/>
                    </w:rPr>
                    <w:t>Categoria</w:t>
                  </w:r>
                </w:p>
                <w:p w14:paraId="6DC3A8A0" w14:textId="77777777" w:rsidR="00553665" w:rsidRPr="006B6204" w:rsidRDefault="00553665" w:rsidP="003E7A6A">
                  <w:pPr>
                    <w:spacing w:before="60" w:after="60" w:line="312" w:lineRule="atLeast"/>
                    <w:ind w:right="195" w:firstLine="0"/>
                    <w:jc w:val="center"/>
                    <w:rPr>
                      <w:b/>
                      <w:bCs/>
                      <w:lang w:val="ro-RO" w:eastAsia="ro-RO"/>
                    </w:rPr>
                  </w:pPr>
                  <w:r w:rsidRPr="006B6204">
                    <w:rPr>
                      <w:b/>
                      <w:bCs/>
                      <w:lang w:val="ro-RO" w:eastAsia="ro-RO"/>
                    </w:rPr>
                    <w:t>de produse alimentare</w:t>
                  </w:r>
                </w:p>
              </w:tc>
              <w:tc>
                <w:tcPr>
                  <w:tcW w:w="95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628F3DF" w14:textId="77777777" w:rsidR="00553665" w:rsidRPr="006B6204" w:rsidRDefault="00553665" w:rsidP="003E7A6A">
                  <w:pPr>
                    <w:spacing w:before="60" w:after="60" w:line="312" w:lineRule="atLeast"/>
                    <w:ind w:right="195" w:firstLine="0"/>
                    <w:jc w:val="center"/>
                    <w:rPr>
                      <w:b/>
                      <w:bCs/>
                      <w:lang w:val="ro-RO" w:eastAsia="ro-RO"/>
                    </w:rPr>
                  </w:pPr>
                  <w:r w:rsidRPr="006B6204">
                    <w:rPr>
                      <w:b/>
                      <w:bCs/>
                      <w:lang w:val="ro-RO" w:eastAsia="ro-RO"/>
                    </w:rPr>
                    <w:t>Microorganisme/toxinele, metaboliții acestora</w:t>
                  </w:r>
                </w:p>
              </w:tc>
              <w:tc>
                <w:tcPr>
                  <w:tcW w:w="8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C205B4B" w14:textId="77777777" w:rsidR="00553665" w:rsidRPr="006B6204" w:rsidRDefault="00553665" w:rsidP="003E7A6A">
                  <w:pPr>
                    <w:spacing w:before="60" w:after="60" w:line="312" w:lineRule="atLeast"/>
                    <w:ind w:right="195" w:firstLine="0"/>
                    <w:jc w:val="center"/>
                    <w:rPr>
                      <w:b/>
                      <w:bCs/>
                      <w:lang w:val="ro-RO" w:eastAsia="ro-RO"/>
                    </w:rPr>
                  </w:pPr>
                  <w:r w:rsidRPr="006B6204">
                    <w:rPr>
                      <w:b/>
                      <w:bCs/>
                      <w:lang w:val="ro-RO" w:eastAsia="ro-RO"/>
                    </w:rPr>
                    <w:t>Plan de prelevare de probe</w:t>
                  </w:r>
                </w:p>
              </w:tc>
              <w:tc>
                <w:tcPr>
                  <w:tcW w:w="9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05B4FAC" w14:textId="77777777" w:rsidR="00553665" w:rsidRPr="006B6204" w:rsidRDefault="00553665" w:rsidP="003E7A6A">
                  <w:pPr>
                    <w:spacing w:before="60" w:after="60" w:line="312" w:lineRule="atLeast"/>
                    <w:ind w:right="195" w:firstLine="0"/>
                    <w:jc w:val="center"/>
                    <w:rPr>
                      <w:b/>
                      <w:bCs/>
                      <w:lang w:val="ro-RO" w:eastAsia="ro-RO"/>
                    </w:rPr>
                  </w:pPr>
                  <w:r w:rsidRPr="006B6204">
                    <w:rPr>
                      <w:b/>
                      <w:bCs/>
                      <w:lang w:val="ro-RO" w:eastAsia="ro-RO"/>
                    </w:rPr>
                    <w:t>Limite</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A0C440A" w14:textId="77777777" w:rsidR="00553665" w:rsidRPr="006B6204" w:rsidRDefault="00553665" w:rsidP="003E7A6A">
                  <w:pPr>
                    <w:spacing w:before="60" w:after="60" w:line="312" w:lineRule="atLeast"/>
                    <w:ind w:right="195" w:firstLine="0"/>
                    <w:jc w:val="center"/>
                    <w:rPr>
                      <w:b/>
                      <w:bCs/>
                      <w:lang w:val="ro-RO" w:eastAsia="ro-RO"/>
                    </w:rPr>
                  </w:pPr>
                  <w:r w:rsidRPr="006B6204">
                    <w:rPr>
                      <w:b/>
                      <w:bCs/>
                      <w:lang w:val="ro-RO" w:eastAsia="ro-RO"/>
                    </w:rPr>
                    <w:t>Metodă analitică de referință</w:t>
                  </w:r>
                </w:p>
              </w:tc>
              <w:tc>
                <w:tcPr>
                  <w:tcW w:w="149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39B0336" w14:textId="77777777" w:rsidR="00553665" w:rsidRPr="006B6204" w:rsidRDefault="00553665" w:rsidP="003E7A6A">
                  <w:pPr>
                    <w:spacing w:before="60" w:after="60" w:line="312" w:lineRule="atLeast"/>
                    <w:ind w:right="195" w:firstLine="0"/>
                    <w:jc w:val="center"/>
                    <w:rPr>
                      <w:b/>
                      <w:bCs/>
                      <w:lang w:val="ro-RO" w:eastAsia="ro-RO"/>
                    </w:rPr>
                  </w:pPr>
                  <w:r w:rsidRPr="006B6204">
                    <w:rPr>
                      <w:b/>
                      <w:bCs/>
                      <w:lang w:val="ro-RO" w:eastAsia="ro-RO"/>
                    </w:rPr>
                    <w:t>Etapă căreia i se aplică criteriul</w:t>
                  </w:r>
                </w:p>
              </w:tc>
            </w:tr>
            <w:tr w:rsidR="00553665" w:rsidRPr="001E2AC1" w14:paraId="0968CA5E" w14:textId="77777777" w:rsidTr="00553665">
              <w:trPr>
                <w:trHeight w:val="409"/>
              </w:trPr>
              <w:tc>
                <w:tcPr>
                  <w:tcW w:w="134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1CCADC" w14:textId="77777777" w:rsidR="00553665" w:rsidRPr="006B6204" w:rsidRDefault="00553665" w:rsidP="006B6204">
                  <w:pPr>
                    <w:ind w:firstLine="0"/>
                    <w:jc w:val="left"/>
                    <w:rPr>
                      <w:b/>
                      <w:bCs/>
                      <w:lang w:val="ro-RO" w:eastAsia="ro-RO"/>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F1B30" w14:textId="77777777" w:rsidR="00553665" w:rsidRPr="006B6204" w:rsidRDefault="00553665" w:rsidP="006B6204">
                  <w:pPr>
                    <w:ind w:firstLine="0"/>
                    <w:jc w:val="left"/>
                    <w:rPr>
                      <w:b/>
                      <w:bCs/>
                      <w:lang w:val="ro-RO" w:eastAsia="ro-RO"/>
                    </w:rPr>
                  </w:pPr>
                </w:p>
              </w:tc>
              <w:tc>
                <w:tcPr>
                  <w:tcW w:w="407" w:type="dxa"/>
                  <w:tcBorders>
                    <w:top w:val="single" w:sz="6" w:space="0" w:color="000000"/>
                    <w:left w:val="single" w:sz="6" w:space="0" w:color="000000"/>
                    <w:bottom w:val="single" w:sz="6" w:space="0" w:color="000000"/>
                    <w:right w:val="single" w:sz="6" w:space="0" w:color="000000"/>
                  </w:tcBorders>
                  <w:shd w:val="clear" w:color="auto" w:fill="auto"/>
                  <w:hideMark/>
                </w:tcPr>
                <w:p w14:paraId="2BE2BBEF" w14:textId="77777777" w:rsidR="00553665" w:rsidRPr="006B6204" w:rsidRDefault="00553665" w:rsidP="006B6204">
                  <w:pPr>
                    <w:spacing w:before="60" w:after="60" w:line="312" w:lineRule="atLeast"/>
                    <w:ind w:right="195" w:firstLine="0"/>
                    <w:jc w:val="center"/>
                    <w:rPr>
                      <w:b/>
                      <w:bCs/>
                      <w:lang w:val="ro-RO" w:eastAsia="ro-RO"/>
                    </w:rPr>
                  </w:pPr>
                  <w:r w:rsidRPr="006B6204">
                    <w:rPr>
                      <w:b/>
                      <w:bCs/>
                      <w:lang w:val="ro-RO" w:eastAsia="ro-RO"/>
                    </w:rPr>
                    <w:t>n</w:t>
                  </w:r>
                </w:p>
              </w:tc>
              <w:tc>
                <w:tcPr>
                  <w:tcW w:w="408" w:type="dxa"/>
                  <w:tcBorders>
                    <w:top w:val="single" w:sz="6" w:space="0" w:color="000000"/>
                    <w:left w:val="single" w:sz="6" w:space="0" w:color="000000"/>
                    <w:bottom w:val="single" w:sz="6" w:space="0" w:color="000000"/>
                    <w:right w:val="single" w:sz="6" w:space="0" w:color="000000"/>
                  </w:tcBorders>
                  <w:shd w:val="clear" w:color="auto" w:fill="auto"/>
                  <w:hideMark/>
                </w:tcPr>
                <w:p w14:paraId="34507BD8" w14:textId="77777777" w:rsidR="00553665" w:rsidRPr="006B6204" w:rsidRDefault="00553665" w:rsidP="006B6204">
                  <w:pPr>
                    <w:spacing w:before="60" w:after="60" w:line="312" w:lineRule="atLeast"/>
                    <w:ind w:right="195" w:firstLine="0"/>
                    <w:jc w:val="center"/>
                    <w:rPr>
                      <w:b/>
                      <w:bCs/>
                      <w:lang w:val="ro-RO" w:eastAsia="ro-RO"/>
                    </w:rPr>
                  </w:pPr>
                  <w:r w:rsidRPr="006B6204">
                    <w:rPr>
                      <w:b/>
                      <w:bCs/>
                      <w:lang w:val="ro-RO" w:eastAsia="ro-RO"/>
                    </w:rPr>
                    <w:t>c</w:t>
                  </w:r>
                </w:p>
              </w:tc>
              <w:tc>
                <w:tcPr>
                  <w:tcW w:w="543" w:type="dxa"/>
                  <w:tcBorders>
                    <w:top w:val="single" w:sz="6" w:space="0" w:color="000000"/>
                    <w:left w:val="single" w:sz="6" w:space="0" w:color="000000"/>
                    <w:bottom w:val="single" w:sz="6" w:space="0" w:color="000000"/>
                    <w:right w:val="single" w:sz="6" w:space="0" w:color="000000"/>
                  </w:tcBorders>
                  <w:shd w:val="clear" w:color="auto" w:fill="auto"/>
                  <w:hideMark/>
                </w:tcPr>
                <w:p w14:paraId="0EABD3E8" w14:textId="77777777" w:rsidR="00553665" w:rsidRPr="006B6204" w:rsidRDefault="00553665" w:rsidP="006B6204">
                  <w:pPr>
                    <w:spacing w:before="60" w:after="60" w:line="312" w:lineRule="atLeast"/>
                    <w:ind w:right="195" w:firstLine="0"/>
                    <w:jc w:val="center"/>
                    <w:rPr>
                      <w:b/>
                      <w:bCs/>
                      <w:lang w:val="ro-RO" w:eastAsia="ro-RO"/>
                    </w:rPr>
                  </w:pPr>
                  <w:r w:rsidRPr="006B6204">
                    <w:rPr>
                      <w:b/>
                      <w:bCs/>
                      <w:lang w:val="ro-RO" w:eastAsia="ro-RO"/>
                    </w:rPr>
                    <w:t>m</w:t>
                  </w:r>
                </w:p>
              </w:tc>
              <w:tc>
                <w:tcPr>
                  <w:tcW w:w="407" w:type="dxa"/>
                  <w:tcBorders>
                    <w:top w:val="single" w:sz="6" w:space="0" w:color="000000"/>
                    <w:left w:val="single" w:sz="6" w:space="0" w:color="000000"/>
                    <w:bottom w:val="single" w:sz="6" w:space="0" w:color="000000"/>
                    <w:right w:val="single" w:sz="6" w:space="0" w:color="000000"/>
                  </w:tcBorders>
                  <w:shd w:val="clear" w:color="auto" w:fill="auto"/>
                  <w:hideMark/>
                </w:tcPr>
                <w:p w14:paraId="70ED14DD" w14:textId="77777777" w:rsidR="00553665" w:rsidRPr="006B6204" w:rsidRDefault="00553665" w:rsidP="006B6204">
                  <w:pPr>
                    <w:spacing w:before="60" w:after="60" w:line="312" w:lineRule="atLeast"/>
                    <w:ind w:right="195" w:firstLine="0"/>
                    <w:jc w:val="center"/>
                    <w:rPr>
                      <w:b/>
                      <w:bCs/>
                      <w:lang w:val="ro-RO" w:eastAsia="ro-RO"/>
                    </w:rPr>
                  </w:pPr>
                  <w:r w:rsidRPr="006B6204">
                    <w:rPr>
                      <w:b/>
                      <w:bCs/>
                      <w:lang w:val="ro-RO" w:eastAsia="ro-RO"/>
                    </w:rPr>
                    <w:t>M</w:t>
                  </w:r>
                </w:p>
              </w:tc>
              <w:tc>
                <w:tcPr>
                  <w:tcW w:w="9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465B38" w14:textId="77777777" w:rsidR="00553665" w:rsidRPr="006B6204" w:rsidRDefault="00553665" w:rsidP="006B6204">
                  <w:pPr>
                    <w:ind w:firstLine="0"/>
                    <w:jc w:val="left"/>
                    <w:rPr>
                      <w:b/>
                      <w:bCs/>
                      <w:lang w:val="ro-RO" w:eastAsia="ro-RO"/>
                    </w:rPr>
                  </w:pPr>
                </w:p>
              </w:tc>
              <w:tc>
                <w:tcPr>
                  <w:tcW w:w="14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2653C6" w14:textId="77777777" w:rsidR="00553665" w:rsidRPr="006B6204" w:rsidRDefault="00553665" w:rsidP="006B6204">
                  <w:pPr>
                    <w:ind w:firstLine="0"/>
                    <w:jc w:val="left"/>
                    <w:rPr>
                      <w:b/>
                      <w:bCs/>
                      <w:lang w:val="ro-RO" w:eastAsia="ro-RO"/>
                    </w:rPr>
                  </w:pPr>
                </w:p>
              </w:tc>
            </w:tr>
            <w:tr w:rsidR="00553665" w:rsidRPr="001E2AC1" w14:paraId="4398904F" w14:textId="77777777" w:rsidTr="00553665">
              <w:trPr>
                <w:trHeight w:val="1380"/>
              </w:trPr>
              <w:tc>
                <w:tcPr>
                  <w:tcW w:w="1341" w:type="dxa"/>
                  <w:tcBorders>
                    <w:top w:val="single" w:sz="6" w:space="0" w:color="000000"/>
                    <w:left w:val="single" w:sz="6" w:space="0" w:color="000000"/>
                    <w:bottom w:val="single" w:sz="6" w:space="0" w:color="000000"/>
                    <w:right w:val="single" w:sz="6" w:space="0" w:color="000000"/>
                  </w:tcBorders>
                  <w:shd w:val="clear" w:color="auto" w:fill="auto"/>
                  <w:hideMark/>
                </w:tcPr>
                <w:p w14:paraId="1428404F" w14:textId="77777777" w:rsidR="00553665" w:rsidRPr="006B6204" w:rsidRDefault="00553665" w:rsidP="003E7A6A">
                  <w:pPr>
                    <w:spacing w:before="60" w:after="60" w:line="312" w:lineRule="atLeast"/>
                    <w:ind w:firstLine="0"/>
                    <w:jc w:val="center"/>
                    <w:rPr>
                      <w:lang w:val="ro-RO" w:eastAsia="ro-RO"/>
                    </w:rPr>
                  </w:pPr>
                  <w:r w:rsidRPr="006B6204">
                    <w:rPr>
                      <w:lang w:val="ro-RO" w:eastAsia="ro-RO"/>
                    </w:rPr>
                    <w:t>„1.30 Carne de reptile</w:t>
                  </w:r>
                </w:p>
              </w:tc>
              <w:tc>
                <w:tcPr>
                  <w:tcW w:w="951" w:type="dxa"/>
                  <w:tcBorders>
                    <w:top w:val="single" w:sz="6" w:space="0" w:color="000000"/>
                    <w:left w:val="single" w:sz="6" w:space="0" w:color="000000"/>
                    <w:bottom w:val="single" w:sz="6" w:space="0" w:color="000000"/>
                    <w:right w:val="single" w:sz="6" w:space="0" w:color="000000"/>
                  </w:tcBorders>
                  <w:shd w:val="clear" w:color="auto" w:fill="auto"/>
                  <w:hideMark/>
                </w:tcPr>
                <w:p w14:paraId="6737C71A" w14:textId="77777777" w:rsidR="00553665" w:rsidRPr="006B6204" w:rsidRDefault="00553665" w:rsidP="003E7A6A">
                  <w:pPr>
                    <w:spacing w:before="60" w:after="60" w:line="312" w:lineRule="atLeast"/>
                    <w:ind w:firstLine="0"/>
                    <w:jc w:val="center"/>
                    <w:rPr>
                      <w:lang w:val="ro-RO" w:eastAsia="ro-RO"/>
                    </w:rPr>
                  </w:pPr>
                  <w:r w:rsidRPr="001E2AC1">
                    <w:rPr>
                      <w:i/>
                      <w:iCs/>
                      <w:lang w:val="ro-RO" w:eastAsia="ro-RO"/>
                    </w:rPr>
                    <w:t>Salmonella</w:t>
                  </w:r>
                </w:p>
              </w:tc>
              <w:tc>
                <w:tcPr>
                  <w:tcW w:w="407" w:type="dxa"/>
                  <w:tcBorders>
                    <w:top w:val="single" w:sz="6" w:space="0" w:color="000000"/>
                    <w:left w:val="single" w:sz="6" w:space="0" w:color="000000"/>
                    <w:bottom w:val="single" w:sz="6" w:space="0" w:color="000000"/>
                    <w:right w:val="single" w:sz="6" w:space="0" w:color="000000"/>
                  </w:tcBorders>
                  <w:shd w:val="clear" w:color="auto" w:fill="auto"/>
                  <w:hideMark/>
                </w:tcPr>
                <w:p w14:paraId="61DE1752" w14:textId="77777777" w:rsidR="00553665" w:rsidRPr="006B6204" w:rsidRDefault="00553665" w:rsidP="003E7A6A">
                  <w:pPr>
                    <w:spacing w:before="60" w:after="60" w:line="312" w:lineRule="atLeast"/>
                    <w:ind w:firstLine="0"/>
                    <w:jc w:val="center"/>
                    <w:rPr>
                      <w:lang w:val="ro-RO" w:eastAsia="ro-RO"/>
                    </w:rPr>
                  </w:pPr>
                  <w:r w:rsidRPr="006B6204">
                    <w:rPr>
                      <w:lang w:val="ro-RO" w:eastAsia="ro-RO"/>
                    </w:rPr>
                    <w:t>5</w:t>
                  </w:r>
                </w:p>
              </w:tc>
              <w:tc>
                <w:tcPr>
                  <w:tcW w:w="408" w:type="dxa"/>
                  <w:tcBorders>
                    <w:top w:val="single" w:sz="6" w:space="0" w:color="000000"/>
                    <w:left w:val="single" w:sz="6" w:space="0" w:color="000000"/>
                    <w:bottom w:val="single" w:sz="6" w:space="0" w:color="000000"/>
                    <w:right w:val="single" w:sz="6" w:space="0" w:color="000000"/>
                  </w:tcBorders>
                  <w:shd w:val="clear" w:color="auto" w:fill="auto"/>
                  <w:hideMark/>
                </w:tcPr>
                <w:p w14:paraId="20318DB1" w14:textId="77777777" w:rsidR="00553665" w:rsidRPr="006B6204" w:rsidRDefault="00553665" w:rsidP="003E7A6A">
                  <w:pPr>
                    <w:spacing w:before="60" w:after="60" w:line="312" w:lineRule="atLeast"/>
                    <w:ind w:firstLine="0"/>
                    <w:jc w:val="center"/>
                    <w:rPr>
                      <w:lang w:val="ro-RO" w:eastAsia="ro-RO"/>
                    </w:rPr>
                  </w:pPr>
                  <w:r w:rsidRPr="006B6204">
                    <w:rPr>
                      <w:lang w:val="ro-RO" w:eastAsia="ro-RO"/>
                    </w:rPr>
                    <w:t>0</w:t>
                  </w:r>
                </w:p>
              </w:tc>
              <w:tc>
                <w:tcPr>
                  <w:tcW w:w="9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8157E2B" w14:textId="77777777" w:rsidR="00553665" w:rsidRPr="006B6204" w:rsidRDefault="00553665" w:rsidP="003E7A6A">
                  <w:pPr>
                    <w:spacing w:before="60" w:after="60" w:line="312" w:lineRule="atLeast"/>
                    <w:ind w:firstLine="0"/>
                    <w:jc w:val="center"/>
                    <w:rPr>
                      <w:lang w:val="ro-RO" w:eastAsia="ro-RO"/>
                    </w:rPr>
                  </w:pPr>
                  <w:r w:rsidRPr="006B6204">
                    <w:rPr>
                      <w:lang w:val="ro-RO" w:eastAsia="ro-RO"/>
                    </w:rPr>
                    <w:t>Nedetectate în 25 g</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B95FA4E" w14:textId="77777777" w:rsidR="00553665" w:rsidRPr="006B6204" w:rsidRDefault="00553665" w:rsidP="003E7A6A">
                  <w:pPr>
                    <w:spacing w:before="60" w:after="60" w:line="312" w:lineRule="atLeast"/>
                    <w:ind w:firstLine="0"/>
                    <w:jc w:val="center"/>
                    <w:rPr>
                      <w:lang w:val="ro-RO" w:eastAsia="ro-RO"/>
                    </w:rPr>
                  </w:pPr>
                  <w:r w:rsidRPr="006B6204">
                    <w:rPr>
                      <w:lang w:val="ro-RO" w:eastAsia="ro-RO"/>
                    </w:rPr>
                    <w:t>EN ISO 6579-1</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23B07581" w14:textId="77777777" w:rsidR="00553665" w:rsidRPr="006B6204" w:rsidRDefault="00553665" w:rsidP="003E7A6A">
                  <w:pPr>
                    <w:spacing w:before="60" w:after="60" w:line="312" w:lineRule="atLeast"/>
                    <w:ind w:firstLine="0"/>
                    <w:jc w:val="center"/>
                    <w:rPr>
                      <w:lang w:val="ro-RO" w:eastAsia="ro-RO"/>
                    </w:rPr>
                  </w:pPr>
                  <w:r w:rsidRPr="006B6204">
                    <w:rPr>
                      <w:lang w:val="ro-RO" w:eastAsia="ro-RO"/>
                    </w:rPr>
                    <w:t>Produse introduse pe piață în timpul perioadei lor de conservare”</w:t>
                  </w:r>
                </w:p>
              </w:tc>
            </w:tr>
          </w:tbl>
          <w:p w14:paraId="4EE4F440" w14:textId="77777777" w:rsidR="00553665" w:rsidRPr="00E27A70" w:rsidRDefault="00553665" w:rsidP="00BA63C1">
            <w:pPr>
              <w:ind w:firstLine="0"/>
            </w:pPr>
          </w:p>
          <w:p w14:paraId="407B1504" w14:textId="77777777" w:rsidR="00553665" w:rsidRPr="00E27A70" w:rsidRDefault="00553665" w:rsidP="00E27A70">
            <w:pPr>
              <w:ind w:firstLine="0"/>
              <w:rPr>
                <w:lang w:val="ro-MD"/>
              </w:rPr>
            </w:pPr>
            <w:r>
              <w:rPr>
                <w:lang w:val="ro-MD"/>
              </w:rPr>
              <w:t xml:space="preserve">       2.  </w:t>
            </w:r>
            <w:r w:rsidRPr="00E27A70">
              <w:rPr>
                <w:lang w:val="ro-MD"/>
              </w:rPr>
              <w:t>În capitolul 1, nota de subsol 2 se înlocuiește cu următorul text:</w:t>
            </w:r>
          </w:p>
          <w:p w14:paraId="4CE20528" w14:textId="77777777" w:rsidR="00553665" w:rsidRPr="001E2AC1" w:rsidRDefault="00553665" w:rsidP="00E27A70">
            <w:pPr>
              <w:ind w:firstLine="0"/>
              <w:rPr>
                <w:lang w:val="ro-MD"/>
              </w:rPr>
            </w:pPr>
            <w:r>
              <w:rPr>
                <w:lang w:val="ro-MD"/>
              </w:rPr>
              <w:t xml:space="preserve">„(2)    </w:t>
            </w:r>
            <w:r w:rsidRPr="00E27A70">
              <w:rPr>
                <w:lang w:val="ro-MD"/>
              </w:rPr>
              <w:t>Pentru punctele 1.1-1.24, 1.27a, 1.28-1.30, m = M.”</w:t>
            </w:r>
          </w:p>
        </w:tc>
        <w:tc>
          <w:tcPr>
            <w:tcW w:w="4536" w:type="dxa"/>
          </w:tcPr>
          <w:p w14:paraId="15ECAD0B"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bCs/>
                <w:lang w:val="ro-RO"/>
              </w:rPr>
              <w:t>3) Anexa la compartimentul Criteriile de siguranță a produselor alimentare se completează cu pct.1.30 cu următorul cuprins:</w:t>
            </w:r>
          </w:p>
          <w:p w14:paraId="33B74CD9"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bCs/>
                <w:lang w:val="ro-RO"/>
              </w:rPr>
              <w:t>”</w:t>
            </w:r>
          </w:p>
          <w:tbl>
            <w:tblPr>
              <w:tblW w:w="3833" w:type="dxa"/>
              <w:tblInd w:w="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46"/>
              <w:gridCol w:w="590"/>
              <w:gridCol w:w="293"/>
              <w:gridCol w:w="319"/>
              <w:gridCol w:w="744"/>
              <w:gridCol w:w="417"/>
              <w:gridCol w:w="824"/>
            </w:tblGrid>
            <w:tr w:rsidR="00553665" w:rsidRPr="00E563E8" w14:paraId="39A4935C" w14:textId="77777777" w:rsidTr="00553665">
              <w:trPr>
                <w:trHeight w:val="1326"/>
              </w:trPr>
              <w:tc>
                <w:tcPr>
                  <w:tcW w:w="646" w:type="dxa"/>
                  <w:tcBorders>
                    <w:top w:val="outset" w:sz="6" w:space="0" w:color="auto"/>
                    <w:left w:val="outset" w:sz="6" w:space="0" w:color="auto"/>
                    <w:bottom w:val="outset" w:sz="6" w:space="0" w:color="auto"/>
                    <w:right w:val="outset" w:sz="6" w:space="0" w:color="auto"/>
                  </w:tcBorders>
                  <w:shd w:val="clear" w:color="auto" w:fill="FFFFFF"/>
                  <w:hideMark/>
                </w:tcPr>
                <w:p w14:paraId="1A0BF01C"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hint="eastAsia"/>
                      <w:bCs/>
                      <w:lang w:val="ro-RO"/>
                    </w:rPr>
                    <w:t>1.30.  Carne de reptile</w:t>
                  </w:r>
                </w:p>
              </w:tc>
              <w:tc>
                <w:tcPr>
                  <w:tcW w:w="590" w:type="dxa"/>
                  <w:tcBorders>
                    <w:top w:val="outset" w:sz="6" w:space="0" w:color="auto"/>
                    <w:left w:val="outset" w:sz="6" w:space="0" w:color="auto"/>
                    <w:bottom w:val="outset" w:sz="6" w:space="0" w:color="auto"/>
                    <w:right w:val="outset" w:sz="6" w:space="0" w:color="auto"/>
                  </w:tcBorders>
                  <w:shd w:val="clear" w:color="auto" w:fill="FFFFFF"/>
                  <w:hideMark/>
                </w:tcPr>
                <w:p w14:paraId="57071C64"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hint="eastAsia"/>
                      <w:bCs/>
                      <w:lang w:val="ro-RO"/>
                    </w:rPr>
                    <w:t>Salmonella</w:t>
                  </w:r>
                </w:p>
              </w:tc>
              <w:tc>
                <w:tcPr>
                  <w:tcW w:w="293" w:type="dxa"/>
                  <w:tcBorders>
                    <w:top w:val="outset" w:sz="6" w:space="0" w:color="auto"/>
                    <w:left w:val="outset" w:sz="6" w:space="0" w:color="auto"/>
                    <w:bottom w:val="outset" w:sz="6" w:space="0" w:color="auto"/>
                    <w:right w:val="outset" w:sz="6" w:space="0" w:color="auto"/>
                  </w:tcBorders>
                  <w:shd w:val="clear" w:color="auto" w:fill="FFFFFF"/>
                  <w:hideMark/>
                </w:tcPr>
                <w:p w14:paraId="46D90756"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hint="eastAsia"/>
                      <w:bCs/>
                      <w:lang w:val="ro-RO"/>
                    </w:rPr>
                    <w:t>5</w:t>
                  </w:r>
                </w:p>
              </w:tc>
              <w:tc>
                <w:tcPr>
                  <w:tcW w:w="319" w:type="dxa"/>
                  <w:tcBorders>
                    <w:top w:val="outset" w:sz="6" w:space="0" w:color="auto"/>
                    <w:left w:val="outset" w:sz="6" w:space="0" w:color="auto"/>
                    <w:bottom w:val="outset" w:sz="6" w:space="0" w:color="auto"/>
                    <w:right w:val="outset" w:sz="6" w:space="0" w:color="auto"/>
                  </w:tcBorders>
                  <w:shd w:val="clear" w:color="auto" w:fill="FFFFFF"/>
                  <w:hideMark/>
                </w:tcPr>
                <w:p w14:paraId="0EFB545F"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hint="eastAsia"/>
                      <w:bCs/>
                      <w:lang w:val="ro-RO"/>
                    </w:rPr>
                    <w:t>0</w:t>
                  </w:r>
                </w:p>
              </w:tc>
              <w:tc>
                <w:tcPr>
                  <w:tcW w:w="744" w:type="dxa"/>
                  <w:tcBorders>
                    <w:top w:val="outset" w:sz="6" w:space="0" w:color="auto"/>
                    <w:left w:val="outset" w:sz="6" w:space="0" w:color="auto"/>
                    <w:bottom w:val="outset" w:sz="6" w:space="0" w:color="auto"/>
                    <w:right w:val="outset" w:sz="6" w:space="0" w:color="auto"/>
                  </w:tcBorders>
                  <w:shd w:val="clear" w:color="auto" w:fill="FFFFFF"/>
                  <w:hideMark/>
                </w:tcPr>
                <w:p w14:paraId="5AE08A17"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hint="eastAsia"/>
                      <w:bCs/>
                      <w:lang w:val="ro-RO"/>
                    </w:rPr>
                    <w:t>Nedetectate în 25 g</w:t>
                  </w:r>
                </w:p>
              </w:tc>
              <w:tc>
                <w:tcPr>
                  <w:tcW w:w="417" w:type="dxa"/>
                  <w:tcBorders>
                    <w:top w:val="outset" w:sz="6" w:space="0" w:color="auto"/>
                    <w:left w:val="outset" w:sz="6" w:space="0" w:color="auto"/>
                    <w:bottom w:val="outset" w:sz="6" w:space="0" w:color="auto"/>
                    <w:right w:val="outset" w:sz="6" w:space="0" w:color="auto"/>
                  </w:tcBorders>
                  <w:shd w:val="clear" w:color="auto" w:fill="FFFFFF"/>
                  <w:hideMark/>
                </w:tcPr>
                <w:p w14:paraId="731E7C6E"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hint="eastAsia"/>
                      <w:bCs/>
                      <w:lang w:val="ro-RO"/>
                    </w:rPr>
                    <w:t>EN ISO 6579-1</w:t>
                  </w:r>
                </w:p>
              </w:tc>
              <w:tc>
                <w:tcPr>
                  <w:tcW w:w="824" w:type="dxa"/>
                  <w:tcBorders>
                    <w:top w:val="outset" w:sz="6" w:space="0" w:color="auto"/>
                    <w:left w:val="outset" w:sz="6" w:space="0" w:color="auto"/>
                    <w:bottom w:val="outset" w:sz="6" w:space="0" w:color="auto"/>
                    <w:right w:val="outset" w:sz="6" w:space="0" w:color="auto"/>
                  </w:tcBorders>
                  <w:shd w:val="clear" w:color="auto" w:fill="FFFFFF"/>
                  <w:hideMark/>
                </w:tcPr>
                <w:p w14:paraId="73986D43"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hint="eastAsia"/>
                      <w:bCs/>
                      <w:lang w:val="ro-RO"/>
                    </w:rPr>
                    <w:t>Produse introduse pe piață în timpul perioadei lor de conservare</w:t>
                  </w:r>
                </w:p>
              </w:tc>
            </w:tr>
          </w:tbl>
          <w:p w14:paraId="79B5F92D" w14:textId="77777777" w:rsidR="00553665" w:rsidRPr="00E563E8" w:rsidRDefault="00553665" w:rsidP="00E563E8">
            <w:pPr>
              <w:ind w:firstLine="0"/>
              <w:rPr>
                <w:rFonts w:asciiTheme="majorBidi" w:hAnsiTheme="majorBidi" w:cstheme="majorBidi"/>
                <w:bCs/>
                <w:lang w:val="ro-RO"/>
              </w:rPr>
            </w:pPr>
            <w:r w:rsidRPr="00E563E8">
              <w:rPr>
                <w:rFonts w:asciiTheme="majorBidi" w:hAnsiTheme="majorBidi" w:cstheme="majorBidi"/>
                <w:bCs/>
                <w:lang w:val="ro-RO"/>
              </w:rPr>
              <w:t>La rubrica ”Note la referința (2)” textul ”Pentru punctele 1.1-1.25, 1.27 a şi 1.28, m = M” se va substitui cu textul ”</w:t>
            </w:r>
            <w:r w:rsidRPr="00E563E8">
              <w:rPr>
                <w:rFonts w:asciiTheme="majorBidi" w:hAnsiTheme="majorBidi" w:cstheme="majorBidi"/>
                <w:lang w:val="ro-RO"/>
              </w:rPr>
              <w:t>Pentru punctele 1.1-1.24, 1.27a, 1.28-1.30, m = M.</w:t>
            </w:r>
            <w:r w:rsidRPr="00E563E8">
              <w:rPr>
                <w:rFonts w:asciiTheme="majorBidi" w:hAnsiTheme="majorBidi" w:cstheme="majorBidi"/>
                <w:bCs/>
                <w:lang w:val="ro-RO"/>
              </w:rPr>
              <w:t>”</w:t>
            </w:r>
          </w:p>
          <w:p w14:paraId="55251B7F" w14:textId="77777777" w:rsidR="00553665" w:rsidRPr="00E563E8" w:rsidRDefault="00553665" w:rsidP="009A61EA">
            <w:pPr>
              <w:ind w:firstLine="0"/>
              <w:rPr>
                <w:rFonts w:asciiTheme="majorBidi" w:hAnsiTheme="majorBidi" w:cstheme="majorBidi"/>
                <w:lang w:val="ro-RO"/>
              </w:rPr>
            </w:pPr>
          </w:p>
        </w:tc>
        <w:tc>
          <w:tcPr>
            <w:tcW w:w="1589" w:type="dxa"/>
          </w:tcPr>
          <w:p w14:paraId="0B9CC390" w14:textId="77777777" w:rsidR="00553665" w:rsidRPr="00655E6D" w:rsidRDefault="00553665" w:rsidP="009A61EA">
            <w:pPr>
              <w:ind w:firstLine="0"/>
              <w:jc w:val="center"/>
              <w:rPr>
                <w:rFonts w:asciiTheme="majorBidi" w:hAnsiTheme="majorBidi" w:cstheme="majorBidi"/>
                <w:b/>
                <w:noProof/>
                <w:color w:val="FF0000"/>
                <w:lang w:val="ro-RO"/>
              </w:rPr>
            </w:pPr>
            <w:r w:rsidRPr="00EC48E1">
              <w:rPr>
                <w:rFonts w:asciiTheme="majorBidi" w:hAnsiTheme="majorBidi" w:cstheme="majorBidi"/>
                <w:b/>
                <w:noProof/>
                <w:color w:val="000000" w:themeColor="text1"/>
                <w:lang w:val="ro-RO"/>
              </w:rPr>
              <w:t>Compatibil</w:t>
            </w:r>
          </w:p>
        </w:tc>
        <w:tc>
          <w:tcPr>
            <w:tcW w:w="1192" w:type="dxa"/>
          </w:tcPr>
          <w:p w14:paraId="1807186C" w14:textId="77777777" w:rsidR="00553665" w:rsidRPr="00655E6D" w:rsidRDefault="00553665" w:rsidP="009A61EA">
            <w:pPr>
              <w:ind w:firstLine="0"/>
              <w:jc w:val="center"/>
              <w:rPr>
                <w:rFonts w:asciiTheme="majorBidi" w:hAnsiTheme="majorBidi" w:cstheme="majorBidi"/>
                <w:b/>
                <w:noProof/>
                <w:color w:val="FF0000"/>
                <w:lang w:val="ro-RO"/>
              </w:rPr>
            </w:pPr>
          </w:p>
        </w:tc>
      </w:tr>
    </w:tbl>
    <w:p w14:paraId="16603540" w14:textId="77777777" w:rsidR="00E27A70" w:rsidRDefault="00E27A70" w:rsidP="00F62E98">
      <w:pPr>
        <w:ind w:firstLine="0"/>
        <w:rPr>
          <w:lang w:val="ro-RO"/>
        </w:rPr>
      </w:pPr>
    </w:p>
    <w:p w14:paraId="03E796F8" w14:textId="77777777" w:rsidR="00E27A70" w:rsidRPr="00A5130A" w:rsidRDefault="00E27A70" w:rsidP="00F62E98">
      <w:pPr>
        <w:ind w:firstLine="0"/>
        <w:rPr>
          <w:lang w:val="ro-RO"/>
        </w:rPr>
      </w:pPr>
    </w:p>
    <w:sectPr w:rsidR="00E27A70" w:rsidRPr="00A5130A" w:rsidSect="00F62E98">
      <w:footerReference w:type="default" r:id="rId8"/>
      <w:pgSz w:w="16838" w:h="11906" w:orient="landscape"/>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1D60C" w14:textId="77777777" w:rsidR="004C658A" w:rsidRDefault="004C658A" w:rsidP="00167BD0">
      <w:r>
        <w:separator/>
      </w:r>
    </w:p>
  </w:endnote>
  <w:endnote w:type="continuationSeparator" w:id="0">
    <w:p w14:paraId="59F3BDD7" w14:textId="77777777" w:rsidR="004C658A" w:rsidRDefault="004C658A"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788055"/>
      <w:docPartObj>
        <w:docPartGallery w:val="Page Numbers (Bottom of Page)"/>
        <w:docPartUnique/>
      </w:docPartObj>
    </w:sdtPr>
    <w:sdtContent>
      <w:p w14:paraId="24C34F0D" w14:textId="77777777" w:rsidR="002B7348" w:rsidRDefault="002B7348">
        <w:pPr>
          <w:pStyle w:val="Subsol"/>
          <w:jc w:val="center"/>
        </w:pPr>
        <w:r>
          <w:fldChar w:fldCharType="begin"/>
        </w:r>
        <w:r>
          <w:instrText>PAGE   \* MERGEFORMAT</w:instrText>
        </w:r>
        <w:r>
          <w:fldChar w:fldCharType="separate"/>
        </w:r>
        <w:r w:rsidR="00E563E8" w:rsidRPr="00E563E8">
          <w:rPr>
            <w:noProof/>
            <w:lang w:val="ro-RO"/>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43AFF" w14:textId="77777777" w:rsidR="004C658A" w:rsidRDefault="004C658A" w:rsidP="00167BD0">
      <w:r>
        <w:separator/>
      </w:r>
    </w:p>
  </w:footnote>
  <w:footnote w:type="continuationSeparator" w:id="0">
    <w:p w14:paraId="7E4973EF" w14:textId="77777777" w:rsidR="004C658A" w:rsidRDefault="004C658A" w:rsidP="0016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F3524A"/>
    <w:multiLevelType w:val="hybridMultilevel"/>
    <w:tmpl w:val="62A00236"/>
    <w:lvl w:ilvl="0" w:tplc="8F76104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520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D0"/>
    <w:rsid w:val="000004B9"/>
    <w:rsid w:val="00054974"/>
    <w:rsid w:val="0009108C"/>
    <w:rsid w:val="000B69A6"/>
    <w:rsid w:val="000D2DCE"/>
    <w:rsid w:val="000F7CB4"/>
    <w:rsid w:val="001126BB"/>
    <w:rsid w:val="00136FFF"/>
    <w:rsid w:val="00167BD0"/>
    <w:rsid w:val="001E2AC1"/>
    <w:rsid w:val="0023517C"/>
    <w:rsid w:val="00257597"/>
    <w:rsid w:val="00290FE6"/>
    <w:rsid w:val="002A6BD7"/>
    <w:rsid w:val="002B7348"/>
    <w:rsid w:val="00332E73"/>
    <w:rsid w:val="00371DEA"/>
    <w:rsid w:val="0037712F"/>
    <w:rsid w:val="003B0D28"/>
    <w:rsid w:val="003B4B4E"/>
    <w:rsid w:val="003E784D"/>
    <w:rsid w:val="003E7A6A"/>
    <w:rsid w:val="003F72FF"/>
    <w:rsid w:val="004C658A"/>
    <w:rsid w:val="00553665"/>
    <w:rsid w:val="0056130B"/>
    <w:rsid w:val="005725CE"/>
    <w:rsid w:val="005C06FA"/>
    <w:rsid w:val="005C3862"/>
    <w:rsid w:val="005E5E4D"/>
    <w:rsid w:val="00617EA5"/>
    <w:rsid w:val="00655DE9"/>
    <w:rsid w:val="00655E6D"/>
    <w:rsid w:val="00666F71"/>
    <w:rsid w:val="0067228F"/>
    <w:rsid w:val="00677352"/>
    <w:rsid w:val="006A525B"/>
    <w:rsid w:val="006B564C"/>
    <w:rsid w:val="006B6204"/>
    <w:rsid w:val="007008D3"/>
    <w:rsid w:val="00724A38"/>
    <w:rsid w:val="00767862"/>
    <w:rsid w:val="007B1B33"/>
    <w:rsid w:val="007F0546"/>
    <w:rsid w:val="00814B6F"/>
    <w:rsid w:val="00835A71"/>
    <w:rsid w:val="008434AB"/>
    <w:rsid w:val="008B2646"/>
    <w:rsid w:val="008D5485"/>
    <w:rsid w:val="008F49B0"/>
    <w:rsid w:val="009478F1"/>
    <w:rsid w:val="00992BA8"/>
    <w:rsid w:val="0099604E"/>
    <w:rsid w:val="0099768B"/>
    <w:rsid w:val="009A61EA"/>
    <w:rsid w:val="009C6C8F"/>
    <w:rsid w:val="00A05140"/>
    <w:rsid w:val="00A5130A"/>
    <w:rsid w:val="00A809AB"/>
    <w:rsid w:val="00AA5115"/>
    <w:rsid w:val="00AB020D"/>
    <w:rsid w:val="00AC4446"/>
    <w:rsid w:val="00AD1612"/>
    <w:rsid w:val="00AE6A2D"/>
    <w:rsid w:val="00B0124E"/>
    <w:rsid w:val="00B016E4"/>
    <w:rsid w:val="00B5227F"/>
    <w:rsid w:val="00B75B92"/>
    <w:rsid w:val="00BA63C1"/>
    <w:rsid w:val="00C56372"/>
    <w:rsid w:val="00C87AC1"/>
    <w:rsid w:val="00C944B3"/>
    <w:rsid w:val="00CA2BA8"/>
    <w:rsid w:val="00CB5461"/>
    <w:rsid w:val="00D97E49"/>
    <w:rsid w:val="00DF45AD"/>
    <w:rsid w:val="00E27A70"/>
    <w:rsid w:val="00E563E8"/>
    <w:rsid w:val="00E774E7"/>
    <w:rsid w:val="00E94188"/>
    <w:rsid w:val="00EC48E1"/>
    <w:rsid w:val="00F2583D"/>
    <w:rsid w:val="00F4170A"/>
    <w:rsid w:val="00F57A85"/>
    <w:rsid w:val="00F62E98"/>
    <w:rsid w:val="00FC2172"/>
    <w:rsid w:val="00FD3A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2075"/>
  <w15:chartTrackingRefBased/>
  <w15:docId w15:val="{E6E0475B-F00A-498E-BFA5-77C32A56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D0"/>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167BD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67BD0"/>
  </w:style>
  <w:style w:type="character" w:customStyle="1" w:styleId="expanded">
    <w:name w:val="expanded"/>
    <w:basedOn w:val="Fontdeparagrafimplici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Fontdeparagrafimplicit"/>
    <w:uiPriority w:val="99"/>
    <w:rsid w:val="00167BD0"/>
    <w:rPr>
      <w:rFonts w:ascii="Times New Roman" w:hAnsi="Times New Roman" w:cs="Times New Roman"/>
      <w:b/>
      <w:bCs/>
      <w:spacing w:val="10"/>
      <w:sz w:val="24"/>
      <w:szCs w:val="24"/>
    </w:rPr>
  </w:style>
  <w:style w:type="paragraph" w:styleId="Antet">
    <w:name w:val="header"/>
    <w:basedOn w:val="Normal"/>
    <w:link w:val="AntetCaracter"/>
    <w:uiPriority w:val="99"/>
    <w:unhideWhenUsed/>
    <w:rsid w:val="00167BD0"/>
    <w:pPr>
      <w:tabs>
        <w:tab w:val="center" w:pos="4513"/>
        <w:tab w:val="right" w:pos="9026"/>
      </w:tabs>
    </w:pPr>
  </w:style>
  <w:style w:type="character" w:customStyle="1" w:styleId="AntetCaracter">
    <w:name w:val="Antet Caracter"/>
    <w:basedOn w:val="Fontdeparagrafimplicit"/>
    <w:link w:val="Antet"/>
    <w:uiPriority w:val="99"/>
    <w:rsid w:val="00167BD0"/>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67BD0"/>
    <w:pPr>
      <w:tabs>
        <w:tab w:val="center" w:pos="4513"/>
        <w:tab w:val="right" w:pos="9026"/>
      </w:tabs>
    </w:pPr>
  </w:style>
  <w:style w:type="character" w:customStyle="1" w:styleId="SubsolCaracter">
    <w:name w:val="Subsol Caracter"/>
    <w:basedOn w:val="Fontdeparagrafimplicit"/>
    <w:link w:val="Subsol"/>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elNormal"/>
    <w:next w:val="Tabelgril"/>
    <w:rsid w:val="0009108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2172"/>
    <w:pPr>
      <w:ind w:left="720"/>
      <w:contextualSpacing/>
    </w:pPr>
  </w:style>
  <w:style w:type="character" w:styleId="Hyperlink">
    <w:name w:val="Hyperlink"/>
    <w:basedOn w:val="Fontdeparagrafimplicit"/>
    <w:uiPriority w:val="99"/>
    <w:unhideWhenUsed/>
    <w:rsid w:val="008F49B0"/>
    <w:rPr>
      <w:color w:val="0563C1" w:themeColor="hyperlink"/>
      <w:u w:val="single"/>
    </w:rPr>
  </w:style>
  <w:style w:type="paragraph" w:customStyle="1" w:styleId="tbl-norm">
    <w:name w:val="tbl-norm"/>
    <w:basedOn w:val="Normal"/>
    <w:rsid w:val="008F49B0"/>
    <w:pPr>
      <w:spacing w:before="100" w:beforeAutospacing="1" w:after="100" w:afterAutospacing="1"/>
      <w:ind w:firstLine="0"/>
      <w:jc w:val="left"/>
    </w:pPr>
    <w:rPr>
      <w:sz w:val="24"/>
      <w:szCs w:val="24"/>
      <w:lang w:val="ro-RO" w:eastAsia="ro-RO"/>
    </w:rPr>
  </w:style>
  <w:style w:type="paragraph" w:customStyle="1" w:styleId="tbl-left">
    <w:name w:val="tbl-left"/>
    <w:basedOn w:val="Normal"/>
    <w:rsid w:val="008F49B0"/>
    <w:pPr>
      <w:spacing w:before="100" w:beforeAutospacing="1" w:after="100" w:afterAutospacing="1"/>
      <w:ind w:firstLine="0"/>
      <w:jc w:val="left"/>
    </w:pPr>
    <w:rPr>
      <w:sz w:val="24"/>
      <w:szCs w:val="24"/>
      <w:lang w:val="ro-RO" w:eastAsia="ro-RO"/>
    </w:rPr>
  </w:style>
  <w:style w:type="character" w:customStyle="1" w:styleId="italics">
    <w:name w:val="italics"/>
    <w:basedOn w:val="Fontdeparagrafimplicit"/>
    <w:rsid w:val="008F49B0"/>
  </w:style>
  <w:style w:type="character" w:customStyle="1" w:styleId="superscript">
    <w:name w:val="superscript"/>
    <w:basedOn w:val="Fontdeparagrafimplicit"/>
    <w:rsid w:val="008F49B0"/>
  </w:style>
  <w:style w:type="paragraph" w:customStyle="1" w:styleId="oj-normal">
    <w:name w:val="oj-normal"/>
    <w:basedOn w:val="Normal"/>
    <w:rsid w:val="006A525B"/>
    <w:pPr>
      <w:spacing w:before="100" w:beforeAutospacing="1" w:after="100" w:afterAutospacing="1"/>
      <w:ind w:firstLine="0"/>
      <w:jc w:val="left"/>
    </w:pPr>
    <w:rPr>
      <w:sz w:val="24"/>
      <w:szCs w:val="24"/>
      <w:lang w:val="ro-RO" w:eastAsia="ro-RO"/>
    </w:rPr>
  </w:style>
  <w:style w:type="character" w:customStyle="1" w:styleId="oj-super">
    <w:name w:val="oj-super"/>
    <w:basedOn w:val="Fontdeparagrafimplicit"/>
    <w:rsid w:val="006A525B"/>
  </w:style>
  <w:style w:type="paragraph" w:customStyle="1" w:styleId="oj-note">
    <w:name w:val="oj-note"/>
    <w:basedOn w:val="Normal"/>
    <w:rsid w:val="006A525B"/>
    <w:pPr>
      <w:spacing w:before="100" w:beforeAutospacing="1" w:after="100" w:afterAutospacing="1"/>
      <w:ind w:firstLine="0"/>
      <w:jc w:val="left"/>
    </w:pPr>
    <w:rPr>
      <w:sz w:val="24"/>
      <w:szCs w:val="24"/>
      <w:lang w:val="ro-RO" w:eastAsia="ro-RO"/>
    </w:rPr>
  </w:style>
  <w:style w:type="character" w:customStyle="1" w:styleId="oj-italic">
    <w:name w:val="oj-italic"/>
    <w:basedOn w:val="Fontdeparagrafimplicit"/>
    <w:rsid w:val="0099604E"/>
  </w:style>
  <w:style w:type="paragraph" w:customStyle="1" w:styleId="oj-tbl-hdr">
    <w:name w:val="oj-tbl-hdr"/>
    <w:basedOn w:val="Normal"/>
    <w:rsid w:val="006B6204"/>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6B6204"/>
    <w:pPr>
      <w:spacing w:before="100" w:beforeAutospacing="1" w:after="100" w:afterAutospacing="1"/>
      <w:ind w:firstLine="0"/>
      <w:jc w:val="left"/>
    </w:pPr>
    <w:rPr>
      <w:sz w:val="24"/>
      <w:szCs w:val="24"/>
      <w:lang w:val="ro-RO" w:eastAsia="ro-RO"/>
    </w:rPr>
  </w:style>
  <w:style w:type="paragraph" w:customStyle="1" w:styleId="oj-signatory">
    <w:name w:val="oj-signatory"/>
    <w:basedOn w:val="Normal"/>
    <w:rsid w:val="003E784D"/>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13443">
      <w:bodyDiv w:val="1"/>
      <w:marLeft w:val="0"/>
      <w:marRight w:val="0"/>
      <w:marTop w:val="0"/>
      <w:marBottom w:val="0"/>
      <w:divBdr>
        <w:top w:val="none" w:sz="0" w:space="0" w:color="auto"/>
        <w:left w:val="none" w:sz="0" w:space="0" w:color="auto"/>
        <w:bottom w:val="none" w:sz="0" w:space="0" w:color="auto"/>
        <w:right w:val="none" w:sz="0" w:space="0" w:color="auto"/>
      </w:divBdr>
    </w:div>
    <w:div w:id="316229707">
      <w:bodyDiv w:val="1"/>
      <w:marLeft w:val="0"/>
      <w:marRight w:val="0"/>
      <w:marTop w:val="0"/>
      <w:marBottom w:val="0"/>
      <w:divBdr>
        <w:top w:val="none" w:sz="0" w:space="0" w:color="auto"/>
        <w:left w:val="none" w:sz="0" w:space="0" w:color="auto"/>
        <w:bottom w:val="none" w:sz="0" w:space="0" w:color="auto"/>
        <w:right w:val="none" w:sz="0" w:space="0" w:color="auto"/>
      </w:divBdr>
    </w:div>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361929477">
      <w:bodyDiv w:val="1"/>
      <w:marLeft w:val="0"/>
      <w:marRight w:val="0"/>
      <w:marTop w:val="0"/>
      <w:marBottom w:val="0"/>
      <w:divBdr>
        <w:top w:val="none" w:sz="0" w:space="0" w:color="auto"/>
        <w:left w:val="none" w:sz="0" w:space="0" w:color="auto"/>
        <w:bottom w:val="none" w:sz="0" w:space="0" w:color="auto"/>
        <w:right w:val="none" w:sz="0" w:space="0" w:color="auto"/>
      </w:divBdr>
    </w:div>
    <w:div w:id="1452478460">
      <w:bodyDiv w:val="1"/>
      <w:marLeft w:val="0"/>
      <w:marRight w:val="0"/>
      <w:marTop w:val="0"/>
      <w:marBottom w:val="0"/>
      <w:divBdr>
        <w:top w:val="none" w:sz="0" w:space="0" w:color="auto"/>
        <w:left w:val="none" w:sz="0" w:space="0" w:color="auto"/>
        <w:bottom w:val="none" w:sz="0" w:space="0" w:color="auto"/>
        <w:right w:val="none" w:sz="0" w:space="0" w:color="auto"/>
      </w:divBdr>
    </w:div>
    <w:div w:id="1496603589">
      <w:bodyDiv w:val="1"/>
      <w:marLeft w:val="0"/>
      <w:marRight w:val="0"/>
      <w:marTop w:val="0"/>
      <w:marBottom w:val="0"/>
      <w:divBdr>
        <w:top w:val="none" w:sz="0" w:space="0" w:color="auto"/>
        <w:left w:val="none" w:sz="0" w:space="0" w:color="auto"/>
        <w:bottom w:val="none" w:sz="0" w:space="0" w:color="auto"/>
        <w:right w:val="none" w:sz="0" w:space="0" w:color="auto"/>
      </w:divBdr>
    </w:div>
    <w:div w:id="1771780151">
      <w:bodyDiv w:val="1"/>
      <w:marLeft w:val="0"/>
      <w:marRight w:val="0"/>
      <w:marTop w:val="0"/>
      <w:marBottom w:val="0"/>
      <w:divBdr>
        <w:top w:val="none" w:sz="0" w:space="0" w:color="auto"/>
        <w:left w:val="none" w:sz="0" w:space="0" w:color="auto"/>
        <w:bottom w:val="none" w:sz="0" w:space="0" w:color="auto"/>
        <w:right w:val="none" w:sz="0" w:space="0" w:color="auto"/>
      </w:divBdr>
    </w:div>
    <w:div w:id="1873640981">
      <w:bodyDiv w:val="1"/>
      <w:marLeft w:val="0"/>
      <w:marRight w:val="0"/>
      <w:marTop w:val="0"/>
      <w:marBottom w:val="0"/>
      <w:divBdr>
        <w:top w:val="none" w:sz="0" w:space="0" w:color="auto"/>
        <w:left w:val="none" w:sz="0" w:space="0" w:color="auto"/>
        <w:bottom w:val="none" w:sz="0" w:space="0" w:color="auto"/>
        <w:right w:val="none" w:sz="0" w:space="0" w:color="auto"/>
      </w:divBdr>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428111558">
          <w:marLeft w:val="48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167720856">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sChild>
    </w:div>
    <w:div w:id="2082438913">
      <w:bodyDiv w:val="1"/>
      <w:marLeft w:val="0"/>
      <w:marRight w:val="0"/>
      <w:marTop w:val="0"/>
      <w:marBottom w:val="0"/>
      <w:divBdr>
        <w:top w:val="none" w:sz="0" w:space="0" w:color="auto"/>
        <w:left w:val="none" w:sz="0" w:space="0" w:color="auto"/>
        <w:bottom w:val="none" w:sz="0" w:space="0" w:color="auto"/>
        <w:right w:val="none" w:sz="0" w:space="0" w:color="auto"/>
      </w:divBdr>
    </w:div>
    <w:div w:id="2147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3B39-6019-48C4-A3B5-AEBD65F0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562</Words>
  <Characters>3262</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Albina Mereuță</cp:lastModifiedBy>
  <cp:revision>4</cp:revision>
  <dcterms:created xsi:type="dcterms:W3CDTF">2024-02-12T13:47:00Z</dcterms:created>
  <dcterms:modified xsi:type="dcterms:W3CDTF">2024-09-03T14:56:00Z</dcterms:modified>
</cp:coreProperties>
</file>