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98CCF" w14:textId="77777777" w:rsidR="00FC4F8D" w:rsidRDefault="00000000">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Tabelul comparativ</w:t>
      </w:r>
    </w:p>
    <w:p w14:paraId="19FFF105" w14:textId="3D1C9FF9" w:rsidR="00501268" w:rsidRDefault="00501268" w:rsidP="0050126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rPr>
      </w:pPr>
      <w:r>
        <w:rPr>
          <w:b/>
          <w:sz w:val="24"/>
          <w:szCs w:val="24"/>
          <w:lang w:val="ro-RO"/>
        </w:rPr>
        <w:t xml:space="preserve">la </w:t>
      </w:r>
      <w:r w:rsidRPr="005535FB">
        <w:rPr>
          <w:b/>
          <w:sz w:val="24"/>
          <w:szCs w:val="24"/>
          <w:lang w:val="ro-RO"/>
        </w:rPr>
        <w:t xml:space="preserve">proiectul </w:t>
      </w:r>
      <w:proofErr w:type="spellStart"/>
      <w:r w:rsidRPr="00B916D9">
        <w:rPr>
          <w:b/>
          <w:bCs/>
          <w:sz w:val="24"/>
          <w:szCs w:val="24"/>
        </w:rPr>
        <w:t>Hotărîrii</w:t>
      </w:r>
      <w:proofErr w:type="spellEnd"/>
      <w:r w:rsidRPr="00B916D9">
        <w:rPr>
          <w:b/>
          <w:bCs/>
          <w:sz w:val="24"/>
          <w:szCs w:val="24"/>
        </w:rPr>
        <w:t xml:space="preserve"> </w:t>
      </w:r>
      <w:proofErr w:type="spellStart"/>
      <w:r w:rsidRPr="00B916D9">
        <w:rPr>
          <w:b/>
          <w:bCs/>
          <w:sz w:val="24"/>
          <w:szCs w:val="24"/>
        </w:rPr>
        <w:t>Guvernului</w:t>
      </w:r>
      <w:proofErr w:type="spellEnd"/>
      <w:r>
        <w:rPr>
          <w:b/>
          <w:bCs/>
          <w:sz w:val="24"/>
          <w:szCs w:val="24"/>
        </w:rPr>
        <w:t xml:space="preserve"> </w:t>
      </w:r>
      <w:r w:rsidRPr="00B916D9">
        <w:rPr>
          <w:b/>
          <w:bCs/>
          <w:sz w:val="24"/>
          <w:szCs w:val="24"/>
        </w:rPr>
        <w:t xml:space="preserve">cu </w:t>
      </w:r>
      <w:proofErr w:type="spellStart"/>
      <w:r w:rsidRPr="00B916D9">
        <w:rPr>
          <w:b/>
          <w:bCs/>
          <w:sz w:val="24"/>
          <w:szCs w:val="24"/>
        </w:rPr>
        <w:t>privire</w:t>
      </w:r>
      <w:proofErr w:type="spellEnd"/>
      <w:r w:rsidRPr="00B916D9">
        <w:rPr>
          <w:b/>
          <w:bCs/>
          <w:sz w:val="24"/>
          <w:szCs w:val="24"/>
        </w:rPr>
        <w:t xml:space="preserve"> la </w:t>
      </w:r>
      <w:proofErr w:type="spellStart"/>
      <w:r w:rsidRPr="00B916D9">
        <w:rPr>
          <w:b/>
          <w:bCs/>
          <w:sz w:val="24"/>
          <w:szCs w:val="24"/>
        </w:rPr>
        <w:t>modificarea</w:t>
      </w:r>
      <w:proofErr w:type="spellEnd"/>
      <w:r w:rsidRPr="00B916D9">
        <w:rPr>
          <w:b/>
          <w:bCs/>
          <w:sz w:val="24"/>
          <w:szCs w:val="24"/>
        </w:rPr>
        <w:t xml:space="preserve"> </w:t>
      </w:r>
      <w:proofErr w:type="spellStart"/>
      <w:r w:rsidRPr="00B916D9">
        <w:rPr>
          <w:b/>
          <w:bCs/>
          <w:sz w:val="24"/>
          <w:szCs w:val="24"/>
        </w:rPr>
        <w:t>unor</w:t>
      </w:r>
      <w:proofErr w:type="spellEnd"/>
      <w:r w:rsidRPr="00B916D9">
        <w:rPr>
          <w:b/>
          <w:bCs/>
          <w:sz w:val="24"/>
          <w:szCs w:val="24"/>
        </w:rPr>
        <w:t xml:space="preserve"> </w:t>
      </w:r>
      <w:proofErr w:type="spellStart"/>
      <w:r w:rsidRPr="00B916D9">
        <w:rPr>
          <w:b/>
          <w:bCs/>
          <w:sz w:val="24"/>
          <w:szCs w:val="24"/>
        </w:rPr>
        <w:t>Hotărâri</w:t>
      </w:r>
      <w:proofErr w:type="spellEnd"/>
      <w:r w:rsidRPr="00B916D9">
        <w:rPr>
          <w:b/>
          <w:bCs/>
          <w:sz w:val="24"/>
          <w:szCs w:val="24"/>
        </w:rPr>
        <w:t xml:space="preserve"> de </w:t>
      </w:r>
      <w:proofErr w:type="spellStart"/>
      <w:r w:rsidRPr="00B916D9">
        <w:rPr>
          <w:b/>
          <w:bCs/>
          <w:sz w:val="24"/>
          <w:szCs w:val="24"/>
        </w:rPr>
        <w:t>Guvern</w:t>
      </w:r>
      <w:proofErr w:type="spellEnd"/>
    </w:p>
    <w:p w14:paraId="73E1D1E3" w14:textId="77777777" w:rsidR="00501268" w:rsidRPr="008257DB" w:rsidRDefault="00501268" w:rsidP="0050126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8257DB">
        <w:rPr>
          <w:sz w:val="24"/>
          <w:szCs w:val="24"/>
        </w:rPr>
        <w:t>(HG nr.939/2008, HG nr.221/2009, HG nr.398/2012, HG nr.696/2020)</w:t>
      </w:r>
    </w:p>
    <w:p w14:paraId="1EF2642E" w14:textId="0ACE1D5E" w:rsidR="00FC4F8D" w:rsidRDefault="00FC4F8D">
      <w:pPr>
        <w:pBdr>
          <w:top w:val="none" w:sz="4" w:space="0" w:color="000000"/>
          <w:left w:val="none" w:sz="4" w:space="0" w:color="000000"/>
          <w:bottom w:val="none" w:sz="4" w:space="0" w:color="000000"/>
          <w:right w:val="none" w:sz="4" w:space="0" w:color="000000"/>
        </w:pBdr>
        <w:rPr>
          <w:sz w:val="24"/>
          <w:szCs w:val="24"/>
          <w:lang w:val="ro-RO"/>
        </w:rPr>
      </w:pPr>
    </w:p>
    <w:tbl>
      <w:tblPr>
        <w:tblStyle w:val="Tabelgril"/>
        <w:tblW w:w="15652" w:type="dxa"/>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94"/>
        <w:gridCol w:w="6856"/>
        <w:gridCol w:w="6102"/>
      </w:tblGrid>
      <w:tr w:rsidR="00E10F0A" w14:paraId="688F9BD6" w14:textId="77777777" w:rsidTr="004C7CE7">
        <w:trPr>
          <w:trHeight w:val="839"/>
        </w:trPr>
        <w:tc>
          <w:tcPr>
            <w:tcW w:w="2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F9FF25" w14:textId="77777777" w:rsidR="00E10F0A" w:rsidRDefault="00E10F0A" w:rsidP="00E10F0A">
            <w:pPr>
              <w:pBdr>
                <w:top w:val="none" w:sz="4" w:space="0" w:color="000000"/>
                <w:left w:val="none" w:sz="4" w:space="0" w:color="000000"/>
                <w:bottom w:val="none" w:sz="4" w:space="0" w:color="000000"/>
                <w:right w:val="none" w:sz="4" w:space="0" w:color="000000"/>
              </w:pBdr>
              <w:ind w:hanging="114"/>
              <w:jc w:val="center"/>
              <w:rPr>
                <w:rFonts w:ascii="Times New Roman" w:hAnsi="Times New Roman"/>
                <w:sz w:val="24"/>
                <w:szCs w:val="24"/>
                <w:lang w:val="ro-RO"/>
              </w:rPr>
            </w:pPr>
            <w:r>
              <w:rPr>
                <w:rFonts w:ascii="Times New Roman" w:hAnsi="Times New Roman"/>
                <w:b/>
                <w:sz w:val="24"/>
                <w:szCs w:val="24"/>
                <w:lang w:val="ro-RO"/>
              </w:rPr>
              <w:t>Conținutul normei în vigoare</w:t>
            </w:r>
          </w:p>
        </w:tc>
        <w:tc>
          <w:tcPr>
            <w:tcW w:w="685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8BDFE64" w14:textId="77777777" w:rsidR="00E10F0A" w:rsidRDefault="00E10F0A">
            <w:pPr>
              <w:pBdr>
                <w:top w:val="none" w:sz="4" w:space="0" w:color="000000"/>
                <w:left w:val="none" w:sz="4" w:space="0" w:color="000000"/>
                <w:bottom w:val="none" w:sz="4" w:space="0" w:color="000000"/>
                <w:right w:val="none" w:sz="4" w:space="0" w:color="000000"/>
              </w:pBdr>
              <w:ind w:left="-1258" w:firstLine="1144"/>
              <w:jc w:val="center"/>
              <w:rPr>
                <w:rFonts w:ascii="Times New Roman" w:hAnsi="Times New Roman"/>
                <w:sz w:val="24"/>
                <w:szCs w:val="24"/>
                <w:lang w:val="ro-RO"/>
              </w:rPr>
            </w:pPr>
            <w:r>
              <w:rPr>
                <w:rFonts w:ascii="Times New Roman" w:hAnsi="Times New Roman"/>
                <w:b/>
                <w:sz w:val="24"/>
                <w:szCs w:val="24"/>
                <w:lang w:val="ro-RO"/>
              </w:rPr>
              <w:t>Modificarea propusă</w:t>
            </w:r>
          </w:p>
        </w:tc>
        <w:tc>
          <w:tcPr>
            <w:tcW w:w="610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BD514E6" w14:textId="77777777" w:rsidR="00E10F0A" w:rsidRDefault="00E10F0A">
            <w:pPr>
              <w:pBdr>
                <w:top w:val="none" w:sz="4" w:space="0" w:color="000000"/>
                <w:left w:val="none" w:sz="4" w:space="0" w:color="000000"/>
                <w:bottom w:val="none" w:sz="4" w:space="0" w:color="000000"/>
                <w:right w:val="none" w:sz="4" w:space="0" w:color="000000"/>
              </w:pBdr>
              <w:ind w:left="-1258" w:firstLine="1144"/>
              <w:jc w:val="center"/>
              <w:rPr>
                <w:rFonts w:ascii="Times New Roman" w:hAnsi="Times New Roman"/>
                <w:sz w:val="24"/>
                <w:szCs w:val="24"/>
                <w:lang w:val="ro-RO"/>
              </w:rPr>
            </w:pPr>
            <w:r>
              <w:rPr>
                <w:rFonts w:ascii="Times New Roman" w:hAnsi="Times New Roman"/>
                <w:b/>
                <w:sz w:val="24"/>
                <w:szCs w:val="24"/>
                <w:lang w:val="ro-RO"/>
              </w:rPr>
              <w:t>Conținutul normei după modificare</w:t>
            </w:r>
          </w:p>
        </w:tc>
      </w:tr>
      <w:tr w:rsidR="00E10F0A" w14:paraId="50B09D79" w14:textId="77777777" w:rsidTr="004C7CE7">
        <w:trPr>
          <w:trHeight w:val="284"/>
        </w:trPr>
        <w:tc>
          <w:tcPr>
            <w:tcW w:w="1565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C020A1" w14:textId="35D8B9E1" w:rsidR="00E10F0A" w:rsidRPr="00501268" w:rsidRDefault="00E10F0A">
            <w:pPr>
              <w:pBdr>
                <w:top w:val="none" w:sz="4" w:space="0" w:color="000000"/>
                <w:left w:val="none" w:sz="4" w:space="0" w:color="000000"/>
                <w:bottom w:val="none" w:sz="4" w:space="0" w:color="000000"/>
                <w:right w:val="none" w:sz="4" w:space="0" w:color="000000"/>
              </w:pBdr>
              <w:ind w:left="-1258" w:firstLine="1144"/>
              <w:jc w:val="center"/>
              <w:rPr>
                <w:bCs/>
                <w:sz w:val="24"/>
                <w:szCs w:val="24"/>
                <w:lang w:val="ro-RO"/>
              </w:rPr>
            </w:pPr>
            <w:r w:rsidRPr="00D975B7">
              <w:rPr>
                <w:rFonts w:ascii="Times New Roman" w:hAnsi="Times New Roman"/>
                <w:bCs/>
                <w:sz w:val="24"/>
                <w:szCs w:val="24"/>
                <w:lang w:val="ro-RO"/>
              </w:rPr>
              <w:t>1</w:t>
            </w:r>
            <w:r w:rsidRPr="00D975B7">
              <w:rPr>
                <w:bCs/>
                <w:sz w:val="24"/>
                <w:szCs w:val="24"/>
                <w:lang w:val="ro-RO"/>
              </w:rPr>
              <w:t>.</w:t>
            </w:r>
            <w:r w:rsidRPr="00D975B7">
              <w:rPr>
                <w:bCs/>
                <w:sz w:val="24"/>
                <w:szCs w:val="24"/>
                <w:lang w:val="ro-RO"/>
              </w:rPr>
              <w:tab/>
            </w:r>
            <w:r w:rsidRPr="00D975B7">
              <w:rPr>
                <w:rFonts w:ascii="Times New Roman" w:hAnsi="Times New Roman"/>
                <w:bCs/>
                <w:sz w:val="24"/>
                <w:szCs w:val="24"/>
                <w:lang w:val="ro-RO"/>
              </w:rPr>
              <w:t xml:space="preserve">Hotărârea de Guvern nr. 939/2008 pentru aprobarea Normei sanitar-veterinare privind măsurile de supraveghere, control </w:t>
            </w:r>
            <w:proofErr w:type="spellStart"/>
            <w:r w:rsidRPr="00D975B7">
              <w:rPr>
                <w:rFonts w:ascii="Times New Roman" w:hAnsi="Times New Roman"/>
                <w:bCs/>
                <w:sz w:val="24"/>
                <w:szCs w:val="24"/>
                <w:lang w:val="ro-RO"/>
              </w:rPr>
              <w:t>şi</w:t>
            </w:r>
            <w:proofErr w:type="spellEnd"/>
            <w:r w:rsidRPr="00D975B7">
              <w:rPr>
                <w:rFonts w:ascii="Times New Roman" w:hAnsi="Times New Roman"/>
                <w:bCs/>
                <w:sz w:val="24"/>
                <w:szCs w:val="24"/>
                <w:lang w:val="ro-RO"/>
              </w:rPr>
              <w:t xml:space="preserve"> combatere a gripei aviare</w:t>
            </w:r>
          </w:p>
        </w:tc>
      </w:tr>
      <w:tr w:rsidR="00E10F0A" w14:paraId="571D932A" w14:textId="77777777" w:rsidTr="004C7CE7">
        <w:trPr>
          <w:trHeight w:val="646"/>
        </w:trPr>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5A4A50" w14:textId="6A306953" w:rsidR="00E10F0A" w:rsidRDefault="00E10F0A" w:rsidP="00E10F0A">
            <w:pPr>
              <w:pBdr>
                <w:top w:val="none" w:sz="4" w:space="0" w:color="000000"/>
                <w:left w:val="none" w:sz="4" w:space="0" w:color="000000"/>
                <w:bottom w:val="none" w:sz="4" w:space="0" w:color="000000"/>
                <w:right w:val="none" w:sz="4" w:space="0" w:color="000000"/>
              </w:pBdr>
              <w:ind w:left="22" w:firstLine="0"/>
              <w:rPr>
                <w:rFonts w:ascii="Times New Roman" w:hAnsi="Times New Roman"/>
                <w:sz w:val="24"/>
                <w:szCs w:val="24"/>
                <w:lang w:val="ro-RO"/>
              </w:rPr>
            </w:pPr>
            <w:proofErr w:type="spellStart"/>
            <w:r w:rsidRPr="007778DA">
              <w:rPr>
                <w:rFonts w:ascii="Times New Roman" w:eastAsia="Times New Roman" w:hAnsi="Times New Roman"/>
                <w:b/>
                <w:bCs/>
                <w:sz w:val="24"/>
                <w:szCs w:val="24"/>
              </w:rPr>
              <w:t>păsări</w:t>
            </w:r>
            <w:proofErr w:type="spellEnd"/>
            <w:r w:rsidRPr="007778DA">
              <w:rPr>
                <w:rFonts w:ascii="Times New Roman" w:eastAsia="Times New Roman" w:hAnsi="Times New Roman"/>
                <w:b/>
                <w:bCs/>
                <w:sz w:val="24"/>
                <w:szCs w:val="24"/>
              </w:rPr>
              <w:t xml:space="preserve"> </w:t>
            </w:r>
            <w:proofErr w:type="spellStart"/>
            <w:r w:rsidRPr="007778DA">
              <w:rPr>
                <w:rFonts w:ascii="Times New Roman" w:eastAsia="Times New Roman" w:hAnsi="Times New Roman"/>
                <w:b/>
                <w:bCs/>
                <w:sz w:val="24"/>
                <w:szCs w:val="24"/>
              </w:rPr>
              <w:t>domestice</w:t>
            </w:r>
            <w:proofErr w:type="spellEnd"/>
            <w:r w:rsidRPr="007778DA">
              <w:rPr>
                <w:rFonts w:ascii="Times New Roman" w:eastAsia="Times New Roman" w:hAnsi="Times New Roman"/>
                <w:b/>
                <w:bCs/>
                <w:sz w:val="24"/>
                <w:szCs w:val="24"/>
              </w:rPr>
              <w:t> </w:t>
            </w:r>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toate</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păsările</w:t>
            </w:r>
            <w:proofErr w:type="spellEnd"/>
            <w:r w:rsidRPr="007778DA">
              <w:rPr>
                <w:rFonts w:ascii="Times New Roman" w:eastAsia="Times New Roman" w:hAnsi="Times New Roman"/>
                <w:sz w:val="24"/>
                <w:szCs w:val="24"/>
              </w:rPr>
              <w:t xml:space="preserve"> care </w:t>
            </w:r>
            <w:proofErr w:type="spellStart"/>
            <w:r w:rsidRPr="007778DA">
              <w:rPr>
                <w:rFonts w:ascii="Times New Roman" w:eastAsia="Times New Roman" w:hAnsi="Times New Roman"/>
                <w:sz w:val="24"/>
                <w:szCs w:val="24"/>
              </w:rPr>
              <w:t>sînt</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crescute</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sau</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ţinute</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în</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captivitate</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pentru</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producţia</w:t>
            </w:r>
            <w:proofErr w:type="spellEnd"/>
            <w:r w:rsidRPr="007778DA">
              <w:rPr>
                <w:rFonts w:ascii="Times New Roman" w:eastAsia="Times New Roman" w:hAnsi="Times New Roman"/>
                <w:sz w:val="24"/>
                <w:szCs w:val="24"/>
              </w:rPr>
              <w:t xml:space="preserve"> de carne </w:t>
            </w:r>
            <w:proofErr w:type="spellStart"/>
            <w:r w:rsidRPr="007778DA">
              <w:rPr>
                <w:rFonts w:ascii="Times New Roman" w:eastAsia="Times New Roman" w:hAnsi="Times New Roman"/>
                <w:sz w:val="24"/>
                <w:szCs w:val="24"/>
              </w:rPr>
              <w:t>sau</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ouă</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pentru</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consum</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pentru</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obţinerea</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altor</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produse</w:t>
            </w:r>
            <w:proofErr w:type="spellEnd"/>
            <w:r w:rsidRPr="007778DA">
              <w:rPr>
                <w:rFonts w:ascii="Times New Roman" w:eastAsia="Times New Roman" w:hAnsi="Times New Roman"/>
                <w:sz w:val="24"/>
                <w:szCs w:val="24"/>
              </w:rPr>
              <w:t xml:space="preserve">, ca </w:t>
            </w:r>
            <w:proofErr w:type="spellStart"/>
            <w:r w:rsidRPr="007778DA">
              <w:rPr>
                <w:rFonts w:ascii="Times New Roman" w:eastAsia="Times New Roman" w:hAnsi="Times New Roman"/>
                <w:sz w:val="24"/>
                <w:szCs w:val="24"/>
              </w:rPr>
              <w:t>rezerve</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pentru</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repopularea</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vînatului</w:t>
            </w:r>
            <w:proofErr w:type="spellEnd"/>
            <w:r w:rsidRPr="007778DA">
              <w:rPr>
                <w:rFonts w:ascii="Times New Roman" w:eastAsia="Times New Roman" w:hAnsi="Times New Roman"/>
                <w:sz w:val="24"/>
                <w:szCs w:val="24"/>
              </w:rPr>
              <w:t xml:space="preserve"> cu </w:t>
            </w:r>
            <w:proofErr w:type="spellStart"/>
            <w:r w:rsidRPr="007778DA">
              <w:rPr>
                <w:rFonts w:ascii="Times New Roman" w:eastAsia="Times New Roman" w:hAnsi="Times New Roman"/>
                <w:sz w:val="24"/>
                <w:szCs w:val="24"/>
              </w:rPr>
              <w:t>pene</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sau</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în</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scopul</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oricărui</w:t>
            </w:r>
            <w:proofErr w:type="spellEnd"/>
            <w:r w:rsidRPr="007778DA">
              <w:rPr>
                <w:rFonts w:ascii="Times New Roman" w:eastAsia="Times New Roman" w:hAnsi="Times New Roman"/>
                <w:sz w:val="24"/>
                <w:szCs w:val="24"/>
              </w:rPr>
              <w:t xml:space="preserve"> program de </w:t>
            </w:r>
            <w:proofErr w:type="spellStart"/>
            <w:r w:rsidRPr="007778DA">
              <w:rPr>
                <w:rFonts w:ascii="Times New Roman" w:eastAsia="Times New Roman" w:hAnsi="Times New Roman"/>
                <w:sz w:val="24"/>
                <w:szCs w:val="24"/>
              </w:rPr>
              <w:t>reproducere</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pentru</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producerea</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acestor</w:t>
            </w:r>
            <w:proofErr w:type="spellEnd"/>
            <w:r w:rsidRPr="007778DA">
              <w:rPr>
                <w:rFonts w:ascii="Times New Roman" w:eastAsia="Times New Roman" w:hAnsi="Times New Roman"/>
                <w:sz w:val="24"/>
                <w:szCs w:val="24"/>
              </w:rPr>
              <w:t xml:space="preserve"> </w:t>
            </w:r>
            <w:proofErr w:type="spellStart"/>
            <w:r w:rsidRPr="007778DA">
              <w:rPr>
                <w:rFonts w:ascii="Times New Roman" w:eastAsia="Times New Roman" w:hAnsi="Times New Roman"/>
                <w:sz w:val="24"/>
                <w:szCs w:val="24"/>
              </w:rPr>
              <w:t>categorii</w:t>
            </w:r>
            <w:proofErr w:type="spellEnd"/>
            <w:r w:rsidRPr="007778DA">
              <w:rPr>
                <w:rFonts w:ascii="Times New Roman" w:eastAsia="Times New Roman" w:hAnsi="Times New Roman"/>
                <w:sz w:val="24"/>
                <w:szCs w:val="24"/>
              </w:rPr>
              <w:t xml:space="preserve"> de </w:t>
            </w:r>
            <w:proofErr w:type="spellStart"/>
            <w:r w:rsidRPr="007778DA">
              <w:rPr>
                <w:rFonts w:ascii="Times New Roman" w:eastAsia="Times New Roman" w:hAnsi="Times New Roman"/>
                <w:sz w:val="24"/>
                <w:szCs w:val="24"/>
              </w:rPr>
              <w:t>păsări</w:t>
            </w:r>
            <w:proofErr w:type="spellEnd"/>
            <w:r w:rsidRPr="007778DA">
              <w:rPr>
                <w:rFonts w:ascii="Times New Roman" w:eastAsia="Times New Roman" w:hAnsi="Times New Roman"/>
                <w:sz w:val="24"/>
                <w:szCs w:val="24"/>
              </w:rPr>
              <w:t>;</w:t>
            </w:r>
          </w:p>
        </w:tc>
        <w:tc>
          <w:tcPr>
            <w:tcW w:w="6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E1DCA4" w14:textId="369D888B" w:rsidR="00E10F0A" w:rsidRPr="007778DA" w:rsidRDefault="00E10F0A" w:rsidP="007778DA">
            <w:pPr>
              <w:pBdr>
                <w:top w:val="none" w:sz="4" w:space="0" w:color="000000"/>
                <w:left w:val="none" w:sz="4" w:space="0" w:color="000000"/>
                <w:bottom w:val="none" w:sz="4" w:space="0" w:color="000000"/>
                <w:right w:val="none" w:sz="4" w:space="0" w:color="000000"/>
              </w:pBdr>
              <w:ind w:left="-46" w:hanging="68"/>
              <w:rPr>
                <w:rFonts w:ascii="Times New Roman" w:hAnsi="Times New Roman"/>
                <w:sz w:val="24"/>
                <w:szCs w:val="24"/>
              </w:rPr>
            </w:pPr>
            <w:r w:rsidRPr="007778DA">
              <w:rPr>
                <w:rFonts w:ascii="Times New Roman" w:hAnsi="Times New Roman"/>
                <w:sz w:val="24"/>
                <w:szCs w:val="24"/>
                <w:lang w:val="ro-RO"/>
              </w:rPr>
              <w:t xml:space="preserve">”păsări de curte –păsările care sunt crescute sau ținute într-o singură gospodărie, ale căror produse sunt folosite exclusiv în </w:t>
            </w:r>
            <w:proofErr w:type="spellStart"/>
            <w:r w:rsidRPr="007778DA">
              <w:rPr>
                <w:rFonts w:ascii="Times New Roman" w:hAnsi="Times New Roman"/>
                <w:sz w:val="24"/>
                <w:szCs w:val="24"/>
                <w:lang w:val="ro-RO"/>
              </w:rPr>
              <w:t>aceeiași</w:t>
            </w:r>
            <w:proofErr w:type="spellEnd"/>
            <w:r w:rsidRPr="007778DA">
              <w:rPr>
                <w:rFonts w:ascii="Times New Roman" w:hAnsi="Times New Roman"/>
                <w:sz w:val="24"/>
                <w:szCs w:val="24"/>
                <w:lang w:val="ro-RO"/>
              </w:rPr>
              <w:t xml:space="preserve"> gospodărie, nu sunt considerate păsările de curte cele care au contact direct sau indirect cu unitățile avicole.”</w:t>
            </w:r>
          </w:p>
        </w:tc>
        <w:tc>
          <w:tcPr>
            <w:tcW w:w="610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5DA69E6" w14:textId="25472D31" w:rsidR="00E10F0A" w:rsidRDefault="00E10F0A" w:rsidP="00E10F0A">
            <w:pPr>
              <w:pBdr>
                <w:top w:val="none" w:sz="4" w:space="0" w:color="000000"/>
                <w:left w:val="none" w:sz="4" w:space="0" w:color="000000"/>
                <w:bottom w:val="none" w:sz="4" w:space="0" w:color="000000"/>
                <w:right w:val="none" w:sz="4" w:space="0" w:color="000000"/>
              </w:pBdr>
              <w:ind w:left="10" w:right="84" w:firstLine="141"/>
              <w:rPr>
                <w:rFonts w:ascii="Times New Roman" w:hAnsi="Times New Roman"/>
                <w:sz w:val="24"/>
                <w:szCs w:val="24"/>
                <w:lang w:val="ro-RO"/>
              </w:rPr>
            </w:pPr>
            <w:r w:rsidRPr="007778DA">
              <w:rPr>
                <w:rFonts w:ascii="Times New Roman" w:hAnsi="Times New Roman"/>
                <w:sz w:val="24"/>
                <w:szCs w:val="24"/>
                <w:lang w:val="ro-RO"/>
              </w:rPr>
              <w:t xml:space="preserve">”păsări de curte –păsările care sunt crescute sau ținute într-o singură gospodărie, ale căror produse sunt folosite exclusiv în </w:t>
            </w:r>
            <w:proofErr w:type="spellStart"/>
            <w:r w:rsidRPr="007778DA">
              <w:rPr>
                <w:rFonts w:ascii="Times New Roman" w:hAnsi="Times New Roman"/>
                <w:sz w:val="24"/>
                <w:szCs w:val="24"/>
                <w:lang w:val="ro-RO"/>
              </w:rPr>
              <w:t>aceeiași</w:t>
            </w:r>
            <w:proofErr w:type="spellEnd"/>
            <w:r w:rsidRPr="007778DA">
              <w:rPr>
                <w:rFonts w:ascii="Times New Roman" w:hAnsi="Times New Roman"/>
                <w:sz w:val="24"/>
                <w:szCs w:val="24"/>
                <w:lang w:val="ro-RO"/>
              </w:rPr>
              <w:t xml:space="preserve"> gospodărie, nu sunt considerate păsările de curte cele care au contact direct sau indirect cu unitățile avicole.”</w:t>
            </w:r>
          </w:p>
        </w:tc>
      </w:tr>
      <w:tr w:rsidR="004C7CE7" w14:paraId="05B3F80E" w14:textId="77777777" w:rsidTr="004C7CE7">
        <w:trPr>
          <w:trHeight w:val="143"/>
        </w:trPr>
        <w:tc>
          <w:tcPr>
            <w:tcW w:w="15652"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889D79" w14:textId="5575F3FB" w:rsidR="00E10F0A" w:rsidRDefault="00E10F0A">
            <w:pPr>
              <w:pBdr>
                <w:top w:val="none" w:sz="4" w:space="0" w:color="000000"/>
                <w:left w:val="none" w:sz="4" w:space="0" w:color="000000"/>
                <w:bottom w:val="none" w:sz="4" w:space="0" w:color="000000"/>
                <w:right w:val="none" w:sz="4" w:space="0" w:color="000000"/>
              </w:pBdr>
              <w:ind w:left="-1258" w:firstLine="1144"/>
              <w:rPr>
                <w:rFonts w:ascii="Times New Roman" w:hAnsi="Times New Roman"/>
                <w:sz w:val="24"/>
                <w:szCs w:val="24"/>
                <w:lang w:val="ro-RO"/>
              </w:rPr>
            </w:pPr>
            <w:r>
              <w:rPr>
                <w:rFonts w:ascii="Times New Roman" w:eastAsia="Times New Roman" w:hAnsi="Times New Roman"/>
                <w:sz w:val="24"/>
                <w:szCs w:val="24"/>
                <w:lang w:val="ro-RO"/>
              </w:rPr>
              <w:t xml:space="preserve"> </w:t>
            </w:r>
            <w:r w:rsidRPr="007778DA">
              <w:rPr>
                <w:rFonts w:ascii="Times New Roman" w:eastAsia="Times New Roman" w:hAnsi="Times New Roman"/>
                <w:sz w:val="24"/>
                <w:szCs w:val="24"/>
                <w:lang w:val="ro-RO"/>
              </w:rPr>
              <w:t>2.</w:t>
            </w:r>
            <w:r w:rsidRPr="007778DA">
              <w:rPr>
                <w:rFonts w:ascii="Times New Roman" w:eastAsia="Times New Roman" w:hAnsi="Times New Roman"/>
                <w:sz w:val="24"/>
                <w:szCs w:val="24"/>
                <w:lang w:val="ro-RO"/>
              </w:rPr>
              <w:tab/>
              <w:t xml:space="preserve">Regulile privind criteriile microbiologice pentru produsele alimentare aprobate prin </w:t>
            </w:r>
            <w:proofErr w:type="spellStart"/>
            <w:r w:rsidRPr="007778DA">
              <w:rPr>
                <w:rFonts w:ascii="Times New Roman" w:eastAsia="Times New Roman" w:hAnsi="Times New Roman"/>
                <w:sz w:val="24"/>
                <w:szCs w:val="24"/>
                <w:lang w:val="ro-RO"/>
              </w:rPr>
              <w:t>Hotărîrea</w:t>
            </w:r>
            <w:proofErr w:type="spellEnd"/>
            <w:r w:rsidRPr="007778DA">
              <w:rPr>
                <w:rFonts w:ascii="Times New Roman" w:eastAsia="Times New Roman" w:hAnsi="Times New Roman"/>
                <w:sz w:val="24"/>
                <w:szCs w:val="24"/>
                <w:lang w:val="ro-RO"/>
              </w:rPr>
              <w:t xml:space="preserve"> de Guvern nr. 221/2009</w:t>
            </w:r>
          </w:p>
          <w:p w14:paraId="403D2B53" w14:textId="63F55C17" w:rsidR="00E10F0A" w:rsidRDefault="00E10F0A" w:rsidP="007778DA">
            <w:pPr>
              <w:pBdr>
                <w:top w:val="none" w:sz="4" w:space="0" w:color="000000"/>
                <w:left w:val="none" w:sz="4" w:space="0" w:color="000000"/>
                <w:bottom w:val="none" w:sz="4" w:space="0" w:color="000000"/>
                <w:right w:val="none" w:sz="4" w:space="0" w:color="000000"/>
              </w:pBdr>
              <w:ind w:left="-1258" w:firstLine="1144"/>
              <w:rPr>
                <w:rFonts w:ascii="Times New Roman" w:hAnsi="Times New Roman"/>
                <w:sz w:val="24"/>
                <w:szCs w:val="24"/>
                <w:lang w:val="ro-RO"/>
              </w:rPr>
            </w:pPr>
          </w:p>
        </w:tc>
      </w:tr>
      <w:tr w:rsidR="00E10F0A" w14:paraId="18F4333A" w14:textId="77777777" w:rsidTr="004C7CE7">
        <w:trPr>
          <w:trHeight w:val="143"/>
        </w:trPr>
        <w:tc>
          <w:tcPr>
            <w:tcW w:w="269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4E6D75" w14:textId="256C5C44" w:rsidR="00E10F0A" w:rsidRPr="007778DA" w:rsidRDefault="00E10F0A" w:rsidP="00E10F0A">
            <w:pPr>
              <w:pBdr>
                <w:top w:val="none" w:sz="4" w:space="0" w:color="000000"/>
                <w:left w:val="none" w:sz="4" w:space="0" w:color="000000"/>
                <w:bottom w:val="none" w:sz="4" w:space="0" w:color="000000"/>
                <w:right w:val="none" w:sz="4" w:space="0" w:color="000000"/>
              </w:pBdr>
              <w:ind w:firstLine="22"/>
              <w:rPr>
                <w:rFonts w:ascii="Times New Roman" w:hAnsi="Times New Roman"/>
                <w:sz w:val="24"/>
                <w:szCs w:val="24"/>
                <w:lang w:val="ro-RO"/>
              </w:rPr>
            </w:pPr>
            <w:r w:rsidRPr="007778DA">
              <w:rPr>
                <w:rFonts w:ascii="Times New Roman" w:hAnsi="Times New Roman"/>
                <w:sz w:val="24"/>
                <w:szCs w:val="24"/>
                <w:lang w:val="ro-RO"/>
              </w:rPr>
              <w:t xml:space="preserve">1. Prezentele Reguli stabilesc criterii microbiologice pentru anumite microorganisme </w:t>
            </w:r>
            <w:proofErr w:type="spellStart"/>
            <w:r w:rsidRPr="007778DA">
              <w:rPr>
                <w:rFonts w:ascii="Times New Roman" w:hAnsi="Times New Roman"/>
                <w:sz w:val="24"/>
                <w:szCs w:val="24"/>
                <w:lang w:val="ro-RO"/>
              </w:rPr>
              <w:t>şi</w:t>
            </w:r>
            <w:proofErr w:type="spellEnd"/>
            <w:r w:rsidRPr="007778DA">
              <w:rPr>
                <w:rFonts w:ascii="Times New Roman" w:hAnsi="Times New Roman"/>
                <w:sz w:val="24"/>
                <w:szCs w:val="24"/>
                <w:lang w:val="ro-RO"/>
              </w:rPr>
              <w:t xml:space="preserve"> mecanismele de aplicare pe care </w:t>
            </w:r>
            <w:proofErr w:type="spellStart"/>
            <w:r w:rsidRPr="007778DA">
              <w:rPr>
                <w:rFonts w:ascii="Times New Roman" w:hAnsi="Times New Roman"/>
                <w:sz w:val="24"/>
                <w:szCs w:val="24"/>
                <w:lang w:val="ro-RO"/>
              </w:rPr>
              <w:t>agenţii</w:t>
            </w:r>
            <w:proofErr w:type="spellEnd"/>
            <w:r w:rsidRPr="007778DA">
              <w:rPr>
                <w:rFonts w:ascii="Times New Roman" w:hAnsi="Times New Roman"/>
                <w:sz w:val="24"/>
                <w:szCs w:val="24"/>
                <w:lang w:val="ro-RO"/>
              </w:rPr>
              <w:t xml:space="preserve"> economici din sectorul alimentar trebuie să le respecte în cazul în care pun în aplicare măsurile </w:t>
            </w:r>
            <w:r w:rsidRPr="007778DA">
              <w:rPr>
                <w:rFonts w:ascii="Times New Roman" w:hAnsi="Times New Roman"/>
                <w:sz w:val="24"/>
                <w:szCs w:val="24"/>
                <w:lang w:val="ro-RO"/>
              </w:rPr>
              <w:lastRenderedPageBreak/>
              <w:t xml:space="preserve">de igienă generale </w:t>
            </w:r>
            <w:proofErr w:type="spellStart"/>
            <w:r w:rsidRPr="007778DA">
              <w:rPr>
                <w:rFonts w:ascii="Times New Roman" w:hAnsi="Times New Roman"/>
                <w:sz w:val="24"/>
                <w:szCs w:val="24"/>
                <w:lang w:val="ro-RO"/>
              </w:rPr>
              <w:t>şi</w:t>
            </w:r>
            <w:proofErr w:type="spellEnd"/>
            <w:r w:rsidRPr="007778DA">
              <w:rPr>
                <w:rFonts w:ascii="Times New Roman" w:hAnsi="Times New Roman"/>
                <w:sz w:val="24"/>
                <w:szCs w:val="24"/>
                <w:lang w:val="ro-RO"/>
              </w:rPr>
              <w:t xml:space="preserve"> speciale.</w:t>
            </w:r>
          </w:p>
        </w:tc>
        <w:tc>
          <w:tcPr>
            <w:tcW w:w="6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C9CDF0" w14:textId="0E5F8C65" w:rsidR="00E10F0A" w:rsidRPr="007778DA" w:rsidRDefault="00E10F0A" w:rsidP="00E10F0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778DA">
              <w:rPr>
                <w:rFonts w:ascii="Times New Roman" w:hAnsi="Times New Roman"/>
                <w:sz w:val="24"/>
                <w:szCs w:val="24"/>
                <w:lang w:val="ro-RO"/>
              </w:rPr>
              <w:lastRenderedPageBreak/>
              <w:t xml:space="preserve">1.Prezentele Reguli stabilesc criteriile microbiologice pentru anumite microorganisme  și  normele de aplicare  pe care operatorii din domeniul alimentar trebuie să le respecte  atunci când  pun în aplicare măsurile prevăzute  la art.3 din Legea nr. 296/2017, privind cerințele generale de igienă a produselor alimentare și cerințele speciale. </w:t>
            </w:r>
            <w:proofErr w:type="spellStart"/>
            <w:r w:rsidRPr="007778DA">
              <w:rPr>
                <w:rFonts w:ascii="Times New Roman" w:hAnsi="Times New Roman"/>
                <w:sz w:val="24"/>
                <w:szCs w:val="24"/>
                <w:lang w:val="ro-RO"/>
              </w:rPr>
              <w:t>Agenţia</w:t>
            </w:r>
            <w:proofErr w:type="spellEnd"/>
            <w:r w:rsidRPr="007778DA">
              <w:rPr>
                <w:rFonts w:ascii="Times New Roman" w:hAnsi="Times New Roman"/>
                <w:sz w:val="24"/>
                <w:szCs w:val="24"/>
                <w:lang w:val="ro-RO"/>
              </w:rPr>
              <w:t xml:space="preserve"> </w:t>
            </w:r>
            <w:proofErr w:type="spellStart"/>
            <w:r w:rsidRPr="007778DA">
              <w:rPr>
                <w:rFonts w:ascii="Times New Roman" w:hAnsi="Times New Roman"/>
                <w:sz w:val="24"/>
                <w:szCs w:val="24"/>
                <w:lang w:val="ro-RO"/>
              </w:rPr>
              <w:t>Naţională</w:t>
            </w:r>
            <w:proofErr w:type="spellEnd"/>
            <w:r w:rsidRPr="007778DA">
              <w:rPr>
                <w:rFonts w:ascii="Times New Roman" w:hAnsi="Times New Roman"/>
                <w:sz w:val="24"/>
                <w:szCs w:val="24"/>
                <w:lang w:val="ro-RO"/>
              </w:rPr>
              <w:t xml:space="preserve"> pentru </w:t>
            </w:r>
            <w:proofErr w:type="spellStart"/>
            <w:r w:rsidRPr="007778DA">
              <w:rPr>
                <w:rFonts w:ascii="Times New Roman" w:hAnsi="Times New Roman"/>
                <w:sz w:val="24"/>
                <w:szCs w:val="24"/>
                <w:lang w:val="ro-RO"/>
              </w:rPr>
              <w:t>Siguranţa</w:t>
            </w:r>
            <w:proofErr w:type="spellEnd"/>
            <w:r w:rsidRPr="007778DA">
              <w:rPr>
                <w:rFonts w:ascii="Times New Roman" w:hAnsi="Times New Roman"/>
                <w:sz w:val="24"/>
                <w:szCs w:val="24"/>
                <w:lang w:val="ro-RO"/>
              </w:rPr>
              <w:t xml:space="preserve"> Alimentelor verifica respectarea normelor și a criteriilor stabilite de prezentele Reguli fără a aduce atingere dreptului acesteia de a realiza și alte prelevări de probe și analize în vederea detectării și măsurării altor microorganisme, a toxinelor sau metaboliților acestora fie în cadrul unei verificări a </w:t>
            </w:r>
            <w:r w:rsidRPr="007778DA">
              <w:rPr>
                <w:rFonts w:ascii="Times New Roman" w:hAnsi="Times New Roman"/>
                <w:sz w:val="24"/>
                <w:szCs w:val="24"/>
                <w:lang w:val="ro-RO"/>
              </w:rPr>
              <w:lastRenderedPageBreak/>
              <w:t>proceselor, pentru produsele alimentare suspectate că ar fi periculoase, fie în cadrul unei analize a riscului.</w:t>
            </w:r>
          </w:p>
        </w:tc>
        <w:tc>
          <w:tcPr>
            <w:tcW w:w="610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2EE3F03" w14:textId="74622314" w:rsidR="00E10F0A" w:rsidRPr="0063204F" w:rsidRDefault="00E10F0A" w:rsidP="00E10F0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63204F">
              <w:rPr>
                <w:rFonts w:ascii="Times New Roman" w:hAnsi="Times New Roman"/>
                <w:sz w:val="24"/>
                <w:szCs w:val="24"/>
                <w:lang w:val="ro-RO"/>
              </w:rPr>
              <w:lastRenderedPageBreak/>
              <w:t xml:space="preserve">1.Prezentele Reguli stabilesc criteriile microbiologice pentru anumite microorganisme  și  normele de aplicare  pe care operatorii din domeniul alimentar trebuie să le respecte  atunci când  pun în aplicare măsurile prevăzute  la art.3 din Legea nr. 296/2017, privind cerințele generale de igienă a produselor alimentare și cerințele speciale. </w:t>
            </w:r>
            <w:proofErr w:type="spellStart"/>
            <w:r w:rsidRPr="0063204F">
              <w:rPr>
                <w:rFonts w:ascii="Times New Roman" w:hAnsi="Times New Roman"/>
                <w:sz w:val="24"/>
                <w:szCs w:val="24"/>
                <w:lang w:val="ro-RO"/>
              </w:rPr>
              <w:t>Agenţia</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Naţională</w:t>
            </w:r>
            <w:proofErr w:type="spellEnd"/>
            <w:r w:rsidRPr="0063204F">
              <w:rPr>
                <w:rFonts w:ascii="Times New Roman" w:hAnsi="Times New Roman"/>
                <w:sz w:val="24"/>
                <w:szCs w:val="24"/>
                <w:lang w:val="ro-RO"/>
              </w:rPr>
              <w:t xml:space="preserve"> pentru </w:t>
            </w:r>
            <w:proofErr w:type="spellStart"/>
            <w:r w:rsidRPr="0063204F">
              <w:rPr>
                <w:rFonts w:ascii="Times New Roman" w:hAnsi="Times New Roman"/>
                <w:sz w:val="24"/>
                <w:szCs w:val="24"/>
                <w:lang w:val="ro-RO"/>
              </w:rPr>
              <w:t>Siguranţa</w:t>
            </w:r>
            <w:proofErr w:type="spellEnd"/>
            <w:r w:rsidRPr="0063204F">
              <w:rPr>
                <w:rFonts w:ascii="Times New Roman" w:hAnsi="Times New Roman"/>
                <w:sz w:val="24"/>
                <w:szCs w:val="24"/>
                <w:lang w:val="ro-RO"/>
              </w:rPr>
              <w:t xml:space="preserve"> Alimentelor verifica respectarea normelor și a criteriilor stabilite de prezentele Reguli fără a aduce atingere dreptului acesteia de a realiza și alte prelevări de probe și analize în vederea detectării și măsurării altor </w:t>
            </w:r>
            <w:r w:rsidRPr="0063204F">
              <w:rPr>
                <w:rFonts w:ascii="Times New Roman" w:hAnsi="Times New Roman"/>
                <w:sz w:val="24"/>
                <w:szCs w:val="24"/>
                <w:lang w:val="ro-RO"/>
              </w:rPr>
              <w:lastRenderedPageBreak/>
              <w:t>microorganisme, a toxinelor sau metaboliților acestora fie în cadrul unei verificări a proceselor, pentru produsele alimentare suspectate că ar fi periculoase, fie în cadrul unei analize a riscului.</w:t>
            </w:r>
          </w:p>
        </w:tc>
      </w:tr>
      <w:tr w:rsidR="00B713EA" w14:paraId="76F3B858" w14:textId="77777777" w:rsidTr="004C7CE7">
        <w:trPr>
          <w:trHeight w:val="1648"/>
        </w:trPr>
        <w:tc>
          <w:tcPr>
            <w:tcW w:w="2694"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43FEFF3" w14:textId="29E357FA" w:rsidR="00E10F0A" w:rsidRDefault="00E10F0A" w:rsidP="00E10F0A">
            <w:pPr>
              <w:pBdr>
                <w:top w:val="none" w:sz="4" w:space="0" w:color="000000"/>
                <w:left w:val="none" w:sz="4" w:space="0" w:color="000000"/>
                <w:bottom w:val="none" w:sz="4" w:space="0" w:color="000000"/>
                <w:right w:val="none" w:sz="4" w:space="0" w:color="000000"/>
              </w:pBdr>
              <w:ind w:left="22" w:firstLine="0"/>
              <w:rPr>
                <w:rFonts w:ascii="Times New Roman" w:hAnsi="Times New Roman"/>
                <w:sz w:val="24"/>
                <w:szCs w:val="24"/>
                <w:lang w:val="ro-RO"/>
              </w:rPr>
            </w:pPr>
            <w:r>
              <w:rPr>
                <w:rFonts w:ascii="Times New Roman" w:hAnsi="Times New Roman"/>
                <w:sz w:val="24"/>
                <w:szCs w:val="24"/>
                <w:lang w:val="ro-RO"/>
              </w:rPr>
              <w:lastRenderedPageBreak/>
              <w:t>Noțiune inexistentă</w:t>
            </w:r>
          </w:p>
        </w:tc>
        <w:tc>
          <w:tcPr>
            <w:tcW w:w="6856"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3E52655" w14:textId="75325FB6" w:rsidR="00E10F0A" w:rsidRDefault="00E10F0A" w:rsidP="00E10F0A">
            <w:pPr>
              <w:pBdr>
                <w:top w:val="none" w:sz="4" w:space="0" w:color="000000"/>
                <w:left w:val="none" w:sz="4" w:space="0" w:color="000000"/>
                <w:bottom w:val="none" w:sz="4" w:space="0" w:color="000000"/>
                <w:right w:val="none" w:sz="4" w:space="0" w:color="000000"/>
              </w:pBdr>
              <w:ind w:left="-46" w:hanging="68"/>
              <w:rPr>
                <w:rFonts w:ascii="Times New Roman" w:hAnsi="Times New Roman"/>
                <w:sz w:val="24"/>
                <w:szCs w:val="24"/>
                <w:lang w:val="ro-RO"/>
              </w:rPr>
            </w:pPr>
            <w:r w:rsidRPr="0063204F">
              <w:rPr>
                <w:rFonts w:ascii="Times New Roman" w:hAnsi="Times New Roman"/>
                <w:sz w:val="24"/>
                <w:szCs w:val="24"/>
                <w:lang w:val="ro-RO"/>
              </w:rPr>
              <w:t xml:space="preserve">”carne de reptile” - părțile comestibile, neprelucrate sau prelucrate, derivate din reptile de crescătorie, aparținând speciilor </w:t>
            </w:r>
            <w:proofErr w:type="spellStart"/>
            <w:r w:rsidRPr="0063204F">
              <w:rPr>
                <w:rFonts w:ascii="Times New Roman" w:hAnsi="Times New Roman"/>
                <w:sz w:val="24"/>
                <w:szCs w:val="24"/>
                <w:lang w:val="ro-RO"/>
              </w:rPr>
              <w:t>Alligator</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mississippiensis</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Crocodylus</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johnstoni</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Crocodylus</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niloticus</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Crocodylus</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porosus</w:t>
            </w:r>
            <w:proofErr w:type="spellEnd"/>
            <w:r w:rsidRPr="0063204F">
              <w:rPr>
                <w:rFonts w:ascii="Times New Roman" w:hAnsi="Times New Roman"/>
                <w:sz w:val="24"/>
                <w:szCs w:val="24"/>
                <w:lang w:val="ro-RO"/>
              </w:rPr>
              <w:t xml:space="preserve">, Timon </w:t>
            </w:r>
            <w:proofErr w:type="spellStart"/>
            <w:r w:rsidRPr="0063204F">
              <w:rPr>
                <w:rFonts w:ascii="Times New Roman" w:hAnsi="Times New Roman"/>
                <w:sz w:val="24"/>
                <w:szCs w:val="24"/>
                <w:lang w:val="ro-RO"/>
              </w:rPr>
              <w:t>lepidus</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Python</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reticulatus</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Python</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molurus</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bivittatus</w:t>
            </w:r>
            <w:proofErr w:type="spellEnd"/>
            <w:r w:rsidRPr="0063204F">
              <w:rPr>
                <w:rFonts w:ascii="Times New Roman" w:hAnsi="Times New Roman"/>
                <w:sz w:val="24"/>
                <w:szCs w:val="24"/>
                <w:lang w:val="ro-RO"/>
              </w:rPr>
              <w:t xml:space="preserve"> sau </w:t>
            </w:r>
            <w:proofErr w:type="spellStart"/>
            <w:r w:rsidRPr="0063204F">
              <w:rPr>
                <w:rFonts w:ascii="Times New Roman" w:hAnsi="Times New Roman"/>
                <w:sz w:val="24"/>
                <w:szCs w:val="24"/>
                <w:lang w:val="ro-RO"/>
              </w:rPr>
              <w:t>Pelodiscus</w:t>
            </w:r>
            <w:proofErr w:type="spellEnd"/>
            <w:r w:rsidRPr="0063204F">
              <w:rPr>
                <w:rFonts w:ascii="Times New Roman" w:hAnsi="Times New Roman"/>
                <w:sz w:val="24"/>
                <w:szCs w:val="24"/>
                <w:lang w:val="ro-RO"/>
              </w:rPr>
              <w:t xml:space="preserve"> </w:t>
            </w:r>
            <w:proofErr w:type="spellStart"/>
            <w:r w:rsidRPr="0063204F">
              <w:rPr>
                <w:rFonts w:ascii="Times New Roman" w:hAnsi="Times New Roman"/>
                <w:sz w:val="24"/>
                <w:szCs w:val="24"/>
                <w:lang w:val="ro-RO"/>
              </w:rPr>
              <w:t>sinensis</w:t>
            </w:r>
            <w:proofErr w:type="spellEnd"/>
            <w:r w:rsidRPr="0063204F">
              <w:rPr>
                <w:rFonts w:ascii="Times New Roman" w:hAnsi="Times New Roman"/>
                <w:sz w:val="24"/>
                <w:szCs w:val="24"/>
                <w:lang w:val="ro-RO"/>
              </w:rPr>
              <w:t>, care sunt însoțite de Certificatul de sănătate și incluse în lista cu alimente noi aprobată de Guvern.”</w:t>
            </w:r>
          </w:p>
        </w:tc>
        <w:tc>
          <w:tcPr>
            <w:tcW w:w="6102"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8FC3152" w14:textId="02766DEF" w:rsidR="00E10F0A" w:rsidRPr="0063204F" w:rsidRDefault="00E10F0A" w:rsidP="00E10F0A">
            <w:pPr>
              <w:pBdr>
                <w:top w:val="none" w:sz="4" w:space="0" w:color="000000"/>
                <w:left w:val="none" w:sz="4" w:space="0" w:color="000000"/>
                <w:bottom w:val="none" w:sz="4" w:space="0" w:color="000000"/>
                <w:right w:val="none" w:sz="4" w:space="0" w:color="000000"/>
              </w:pBdr>
              <w:ind w:left="-46" w:hanging="68"/>
              <w:rPr>
                <w:bCs/>
                <w:sz w:val="24"/>
                <w:szCs w:val="24"/>
              </w:rPr>
            </w:pPr>
            <w:r w:rsidRPr="0063204F">
              <w:rPr>
                <w:rFonts w:ascii="Times New Roman" w:hAnsi="Times New Roman"/>
                <w:bCs/>
                <w:sz w:val="24"/>
                <w:szCs w:val="24"/>
                <w:lang w:val="ro-RO"/>
              </w:rPr>
              <w:t xml:space="preserve">”carne de reptile” - părțile comestibile, neprelucrate sau prelucrate, derivate din reptile de crescătorie, aparținând speciilor </w:t>
            </w:r>
            <w:proofErr w:type="spellStart"/>
            <w:r w:rsidRPr="0063204F">
              <w:rPr>
                <w:rFonts w:ascii="Times New Roman" w:hAnsi="Times New Roman"/>
                <w:bCs/>
                <w:sz w:val="24"/>
                <w:szCs w:val="24"/>
                <w:lang w:val="ro-RO"/>
              </w:rPr>
              <w:t>Alligator</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mississippiensis</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Crocodylus</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johnstoni</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Crocodylus</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niloticus</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Crocodylus</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porosus</w:t>
            </w:r>
            <w:proofErr w:type="spellEnd"/>
            <w:r w:rsidRPr="0063204F">
              <w:rPr>
                <w:rFonts w:ascii="Times New Roman" w:hAnsi="Times New Roman"/>
                <w:bCs/>
                <w:sz w:val="24"/>
                <w:szCs w:val="24"/>
                <w:lang w:val="ro-RO"/>
              </w:rPr>
              <w:t xml:space="preserve">, Timon </w:t>
            </w:r>
            <w:proofErr w:type="spellStart"/>
            <w:r w:rsidRPr="0063204F">
              <w:rPr>
                <w:rFonts w:ascii="Times New Roman" w:hAnsi="Times New Roman"/>
                <w:bCs/>
                <w:sz w:val="24"/>
                <w:szCs w:val="24"/>
                <w:lang w:val="ro-RO"/>
              </w:rPr>
              <w:t>lepidus</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Python</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reticulatus</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Python</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molurus</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bivittatus</w:t>
            </w:r>
            <w:proofErr w:type="spellEnd"/>
            <w:r w:rsidRPr="0063204F">
              <w:rPr>
                <w:rFonts w:ascii="Times New Roman" w:hAnsi="Times New Roman"/>
                <w:bCs/>
                <w:sz w:val="24"/>
                <w:szCs w:val="24"/>
                <w:lang w:val="ro-RO"/>
              </w:rPr>
              <w:t xml:space="preserve"> sau </w:t>
            </w:r>
            <w:proofErr w:type="spellStart"/>
            <w:r w:rsidRPr="0063204F">
              <w:rPr>
                <w:rFonts w:ascii="Times New Roman" w:hAnsi="Times New Roman"/>
                <w:bCs/>
                <w:sz w:val="24"/>
                <w:szCs w:val="24"/>
                <w:lang w:val="ro-RO"/>
              </w:rPr>
              <w:t>Pelodiscus</w:t>
            </w:r>
            <w:proofErr w:type="spellEnd"/>
            <w:r w:rsidRPr="0063204F">
              <w:rPr>
                <w:rFonts w:ascii="Times New Roman" w:hAnsi="Times New Roman"/>
                <w:bCs/>
                <w:sz w:val="24"/>
                <w:szCs w:val="24"/>
                <w:lang w:val="ro-RO"/>
              </w:rPr>
              <w:t xml:space="preserve"> </w:t>
            </w:r>
            <w:proofErr w:type="spellStart"/>
            <w:r w:rsidRPr="0063204F">
              <w:rPr>
                <w:rFonts w:ascii="Times New Roman" w:hAnsi="Times New Roman"/>
                <w:bCs/>
                <w:sz w:val="24"/>
                <w:szCs w:val="24"/>
                <w:lang w:val="ro-RO"/>
              </w:rPr>
              <w:t>sinensis</w:t>
            </w:r>
            <w:proofErr w:type="spellEnd"/>
            <w:r w:rsidRPr="0063204F">
              <w:rPr>
                <w:rFonts w:ascii="Times New Roman" w:hAnsi="Times New Roman"/>
                <w:bCs/>
                <w:sz w:val="24"/>
                <w:szCs w:val="24"/>
                <w:lang w:val="ro-RO"/>
              </w:rPr>
              <w:t>, care sunt însoțite de Certificatul de sănătate și incluse în lista cu alimente noi aprobată de Guvern.”</w:t>
            </w:r>
          </w:p>
        </w:tc>
      </w:tr>
      <w:tr w:rsidR="00B713EA" w14:paraId="00F560B7" w14:textId="77777777" w:rsidTr="004C7CE7">
        <w:trPr>
          <w:trHeight w:val="4030"/>
        </w:trPr>
        <w:tc>
          <w:tcPr>
            <w:tcW w:w="269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6904770B" w14:textId="7A40A9D7" w:rsidR="00E10F0A" w:rsidRDefault="0075126F" w:rsidP="0075126F">
            <w:pPr>
              <w:pBdr>
                <w:top w:val="none" w:sz="4" w:space="0" w:color="000000"/>
                <w:left w:val="none" w:sz="4" w:space="0" w:color="000000"/>
                <w:bottom w:val="none" w:sz="4" w:space="0" w:color="000000"/>
                <w:right w:val="none" w:sz="4" w:space="0" w:color="000000"/>
              </w:pBdr>
              <w:ind w:left="39" w:firstLine="0"/>
              <w:rPr>
                <w:sz w:val="24"/>
                <w:szCs w:val="24"/>
                <w:lang w:val="ro-RO"/>
              </w:rPr>
            </w:pPr>
            <w:r>
              <w:rPr>
                <w:rFonts w:ascii="Times New Roman" w:hAnsi="Times New Roman"/>
                <w:sz w:val="24"/>
                <w:szCs w:val="24"/>
                <w:lang w:val="ro-RO"/>
              </w:rPr>
              <w:t xml:space="preserve">Prevedere </w:t>
            </w:r>
            <w:r>
              <w:rPr>
                <w:rFonts w:ascii="Times New Roman" w:hAnsi="Times New Roman"/>
                <w:sz w:val="24"/>
                <w:szCs w:val="24"/>
                <w:lang w:val="ro-RO"/>
              </w:rPr>
              <w:t>inexistentă</w:t>
            </w:r>
          </w:p>
        </w:tc>
        <w:tc>
          <w:tcPr>
            <w:tcW w:w="685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E424E44" w14:textId="77777777" w:rsidR="00E10F0A" w:rsidRPr="0063204F" w:rsidRDefault="00E10F0A" w:rsidP="0063204F">
            <w:pPr>
              <w:shd w:val="clear" w:color="auto" w:fill="FFFFFF"/>
              <w:ind w:left="-1258" w:firstLine="1144"/>
              <w:rPr>
                <w:rFonts w:ascii="Times New Roman" w:hAnsi="Times New Roman"/>
                <w:bCs/>
                <w:color w:val="000000"/>
                <w:sz w:val="24"/>
                <w:szCs w:val="24"/>
                <w:lang w:val="ro-RO" w:eastAsia="ro-RO"/>
              </w:rPr>
            </w:pPr>
            <w:r w:rsidRPr="0063204F">
              <w:rPr>
                <w:rFonts w:ascii="Times New Roman" w:hAnsi="Times New Roman"/>
                <w:bCs/>
                <w:color w:val="000000"/>
                <w:sz w:val="24"/>
                <w:szCs w:val="24"/>
                <w:lang w:val="ro-RO" w:eastAsia="ro-RO"/>
              </w:rPr>
              <w:t>Anexa la compartimentul Criteriile de siguranță a produselor alimentare se completează cu pct.1.30 cu următorul cuprins:</w:t>
            </w:r>
          </w:p>
          <w:p w14:paraId="20C13B9B" w14:textId="77777777" w:rsidR="00E10F0A" w:rsidRPr="0063204F" w:rsidRDefault="00E10F0A" w:rsidP="0063204F">
            <w:pPr>
              <w:shd w:val="clear" w:color="auto" w:fill="FFFFFF"/>
              <w:ind w:left="-1258" w:firstLine="1144"/>
              <w:rPr>
                <w:rFonts w:ascii="Times New Roman" w:hAnsi="Times New Roman"/>
                <w:bCs/>
                <w:color w:val="000000"/>
                <w:sz w:val="24"/>
                <w:szCs w:val="24"/>
                <w:lang w:val="ro-RO" w:eastAsia="ro-RO"/>
              </w:rPr>
            </w:pPr>
            <w:r w:rsidRPr="0063204F">
              <w:rPr>
                <w:rFonts w:ascii="Times New Roman" w:hAnsi="Times New Roman"/>
                <w:bCs/>
                <w:color w:val="000000"/>
                <w:sz w:val="24"/>
                <w:szCs w:val="24"/>
                <w:lang w:val="ro-RO" w:eastAsia="ro-RO"/>
              </w:rPr>
              <w:t>”</w:t>
            </w:r>
          </w:p>
          <w:tbl>
            <w:tblPr>
              <w:tblW w:w="662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255"/>
              <w:gridCol w:w="1159"/>
              <w:gridCol w:w="431"/>
              <w:gridCol w:w="463"/>
              <w:gridCol w:w="1267"/>
              <w:gridCol w:w="699"/>
              <w:gridCol w:w="1350"/>
            </w:tblGrid>
            <w:tr w:rsidR="00E10F0A" w:rsidRPr="0063204F" w14:paraId="2B8A3984" w14:textId="77777777" w:rsidTr="00B713EA">
              <w:trPr>
                <w:trHeight w:val="2002"/>
              </w:trPr>
              <w:tc>
                <w:tcPr>
                  <w:tcW w:w="1255" w:type="dxa"/>
                  <w:tcBorders>
                    <w:top w:val="outset" w:sz="6" w:space="0" w:color="auto"/>
                    <w:left w:val="outset" w:sz="6" w:space="0" w:color="auto"/>
                    <w:bottom w:val="outset" w:sz="6" w:space="0" w:color="auto"/>
                    <w:right w:val="outset" w:sz="6" w:space="0" w:color="auto"/>
                  </w:tcBorders>
                  <w:shd w:val="clear" w:color="auto" w:fill="FFFFFF"/>
                  <w:hideMark/>
                </w:tcPr>
                <w:p w14:paraId="301865ED" w14:textId="77777777" w:rsidR="00E10F0A" w:rsidRPr="0063204F" w:rsidRDefault="00E10F0A" w:rsidP="00E10F0A">
                  <w:pPr>
                    <w:shd w:val="clear" w:color="auto" w:fill="FFFFFF"/>
                    <w:spacing w:beforeAutospacing="1" w:afterAutospacing="1"/>
                    <w:ind w:left="35" w:firstLine="0"/>
                    <w:jc w:val="left"/>
                    <w:rPr>
                      <w:bCs/>
                      <w:color w:val="000000"/>
                      <w:sz w:val="24"/>
                      <w:szCs w:val="24"/>
                      <w:lang w:val="ro-RO" w:eastAsia="ro-RO"/>
                    </w:rPr>
                  </w:pPr>
                  <w:r w:rsidRPr="0063204F">
                    <w:rPr>
                      <w:bCs/>
                      <w:color w:val="000000"/>
                      <w:sz w:val="24"/>
                      <w:szCs w:val="24"/>
                      <w:lang w:val="ro-RO" w:eastAsia="ro-RO"/>
                    </w:rPr>
                    <w:t>1.30.  Carne de reptile</w:t>
                  </w:r>
                </w:p>
              </w:tc>
              <w:tc>
                <w:tcPr>
                  <w:tcW w:w="1159" w:type="dxa"/>
                  <w:tcBorders>
                    <w:top w:val="outset" w:sz="6" w:space="0" w:color="auto"/>
                    <w:left w:val="outset" w:sz="6" w:space="0" w:color="auto"/>
                    <w:bottom w:val="outset" w:sz="6" w:space="0" w:color="auto"/>
                    <w:right w:val="outset" w:sz="6" w:space="0" w:color="auto"/>
                  </w:tcBorders>
                  <w:shd w:val="clear" w:color="auto" w:fill="FFFFFF"/>
                  <w:hideMark/>
                </w:tcPr>
                <w:p w14:paraId="330B0CEA" w14:textId="77777777" w:rsidR="00E10F0A" w:rsidRPr="0063204F" w:rsidRDefault="00E10F0A" w:rsidP="00E10F0A">
                  <w:pPr>
                    <w:shd w:val="clear" w:color="auto" w:fill="FFFFFF"/>
                    <w:spacing w:beforeAutospacing="1" w:afterAutospacing="1"/>
                    <w:ind w:left="35" w:firstLine="0"/>
                    <w:jc w:val="left"/>
                    <w:rPr>
                      <w:bCs/>
                      <w:color w:val="000000"/>
                      <w:sz w:val="24"/>
                      <w:szCs w:val="24"/>
                      <w:lang w:val="ro-RO" w:eastAsia="ro-RO"/>
                    </w:rPr>
                  </w:pPr>
                  <w:r w:rsidRPr="0063204F">
                    <w:rPr>
                      <w:bCs/>
                      <w:color w:val="000000"/>
                      <w:sz w:val="24"/>
                      <w:szCs w:val="24"/>
                      <w:lang w:val="ro-RO" w:eastAsia="ro-RO"/>
                    </w:rPr>
                    <w:t>Salmonella</w:t>
                  </w:r>
                </w:p>
              </w:tc>
              <w:tc>
                <w:tcPr>
                  <w:tcW w:w="431" w:type="dxa"/>
                  <w:tcBorders>
                    <w:top w:val="outset" w:sz="6" w:space="0" w:color="auto"/>
                    <w:left w:val="outset" w:sz="6" w:space="0" w:color="auto"/>
                    <w:bottom w:val="outset" w:sz="6" w:space="0" w:color="auto"/>
                    <w:right w:val="outset" w:sz="6" w:space="0" w:color="auto"/>
                  </w:tcBorders>
                  <w:shd w:val="clear" w:color="auto" w:fill="FFFFFF"/>
                  <w:hideMark/>
                </w:tcPr>
                <w:p w14:paraId="49FB425A" w14:textId="77777777" w:rsidR="00E10F0A" w:rsidRPr="0063204F" w:rsidRDefault="00E10F0A" w:rsidP="00E10F0A">
                  <w:pPr>
                    <w:shd w:val="clear" w:color="auto" w:fill="FFFFFF"/>
                    <w:spacing w:beforeAutospacing="1" w:afterAutospacing="1"/>
                    <w:ind w:left="35" w:firstLine="0"/>
                    <w:jc w:val="left"/>
                    <w:rPr>
                      <w:bCs/>
                      <w:color w:val="000000"/>
                      <w:sz w:val="24"/>
                      <w:szCs w:val="24"/>
                      <w:lang w:val="ro-RO" w:eastAsia="ro-RO"/>
                    </w:rPr>
                  </w:pPr>
                  <w:r w:rsidRPr="0063204F">
                    <w:rPr>
                      <w:bCs/>
                      <w:color w:val="000000"/>
                      <w:sz w:val="24"/>
                      <w:szCs w:val="24"/>
                      <w:lang w:val="ro-RO" w:eastAsia="ro-RO"/>
                    </w:rPr>
                    <w:t>5</w:t>
                  </w:r>
                </w:p>
              </w:tc>
              <w:tc>
                <w:tcPr>
                  <w:tcW w:w="463" w:type="dxa"/>
                  <w:tcBorders>
                    <w:top w:val="outset" w:sz="6" w:space="0" w:color="auto"/>
                    <w:left w:val="outset" w:sz="6" w:space="0" w:color="auto"/>
                    <w:bottom w:val="outset" w:sz="6" w:space="0" w:color="auto"/>
                    <w:right w:val="outset" w:sz="6" w:space="0" w:color="auto"/>
                  </w:tcBorders>
                  <w:shd w:val="clear" w:color="auto" w:fill="FFFFFF"/>
                  <w:hideMark/>
                </w:tcPr>
                <w:p w14:paraId="472D4C43" w14:textId="77777777" w:rsidR="00E10F0A" w:rsidRPr="0063204F" w:rsidRDefault="00E10F0A" w:rsidP="00E10F0A">
                  <w:pPr>
                    <w:shd w:val="clear" w:color="auto" w:fill="FFFFFF"/>
                    <w:spacing w:beforeAutospacing="1" w:afterAutospacing="1"/>
                    <w:ind w:left="35" w:firstLine="0"/>
                    <w:jc w:val="left"/>
                    <w:rPr>
                      <w:bCs/>
                      <w:color w:val="000000"/>
                      <w:sz w:val="24"/>
                      <w:szCs w:val="24"/>
                      <w:lang w:val="ro-RO" w:eastAsia="ro-RO"/>
                    </w:rPr>
                  </w:pPr>
                  <w:r w:rsidRPr="0063204F">
                    <w:rPr>
                      <w:bCs/>
                      <w:color w:val="000000"/>
                      <w:sz w:val="24"/>
                      <w:szCs w:val="24"/>
                      <w:lang w:val="ro-RO" w:eastAsia="ro-RO"/>
                    </w:rPr>
                    <w:t>0</w:t>
                  </w:r>
                </w:p>
              </w:tc>
              <w:tc>
                <w:tcPr>
                  <w:tcW w:w="1267" w:type="dxa"/>
                  <w:tcBorders>
                    <w:top w:val="outset" w:sz="6" w:space="0" w:color="auto"/>
                    <w:left w:val="outset" w:sz="6" w:space="0" w:color="auto"/>
                    <w:bottom w:val="outset" w:sz="6" w:space="0" w:color="auto"/>
                    <w:right w:val="outset" w:sz="6" w:space="0" w:color="auto"/>
                  </w:tcBorders>
                  <w:shd w:val="clear" w:color="auto" w:fill="FFFFFF"/>
                  <w:hideMark/>
                </w:tcPr>
                <w:p w14:paraId="2FD390D0" w14:textId="77777777" w:rsidR="00E10F0A" w:rsidRPr="0063204F" w:rsidRDefault="00E10F0A" w:rsidP="00E10F0A">
                  <w:pPr>
                    <w:shd w:val="clear" w:color="auto" w:fill="FFFFFF"/>
                    <w:spacing w:beforeAutospacing="1" w:afterAutospacing="1"/>
                    <w:ind w:left="35" w:firstLine="0"/>
                    <w:jc w:val="left"/>
                    <w:rPr>
                      <w:bCs/>
                      <w:color w:val="000000"/>
                      <w:sz w:val="24"/>
                      <w:szCs w:val="24"/>
                      <w:lang w:val="ro-RO" w:eastAsia="ro-RO"/>
                    </w:rPr>
                  </w:pPr>
                  <w:r w:rsidRPr="0063204F">
                    <w:rPr>
                      <w:bCs/>
                      <w:color w:val="000000"/>
                      <w:sz w:val="24"/>
                      <w:szCs w:val="24"/>
                      <w:lang w:val="ro-RO" w:eastAsia="ro-RO"/>
                    </w:rPr>
                    <w:t>Nedetectate în 25 g</w:t>
                  </w:r>
                </w:p>
              </w:tc>
              <w:tc>
                <w:tcPr>
                  <w:tcW w:w="699" w:type="dxa"/>
                  <w:tcBorders>
                    <w:top w:val="outset" w:sz="6" w:space="0" w:color="auto"/>
                    <w:left w:val="outset" w:sz="6" w:space="0" w:color="auto"/>
                    <w:bottom w:val="outset" w:sz="6" w:space="0" w:color="auto"/>
                    <w:right w:val="outset" w:sz="6" w:space="0" w:color="auto"/>
                  </w:tcBorders>
                  <w:shd w:val="clear" w:color="auto" w:fill="FFFFFF"/>
                  <w:hideMark/>
                </w:tcPr>
                <w:p w14:paraId="626759AC" w14:textId="77777777" w:rsidR="00E10F0A" w:rsidRPr="0063204F" w:rsidRDefault="00E10F0A" w:rsidP="00E10F0A">
                  <w:pPr>
                    <w:shd w:val="clear" w:color="auto" w:fill="FFFFFF"/>
                    <w:spacing w:beforeAutospacing="1" w:afterAutospacing="1"/>
                    <w:ind w:left="35" w:firstLine="0"/>
                    <w:jc w:val="left"/>
                    <w:rPr>
                      <w:bCs/>
                      <w:color w:val="000000"/>
                      <w:sz w:val="24"/>
                      <w:szCs w:val="24"/>
                      <w:lang w:val="ro-RO" w:eastAsia="ro-RO"/>
                    </w:rPr>
                  </w:pPr>
                  <w:r w:rsidRPr="0063204F">
                    <w:rPr>
                      <w:bCs/>
                      <w:color w:val="000000"/>
                      <w:sz w:val="24"/>
                      <w:szCs w:val="24"/>
                      <w:lang w:val="ro-RO" w:eastAsia="ro-RO"/>
                    </w:rPr>
                    <w:t>EN ISO 6579-1</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14:paraId="31E7FAB8" w14:textId="77777777" w:rsidR="00E10F0A" w:rsidRPr="0063204F" w:rsidRDefault="00E10F0A" w:rsidP="00E10F0A">
                  <w:pPr>
                    <w:shd w:val="clear" w:color="auto" w:fill="FFFFFF"/>
                    <w:spacing w:beforeAutospacing="1" w:afterAutospacing="1"/>
                    <w:ind w:left="35" w:firstLine="0"/>
                    <w:rPr>
                      <w:bCs/>
                      <w:color w:val="000000"/>
                      <w:sz w:val="24"/>
                      <w:szCs w:val="24"/>
                      <w:lang w:val="ro-RO" w:eastAsia="ro-RO"/>
                    </w:rPr>
                  </w:pPr>
                  <w:r w:rsidRPr="0063204F">
                    <w:rPr>
                      <w:bCs/>
                      <w:color w:val="000000"/>
                      <w:sz w:val="24"/>
                      <w:szCs w:val="24"/>
                      <w:lang w:val="ro-RO" w:eastAsia="ro-RO"/>
                    </w:rPr>
                    <w:t>Produse introduse pe piață în timpul perioadei lor de conservare</w:t>
                  </w:r>
                </w:p>
              </w:tc>
            </w:tr>
          </w:tbl>
          <w:p w14:paraId="70CD3A2B" w14:textId="77777777" w:rsidR="00E10F0A" w:rsidRPr="0063204F" w:rsidRDefault="00E10F0A" w:rsidP="0063204F">
            <w:pPr>
              <w:shd w:val="clear" w:color="auto" w:fill="FFFFFF"/>
              <w:ind w:left="-1258" w:firstLine="1144"/>
              <w:rPr>
                <w:rFonts w:ascii="Times New Roman" w:hAnsi="Times New Roman"/>
                <w:bCs/>
                <w:color w:val="000000"/>
                <w:sz w:val="24"/>
                <w:szCs w:val="24"/>
                <w:lang w:val="ro-RO" w:eastAsia="ro-RO"/>
              </w:rPr>
            </w:pPr>
            <w:r w:rsidRPr="0063204F">
              <w:rPr>
                <w:rFonts w:ascii="Times New Roman" w:hAnsi="Times New Roman"/>
                <w:bCs/>
                <w:color w:val="000000"/>
                <w:sz w:val="24"/>
                <w:szCs w:val="24"/>
                <w:lang w:val="ro-RO" w:eastAsia="ro-RO"/>
              </w:rPr>
              <w:t xml:space="preserve">La rubrica ”Note la referința (2)” textul ”Pentru punctele 1.1-1.25, 1.27 a </w:t>
            </w:r>
            <w:proofErr w:type="spellStart"/>
            <w:r w:rsidRPr="0063204F">
              <w:rPr>
                <w:rFonts w:ascii="Times New Roman" w:hAnsi="Times New Roman"/>
                <w:bCs/>
                <w:color w:val="000000"/>
                <w:sz w:val="24"/>
                <w:szCs w:val="24"/>
                <w:lang w:val="ro-RO" w:eastAsia="ro-RO"/>
              </w:rPr>
              <w:t>şi</w:t>
            </w:r>
            <w:proofErr w:type="spellEnd"/>
            <w:r w:rsidRPr="0063204F">
              <w:rPr>
                <w:rFonts w:ascii="Times New Roman" w:hAnsi="Times New Roman"/>
                <w:bCs/>
                <w:color w:val="000000"/>
                <w:sz w:val="24"/>
                <w:szCs w:val="24"/>
                <w:lang w:val="ro-RO" w:eastAsia="ro-RO"/>
              </w:rPr>
              <w:t xml:space="preserve"> 1.28, m = M” se va substitui cu textul ”</w:t>
            </w:r>
            <w:r w:rsidRPr="0063204F">
              <w:rPr>
                <w:rFonts w:ascii="Times New Roman" w:hAnsi="Times New Roman"/>
                <w:color w:val="333333"/>
                <w:sz w:val="24"/>
                <w:szCs w:val="24"/>
                <w:shd w:val="clear" w:color="auto" w:fill="FFFFFF"/>
                <w:lang w:val="ro-RO" w:eastAsia="ro-RO"/>
              </w:rPr>
              <w:t>Pentru punctele 1.1-1.24, 1.27a, 1.28-1.30, m = M.</w:t>
            </w:r>
            <w:r w:rsidRPr="0063204F">
              <w:rPr>
                <w:rFonts w:ascii="Times New Roman" w:hAnsi="Times New Roman"/>
                <w:bCs/>
                <w:color w:val="000000"/>
                <w:sz w:val="24"/>
                <w:szCs w:val="24"/>
                <w:lang w:val="ro-RO" w:eastAsia="ro-RO"/>
              </w:rPr>
              <w:t>”</w:t>
            </w:r>
          </w:p>
          <w:p w14:paraId="6B57D223" w14:textId="77777777" w:rsidR="00E10F0A" w:rsidRPr="0063204F" w:rsidRDefault="00E10F0A">
            <w:pPr>
              <w:pBdr>
                <w:top w:val="none" w:sz="4" w:space="0" w:color="000000"/>
                <w:left w:val="none" w:sz="4" w:space="0" w:color="000000"/>
                <w:bottom w:val="none" w:sz="4" w:space="0" w:color="000000"/>
                <w:right w:val="none" w:sz="4" w:space="0" w:color="000000"/>
              </w:pBdr>
              <w:ind w:left="-1258" w:firstLine="1144"/>
              <w:rPr>
                <w:sz w:val="24"/>
                <w:szCs w:val="24"/>
                <w:lang w:val="ro-RO"/>
              </w:rPr>
            </w:pPr>
          </w:p>
        </w:tc>
        <w:tc>
          <w:tcPr>
            <w:tcW w:w="6102"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tbl>
            <w:tblPr>
              <w:tblW w:w="596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222"/>
              <w:gridCol w:w="1271"/>
              <w:gridCol w:w="261"/>
              <w:gridCol w:w="261"/>
              <w:gridCol w:w="1184"/>
              <w:gridCol w:w="662"/>
              <w:gridCol w:w="1099"/>
            </w:tblGrid>
            <w:tr w:rsidR="00B713EA" w:rsidRPr="0063204F" w14:paraId="327DF798" w14:textId="77777777" w:rsidTr="00B713EA">
              <w:trPr>
                <w:trHeight w:val="1760"/>
              </w:trPr>
              <w:tc>
                <w:tcPr>
                  <w:tcW w:w="1222" w:type="dxa"/>
                  <w:tcBorders>
                    <w:top w:val="outset" w:sz="6" w:space="0" w:color="auto"/>
                    <w:left w:val="outset" w:sz="6" w:space="0" w:color="auto"/>
                    <w:bottom w:val="outset" w:sz="6" w:space="0" w:color="auto"/>
                    <w:right w:val="outset" w:sz="6" w:space="0" w:color="auto"/>
                  </w:tcBorders>
                  <w:shd w:val="clear" w:color="auto" w:fill="FFFFFF"/>
                  <w:hideMark/>
                </w:tcPr>
                <w:p w14:paraId="45A58884" w14:textId="77777777" w:rsidR="00E10F0A" w:rsidRPr="0063204F" w:rsidRDefault="00E10F0A" w:rsidP="00B713EA">
                  <w:pPr>
                    <w:shd w:val="clear" w:color="auto" w:fill="FFFFFF"/>
                    <w:spacing w:beforeAutospacing="1" w:afterAutospacing="1"/>
                    <w:ind w:left="102" w:firstLine="0"/>
                    <w:jc w:val="left"/>
                    <w:rPr>
                      <w:bCs/>
                      <w:color w:val="000000"/>
                      <w:sz w:val="24"/>
                      <w:szCs w:val="24"/>
                      <w:lang w:val="ro-RO" w:eastAsia="ro-RO"/>
                    </w:rPr>
                  </w:pPr>
                  <w:r w:rsidRPr="0063204F">
                    <w:rPr>
                      <w:bCs/>
                      <w:color w:val="000000"/>
                      <w:sz w:val="24"/>
                      <w:szCs w:val="24"/>
                      <w:lang w:val="ro-RO" w:eastAsia="ro-RO"/>
                    </w:rPr>
                    <w:t>1.30.  Carne de reptile</w:t>
                  </w:r>
                </w:p>
              </w:tc>
              <w:tc>
                <w:tcPr>
                  <w:tcW w:w="1271" w:type="dxa"/>
                  <w:tcBorders>
                    <w:top w:val="outset" w:sz="6" w:space="0" w:color="auto"/>
                    <w:left w:val="outset" w:sz="6" w:space="0" w:color="auto"/>
                    <w:bottom w:val="outset" w:sz="6" w:space="0" w:color="auto"/>
                    <w:right w:val="outset" w:sz="6" w:space="0" w:color="auto"/>
                  </w:tcBorders>
                  <w:shd w:val="clear" w:color="auto" w:fill="FFFFFF"/>
                  <w:hideMark/>
                </w:tcPr>
                <w:p w14:paraId="7A7312A1" w14:textId="77777777" w:rsidR="00E10F0A" w:rsidRPr="0063204F" w:rsidRDefault="00E10F0A" w:rsidP="00B713EA">
                  <w:pPr>
                    <w:shd w:val="clear" w:color="auto" w:fill="FFFFFF"/>
                    <w:spacing w:beforeAutospacing="1" w:afterAutospacing="1"/>
                    <w:ind w:left="102" w:right="148" w:firstLine="0"/>
                    <w:jc w:val="left"/>
                    <w:rPr>
                      <w:bCs/>
                      <w:color w:val="000000"/>
                      <w:sz w:val="24"/>
                      <w:szCs w:val="24"/>
                      <w:lang w:val="ro-RO" w:eastAsia="ro-RO"/>
                    </w:rPr>
                  </w:pPr>
                  <w:r w:rsidRPr="0063204F">
                    <w:rPr>
                      <w:bCs/>
                      <w:color w:val="000000"/>
                      <w:sz w:val="24"/>
                      <w:szCs w:val="24"/>
                      <w:lang w:val="ro-RO" w:eastAsia="ro-RO"/>
                    </w:rPr>
                    <w:t>Salmonella</w:t>
                  </w:r>
                </w:p>
              </w:tc>
              <w:tc>
                <w:tcPr>
                  <w:tcW w:w="261" w:type="dxa"/>
                  <w:tcBorders>
                    <w:top w:val="outset" w:sz="6" w:space="0" w:color="auto"/>
                    <w:left w:val="outset" w:sz="6" w:space="0" w:color="auto"/>
                    <w:bottom w:val="outset" w:sz="6" w:space="0" w:color="auto"/>
                    <w:right w:val="outset" w:sz="6" w:space="0" w:color="auto"/>
                  </w:tcBorders>
                  <w:shd w:val="clear" w:color="auto" w:fill="FFFFFF"/>
                  <w:hideMark/>
                </w:tcPr>
                <w:p w14:paraId="2B9EB329" w14:textId="77777777" w:rsidR="00E10F0A" w:rsidRPr="0063204F" w:rsidRDefault="00E10F0A" w:rsidP="00B713EA">
                  <w:pPr>
                    <w:shd w:val="clear" w:color="auto" w:fill="FFFFFF"/>
                    <w:spacing w:beforeAutospacing="1" w:afterAutospacing="1"/>
                    <w:ind w:left="102" w:firstLine="0"/>
                    <w:jc w:val="left"/>
                    <w:rPr>
                      <w:bCs/>
                      <w:color w:val="000000"/>
                      <w:sz w:val="24"/>
                      <w:szCs w:val="24"/>
                      <w:lang w:val="ro-RO" w:eastAsia="ro-RO"/>
                    </w:rPr>
                  </w:pPr>
                  <w:r w:rsidRPr="0063204F">
                    <w:rPr>
                      <w:bCs/>
                      <w:color w:val="000000"/>
                      <w:sz w:val="24"/>
                      <w:szCs w:val="24"/>
                      <w:lang w:val="ro-RO" w:eastAsia="ro-RO"/>
                    </w:rPr>
                    <w:t>5</w:t>
                  </w:r>
                </w:p>
              </w:tc>
              <w:tc>
                <w:tcPr>
                  <w:tcW w:w="261" w:type="dxa"/>
                  <w:tcBorders>
                    <w:top w:val="outset" w:sz="6" w:space="0" w:color="auto"/>
                    <w:left w:val="outset" w:sz="6" w:space="0" w:color="auto"/>
                    <w:bottom w:val="outset" w:sz="6" w:space="0" w:color="auto"/>
                    <w:right w:val="outset" w:sz="6" w:space="0" w:color="auto"/>
                  </w:tcBorders>
                  <w:shd w:val="clear" w:color="auto" w:fill="FFFFFF"/>
                  <w:hideMark/>
                </w:tcPr>
                <w:p w14:paraId="024BEB5D" w14:textId="77777777" w:rsidR="00E10F0A" w:rsidRPr="0063204F" w:rsidRDefault="00E10F0A" w:rsidP="00B713EA">
                  <w:pPr>
                    <w:shd w:val="clear" w:color="auto" w:fill="FFFFFF"/>
                    <w:spacing w:beforeAutospacing="1" w:afterAutospacing="1"/>
                    <w:ind w:left="102" w:firstLine="0"/>
                    <w:jc w:val="left"/>
                    <w:rPr>
                      <w:bCs/>
                      <w:color w:val="000000"/>
                      <w:sz w:val="24"/>
                      <w:szCs w:val="24"/>
                      <w:lang w:val="ro-RO" w:eastAsia="ro-RO"/>
                    </w:rPr>
                  </w:pPr>
                  <w:r w:rsidRPr="0063204F">
                    <w:rPr>
                      <w:bCs/>
                      <w:color w:val="000000"/>
                      <w:sz w:val="24"/>
                      <w:szCs w:val="24"/>
                      <w:lang w:val="ro-RO" w:eastAsia="ro-RO"/>
                    </w:rPr>
                    <w:t>0</w:t>
                  </w:r>
                </w:p>
              </w:tc>
              <w:tc>
                <w:tcPr>
                  <w:tcW w:w="1184" w:type="dxa"/>
                  <w:tcBorders>
                    <w:top w:val="outset" w:sz="6" w:space="0" w:color="auto"/>
                    <w:left w:val="outset" w:sz="6" w:space="0" w:color="auto"/>
                    <w:bottom w:val="outset" w:sz="6" w:space="0" w:color="auto"/>
                    <w:right w:val="outset" w:sz="6" w:space="0" w:color="auto"/>
                  </w:tcBorders>
                  <w:shd w:val="clear" w:color="auto" w:fill="FFFFFF"/>
                  <w:hideMark/>
                </w:tcPr>
                <w:p w14:paraId="3590FC7E" w14:textId="77777777" w:rsidR="00E10F0A" w:rsidRPr="0063204F" w:rsidRDefault="00E10F0A" w:rsidP="00B713EA">
                  <w:pPr>
                    <w:shd w:val="clear" w:color="auto" w:fill="FFFFFF"/>
                    <w:spacing w:beforeAutospacing="1" w:afterAutospacing="1"/>
                    <w:ind w:left="102" w:firstLine="0"/>
                    <w:jc w:val="left"/>
                    <w:rPr>
                      <w:bCs/>
                      <w:color w:val="000000"/>
                      <w:sz w:val="24"/>
                      <w:szCs w:val="24"/>
                      <w:lang w:val="ro-RO" w:eastAsia="ro-RO"/>
                    </w:rPr>
                  </w:pPr>
                  <w:r w:rsidRPr="0063204F">
                    <w:rPr>
                      <w:bCs/>
                      <w:color w:val="000000"/>
                      <w:sz w:val="24"/>
                      <w:szCs w:val="24"/>
                      <w:lang w:val="ro-RO" w:eastAsia="ro-RO"/>
                    </w:rPr>
                    <w:t>Nedetectate în 25 g</w:t>
                  </w:r>
                </w:p>
              </w:tc>
              <w:tc>
                <w:tcPr>
                  <w:tcW w:w="662" w:type="dxa"/>
                  <w:tcBorders>
                    <w:top w:val="outset" w:sz="6" w:space="0" w:color="auto"/>
                    <w:left w:val="outset" w:sz="6" w:space="0" w:color="auto"/>
                    <w:bottom w:val="outset" w:sz="6" w:space="0" w:color="auto"/>
                    <w:right w:val="outset" w:sz="6" w:space="0" w:color="auto"/>
                  </w:tcBorders>
                  <w:shd w:val="clear" w:color="auto" w:fill="FFFFFF"/>
                  <w:hideMark/>
                </w:tcPr>
                <w:p w14:paraId="16333FFA" w14:textId="77777777" w:rsidR="00E10F0A" w:rsidRPr="0063204F" w:rsidRDefault="00E10F0A" w:rsidP="00B713EA">
                  <w:pPr>
                    <w:shd w:val="clear" w:color="auto" w:fill="FFFFFF"/>
                    <w:spacing w:beforeAutospacing="1" w:afterAutospacing="1"/>
                    <w:ind w:left="102" w:firstLine="0"/>
                    <w:jc w:val="left"/>
                    <w:rPr>
                      <w:bCs/>
                      <w:color w:val="000000"/>
                      <w:sz w:val="24"/>
                      <w:szCs w:val="24"/>
                      <w:lang w:val="ro-RO" w:eastAsia="ro-RO"/>
                    </w:rPr>
                  </w:pPr>
                  <w:r w:rsidRPr="0063204F">
                    <w:rPr>
                      <w:bCs/>
                      <w:color w:val="000000"/>
                      <w:sz w:val="24"/>
                      <w:szCs w:val="24"/>
                      <w:lang w:val="ro-RO" w:eastAsia="ro-RO"/>
                    </w:rPr>
                    <w:t>EN ISO 6579-1</w:t>
                  </w:r>
                </w:p>
              </w:tc>
              <w:tc>
                <w:tcPr>
                  <w:tcW w:w="1099" w:type="dxa"/>
                  <w:tcBorders>
                    <w:top w:val="outset" w:sz="6" w:space="0" w:color="auto"/>
                    <w:left w:val="outset" w:sz="6" w:space="0" w:color="auto"/>
                    <w:bottom w:val="outset" w:sz="6" w:space="0" w:color="auto"/>
                    <w:right w:val="outset" w:sz="6" w:space="0" w:color="auto"/>
                  </w:tcBorders>
                  <w:shd w:val="clear" w:color="auto" w:fill="FFFFFF"/>
                  <w:hideMark/>
                </w:tcPr>
                <w:p w14:paraId="472A07E7" w14:textId="77777777" w:rsidR="00E10F0A" w:rsidRPr="0063204F" w:rsidRDefault="00E10F0A" w:rsidP="00B713EA">
                  <w:pPr>
                    <w:shd w:val="clear" w:color="auto" w:fill="FFFFFF"/>
                    <w:spacing w:beforeAutospacing="1" w:afterAutospacing="1"/>
                    <w:ind w:left="102" w:firstLine="0"/>
                    <w:rPr>
                      <w:bCs/>
                      <w:color w:val="000000"/>
                      <w:sz w:val="24"/>
                      <w:szCs w:val="24"/>
                      <w:lang w:val="ro-RO" w:eastAsia="ro-RO"/>
                    </w:rPr>
                  </w:pPr>
                  <w:r w:rsidRPr="0063204F">
                    <w:rPr>
                      <w:bCs/>
                      <w:color w:val="000000"/>
                      <w:sz w:val="24"/>
                      <w:szCs w:val="24"/>
                      <w:lang w:val="ro-RO" w:eastAsia="ro-RO"/>
                    </w:rPr>
                    <w:t>Produse introduse pe piață în timpul perioadei lor de conservare</w:t>
                  </w:r>
                </w:p>
              </w:tc>
            </w:tr>
          </w:tbl>
          <w:p w14:paraId="23256D32" w14:textId="77777777" w:rsidR="00E10F0A" w:rsidRPr="0063204F" w:rsidRDefault="00E10F0A">
            <w:pPr>
              <w:pBdr>
                <w:top w:val="none" w:sz="4" w:space="0" w:color="000000"/>
                <w:left w:val="none" w:sz="4" w:space="0" w:color="000000"/>
                <w:bottom w:val="none" w:sz="4" w:space="0" w:color="000000"/>
                <w:right w:val="none" w:sz="4" w:space="0" w:color="000000"/>
              </w:pBdr>
              <w:ind w:left="-1258" w:firstLine="1144"/>
              <w:rPr>
                <w:bCs/>
                <w:sz w:val="24"/>
                <w:szCs w:val="24"/>
                <w:lang w:val="ro-RO"/>
              </w:rPr>
            </w:pPr>
          </w:p>
        </w:tc>
      </w:tr>
      <w:tr w:rsidR="00B713EA" w14:paraId="73F46D7F" w14:textId="77777777" w:rsidTr="004C7CE7">
        <w:trPr>
          <w:trHeight w:val="712"/>
        </w:trPr>
        <w:tc>
          <w:tcPr>
            <w:tcW w:w="156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BA061" w14:textId="14641607" w:rsidR="00B713EA" w:rsidRPr="00B713EA" w:rsidRDefault="004C7CE7" w:rsidP="00B713EA">
            <w:pPr>
              <w:shd w:val="clear" w:color="auto" w:fill="FFFFFF"/>
              <w:spacing w:before="100" w:beforeAutospacing="1" w:after="100" w:afterAutospacing="1"/>
              <w:ind w:left="102" w:firstLine="0"/>
              <w:jc w:val="center"/>
              <w:rPr>
                <w:rFonts w:ascii="Times New Roman" w:hAnsi="Times New Roman"/>
                <w:bCs/>
                <w:color w:val="000000"/>
                <w:sz w:val="24"/>
                <w:szCs w:val="24"/>
                <w:lang w:val="ro-RO" w:eastAsia="ro-RO"/>
              </w:rPr>
            </w:pPr>
            <w:r>
              <w:rPr>
                <w:rFonts w:ascii="Times New Roman" w:hAnsi="Times New Roman"/>
                <w:bCs/>
                <w:color w:val="000000"/>
                <w:sz w:val="24"/>
                <w:szCs w:val="24"/>
                <w:lang w:val="ro-RO" w:eastAsia="ro-RO"/>
              </w:rPr>
              <w:t xml:space="preserve">3. </w:t>
            </w:r>
            <w:r w:rsidR="00B713EA" w:rsidRPr="00B713EA">
              <w:rPr>
                <w:rFonts w:ascii="Times New Roman" w:hAnsi="Times New Roman"/>
                <w:bCs/>
                <w:color w:val="000000"/>
                <w:sz w:val="24"/>
                <w:szCs w:val="24"/>
                <w:lang w:val="ro-RO" w:eastAsia="ro-RO"/>
              </w:rPr>
              <w:t xml:space="preserve">Hotărârea de Guvern nr. 398/2012 pentru aprobarea unor norme sanitar-veterinare privind controlul </w:t>
            </w:r>
            <w:proofErr w:type="spellStart"/>
            <w:r w:rsidR="00B713EA" w:rsidRPr="00B713EA">
              <w:rPr>
                <w:rFonts w:ascii="Times New Roman" w:hAnsi="Times New Roman"/>
                <w:bCs/>
                <w:color w:val="000000"/>
                <w:sz w:val="24"/>
                <w:szCs w:val="24"/>
                <w:lang w:val="ro-RO" w:eastAsia="ro-RO"/>
              </w:rPr>
              <w:t>şi</w:t>
            </w:r>
            <w:proofErr w:type="spellEnd"/>
            <w:r w:rsidR="00B713EA" w:rsidRPr="00B713EA">
              <w:rPr>
                <w:rFonts w:ascii="Times New Roman" w:hAnsi="Times New Roman"/>
                <w:bCs/>
                <w:color w:val="000000"/>
                <w:sz w:val="24"/>
                <w:szCs w:val="24"/>
                <w:lang w:val="ro-RO" w:eastAsia="ro-RO"/>
              </w:rPr>
              <w:t xml:space="preserve"> reducerea prevalenței </w:t>
            </w:r>
            <w:proofErr w:type="spellStart"/>
            <w:r w:rsidR="00B713EA" w:rsidRPr="00B713EA">
              <w:rPr>
                <w:rFonts w:ascii="Times New Roman" w:hAnsi="Times New Roman"/>
                <w:bCs/>
                <w:color w:val="000000"/>
                <w:sz w:val="24"/>
                <w:szCs w:val="24"/>
                <w:lang w:val="ro-RO" w:eastAsia="ro-RO"/>
              </w:rPr>
              <w:t>salmonelelor</w:t>
            </w:r>
            <w:proofErr w:type="spellEnd"/>
            <w:r w:rsidR="00B713EA" w:rsidRPr="00B713EA">
              <w:rPr>
                <w:rFonts w:ascii="Times New Roman" w:hAnsi="Times New Roman"/>
                <w:bCs/>
                <w:color w:val="000000"/>
                <w:sz w:val="24"/>
                <w:szCs w:val="24"/>
                <w:lang w:val="ro-RO" w:eastAsia="ro-RO"/>
              </w:rPr>
              <w:t xml:space="preserve"> în efectivele de animale</w:t>
            </w:r>
          </w:p>
        </w:tc>
      </w:tr>
      <w:tr w:rsidR="00B713EA" w14:paraId="295C5286" w14:textId="77777777" w:rsidTr="004C7CE7">
        <w:trPr>
          <w:trHeight w:val="656"/>
        </w:trPr>
        <w:tc>
          <w:tcPr>
            <w:tcW w:w="269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410E38EF" w14:textId="77777777" w:rsidR="00B713EA" w:rsidRPr="00B713EA" w:rsidRDefault="00B713EA" w:rsidP="00B713EA">
            <w:pPr>
              <w:pBdr>
                <w:top w:val="none" w:sz="4" w:space="0" w:color="000000"/>
                <w:left w:val="none" w:sz="4" w:space="0" w:color="000000"/>
                <w:bottom w:val="none" w:sz="4" w:space="0" w:color="000000"/>
                <w:right w:val="none" w:sz="4" w:space="0" w:color="000000"/>
              </w:pBdr>
              <w:ind w:left="22" w:firstLine="0"/>
              <w:rPr>
                <w:rFonts w:ascii="Times New Roman" w:hAnsi="Times New Roman"/>
                <w:sz w:val="24"/>
                <w:szCs w:val="24"/>
                <w:lang w:val="ro-RO"/>
              </w:rPr>
            </w:pPr>
            <w:r w:rsidRPr="00B713EA">
              <w:rPr>
                <w:rFonts w:ascii="Times New Roman" w:hAnsi="Times New Roman"/>
                <w:sz w:val="24"/>
                <w:szCs w:val="24"/>
                <w:lang w:val="ro-RO"/>
              </w:rPr>
              <w:t xml:space="preserve">56. Carnea proaspătă provenind de la animalele enumerate în anexa nr. 1 </w:t>
            </w:r>
            <w:r w:rsidRPr="00B713EA">
              <w:rPr>
                <w:rFonts w:ascii="Times New Roman" w:hAnsi="Times New Roman"/>
                <w:sz w:val="24"/>
                <w:szCs w:val="24"/>
                <w:lang w:val="ro-RO"/>
              </w:rPr>
              <w:lastRenderedPageBreak/>
              <w:t xml:space="preserve">la prezenta Normă sanitar-veterinară nu va putea fi introdusă pe </w:t>
            </w:r>
            <w:proofErr w:type="spellStart"/>
            <w:r w:rsidRPr="00B713EA">
              <w:rPr>
                <w:rFonts w:ascii="Times New Roman" w:hAnsi="Times New Roman"/>
                <w:sz w:val="24"/>
                <w:szCs w:val="24"/>
                <w:lang w:val="ro-RO"/>
              </w:rPr>
              <w:t>piaţă</w:t>
            </w:r>
            <w:proofErr w:type="spellEnd"/>
            <w:r w:rsidRPr="00B713EA">
              <w:rPr>
                <w:rFonts w:ascii="Times New Roman" w:hAnsi="Times New Roman"/>
                <w:sz w:val="24"/>
                <w:szCs w:val="24"/>
                <w:lang w:val="ro-RO"/>
              </w:rPr>
              <w:t xml:space="preserve"> pentru consumul uman, dacă nu satisface următorul criteriu:</w:t>
            </w:r>
          </w:p>
          <w:p w14:paraId="59AAF4F3" w14:textId="77777777" w:rsidR="00B713EA" w:rsidRPr="00B713EA" w:rsidRDefault="00B713EA" w:rsidP="00B713EA">
            <w:pPr>
              <w:pBdr>
                <w:top w:val="none" w:sz="4" w:space="0" w:color="000000"/>
                <w:left w:val="none" w:sz="4" w:space="0" w:color="000000"/>
                <w:bottom w:val="none" w:sz="4" w:space="0" w:color="000000"/>
                <w:right w:val="none" w:sz="4" w:space="0" w:color="000000"/>
              </w:pBdr>
              <w:ind w:left="22" w:firstLine="0"/>
              <w:rPr>
                <w:rFonts w:ascii="Times New Roman" w:hAnsi="Times New Roman"/>
                <w:sz w:val="24"/>
                <w:szCs w:val="24"/>
                <w:lang w:val="ro-RO"/>
              </w:rPr>
            </w:pPr>
          </w:p>
          <w:p w14:paraId="5FCAFE87" w14:textId="0E83FD1A" w:rsidR="00B713EA" w:rsidRDefault="00B713EA" w:rsidP="00B713EA">
            <w:pPr>
              <w:pBdr>
                <w:top w:val="none" w:sz="4" w:space="0" w:color="000000"/>
                <w:left w:val="none" w:sz="4" w:space="0" w:color="000000"/>
                <w:bottom w:val="none" w:sz="4" w:space="0" w:color="000000"/>
                <w:right w:val="none" w:sz="4" w:space="0" w:color="000000"/>
              </w:pBdr>
              <w:ind w:left="22" w:firstLine="0"/>
              <w:rPr>
                <w:sz w:val="24"/>
                <w:szCs w:val="24"/>
                <w:lang w:val="ro-RO"/>
              </w:rPr>
            </w:pPr>
            <w:r w:rsidRPr="00B713EA">
              <w:rPr>
                <w:rFonts w:ascii="Times New Roman" w:hAnsi="Times New Roman"/>
                <w:sz w:val="24"/>
                <w:szCs w:val="24"/>
                <w:lang w:val="ro-RO"/>
              </w:rPr>
              <w:t>„Salmonela: absentă în 25 de grame/produs”.</w:t>
            </w:r>
          </w:p>
        </w:tc>
        <w:tc>
          <w:tcPr>
            <w:tcW w:w="685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9937629" w14:textId="5191FB6E" w:rsidR="00B713EA" w:rsidRPr="00B713EA" w:rsidRDefault="00B713EA" w:rsidP="0063204F">
            <w:pPr>
              <w:shd w:val="clear" w:color="auto" w:fill="FFFFFF"/>
              <w:ind w:left="-1258" w:firstLine="1144"/>
              <w:rPr>
                <w:rFonts w:ascii="Times New Roman" w:hAnsi="Times New Roman"/>
                <w:bCs/>
                <w:color w:val="000000"/>
                <w:sz w:val="24"/>
                <w:szCs w:val="24"/>
                <w:lang w:val="ro-RO" w:eastAsia="ro-RO"/>
              </w:rPr>
            </w:pPr>
            <w:r w:rsidRPr="00B713EA">
              <w:rPr>
                <w:rFonts w:ascii="Times New Roman" w:hAnsi="Times New Roman"/>
                <w:bCs/>
                <w:color w:val="000000"/>
                <w:sz w:val="24"/>
                <w:szCs w:val="24"/>
                <w:lang w:val="ro-RO" w:eastAsia="ro-RO"/>
              </w:rPr>
              <w:lastRenderedPageBreak/>
              <w:t xml:space="preserve">56. Carnea proaspătă de pasăre provenită de la efectiv de animale enumerate în Anexa 1 la prezenta Normă sanitar-veterinară îndeplinește criteriul </w:t>
            </w:r>
            <w:r w:rsidRPr="00B713EA">
              <w:rPr>
                <w:rFonts w:ascii="Times New Roman" w:hAnsi="Times New Roman"/>
                <w:bCs/>
                <w:color w:val="000000"/>
                <w:sz w:val="24"/>
                <w:szCs w:val="24"/>
                <w:lang w:val="ro-RO" w:eastAsia="ro-RO"/>
              </w:rPr>
              <w:lastRenderedPageBreak/>
              <w:t>microbiologic precizat în Anexa la Regulilor privind criteriile microbiologice pentru produsele alimentare, aprobate prin Hotărârea Guvernului nr.221/2009.”</w:t>
            </w:r>
          </w:p>
        </w:tc>
        <w:tc>
          <w:tcPr>
            <w:tcW w:w="6102"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14:paraId="7928B2B2" w14:textId="04E2E7A0" w:rsidR="00B713EA" w:rsidRPr="00B713EA" w:rsidRDefault="00B713EA" w:rsidP="004C7CE7">
            <w:pPr>
              <w:shd w:val="clear" w:color="auto" w:fill="FFFFFF"/>
              <w:spacing w:beforeAutospacing="1" w:afterAutospacing="1"/>
              <w:ind w:left="102" w:firstLine="0"/>
              <w:rPr>
                <w:rFonts w:ascii="Times New Roman" w:hAnsi="Times New Roman"/>
                <w:bCs/>
                <w:color w:val="000000"/>
                <w:sz w:val="24"/>
                <w:szCs w:val="24"/>
                <w:lang w:val="ro-RO" w:eastAsia="ro-RO"/>
              </w:rPr>
            </w:pPr>
            <w:r w:rsidRPr="00B713EA">
              <w:rPr>
                <w:rFonts w:ascii="Times New Roman" w:hAnsi="Times New Roman"/>
                <w:bCs/>
                <w:color w:val="000000"/>
                <w:sz w:val="24"/>
                <w:szCs w:val="24"/>
                <w:lang w:val="ro-RO" w:eastAsia="ro-RO"/>
              </w:rPr>
              <w:lastRenderedPageBreak/>
              <w:t xml:space="preserve">56. Carnea proaspătă de pasăre provenită de la efectiv de animale enumerate în Anexa 1 la prezenta Normă sanitar-veterinară îndeplinește criteriul microbiologic precizat în </w:t>
            </w:r>
            <w:r w:rsidRPr="00B713EA">
              <w:rPr>
                <w:rFonts w:ascii="Times New Roman" w:hAnsi="Times New Roman"/>
                <w:bCs/>
                <w:color w:val="000000"/>
                <w:sz w:val="24"/>
                <w:szCs w:val="24"/>
                <w:lang w:val="ro-RO" w:eastAsia="ro-RO"/>
              </w:rPr>
              <w:lastRenderedPageBreak/>
              <w:t>Anexa la Regulilor privind criteriile microbiologice pentru produsele alimentare, aprobate prin Hotărârea Guvernului nr.221/2009</w:t>
            </w:r>
            <w:r>
              <w:rPr>
                <w:rFonts w:ascii="Times New Roman" w:hAnsi="Times New Roman"/>
                <w:bCs/>
                <w:color w:val="000000"/>
                <w:sz w:val="24"/>
                <w:szCs w:val="24"/>
                <w:lang w:val="ro-RO" w:eastAsia="ro-RO"/>
              </w:rPr>
              <w:t>.</w:t>
            </w:r>
          </w:p>
        </w:tc>
      </w:tr>
      <w:tr w:rsidR="00B713EA" w14:paraId="73DFBE0B" w14:textId="77777777" w:rsidTr="004C7CE7">
        <w:trPr>
          <w:trHeight w:val="656"/>
        </w:trPr>
        <w:tc>
          <w:tcPr>
            <w:tcW w:w="156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3563B" w14:textId="760E44E1" w:rsidR="00B713EA" w:rsidRPr="00B713EA" w:rsidRDefault="00B713EA" w:rsidP="00B713EA">
            <w:pPr>
              <w:shd w:val="clear" w:color="auto" w:fill="FFFFFF"/>
              <w:spacing w:before="100" w:beforeAutospacing="1" w:after="100" w:afterAutospacing="1"/>
              <w:ind w:left="102" w:firstLine="0"/>
              <w:jc w:val="center"/>
              <w:rPr>
                <w:rFonts w:ascii="Times New Roman" w:hAnsi="Times New Roman"/>
                <w:bCs/>
                <w:color w:val="000000"/>
                <w:sz w:val="24"/>
                <w:szCs w:val="24"/>
                <w:lang w:val="ro-RO" w:eastAsia="ro-RO"/>
              </w:rPr>
            </w:pPr>
            <w:r w:rsidRPr="00B713EA">
              <w:rPr>
                <w:rFonts w:ascii="Times New Roman" w:hAnsi="Times New Roman"/>
                <w:bCs/>
                <w:color w:val="000000"/>
                <w:sz w:val="24"/>
                <w:szCs w:val="24"/>
                <w:lang w:val="ro-RO" w:eastAsia="ro-RO"/>
              </w:rPr>
              <w:lastRenderedPageBreak/>
              <w:t>4.</w:t>
            </w:r>
            <w:r w:rsidRPr="00B713EA">
              <w:rPr>
                <w:rFonts w:ascii="Times New Roman" w:hAnsi="Times New Roman"/>
                <w:bCs/>
                <w:color w:val="000000"/>
                <w:sz w:val="24"/>
                <w:szCs w:val="24"/>
                <w:lang w:val="ro-RO" w:eastAsia="ro-RO"/>
              </w:rPr>
              <w:tab/>
              <w:t>Hotărârea de Guvern nr. 696/2020 cu privire la aprobarea cerințelor privind dotarea și exploatarea unităților autorizate pentru deținerea, distribuirea și eliberarea medicamentelor de uz veterinar</w:t>
            </w:r>
          </w:p>
        </w:tc>
      </w:tr>
      <w:tr w:rsidR="00B713EA" w14:paraId="7450E093" w14:textId="77777777" w:rsidTr="004C7CE7">
        <w:trPr>
          <w:trHeight w:val="656"/>
        </w:trPr>
        <w:tc>
          <w:tcPr>
            <w:tcW w:w="269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5AA9814E" w14:textId="02DD9A76" w:rsidR="00B713EA" w:rsidRPr="004C7CE7" w:rsidRDefault="004C7CE7" w:rsidP="00B713EA">
            <w:pPr>
              <w:pBdr>
                <w:top w:val="none" w:sz="4" w:space="0" w:color="000000"/>
                <w:left w:val="none" w:sz="4" w:space="0" w:color="000000"/>
                <w:bottom w:val="none" w:sz="4" w:space="0" w:color="000000"/>
                <w:right w:val="none" w:sz="4" w:space="0" w:color="000000"/>
              </w:pBdr>
              <w:ind w:left="22" w:firstLine="0"/>
              <w:rPr>
                <w:rFonts w:ascii="Times New Roman" w:hAnsi="Times New Roman"/>
                <w:sz w:val="24"/>
                <w:szCs w:val="24"/>
                <w:lang w:val="ro-RO"/>
              </w:rPr>
            </w:pPr>
            <w:r w:rsidRPr="004C7CE7">
              <w:rPr>
                <w:rFonts w:ascii="Times New Roman" w:hAnsi="Times New Roman"/>
                <w:sz w:val="24"/>
                <w:szCs w:val="24"/>
                <w:lang w:val="ro-RO"/>
              </w:rPr>
              <w:t>zonă de carantină – spațiu din cadrul unităților farmaceutice veterinare destinat medicamentelor de uz veterinar care sunt contrafăcute, reambalate neautorizat, deteriorate, cu termenul de valabilitate expirat, neetichetate sau fără prospect ori care nu sunt înregistrate în Registrul de stat al medicamentelor de uz veterinar.</w:t>
            </w:r>
          </w:p>
        </w:tc>
        <w:tc>
          <w:tcPr>
            <w:tcW w:w="685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D27B7B" w14:textId="10B6DCCB" w:rsidR="00B713EA" w:rsidRPr="004C7CE7" w:rsidRDefault="004C7CE7" w:rsidP="004C7CE7">
            <w:pPr>
              <w:shd w:val="clear" w:color="auto" w:fill="FFFFFF"/>
              <w:ind w:left="-46" w:firstLine="46"/>
              <w:rPr>
                <w:rFonts w:ascii="Times New Roman" w:hAnsi="Times New Roman"/>
                <w:bCs/>
                <w:color w:val="000000"/>
                <w:sz w:val="24"/>
                <w:szCs w:val="24"/>
                <w:lang w:val="ro-RO" w:eastAsia="ro-RO"/>
              </w:rPr>
            </w:pPr>
            <w:r w:rsidRPr="004C7CE7">
              <w:rPr>
                <w:rFonts w:ascii="Times New Roman" w:hAnsi="Times New Roman"/>
                <w:bCs/>
                <w:color w:val="000000"/>
                <w:sz w:val="24"/>
                <w:szCs w:val="24"/>
                <w:lang w:val="ro-RO" w:eastAsia="ro-RO"/>
              </w:rPr>
              <w:t>la pct. 2 la noțiunea ”zonă de carantină” se exclude cuvântul ”neautorizat”</w:t>
            </w:r>
          </w:p>
        </w:tc>
        <w:tc>
          <w:tcPr>
            <w:tcW w:w="6102"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14:paraId="2CD7F7F9" w14:textId="791D3419" w:rsidR="00B713EA" w:rsidRPr="004C7CE7" w:rsidRDefault="004C7CE7" w:rsidP="004C7CE7">
            <w:pPr>
              <w:shd w:val="clear" w:color="auto" w:fill="FFFFFF"/>
              <w:spacing w:beforeAutospacing="1" w:afterAutospacing="1"/>
              <w:ind w:left="102" w:firstLine="0"/>
              <w:rPr>
                <w:rFonts w:ascii="Times New Roman" w:hAnsi="Times New Roman"/>
                <w:bCs/>
                <w:color w:val="000000"/>
                <w:sz w:val="24"/>
                <w:szCs w:val="24"/>
                <w:lang w:val="ro-RO" w:eastAsia="ro-RO"/>
              </w:rPr>
            </w:pPr>
            <w:r w:rsidRPr="004C7CE7">
              <w:rPr>
                <w:rFonts w:ascii="Times New Roman" w:hAnsi="Times New Roman"/>
                <w:bCs/>
                <w:color w:val="000000"/>
                <w:sz w:val="24"/>
                <w:szCs w:val="24"/>
                <w:lang w:val="ro-RO" w:eastAsia="ro-RO"/>
              </w:rPr>
              <w:t>zonă de carantină – spațiu din cadrul unităților farmaceutice veterinare destinat medicamentelor de uz veterinar care sunt contrafăcute, reambalate, deteriorate, cu termenul de valabilitate expirat, neetichetate sau fără prospect ori care nu sunt înregistrate în Registrul de stat al medicamentelor de uz veterinar.</w:t>
            </w:r>
          </w:p>
        </w:tc>
      </w:tr>
      <w:tr w:rsidR="004C7CE7" w14:paraId="569B378C" w14:textId="77777777" w:rsidTr="004C7CE7">
        <w:trPr>
          <w:trHeight w:val="656"/>
        </w:trPr>
        <w:tc>
          <w:tcPr>
            <w:tcW w:w="269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541E4294" w14:textId="678AFDCF" w:rsidR="004C7CE7" w:rsidRPr="004C7CE7" w:rsidRDefault="004C7CE7" w:rsidP="004C7CE7">
            <w:pPr>
              <w:pBdr>
                <w:top w:val="none" w:sz="4" w:space="0" w:color="000000"/>
                <w:left w:val="none" w:sz="4" w:space="0" w:color="000000"/>
                <w:bottom w:val="none" w:sz="4" w:space="0" w:color="000000"/>
                <w:right w:val="none" w:sz="4" w:space="0" w:color="000000"/>
              </w:pBdr>
              <w:ind w:left="22" w:firstLine="0"/>
              <w:rPr>
                <w:rFonts w:ascii="Times New Roman" w:hAnsi="Times New Roman"/>
                <w:sz w:val="24"/>
                <w:szCs w:val="24"/>
                <w:lang w:val="ro-RO"/>
              </w:rPr>
            </w:pPr>
            <w:r>
              <w:rPr>
                <w:rFonts w:ascii="Times New Roman" w:hAnsi="Times New Roman"/>
                <w:sz w:val="24"/>
                <w:szCs w:val="24"/>
                <w:lang w:val="ro-RO"/>
              </w:rPr>
              <w:t>18. A</w:t>
            </w:r>
            <w:r w:rsidRPr="004C7CE7">
              <w:rPr>
                <w:rFonts w:ascii="Times New Roman" w:hAnsi="Times New Roman"/>
                <w:sz w:val="24"/>
                <w:szCs w:val="24"/>
                <w:lang w:val="ro-RO"/>
              </w:rPr>
              <w:t xml:space="preserve">genția dispune retragerea și punerea în zona de carantină din cadrul unității farmaceutice veterinare supuse controlului a </w:t>
            </w:r>
            <w:r w:rsidRPr="004C7CE7">
              <w:rPr>
                <w:rFonts w:ascii="Times New Roman" w:hAnsi="Times New Roman"/>
                <w:sz w:val="24"/>
                <w:szCs w:val="24"/>
                <w:lang w:val="ro-RO"/>
              </w:rPr>
              <w:lastRenderedPageBreak/>
              <w:t>medicamentelor de uz veterinar care nu sunt înregistrate în Registrul de stat al medicamentelor de uz veterinar, care sunt contrafăcute, reambalate neautorizat, deteriorate, cu termenul de valabilitate expirat, neetichetate sau fără prospect. Retragerea se face în bază de proces-verbal, al  cărui model este prevăzut în anexa nr. 2.</w:t>
            </w:r>
          </w:p>
        </w:tc>
        <w:tc>
          <w:tcPr>
            <w:tcW w:w="685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ED0EA5" w14:textId="4088E654" w:rsidR="004C7CE7" w:rsidRPr="004C7CE7" w:rsidRDefault="004C7CE7" w:rsidP="004C7CE7">
            <w:pPr>
              <w:shd w:val="clear" w:color="auto" w:fill="FFFFFF"/>
              <w:ind w:left="-46" w:firstLine="46"/>
              <w:rPr>
                <w:bCs/>
                <w:color w:val="000000"/>
                <w:sz w:val="24"/>
                <w:szCs w:val="24"/>
                <w:lang w:val="ro-RO" w:eastAsia="ro-RO"/>
              </w:rPr>
            </w:pPr>
            <w:r w:rsidRPr="004C7CE7">
              <w:rPr>
                <w:rFonts w:ascii="Times New Roman" w:hAnsi="Times New Roman"/>
                <w:bCs/>
                <w:color w:val="000000"/>
                <w:sz w:val="24"/>
                <w:szCs w:val="24"/>
                <w:lang w:val="ro-RO" w:eastAsia="ro-RO"/>
              </w:rPr>
              <w:lastRenderedPageBreak/>
              <w:t>la pct. 18 se exclude cuvântul ”neautorizat”;</w:t>
            </w:r>
          </w:p>
        </w:tc>
        <w:tc>
          <w:tcPr>
            <w:tcW w:w="6102"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14:paraId="4C57927A" w14:textId="01EEFFD8" w:rsidR="004C7CE7" w:rsidRPr="004C7CE7" w:rsidRDefault="004C7CE7" w:rsidP="004C7CE7">
            <w:pPr>
              <w:shd w:val="clear" w:color="auto" w:fill="FFFFFF"/>
              <w:spacing w:beforeAutospacing="1" w:afterAutospacing="1"/>
              <w:ind w:left="102" w:firstLine="0"/>
              <w:rPr>
                <w:bCs/>
                <w:color w:val="000000"/>
                <w:sz w:val="24"/>
                <w:szCs w:val="24"/>
                <w:lang w:val="ro-RO" w:eastAsia="ro-RO"/>
              </w:rPr>
            </w:pPr>
            <w:r>
              <w:rPr>
                <w:rFonts w:ascii="Times New Roman" w:hAnsi="Times New Roman"/>
                <w:sz w:val="24"/>
                <w:szCs w:val="24"/>
                <w:lang w:val="ro-RO"/>
              </w:rPr>
              <w:t>18. A</w:t>
            </w:r>
            <w:r w:rsidRPr="004C7CE7">
              <w:rPr>
                <w:rFonts w:ascii="Times New Roman" w:hAnsi="Times New Roman"/>
                <w:sz w:val="24"/>
                <w:szCs w:val="24"/>
                <w:lang w:val="ro-RO"/>
              </w:rPr>
              <w:t xml:space="preserve">genția dispune retragerea și punerea în zona de carantină din cadrul unității farmaceutice veterinare supuse controlului a medicamentelor de uz veterinar care nu sunt înregistrate în Registrul de stat al medicamentelor de uz veterinar, care sunt contrafăcute, reambalate, deteriorate, cu termenul de valabilitate expirat, neetichetate sau fără </w:t>
            </w:r>
            <w:r w:rsidRPr="004C7CE7">
              <w:rPr>
                <w:rFonts w:ascii="Times New Roman" w:hAnsi="Times New Roman"/>
                <w:sz w:val="24"/>
                <w:szCs w:val="24"/>
                <w:lang w:val="ro-RO"/>
              </w:rPr>
              <w:lastRenderedPageBreak/>
              <w:t>prospect. Retragerea se face în bază de proces-verbal, al  cărui model este prevăzut în anexa nr. 2.</w:t>
            </w:r>
          </w:p>
        </w:tc>
      </w:tr>
      <w:tr w:rsidR="004C7CE7" w14:paraId="7AD94DED" w14:textId="77777777" w:rsidTr="004C7CE7">
        <w:trPr>
          <w:trHeight w:val="656"/>
        </w:trPr>
        <w:tc>
          <w:tcPr>
            <w:tcW w:w="2694"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0189B939" w14:textId="5963F6EA" w:rsidR="004C7CE7" w:rsidRPr="004C7CE7" w:rsidRDefault="004C7CE7" w:rsidP="004C7CE7">
            <w:pPr>
              <w:pBdr>
                <w:top w:val="none" w:sz="4" w:space="0" w:color="000000"/>
                <w:left w:val="none" w:sz="4" w:space="0" w:color="000000"/>
                <w:bottom w:val="none" w:sz="4" w:space="0" w:color="000000"/>
                <w:right w:val="none" w:sz="4" w:space="0" w:color="000000"/>
              </w:pBdr>
              <w:ind w:left="22" w:firstLine="0"/>
              <w:rPr>
                <w:rFonts w:ascii="Times New Roman" w:hAnsi="Times New Roman"/>
                <w:sz w:val="24"/>
                <w:szCs w:val="24"/>
                <w:lang w:val="ro-RO"/>
              </w:rPr>
            </w:pPr>
            <w:r w:rsidRPr="004C7CE7">
              <w:rPr>
                <w:rFonts w:ascii="Times New Roman" w:hAnsi="Times New Roman"/>
                <w:sz w:val="24"/>
                <w:szCs w:val="24"/>
                <w:lang w:val="ro-RO"/>
              </w:rPr>
              <w:lastRenderedPageBreak/>
              <w:t>42. Reambalarea și reetichetarea medicamentelor de uz veterinar se efectuează în spații special amenajate în conformitate cu Regulile de bună practică de fabricație a medicamentelor de uz veterinar, aprobate prin Hotărârea Guvernului nr. 93/2012.</w:t>
            </w:r>
          </w:p>
        </w:tc>
        <w:tc>
          <w:tcPr>
            <w:tcW w:w="6856"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D8F747E" w14:textId="77777777" w:rsidR="004C7CE7" w:rsidRPr="004C7CE7" w:rsidRDefault="004C7CE7" w:rsidP="004C7CE7">
            <w:pPr>
              <w:spacing w:after="160"/>
              <w:rPr>
                <w:rFonts w:ascii="Times New Roman" w:eastAsia="Times New Roman" w:hAnsi="Times New Roman"/>
                <w:sz w:val="24"/>
                <w:szCs w:val="24"/>
                <w:lang w:val="ro-RO" w:eastAsia="ro-RO"/>
              </w:rPr>
            </w:pPr>
            <w:r w:rsidRPr="004C7CE7">
              <w:rPr>
                <w:rFonts w:ascii="Times New Roman" w:eastAsia="Times New Roman" w:hAnsi="Times New Roman"/>
                <w:sz w:val="24"/>
                <w:szCs w:val="24"/>
                <w:lang w:val="ro-RO" w:eastAsia="ro-RO"/>
              </w:rPr>
              <w:t>pct.42 va avea următorul cuprins:</w:t>
            </w:r>
          </w:p>
          <w:p w14:paraId="03750F6C" w14:textId="77777777" w:rsidR="004C7CE7" w:rsidRPr="004C7CE7" w:rsidRDefault="004C7CE7" w:rsidP="004C7CE7">
            <w:pPr>
              <w:spacing w:after="160"/>
              <w:rPr>
                <w:rFonts w:ascii="Times New Roman" w:eastAsia="Times New Roman" w:hAnsi="Times New Roman"/>
                <w:sz w:val="24"/>
                <w:szCs w:val="24"/>
                <w:lang w:val="ro-RO" w:eastAsia="ro-RO"/>
              </w:rPr>
            </w:pPr>
            <w:r w:rsidRPr="004C7CE7">
              <w:rPr>
                <w:rFonts w:ascii="Times New Roman" w:eastAsia="Times New Roman" w:hAnsi="Times New Roman"/>
                <w:sz w:val="24"/>
                <w:szCs w:val="24"/>
                <w:lang w:val="ro-RO" w:eastAsia="ro-RO"/>
              </w:rPr>
              <w:t>”42. Deținerea, distribuția angro și comercializarea cu amănuntul a medicamentelor de uz veterinar, doar în ambalaje conform tipului și mărimii stabilite în certificatul de înregistrare a medicamentului de uz veterinar și în Registru de Stat al medicamentelor de uz veterinar.”</w:t>
            </w:r>
          </w:p>
          <w:p w14:paraId="1B936925" w14:textId="77777777" w:rsidR="004C7CE7" w:rsidRPr="004C7CE7" w:rsidRDefault="004C7CE7" w:rsidP="004C7CE7">
            <w:pPr>
              <w:shd w:val="clear" w:color="auto" w:fill="FFFFFF"/>
              <w:ind w:left="-46" w:firstLine="46"/>
              <w:rPr>
                <w:bCs/>
                <w:color w:val="000000"/>
                <w:sz w:val="24"/>
                <w:szCs w:val="24"/>
                <w:lang w:val="ro-RO" w:eastAsia="ro-RO"/>
              </w:rPr>
            </w:pPr>
          </w:p>
        </w:tc>
        <w:tc>
          <w:tcPr>
            <w:tcW w:w="6102" w:type="dxa"/>
            <w:tcBorders>
              <w:top w:val="single" w:sz="4" w:space="0" w:color="auto"/>
              <w:left w:val="none" w:sz="4" w:space="0" w:color="000000"/>
              <w:bottom w:val="single" w:sz="4" w:space="0" w:color="auto"/>
              <w:right w:val="single" w:sz="4" w:space="0" w:color="auto"/>
            </w:tcBorders>
            <w:tcMar>
              <w:top w:w="0" w:type="dxa"/>
              <w:left w:w="108" w:type="dxa"/>
              <w:bottom w:w="0" w:type="dxa"/>
              <w:right w:w="108" w:type="dxa"/>
            </w:tcMar>
          </w:tcPr>
          <w:p w14:paraId="11ED0E63" w14:textId="77777777" w:rsidR="004C7CE7" w:rsidRPr="004C7CE7" w:rsidRDefault="004C7CE7" w:rsidP="004C7CE7">
            <w:pPr>
              <w:spacing w:after="160"/>
              <w:rPr>
                <w:rFonts w:ascii="Times New Roman" w:eastAsia="Times New Roman" w:hAnsi="Times New Roman"/>
                <w:sz w:val="24"/>
                <w:szCs w:val="24"/>
                <w:lang w:val="ro-RO" w:eastAsia="ro-RO"/>
              </w:rPr>
            </w:pPr>
            <w:r w:rsidRPr="004C7CE7">
              <w:rPr>
                <w:rFonts w:ascii="Times New Roman" w:eastAsia="Times New Roman" w:hAnsi="Times New Roman"/>
                <w:sz w:val="24"/>
                <w:szCs w:val="24"/>
                <w:lang w:val="ro-RO" w:eastAsia="ro-RO"/>
              </w:rPr>
              <w:t>”42. Deținerea, distribuția angro și comercializarea cu amănuntul a medicamentelor de uz veterinar, doar în ambalaje conform tipului și mărimii stabilite în certificatul de înregistrare a medicamentului de uz veterinar și în Registru de Stat al medicamentelor de uz veterinar.”</w:t>
            </w:r>
          </w:p>
          <w:p w14:paraId="01357515" w14:textId="77777777" w:rsidR="004C7CE7" w:rsidRDefault="004C7CE7" w:rsidP="004C7CE7">
            <w:pPr>
              <w:shd w:val="clear" w:color="auto" w:fill="FFFFFF"/>
              <w:spacing w:beforeAutospacing="1" w:afterAutospacing="1"/>
              <w:ind w:left="102" w:firstLine="0"/>
              <w:rPr>
                <w:sz w:val="24"/>
                <w:szCs w:val="24"/>
                <w:lang w:val="ro-RO"/>
              </w:rPr>
            </w:pPr>
          </w:p>
        </w:tc>
      </w:tr>
    </w:tbl>
    <w:p w14:paraId="7EF40818" w14:textId="77777777" w:rsidR="00FC4F8D" w:rsidRDefault="00FC4F8D">
      <w:pPr>
        <w:pBdr>
          <w:top w:val="none" w:sz="4" w:space="0" w:color="000000"/>
          <w:left w:val="none" w:sz="4" w:space="0" w:color="000000"/>
          <w:bottom w:val="none" w:sz="4" w:space="0" w:color="000000"/>
          <w:right w:val="none" w:sz="4" w:space="0" w:color="000000"/>
        </w:pBdr>
        <w:tabs>
          <w:tab w:val="left" w:pos="884"/>
          <w:tab w:val="left" w:pos="1134"/>
          <w:tab w:val="left" w:pos="1196"/>
        </w:tabs>
        <w:rPr>
          <w:sz w:val="24"/>
          <w:szCs w:val="24"/>
          <w:lang w:val="ro-RO"/>
        </w:rPr>
      </w:pPr>
    </w:p>
    <w:p w14:paraId="72E771EF" w14:textId="77777777" w:rsidR="00FC4F8D" w:rsidRDefault="00FC4F8D">
      <w:pPr>
        <w:rPr>
          <w:sz w:val="24"/>
          <w:szCs w:val="24"/>
        </w:rPr>
      </w:pPr>
    </w:p>
    <w:sectPr w:rsidR="00FC4F8D" w:rsidSect="007778DA">
      <w:headerReference w:type="default" r:id="rId11"/>
      <w:pgSz w:w="16840" w:h="11907"/>
      <w:pgMar w:top="567" w:right="1418" w:bottom="1985"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F6144" w14:textId="77777777" w:rsidR="008F02D9" w:rsidRDefault="008F02D9">
      <w:r>
        <w:separator/>
      </w:r>
    </w:p>
  </w:endnote>
  <w:endnote w:type="continuationSeparator" w:id="0">
    <w:p w14:paraId="6B095B62" w14:textId="77777777" w:rsidR="008F02D9" w:rsidRDefault="008F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13F0A" w14:textId="77777777" w:rsidR="008F02D9" w:rsidRDefault="008F02D9">
      <w:r>
        <w:separator/>
      </w:r>
    </w:p>
  </w:footnote>
  <w:footnote w:type="continuationSeparator" w:id="0">
    <w:p w14:paraId="5190925E" w14:textId="77777777" w:rsidR="008F02D9" w:rsidRDefault="008F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258AE" w14:textId="77777777" w:rsidR="00FC4F8D" w:rsidRPr="004C7CE7" w:rsidRDefault="00000000">
    <w:pPr>
      <w:pStyle w:val="Antet"/>
      <w:ind w:firstLine="0"/>
      <w:jc w:val="center"/>
      <w:rPr>
        <w:sz w:val="24"/>
        <w:szCs w:val="24"/>
      </w:rPr>
    </w:pPr>
    <w:r w:rsidRPr="004C7CE7">
      <w:rPr>
        <w:sz w:val="24"/>
        <w:szCs w:val="24"/>
      </w:rPr>
      <w:fldChar w:fldCharType="begin"/>
    </w:r>
    <w:r w:rsidRPr="004C7CE7">
      <w:rPr>
        <w:sz w:val="24"/>
        <w:szCs w:val="24"/>
      </w:rPr>
      <w:instrText>PAGE   \* MERGEFORMAT</w:instrText>
    </w:r>
    <w:r w:rsidRPr="004C7CE7">
      <w:rPr>
        <w:sz w:val="24"/>
        <w:szCs w:val="24"/>
      </w:rPr>
      <w:fldChar w:fldCharType="separate"/>
    </w:r>
    <w:r w:rsidRPr="004C7CE7">
      <w:rPr>
        <w:sz w:val="24"/>
        <w:szCs w:val="24"/>
        <w:lang w:val="ro-RO"/>
      </w:rPr>
      <w:t>8</w:t>
    </w:r>
    <w:r w:rsidRPr="004C7CE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C2"/>
    <w:multiLevelType w:val="multilevel"/>
    <w:tmpl w:val="0614A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92F09"/>
    <w:multiLevelType w:val="multilevel"/>
    <w:tmpl w:val="6CA0CCCA"/>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8E7D61"/>
    <w:multiLevelType w:val="multilevel"/>
    <w:tmpl w:val="9D646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B7C4E"/>
    <w:multiLevelType w:val="multilevel"/>
    <w:tmpl w:val="35ECF0FE"/>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92510"/>
    <w:multiLevelType w:val="multilevel"/>
    <w:tmpl w:val="24AC2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D6DDA"/>
    <w:multiLevelType w:val="multilevel"/>
    <w:tmpl w:val="1E68E4B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765109"/>
    <w:multiLevelType w:val="multilevel"/>
    <w:tmpl w:val="1B82D51C"/>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01563E"/>
    <w:multiLevelType w:val="multilevel"/>
    <w:tmpl w:val="ABF445E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4A53A7"/>
    <w:multiLevelType w:val="multilevel"/>
    <w:tmpl w:val="C6B246CC"/>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18465D37"/>
    <w:multiLevelType w:val="multilevel"/>
    <w:tmpl w:val="B1BE712C"/>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B431D03"/>
    <w:multiLevelType w:val="multilevel"/>
    <w:tmpl w:val="7C9E43E8"/>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906909"/>
    <w:multiLevelType w:val="multilevel"/>
    <w:tmpl w:val="834A0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33876"/>
    <w:multiLevelType w:val="multilevel"/>
    <w:tmpl w:val="753C123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00C1A46"/>
    <w:multiLevelType w:val="multilevel"/>
    <w:tmpl w:val="62329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C344F"/>
    <w:multiLevelType w:val="multilevel"/>
    <w:tmpl w:val="00924C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E472C1"/>
    <w:multiLevelType w:val="multilevel"/>
    <w:tmpl w:val="4F584ABA"/>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7F7C6E"/>
    <w:multiLevelType w:val="multilevel"/>
    <w:tmpl w:val="9E6C24D6"/>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7" w15:restartNumberingAfterBreak="0">
    <w:nsid w:val="33A73BD0"/>
    <w:multiLevelType w:val="multilevel"/>
    <w:tmpl w:val="AE1A8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74FCD"/>
    <w:multiLevelType w:val="multilevel"/>
    <w:tmpl w:val="80105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623AA2"/>
    <w:multiLevelType w:val="multilevel"/>
    <w:tmpl w:val="4A1A2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94DCA"/>
    <w:multiLevelType w:val="multilevel"/>
    <w:tmpl w:val="17686C7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3B7CFD"/>
    <w:multiLevelType w:val="multilevel"/>
    <w:tmpl w:val="9B20BC60"/>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A15C52"/>
    <w:multiLevelType w:val="multilevel"/>
    <w:tmpl w:val="E3F6DA0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384D95"/>
    <w:multiLevelType w:val="multilevel"/>
    <w:tmpl w:val="01509EA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4810591D"/>
    <w:multiLevelType w:val="multilevel"/>
    <w:tmpl w:val="06207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D5584D"/>
    <w:multiLevelType w:val="multilevel"/>
    <w:tmpl w:val="96884C40"/>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15:restartNumberingAfterBreak="0">
    <w:nsid w:val="5010448F"/>
    <w:multiLevelType w:val="multilevel"/>
    <w:tmpl w:val="B0EA88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3B2AB6"/>
    <w:multiLevelType w:val="multilevel"/>
    <w:tmpl w:val="A89A92D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F161D9"/>
    <w:multiLevelType w:val="multilevel"/>
    <w:tmpl w:val="23B2E5AC"/>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9" w15:restartNumberingAfterBreak="0">
    <w:nsid w:val="55514C2C"/>
    <w:multiLevelType w:val="multilevel"/>
    <w:tmpl w:val="D7DA6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CB25CD"/>
    <w:multiLevelType w:val="multilevel"/>
    <w:tmpl w:val="C8702A3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1A5524"/>
    <w:multiLevelType w:val="multilevel"/>
    <w:tmpl w:val="1C28694E"/>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E84709"/>
    <w:multiLevelType w:val="multilevel"/>
    <w:tmpl w:val="BE02DB9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A5154"/>
    <w:multiLevelType w:val="multilevel"/>
    <w:tmpl w:val="8AEAB9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650294"/>
    <w:multiLevelType w:val="multilevel"/>
    <w:tmpl w:val="382A1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E1B6A"/>
    <w:multiLevelType w:val="multilevel"/>
    <w:tmpl w:val="E6E46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50769C"/>
    <w:multiLevelType w:val="multilevel"/>
    <w:tmpl w:val="1C62372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756F9C"/>
    <w:multiLevelType w:val="multilevel"/>
    <w:tmpl w:val="EFEA9618"/>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8" w15:restartNumberingAfterBreak="0">
    <w:nsid w:val="7D7A1061"/>
    <w:multiLevelType w:val="multilevel"/>
    <w:tmpl w:val="0A2452A2"/>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084E4E"/>
    <w:multiLevelType w:val="multilevel"/>
    <w:tmpl w:val="800E325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1A65A7"/>
    <w:multiLevelType w:val="multilevel"/>
    <w:tmpl w:val="F920FECC"/>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FE1854"/>
    <w:multiLevelType w:val="multilevel"/>
    <w:tmpl w:val="149284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56958061">
    <w:abstractNumId w:val="20"/>
  </w:num>
  <w:num w:numId="2" w16cid:durableId="1024477979">
    <w:abstractNumId w:val="22"/>
  </w:num>
  <w:num w:numId="3" w16cid:durableId="844831079">
    <w:abstractNumId w:val="26"/>
  </w:num>
  <w:num w:numId="4" w16cid:durableId="981694721">
    <w:abstractNumId w:val="24"/>
  </w:num>
  <w:num w:numId="5" w16cid:durableId="895748382">
    <w:abstractNumId w:val="31"/>
  </w:num>
  <w:num w:numId="6" w16cid:durableId="1877884274">
    <w:abstractNumId w:val="0"/>
  </w:num>
  <w:num w:numId="7" w16cid:durableId="1416511455">
    <w:abstractNumId w:val="35"/>
  </w:num>
  <w:num w:numId="8" w16cid:durableId="70585099">
    <w:abstractNumId w:val="18"/>
  </w:num>
  <w:num w:numId="9" w16cid:durableId="1576891387">
    <w:abstractNumId w:val="5"/>
  </w:num>
  <w:num w:numId="10" w16cid:durableId="493377400">
    <w:abstractNumId w:val="12"/>
  </w:num>
  <w:num w:numId="11" w16cid:durableId="2122802782">
    <w:abstractNumId w:val="28"/>
  </w:num>
  <w:num w:numId="12" w16cid:durableId="1237280840">
    <w:abstractNumId w:val="10"/>
  </w:num>
  <w:num w:numId="13" w16cid:durableId="2066832383">
    <w:abstractNumId w:val="14"/>
  </w:num>
  <w:num w:numId="14" w16cid:durableId="268315330">
    <w:abstractNumId w:val="33"/>
  </w:num>
  <w:num w:numId="15" w16cid:durableId="56754941">
    <w:abstractNumId w:val="1"/>
  </w:num>
  <w:num w:numId="16" w16cid:durableId="1817330729">
    <w:abstractNumId w:val="15"/>
  </w:num>
  <w:num w:numId="17" w16cid:durableId="564996840">
    <w:abstractNumId w:val="21"/>
  </w:num>
  <w:num w:numId="18" w16cid:durableId="271208160">
    <w:abstractNumId w:val="3"/>
  </w:num>
  <w:num w:numId="19" w16cid:durableId="1610968895">
    <w:abstractNumId w:val="9"/>
  </w:num>
  <w:num w:numId="20" w16cid:durableId="1083835286">
    <w:abstractNumId w:val="32"/>
  </w:num>
  <w:num w:numId="21" w16cid:durableId="1296372285">
    <w:abstractNumId w:val="38"/>
  </w:num>
  <w:num w:numId="22" w16cid:durableId="1734813772">
    <w:abstractNumId w:val="41"/>
  </w:num>
  <w:num w:numId="23" w16cid:durableId="2107724800">
    <w:abstractNumId w:val="17"/>
  </w:num>
  <w:num w:numId="24" w16cid:durableId="1143541731">
    <w:abstractNumId w:val="4"/>
  </w:num>
  <w:num w:numId="25" w16cid:durableId="1589919504">
    <w:abstractNumId w:val="34"/>
  </w:num>
  <w:num w:numId="26" w16cid:durableId="885678491">
    <w:abstractNumId w:val="11"/>
  </w:num>
  <w:num w:numId="27" w16cid:durableId="317809110">
    <w:abstractNumId w:val="7"/>
  </w:num>
  <w:num w:numId="28" w16cid:durableId="104006046">
    <w:abstractNumId w:val="40"/>
    <w:lvlOverride w:ilvl="0">
      <w:startOverride w:val="1"/>
    </w:lvlOverride>
  </w:num>
  <w:num w:numId="29" w16cid:durableId="2013025378">
    <w:abstractNumId w:val="6"/>
  </w:num>
  <w:num w:numId="30" w16cid:durableId="685444222">
    <w:abstractNumId w:val="39"/>
  </w:num>
  <w:num w:numId="31" w16cid:durableId="2116244100">
    <w:abstractNumId w:val="30"/>
  </w:num>
  <w:num w:numId="32" w16cid:durableId="1813674160">
    <w:abstractNumId w:val="40"/>
  </w:num>
  <w:num w:numId="33" w16cid:durableId="637493141">
    <w:abstractNumId w:val="13"/>
  </w:num>
  <w:num w:numId="34" w16cid:durableId="1965429308">
    <w:abstractNumId w:val="29"/>
  </w:num>
  <w:num w:numId="35" w16cid:durableId="2144812353">
    <w:abstractNumId w:val="2"/>
  </w:num>
  <w:num w:numId="36" w16cid:durableId="647563217">
    <w:abstractNumId w:val="19"/>
  </w:num>
  <w:num w:numId="37" w16cid:durableId="1725059133">
    <w:abstractNumId w:val="27"/>
  </w:num>
  <w:num w:numId="38" w16cid:durableId="1989168095">
    <w:abstractNumId w:val="36"/>
  </w:num>
  <w:num w:numId="39" w16cid:durableId="305400621">
    <w:abstractNumId w:val="25"/>
  </w:num>
  <w:num w:numId="40" w16cid:durableId="462038269">
    <w:abstractNumId w:val="16"/>
  </w:num>
  <w:num w:numId="41" w16cid:durableId="1594120824">
    <w:abstractNumId w:val="37"/>
  </w:num>
  <w:num w:numId="42" w16cid:durableId="665090460">
    <w:abstractNumId w:val="23"/>
  </w:num>
  <w:num w:numId="43" w16cid:durableId="12383268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F8D"/>
    <w:rsid w:val="002E133A"/>
    <w:rsid w:val="004C7CE7"/>
    <w:rsid w:val="00501268"/>
    <w:rsid w:val="0063204F"/>
    <w:rsid w:val="0075126F"/>
    <w:rsid w:val="007778DA"/>
    <w:rsid w:val="007E76BC"/>
    <w:rsid w:val="008F02D9"/>
    <w:rsid w:val="00B713EA"/>
    <w:rsid w:val="00D975B7"/>
    <w:rsid w:val="00E10F0A"/>
    <w:rsid w:val="00FC4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3FF9"/>
  <w15:docId w15:val="{BD0C7ECF-A4FC-40E3-9BE7-064FFE92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styleId="MeniuneNerezolvat">
    <w:name w:val="Unresolved Mention"/>
    <w:basedOn w:val="Fontdeparagrafimplici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1231</Words>
  <Characters>7146</Characters>
  <Application>Microsoft Office Word</Application>
  <DocSecurity>0</DocSecurity>
  <Lines>59</Lines>
  <Paragraphs>16</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Albina Mereuță</cp:lastModifiedBy>
  <cp:revision>4</cp:revision>
  <dcterms:created xsi:type="dcterms:W3CDTF">2024-08-30T06:48:00Z</dcterms:created>
  <dcterms:modified xsi:type="dcterms:W3CDTF">2024-08-30T07:23:00Z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