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314048" w:rsidRDefault="00615D25" w:rsidP="00082F8D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4048">
        <w:rPr>
          <w:rFonts w:ascii="Times New Roman" w:hAnsi="Times New Roman"/>
          <w:b/>
          <w:color w:val="000000" w:themeColor="text1"/>
          <w:sz w:val="24"/>
          <w:szCs w:val="24"/>
        </w:rPr>
        <w:t>NOTĂ INFORMATIVĂ</w:t>
      </w:r>
    </w:p>
    <w:p w:rsidR="00525B00" w:rsidRPr="00314048" w:rsidRDefault="007C7011" w:rsidP="00317E4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la</w:t>
      </w:r>
      <w:r w:rsidR="00615D25"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proiectul </w:t>
      </w:r>
      <w:r w:rsidR="00525B00"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ordinului </w:t>
      </w:r>
      <w:r w:rsidR="00594F7C" w:rsidRP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cu privire la modificarea</w:t>
      </w:r>
      <w:r w:rsid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</w:t>
      </w:r>
      <w:r w:rsidR="009F066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O</w:t>
      </w:r>
      <w:r w:rsidR="00594F7C" w:rsidRP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rdinu</w:t>
      </w:r>
      <w:r w:rsidR="009F066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lui M</w:t>
      </w:r>
      <w:r w:rsidR="003B25B1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inistrului finanțelor nr.50</w:t>
      </w:r>
      <w:r w:rsidR="00594F7C" w:rsidRPr="00594F7C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/2017</w:t>
      </w:r>
    </w:p>
    <w:p w:rsidR="00713C10" w:rsidRPr="00314048" w:rsidRDefault="00DB26C7" w:rsidP="00354D8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404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54E1" w:rsidRPr="00B30B56" w:rsidTr="00F41C9D">
        <w:tc>
          <w:tcPr>
            <w:tcW w:w="9918" w:type="dxa"/>
            <w:shd w:val="clear" w:color="auto" w:fill="9CC2E5" w:themeFill="accent1" w:themeFillTint="99"/>
          </w:tcPr>
          <w:p w:rsidR="007C7011" w:rsidRPr="00B30B56" w:rsidRDefault="007C7011" w:rsidP="00615D2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30B5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</w:t>
            </w:r>
            <w:r w:rsidRPr="00B30B5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B30B56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Denumirea autorului şi, după caz, a participanţilor la elaborarea proiectului</w:t>
            </w:r>
            <w:r w:rsidRPr="00B30B5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B30B56" w:rsidTr="0061615B">
        <w:tc>
          <w:tcPr>
            <w:tcW w:w="9918" w:type="dxa"/>
          </w:tcPr>
          <w:p w:rsidR="007C7011" w:rsidRPr="002C4CD9" w:rsidRDefault="00D962FF" w:rsidP="00D1206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525B00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ordinului </w:t>
            </w:r>
            <w:r w:rsidR="009F066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 privire la modificarea O</w:t>
            </w:r>
            <w:r w:rsidR="00354D8A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rdin</w:t>
            </w:r>
            <w:r w:rsidR="002C0D14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ului</w:t>
            </w:r>
            <w:r w:rsidR="009F066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M</w:t>
            </w:r>
            <w:r w:rsidR="00354D8A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inistrului finanțelor</w:t>
            </w:r>
            <w:r w:rsidR="003B25B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nr.50</w:t>
            </w:r>
            <w:r w:rsidR="002C0D14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/2017</w:t>
            </w:r>
            <w:r w:rsidR="00354D8A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 fost elaborat de către Ministerul Finanțelor.</w:t>
            </w:r>
          </w:p>
        </w:tc>
      </w:tr>
      <w:tr w:rsidR="008654E1" w:rsidRPr="00B30B56" w:rsidTr="00F41C9D">
        <w:tc>
          <w:tcPr>
            <w:tcW w:w="9918" w:type="dxa"/>
            <w:shd w:val="clear" w:color="auto" w:fill="9CC2E5" w:themeFill="accent1" w:themeFillTint="99"/>
          </w:tcPr>
          <w:p w:rsidR="007C7011" w:rsidRPr="00B30B56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2.</w:t>
            </w:r>
            <w:r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2A3091" w:rsidRPr="00B30B56" w:rsidTr="0061615B">
        <w:tc>
          <w:tcPr>
            <w:tcW w:w="9918" w:type="dxa"/>
          </w:tcPr>
          <w:p w:rsidR="002C4CD9" w:rsidRDefault="002C4CD9" w:rsidP="002C4CD9">
            <w:pPr>
              <w:spacing w:after="0"/>
              <w:ind w:right="11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0D343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Proiectul ordinului nominalizat a fo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st elaborat în scopul </w:t>
            </w:r>
            <w:r w:rsidR="0016150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ajustări</w:t>
            </w:r>
            <w:r w:rsidR="003C0CD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</w:t>
            </w:r>
            <w:r w:rsidR="003C39AE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4B5FC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și racordării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3C39AE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prevederi</w:t>
            </w:r>
            <w:r w:rsidR="004B5FC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lor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Ordinului Ministrului finanțelor nr.50/2017</w:t>
            </w:r>
            <w:r>
              <w:t xml:space="preserve"> </w:t>
            </w:r>
            <w:r w:rsidRPr="000D343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privind aprobarea unor formulare-tip ce atestă rezidența </w:t>
            </w:r>
            <w:proofErr w:type="spellStart"/>
            <w:r w:rsidRPr="000D343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0D343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impozitul pe venit achitat de către nerezidenții Republicii Moldova (Monitorul Oficial al Republicii Mol</w:t>
            </w:r>
            <w:r w:rsidR="004B5FC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dova, 2017, nr.92-102, art.625), la regulile generale </w:t>
            </w:r>
            <w:r w:rsidR="00A972B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 impozitare internațională</w:t>
            </w:r>
            <w:r w:rsidR="004B5FC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.</w:t>
            </w:r>
          </w:p>
          <w:p w:rsidR="007160D2" w:rsidRPr="00F17073" w:rsidRDefault="007160D2" w:rsidP="00E835BD">
            <w:pPr>
              <w:spacing w:after="0"/>
              <w:ind w:right="115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00220" w:rsidRPr="00B30B56" w:rsidTr="00200220">
        <w:tc>
          <w:tcPr>
            <w:tcW w:w="9918" w:type="dxa"/>
            <w:shd w:val="clear" w:color="auto" w:fill="9CC2E5" w:themeFill="accent1" w:themeFillTint="99"/>
          </w:tcPr>
          <w:p w:rsidR="00200220" w:rsidRPr="00B30B56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D"/>
              </w:rPr>
              <w:t>3.</w:t>
            </w:r>
            <w:r w:rsidRPr="00B30B56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D"/>
              </w:rPr>
              <w:t>Descrierea gradului de compatibilitate pentru proiectele care au scop armonizarea legislației naționale cu legislația Uniunii Europene.</w:t>
            </w:r>
          </w:p>
        </w:tc>
      </w:tr>
      <w:tr w:rsidR="00200220" w:rsidRPr="00B30B56" w:rsidTr="0061615B">
        <w:tc>
          <w:tcPr>
            <w:tcW w:w="9918" w:type="dxa"/>
          </w:tcPr>
          <w:p w:rsidR="00200220" w:rsidRPr="002C4CD9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9F7E9C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ordinului în cauză </w:t>
            </w:r>
            <w:r w:rsidR="002D110F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nu </w:t>
            </w: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are drept scop armonizarea legislației naționale cu legislația</w:t>
            </w:r>
            <w:r w:rsidR="000C0430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Uniunii</w:t>
            </w:r>
            <w:r w:rsidR="00D61BE2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Europene.</w:t>
            </w:r>
          </w:p>
        </w:tc>
      </w:tr>
      <w:tr w:rsidR="00960B64" w:rsidRPr="00B30B56" w:rsidTr="00F41C9D">
        <w:tc>
          <w:tcPr>
            <w:tcW w:w="9918" w:type="dxa"/>
            <w:shd w:val="clear" w:color="auto" w:fill="9CC2E5" w:themeFill="accent1" w:themeFillTint="99"/>
          </w:tcPr>
          <w:p w:rsidR="00960B64" w:rsidRPr="00B30B56" w:rsidRDefault="00200220" w:rsidP="00960B6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4</w:t>
            </w:r>
            <w:r w:rsidR="00960B64"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960B64" w:rsidRPr="00B30B56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960B64"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Principalele prevederi ale proiectului şi </w:t>
            </w:r>
            <w:r w:rsidR="008D3AE7"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evidențierea</w:t>
            </w:r>
            <w:r w:rsidR="00960B64"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elementelor noi</w:t>
            </w:r>
            <w:r w:rsidR="00960B64" w:rsidRPr="00B30B56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B30B56" w:rsidTr="0061615B">
        <w:tc>
          <w:tcPr>
            <w:tcW w:w="9918" w:type="dxa"/>
          </w:tcPr>
          <w:p w:rsidR="001F7CF1" w:rsidRDefault="00200220" w:rsidP="0031029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Modificările </w:t>
            </w:r>
            <w:r w:rsidR="00FF2995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și completările propuse la Ordinul nominalizat rezultă din necesitatea </w:t>
            </w:r>
            <w:r w:rsidR="00C35C37" w:rsidRPr="00C35C3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ajustării </w:t>
            </w:r>
            <w:r w:rsidR="0003581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și </w:t>
            </w:r>
            <w:r w:rsidR="0003581E" w:rsidRPr="0003581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racordării prevederilor </w:t>
            </w:r>
            <w:r w:rsidR="008127F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acestuia</w:t>
            </w:r>
            <w:r w:rsidR="00FC7AF8">
              <w:t xml:space="preserve"> </w:t>
            </w:r>
            <w:r w:rsidR="00FC7AF8" w:rsidRPr="00FC7AF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la regulile generale de impozitare internațională</w:t>
            </w:r>
            <w:r w:rsidR="00C35C37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1F7CF1" w:rsidRDefault="00DE5CAF" w:rsidP="0031029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Potrivit art.79</w:t>
            </w:r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alin.(1) din Codul fiscal, p</w:t>
            </w:r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entru interpretarea prevederilor tratatelor internaționale încheiate de Republica Moldova cu alte state se utilizează Comentariile la Modelul </w:t>
            </w:r>
            <w:proofErr w:type="spellStart"/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Convenţiei</w:t>
            </w:r>
            <w:proofErr w:type="spellEnd"/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pentru evitarea dublei impuneri al </w:t>
            </w:r>
            <w:r w:rsidR="002D3223"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Organizației</w:t>
            </w:r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pentru Cooperare </w:t>
            </w:r>
            <w:proofErr w:type="spellStart"/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E5CA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Dezvoltare Economică.</w:t>
            </w:r>
          </w:p>
          <w:p w:rsidR="00BE3F3B" w:rsidRPr="002C4CD9" w:rsidRDefault="00A422D0" w:rsidP="00425FF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În acest context</w:t>
            </w:r>
            <w:r w:rsidR="00FC7AF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se propune </w:t>
            </w:r>
            <w:r w:rsidR="002A3CB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consolidarea și concretizarea prevederilor Ordinului în partea ce ține de modalitatea de calcul a </w:t>
            </w:r>
            <w:r w:rsidR="0075770B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perioadei </w:t>
            </w:r>
            <w:r w:rsidR="00A22B5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de 183 de zile </w:t>
            </w:r>
            <w:r w:rsidR="0075770B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ce urmează a fi luată în considerare la stabilirea rezidenței fiscale, </w:t>
            </w:r>
            <w:r w:rsidR="00425FFB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conform</w:t>
            </w:r>
            <w:bookmarkStart w:id="0" w:name="_GoBack"/>
            <w:bookmarkEnd w:id="0"/>
            <w:r w:rsidR="0075770B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recomandărilor </w:t>
            </w:r>
            <w:r w:rsidR="0031029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Convenției</w:t>
            </w:r>
            <w:r w:rsidR="00310295" w:rsidRPr="0031029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Model OECD cu privire la impozitele pe venit și impozitele pe capital</w:t>
            </w:r>
            <w:r w:rsidR="0031029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(varianta actualizată din 21 noiembrie 2017).</w:t>
            </w:r>
          </w:p>
        </w:tc>
      </w:tr>
      <w:tr w:rsidR="008654E1" w:rsidRPr="00B30B56" w:rsidTr="00F41C9D">
        <w:tc>
          <w:tcPr>
            <w:tcW w:w="9918" w:type="dxa"/>
            <w:shd w:val="clear" w:color="auto" w:fill="9CC2E5" w:themeFill="accent1" w:themeFillTint="99"/>
          </w:tcPr>
          <w:p w:rsidR="007C7011" w:rsidRPr="00B30B56" w:rsidRDefault="00200220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5</w:t>
            </w:r>
            <w:r w:rsidR="007C7011"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Fundamentarea economico-financiară  </w:t>
            </w:r>
          </w:p>
        </w:tc>
      </w:tr>
      <w:tr w:rsidR="008654E1" w:rsidRPr="00B30B56" w:rsidTr="0061615B">
        <w:tc>
          <w:tcPr>
            <w:tcW w:w="9918" w:type="dxa"/>
          </w:tcPr>
          <w:p w:rsidR="00B14FF5" w:rsidRPr="002C4CD9" w:rsidRDefault="00B30B56" w:rsidP="009F7E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Proiectul nu va necesita cheltuieli financiare</w:t>
            </w:r>
            <w:r w:rsidR="002C4CD9" w:rsidRPr="002C4CD9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8654E1" w:rsidRPr="00B30B56" w:rsidTr="00F41C9D">
        <w:tc>
          <w:tcPr>
            <w:tcW w:w="9918" w:type="dxa"/>
            <w:shd w:val="clear" w:color="auto" w:fill="9CC2E5" w:themeFill="accent1" w:themeFillTint="99"/>
          </w:tcPr>
          <w:p w:rsidR="007C7011" w:rsidRPr="00B30B56" w:rsidRDefault="001B79B9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6</w:t>
            </w:r>
            <w:r w:rsidR="007C7011"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Modul de încorporare a actului în cadrul normativ în vigoare  </w:t>
            </w:r>
          </w:p>
        </w:tc>
      </w:tr>
      <w:tr w:rsidR="008654E1" w:rsidRPr="00B30B56" w:rsidTr="0061615B">
        <w:tc>
          <w:tcPr>
            <w:tcW w:w="9918" w:type="dxa"/>
          </w:tcPr>
          <w:p w:rsidR="00B14FF5" w:rsidRPr="002C4CD9" w:rsidRDefault="00B30B56" w:rsidP="00B30B5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  <w:r w:rsidRPr="002C4CD9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 xml:space="preserve">Prezentul proiect de </w:t>
            </w:r>
            <w:r w:rsidR="002C4CD9" w:rsidRPr="002C4CD9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o</w:t>
            </w:r>
            <w:r w:rsidRPr="002C4CD9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rdin nu implică modificarea, elaborarea sau abrogarea unor acte normative.</w:t>
            </w:r>
          </w:p>
        </w:tc>
      </w:tr>
      <w:tr w:rsidR="008654E1" w:rsidRPr="00B30B56" w:rsidTr="00F41C9D">
        <w:tc>
          <w:tcPr>
            <w:tcW w:w="9918" w:type="dxa"/>
            <w:shd w:val="clear" w:color="auto" w:fill="9CC2E5" w:themeFill="accent1" w:themeFillTint="99"/>
          </w:tcPr>
          <w:p w:rsidR="007C7011" w:rsidRPr="00B30B56" w:rsidRDefault="001B79B9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7</w:t>
            </w:r>
            <w:r w:rsidR="007C7011" w:rsidRPr="00B30B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B30B56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7C7011" w:rsidRPr="00B30B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Avizarea şi consultarea publică a proiectului</w:t>
            </w:r>
            <w:r w:rsidR="007C7011" w:rsidRPr="00B30B56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B30B56" w:rsidTr="0061615B">
        <w:tc>
          <w:tcPr>
            <w:tcW w:w="9918" w:type="dxa"/>
          </w:tcPr>
          <w:p w:rsidR="008654E1" w:rsidRPr="00B30B56" w:rsidRDefault="002C4CD9" w:rsidP="00396F5E">
            <w:pPr>
              <w:tabs>
                <w:tab w:val="left" w:pos="2250"/>
              </w:tabs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/>
              </w:rPr>
            </w:pPr>
            <w:r w:rsidRPr="001C50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Proiectul ordinului menționat a fost plasat spre consultare publică pe site-ul</w:t>
            </w:r>
            <w:r w:rsidR="003172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</w:tbl>
    <w:p w:rsidR="00D22448" w:rsidRPr="00314048" w:rsidRDefault="00D22448" w:rsidP="002C4CD9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D22448" w:rsidRPr="00314048" w:rsidSect="00704ADA">
      <w:headerReference w:type="default" r:id="rId7"/>
      <w:pgSz w:w="11907" w:h="16840" w:code="9"/>
      <w:pgMar w:top="142" w:right="850" w:bottom="142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13" w:rsidRDefault="00185113">
      <w:pPr>
        <w:spacing w:after="0" w:line="240" w:lineRule="auto"/>
      </w:pPr>
      <w:r>
        <w:separator/>
      </w:r>
    </w:p>
  </w:endnote>
  <w:endnote w:type="continuationSeparator" w:id="0">
    <w:p w:rsidR="00185113" w:rsidRDefault="0018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13" w:rsidRDefault="00185113">
      <w:pPr>
        <w:spacing w:after="0" w:line="240" w:lineRule="auto"/>
      </w:pPr>
      <w:r>
        <w:separator/>
      </w:r>
    </w:p>
  </w:footnote>
  <w:footnote w:type="continuationSeparator" w:id="0">
    <w:p w:rsidR="00185113" w:rsidRDefault="0018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185113" w:rsidP="000E695F">
    <w:pPr>
      <w:pStyle w:val="a3"/>
      <w:jc w:val="right"/>
      <w:rPr>
        <w:rFonts w:ascii="Times New Roman" w:hAnsi="Times New Roman"/>
        <w:i/>
      </w:rPr>
    </w:pPr>
  </w:p>
  <w:p w:rsidR="000E695F" w:rsidRDefault="001851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9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110F1"/>
    <w:rsid w:val="00024A67"/>
    <w:rsid w:val="0003581E"/>
    <w:rsid w:val="0004087A"/>
    <w:rsid w:val="00046456"/>
    <w:rsid w:val="00046486"/>
    <w:rsid w:val="00076168"/>
    <w:rsid w:val="00082F8D"/>
    <w:rsid w:val="00086A0B"/>
    <w:rsid w:val="0009524A"/>
    <w:rsid w:val="000A724A"/>
    <w:rsid w:val="000B0D2F"/>
    <w:rsid w:val="000B491D"/>
    <w:rsid w:val="000C0430"/>
    <w:rsid w:val="000D444A"/>
    <w:rsid w:val="000E0B7A"/>
    <w:rsid w:val="00101AC0"/>
    <w:rsid w:val="001147D9"/>
    <w:rsid w:val="0014676E"/>
    <w:rsid w:val="0016029F"/>
    <w:rsid w:val="00161500"/>
    <w:rsid w:val="00165336"/>
    <w:rsid w:val="00166A53"/>
    <w:rsid w:val="00170C48"/>
    <w:rsid w:val="0017794D"/>
    <w:rsid w:val="00180AA5"/>
    <w:rsid w:val="00185113"/>
    <w:rsid w:val="00190611"/>
    <w:rsid w:val="00195567"/>
    <w:rsid w:val="001B10AF"/>
    <w:rsid w:val="001B79B9"/>
    <w:rsid w:val="001F7CF1"/>
    <w:rsid w:val="00200220"/>
    <w:rsid w:val="00202225"/>
    <w:rsid w:val="002105D3"/>
    <w:rsid w:val="002177A0"/>
    <w:rsid w:val="00227F72"/>
    <w:rsid w:val="00230E0B"/>
    <w:rsid w:val="00241890"/>
    <w:rsid w:val="00261310"/>
    <w:rsid w:val="002622A7"/>
    <w:rsid w:val="00264463"/>
    <w:rsid w:val="00272FA6"/>
    <w:rsid w:val="00274813"/>
    <w:rsid w:val="00287371"/>
    <w:rsid w:val="00290CC2"/>
    <w:rsid w:val="002979CB"/>
    <w:rsid w:val="002A3091"/>
    <w:rsid w:val="002A3CB1"/>
    <w:rsid w:val="002B1F81"/>
    <w:rsid w:val="002C0D14"/>
    <w:rsid w:val="002C3AB8"/>
    <w:rsid w:val="002C4CD9"/>
    <w:rsid w:val="002D110F"/>
    <w:rsid w:val="002D3223"/>
    <w:rsid w:val="002F631C"/>
    <w:rsid w:val="00310295"/>
    <w:rsid w:val="00314048"/>
    <w:rsid w:val="00315EF3"/>
    <w:rsid w:val="0031721C"/>
    <w:rsid w:val="00317E43"/>
    <w:rsid w:val="00336094"/>
    <w:rsid w:val="00354D8A"/>
    <w:rsid w:val="00355CA9"/>
    <w:rsid w:val="00361122"/>
    <w:rsid w:val="00362318"/>
    <w:rsid w:val="003656CC"/>
    <w:rsid w:val="00365DBB"/>
    <w:rsid w:val="003906B6"/>
    <w:rsid w:val="00396AFC"/>
    <w:rsid w:val="00396F5E"/>
    <w:rsid w:val="003A4DD3"/>
    <w:rsid w:val="003B06CD"/>
    <w:rsid w:val="003B25B1"/>
    <w:rsid w:val="003C0CD3"/>
    <w:rsid w:val="003C39AE"/>
    <w:rsid w:val="003C608A"/>
    <w:rsid w:val="003C68F3"/>
    <w:rsid w:val="003E20A2"/>
    <w:rsid w:val="003F10A9"/>
    <w:rsid w:val="0040679F"/>
    <w:rsid w:val="0042080C"/>
    <w:rsid w:val="004237F3"/>
    <w:rsid w:val="00425FFB"/>
    <w:rsid w:val="00432B78"/>
    <w:rsid w:val="00453E7D"/>
    <w:rsid w:val="00461306"/>
    <w:rsid w:val="00463F34"/>
    <w:rsid w:val="004900EE"/>
    <w:rsid w:val="0049732D"/>
    <w:rsid w:val="004A54CB"/>
    <w:rsid w:val="004B4CF5"/>
    <w:rsid w:val="004B5FCA"/>
    <w:rsid w:val="004B6438"/>
    <w:rsid w:val="004B69A3"/>
    <w:rsid w:val="004B6DB0"/>
    <w:rsid w:val="004C0C15"/>
    <w:rsid w:val="004D0552"/>
    <w:rsid w:val="004E303A"/>
    <w:rsid w:val="004E7450"/>
    <w:rsid w:val="0050165D"/>
    <w:rsid w:val="00505F21"/>
    <w:rsid w:val="00520B85"/>
    <w:rsid w:val="00525B00"/>
    <w:rsid w:val="00543523"/>
    <w:rsid w:val="00551985"/>
    <w:rsid w:val="00552DAD"/>
    <w:rsid w:val="00556F6B"/>
    <w:rsid w:val="00562D59"/>
    <w:rsid w:val="00594F7C"/>
    <w:rsid w:val="005A1D38"/>
    <w:rsid w:val="005A22FA"/>
    <w:rsid w:val="005A36E0"/>
    <w:rsid w:val="005B7717"/>
    <w:rsid w:val="005E1891"/>
    <w:rsid w:val="005E4C3B"/>
    <w:rsid w:val="005F1E30"/>
    <w:rsid w:val="00615D25"/>
    <w:rsid w:val="0061615B"/>
    <w:rsid w:val="00621494"/>
    <w:rsid w:val="00622F22"/>
    <w:rsid w:val="00626F83"/>
    <w:rsid w:val="00646DF2"/>
    <w:rsid w:val="00647B75"/>
    <w:rsid w:val="006643D6"/>
    <w:rsid w:val="00666CC5"/>
    <w:rsid w:val="00683871"/>
    <w:rsid w:val="00690A6B"/>
    <w:rsid w:val="006B4C27"/>
    <w:rsid w:val="006F48C1"/>
    <w:rsid w:val="006F6E0C"/>
    <w:rsid w:val="00704ADA"/>
    <w:rsid w:val="00712AC7"/>
    <w:rsid w:val="00713C10"/>
    <w:rsid w:val="00714F72"/>
    <w:rsid w:val="007160D2"/>
    <w:rsid w:val="00720032"/>
    <w:rsid w:val="007228CE"/>
    <w:rsid w:val="00722CE0"/>
    <w:rsid w:val="00743306"/>
    <w:rsid w:val="0075770B"/>
    <w:rsid w:val="00762C5C"/>
    <w:rsid w:val="00770A80"/>
    <w:rsid w:val="00772048"/>
    <w:rsid w:val="007B29F8"/>
    <w:rsid w:val="007C7011"/>
    <w:rsid w:val="007E7496"/>
    <w:rsid w:val="007F714C"/>
    <w:rsid w:val="007F7A6C"/>
    <w:rsid w:val="00804DB3"/>
    <w:rsid w:val="00811605"/>
    <w:rsid w:val="008127FF"/>
    <w:rsid w:val="00813DFB"/>
    <w:rsid w:val="00827CC8"/>
    <w:rsid w:val="00860E80"/>
    <w:rsid w:val="008654E1"/>
    <w:rsid w:val="00870157"/>
    <w:rsid w:val="00870DD1"/>
    <w:rsid w:val="00883F10"/>
    <w:rsid w:val="008B29EE"/>
    <w:rsid w:val="008B6EEF"/>
    <w:rsid w:val="008C1A0B"/>
    <w:rsid w:val="008C2090"/>
    <w:rsid w:val="008D3AE7"/>
    <w:rsid w:val="008D5B80"/>
    <w:rsid w:val="008E438E"/>
    <w:rsid w:val="00901C1B"/>
    <w:rsid w:val="00905946"/>
    <w:rsid w:val="00922F49"/>
    <w:rsid w:val="00925CBA"/>
    <w:rsid w:val="00925F88"/>
    <w:rsid w:val="00932C80"/>
    <w:rsid w:val="00934EF3"/>
    <w:rsid w:val="0094356F"/>
    <w:rsid w:val="00960B64"/>
    <w:rsid w:val="00970CC2"/>
    <w:rsid w:val="00994FF1"/>
    <w:rsid w:val="009A5B92"/>
    <w:rsid w:val="009C0B31"/>
    <w:rsid w:val="009C6B10"/>
    <w:rsid w:val="009E4B5A"/>
    <w:rsid w:val="009F0667"/>
    <w:rsid w:val="009F4148"/>
    <w:rsid w:val="009F7E9C"/>
    <w:rsid w:val="00A22B55"/>
    <w:rsid w:val="00A258F3"/>
    <w:rsid w:val="00A26CB9"/>
    <w:rsid w:val="00A422D0"/>
    <w:rsid w:val="00A537F8"/>
    <w:rsid w:val="00A56232"/>
    <w:rsid w:val="00A73707"/>
    <w:rsid w:val="00A76C63"/>
    <w:rsid w:val="00A844C6"/>
    <w:rsid w:val="00A96867"/>
    <w:rsid w:val="00A972BA"/>
    <w:rsid w:val="00A97301"/>
    <w:rsid w:val="00AA22CA"/>
    <w:rsid w:val="00AA697E"/>
    <w:rsid w:val="00AB1810"/>
    <w:rsid w:val="00AB6BCB"/>
    <w:rsid w:val="00AC13F0"/>
    <w:rsid w:val="00AD434B"/>
    <w:rsid w:val="00AF6FB9"/>
    <w:rsid w:val="00AF73BB"/>
    <w:rsid w:val="00B11479"/>
    <w:rsid w:val="00B14FF5"/>
    <w:rsid w:val="00B30B56"/>
    <w:rsid w:val="00B43731"/>
    <w:rsid w:val="00B53EFE"/>
    <w:rsid w:val="00B6618C"/>
    <w:rsid w:val="00B87953"/>
    <w:rsid w:val="00B96042"/>
    <w:rsid w:val="00BD297C"/>
    <w:rsid w:val="00BD4DA6"/>
    <w:rsid w:val="00BE3F3B"/>
    <w:rsid w:val="00BF46FE"/>
    <w:rsid w:val="00C154C6"/>
    <w:rsid w:val="00C20F83"/>
    <w:rsid w:val="00C35A53"/>
    <w:rsid w:val="00C35C37"/>
    <w:rsid w:val="00C70928"/>
    <w:rsid w:val="00C74EEA"/>
    <w:rsid w:val="00C90582"/>
    <w:rsid w:val="00C97708"/>
    <w:rsid w:val="00CC0DB3"/>
    <w:rsid w:val="00CC55B8"/>
    <w:rsid w:val="00CD4C06"/>
    <w:rsid w:val="00CF5838"/>
    <w:rsid w:val="00D12067"/>
    <w:rsid w:val="00D20C6E"/>
    <w:rsid w:val="00D22448"/>
    <w:rsid w:val="00D41B12"/>
    <w:rsid w:val="00D52E87"/>
    <w:rsid w:val="00D53DE3"/>
    <w:rsid w:val="00D61BE2"/>
    <w:rsid w:val="00D64C09"/>
    <w:rsid w:val="00D74349"/>
    <w:rsid w:val="00D94891"/>
    <w:rsid w:val="00D94A05"/>
    <w:rsid w:val="00D962FF"/>
    <w:rsid w:val="00DA060C"/>
    <w:rsid w:val="00DA43AB"/>
    <w:rsid w:val="00DB26C7"/>
    <w:rsid w:val="00DC0306"/>
    <w:rsid w:val="00DC0573"/>
    <w:rsid w:val="00DE5CAF"/>
    <w:rsid w:val="00DF145D"/>
    <w:rsid w:val="00E01863"/>
    <w:rsid w:val="00E11A35"/>
    <w:rsid w:val="00E3205B"/>
    <w:rsid w:val="00E62050"/>
    <w:rsid w:val="00E71149"/>
    <w:rsid w:val="00E721B1"/>
    <w:rsid w:val="00E82182"/>
    <w:rsid w:val="00E835BD"/>
    <w:rsid w:val="00E951DF"/>
    <w:rsid w:val="00E975E7"/>
    <w:rsid w:val="00EB11BC"/>
    <w:rsid w:val="00EB33C7"/>
    <w:rsid w:val="00EB48DA"/>
    <w:rsid w:val="00EB5241"/>
    <w:rsid w:val="00ED028B"/>
    <w:rsid w:val="00ED3AB3"/>
    <w:rsid w:val="00ED5C8E"/>
    <w:rsid w:val="00EF26AC"/>
    <w:rsid w:val="00EF7630"/>
    <w:rsid w:val="00F17073"/>
    <w:rsid w:val="00F245F7"/>
    <w:rsid w:val="00F41C9D"/>
    <w:rsid w:val="00F56B67"/>
    <w:rsid w:val="00F702A9"/>
    <w:rsid w:val="00F75FC1"/>
    <w:rsid w:val="00F85EE1"/>
    <w:rsid w:val="00F93E26"/>
    <w:rsid w:val="00FC7AF8"/>
    <w:rsid w:val="00FD47C2"/>
    <w:rsid w:val="00FD7900"/>
    <w:rsid w:val="00FD7CB8"/>
    <w:rsid w:val="00FE23B7"/>
    <w:rsid w:val="00FF2995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553F"/>
  <w15:docId w15:val="{CFE9AA4E-757C-4FA9-AA20-B029150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Trocin Irina</cp:lastModifiedBy>
  <cp:revision>40</cp:revision>
  <cp:lastPrinted>2024-08-06T11:30:00Z</cp:lastPrinted>
  <dcterms:created xsi:type="dcterms:W3CDTF">2024-07-11T12:25:00Z</dcterms:created>
  <dcterms:modified xsi:type="dcterms:W3CDTF">2024-08-06T11:33:00Z</dcterms:modified>
</cp:coreProperties>
</file>