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92C9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ind w:firstLine="702"/>
        <w:jc w:val="both"/>
        <w:rPr>
          <w:iCs/>
          <w:sz w:val="24"/>
          <w:szCs w:val="24"/>
          <w:lang w:val="ro-MD"/>
        </w:rPr>
      </w:pPr>
    </w:p>
    <w:p w14:paraId="31060A94" w14:textId="1BD8A0D2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NOT</w:t>
      </w:r>
      <w:r w:rsidR="009831F3">
        <w:rPr>
          <w:b/>
          <w:sz w:val="24"/>
          <w:szCs w:val="24"/>
          <w:lang w:val="ro-MD"/>
        </w:rPr>
        <w:t>A</w:t>
      </w:r>
      <w:r>
        <w:rPr>
          <w:b/>
          <w:sz w:val="24"/>
          <w:szCs w:val="24"/>
          <w:lang w:val="ro-MD"/>
        </w:rPr>
        <w:t xml:space="preserve"> </w:t>
      </w:r>
      <w:r w:rsidR="00A5318B">
        <w:rPr>
          <w:b/>
          <w:sz w:val="24"/>
          <w:szCs w:val="24"/>
          <w:lang w:val="ro-MD"/>
        </w:rPr>
        <w:t>DE FUNDAMENTARE</w:t>
      </w:r>
    </w:p>
    <w:p w14:paraId="4FD09646" w14:textId="2986CB07" w:rsidR="008D6564" w:rsidRPr="005B35D8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 w:rsidRPr="009361B9">
        <w:rPr>
          <w:b/>
          <w:sz w:val="24"/>
          <w:szCs w:val="24"/>
          <w:lang w:val="ro-MD"/>
        </w:rPr>
        <w:t xml:space="preserve">la proiectul de </w:t>
      </w:r>
      <w:r>
        <w:rPr>
          <w:b/>
          <w:sz w:val="24"/>
          <w:szCs w:val="24"/>
          <w:lang w:val="ro-MD"/>
        </w:rPr>
        <w:t xml:space="preserve">hotărâre </w:t>
      </w:r>
      <w:r w:rsidR="00A85143" w:rsidRPr="00D76985">
        <w:rPr>
          <w:b/>
          <w:bCs/>
          <w:szCs w:val="28"/>
        </w:rPr>
        <w:t xml:space="preserve">a </w:t>
      </w:r>
      <w:r w:rsidR="00A85143" w:rsidRPr="00A85143">
        <w:rPr>
          <w:b/>
          <w:bCs/>
          <w:sz w:val="24"/>
          <w:szCs w:val="24"/>
        </w:rPr>
        <w:t xml:space="preserve">Guvernului  </w:t>
      </w:r>
      <w:r w:rsidR="00A85143" w:rsidRPr="00A85143">
        <w:rPr>
          <w:b/>
          <w:bCs/>
          <w:sz w:val="24"/>
          <w:szCs w:val="24"/>
          <w:lang w:val="ro-MD"/>
        </w:rPr>
        <w:t>pentru</w:t>
      </w:r>
      <w:r w:rsidR="00A85143" w:rsidRPr="00A85143">
        <w:rPr>
          <w:b/>
          <w:bCs/>
          <w:sz w:val="24"/>
          <w:szCs w:val="24"/>
        </w:rPr>
        <w:t xml:space="preserve"> aprobarea Raportului</w:t>
      </w:r>
      <w:r w:rsidR="006B0241" w:rsidRPr="006B0241">
        <w:rPr>
          <w:b/>
          <w:bCs/>
          <w:sz w:val="24"/>
          <w:szCs w:val="24"/>
          <w:lang w:val="en-GB"/>
        </w:rPr>
        <w:t xml:space="preserve"> </w:t>
      </w:r>
      <w:r w:rsidR="006B0241">
        <w:rPr>
          <w:b/>
          <w:bCs/>
          <w:sz w:val="24"/>
          <w:szCs w:val="24"/>
          <w:lang w:val="en-GB"/>
        </w:rPr>
        <w:t>semianual</w:t>
      </w:r>
      <w:r w:rsidR="00A85143" w:rsidRPr="00A85143">
        <w:rPr>
          <w:b/>
          <w:bCs/>
          <w:sz w:val="24"/>
          <w:szCs w:val="24"/>
        </w:rPr>
        <w:t xml:space="preserve"> privind executarea bugetului public național și a componentelor acestuia </w:t>
      </w:r>
      <w:r w:rsidR="006B0241">
        <w:rPr>
          <w:b/>
          <w:bCs/>
          <w:sz w:val="24"/>
          <w:szCs w:val="24"/>
        </w:rPr>
        <w:t>pe anul</w:t>
      </w:r>
      <w:r w:rsidR="00A85143" w:rsidRPr="00A85143">
        <w:rPr>
          <w:b/>
          <w:bCs/>
          <w:sz w:val="24"/>
          <w:szCs w:val="24"/>
        </w:rPr>
        <w:t xml:space="preserve"> 202</w:t>
      </w:r>
      <w:r w:rsidR="002C7667">
        <w:rPr>
          <w:b/>
          <w:bCs/>
          <w:sz w:val="24"/>
          <w:szCs w:val="24"/>
        </w:rPr>
        <w:t>4</w:t>
      </w:r>
    </w:p>
    <w:p w14:paraId="1021D25A" w14:textId="77777777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p w14:paraId="7C8F6EC7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8D6564" w:rsidRPr="00772EC6" w14:paraId="18B31631" w14:textId="77777777" w:rsidTr="00204810">
        <w:trPr>
          <w:trHeight w:val="625"/>
        </w:trPr>
        <w:tc>
          <w:tcPr>
            <w:tcW w:w="5000" w:type="pct"/>
            <w:shd w:val="clear" w:color="auto" w:fill="EDEDED" w:themeFill="accent3" w:themeFillTint="33"/>
          </w:tcPr>
          <w:p w14:paraId="2599CF51" w14:textId="7AA953C3" w:rsidR="008D6564" w:rsidRPr="00772EC6" w:rsidRDefault="008D6564" w:rsidP="003A2753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b/>
                <w:sz w:val="24"/>
                <w:szCs w:val="24"/>
                <w:lang w:val="ro-MD"/>
              </w:rPr>
            </w:pPr>
            <w:r w:rsidRPr="00772EC6">
              <w:rPr>
                <w:b/>
                <w:sz w:val="24"/>
                <w:szCs w:val="24"/>
                <w:lang w:val="ro-MD"/>
              </w:rPr>
              <w:t xml:space="preserve"> Denumirea</w:t>
            </w:r>
            <w:r w:rsidR="003A2753" w:rsidRPr="00772EC6">
              <w:rPr>
                <w:b/>
                <w:sz w:val="24"/>
                <w:szCs w:val="24"/>
                <w:lang w:val="ro-MD"/>
              </w:rPr>
              <w:t xml:space="preserve"> sau numele autorului și</w:t>
            </w:r>
            <w:r w:rsidRPr="00772EC6">
              <w:rPr>
                <w:b/>
                <w:sz w:val="24"/>
                <w:szCs w:val="24"/>
                <w:lang w:val="ro-MD"/>
              </w:rPr>
              <w:t>, după caz, a</w:t>
            </w:r>
            <w:r w:rsidR="003A2753" w:rsidRPr="00772EC6">
              <w:rPr>
                <w:b/>
                <w:sz w:val="24"/>
                <w:szCs w:val="24"/>
                <w:lang w:val="ro-MD"/>
              </w:rPr>
              <w:t>/al</w:t>
            </w:r>
            <w:r w:rsidRPr="00772EC6">
              <w:rPr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participanţilor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la elaborarea proiectului</w:t>
            </w:r>
          </w:p>
        </w:tc>
      </w:tr>
      <w:tr w:rsidR="008D6564" w:rsidRPr="009361B9" w14:paraId="742BB450" w14:textId="77777777" w:rsidTr="00204810">
        <w:trPr>
          <w:trHeight w:val="364"/>
        </w:trPr>
        <w:tc>
          <w:tcPr>
            <w:tcW w:w="5000" w:type="pct"/>
          </w:tcPr>
          <w:p w14:paraId="29671F62" w14:textId="6CD8C7BB" w:rsidR="008D6564" w:rsidRPr="00C72C3E" w:rsidRDefault="00C72C3E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C72C3E">
              <w:rPr>
                <w:sz w:val="24"/>
                <w:szCs w:val="24"/>
              </w:rPr>
              <w:t>Ministerul Finanțelor</w:t>
            </w:r>
          </w:p>
        </w:tc>
      </w:tr>
      <w:tr w:rsidR="008D6564" w:rsidRPr="009361B9" w14:paraId="6AE54DCD" w14:textId="77777777" w:rsidTr="001F6FC3">
        <w:trPr>
          <w:trHeight w:val="408"/>
        </w:trPr>
        <w:tc>
          <w:tcPr>
            <w:tcW w:w="5000" w:type="pct"/>
            <w:shd w:val="clear" w:color="auto" w:fill="EDEDED" w:themeFill="accent3" w:themeFillTint="33"/>
          </w:tcPr>
          <w:p w14:paraId="4BB1465D" w14:textId="77777777" w:rsidR="008D6564" w:rsidRPr="00772EC6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772EC6">
              <w:rPr>
                <w:b/>
                <w:sz w:val="24"/>
                <w:szCs w:val="24"/>
                <w:lang w:val="ro-MD"/>
              </w:rPr>
              <w:t xml:space="preserve">2.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Condiţiile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ce au impus elaborarea proiectului de act normativ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şi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finalităţile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urmărite</w:t>
            </w:r>
          </w:p>
        </w:tc>
      </w:tr>
      <w:tr w:rsidR="00772EC6" w:rsidRPr="009361B9" w14:paraId="0E8C2072" w14:textId="77777777" w:rsidTr="00204810">
        <w:trPr>
          <w:trHeight w:val="431"/>
        </w:trPr>
        <w:tc>
          <w:tcPr>
            <w:tcW w:w="5000" w:type="pct"/>
          </w:tcPr>
          <w:p w14:paraId="4BE0EA5F" w14:textId="3230FD63" w:rsidR="00772EC6" w:rsidRPr="002164A6" w:rsidRDefault="00772EC6" w:rsidP="00772EC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i/>
                <w:sz w:val="24"/>
                <w:szCs w:val="24"/>
                <w:highlight w:val="lightGray"/>
              </w:rPr>
            </w:pPr>
            <w:r w:rsidRPr="002164A6">
              <w:rPr>
                <w:b/>
                <w:sz w:val="24"/>
                <w:szCs w:val="24"/>
              </w:rPr>
              <w:t>2.1. Temeiul legal sau, după caz, sursa proiectului actului normativ</w:t>
            </w:r>
          </w:p>
        </w:tc>
      </w:tr>
      <w:tr w:rsidR="008D6564" w:rsidRPr="009361B9" w14:paraId="1FA8C94A" w14:textId="77777777" w:rsidTr="00285849">
        <w:trPr>
          <w:trHeight w:val="623"/>
        </w:trPr>
        <w:tc>
          <w:tcPr>
            <w:tcW w:w="5000" w:type="pct"/>
          </w:tcPr>
          <w:p w14:paraId="79E6A083" w14:textId="7F94EB79" w:rsidR="008D6564" w:rsidRPr="00F73180" w:rsidRDefault="00F73180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F73180">
              <w:rPr>
                <w:sz w:val="24"/>
                <w:szCs w:val="24"/>
              </w:rPr>
              <w:t xml:space="preserve">Proiectul </w:t>
            </w:r>
            <w:proofErr w:type="spellStart"/>
            <w:r w:rsidRPr="00F73180">
              <w:rPr>
                <w:sz w:val="24"/>
                <w:szCs w:val="24"/>
              </w:rPr>
              <w:t>menţionat</w:t>
            </w:r>
            <w:proofErr w:type="spellEnd"/>
            <w:r w:rsidRPr="00F73180">
              <w:rPr>
                <w:sz w:val="24"/>
                <w:szCs w:val="24"/>
              </w:rPr>
              <w:t xml:space="preserve"> este elaborat în temeiul </w:t>
            </w:r>
            <w:proofErr w:type="spellStart"/>
            <w:r w:rsidRPr="00F73180">
              <w:rPr>
                <w:sz w:val="24"/>
                <w:szCs w:val="24"/>
              </w:rPr>
              <w:t>art</w:t>
            </w:r>
            <w:r w:rsidRPr="00F73180">
              <w:rPr>
                <w:sz w:val="24"/>
                <w:szCs w:val="24"/>
                <w:lang w:val="ro-MD"/>
              </w:rPr>
              <w:t>icolelor</w:t>
            </w:r>
            <w:proofErr w:type="spellEnd"/>
            <w:r w:rsidRPr="00F73180">
              <w:rPr>
                <w:sz w:val="24"/>
                <w:szCs w:val="24"/>
                <w:lang w:val="ro-MD"/>
              </w:rPr>
              <w:t xml:space="preserve"> </w:t>
            </w:r>
            <w:r w:rsidRPr="00F73180">
              <w:rPr>
                <w:sz w:val="24"/>
                <w:szCs w:val="24"/>
              </w:rPr>
              <w:t xml:space="preserve">47 și 72 din  Legea  </w:t>
            </w:r>
            <w:proofErr w:type="spellStart"/>
            <w:r w:rsidRPr="00F73180">
              <w:rPr>
                <w:sz w:val="24"/>
                <w:szCs w:val="24"/>
              </w:rPr>
              <w:t>finanţelor</w:t>
            </w:r>
            <w:proofErr w:type="spellEnd"/>
            <w:r w:rsidRPr="00F73180">
              <w:rPr>
                <w:sz w:val="24"/>
                <w:szCs w:val="24"/>
              </w:rPr>
              <w:t xml:space="preserve"> publice </w:t>
            </w:r>
            <w:proofErr w:type="spellStart"/>
            <w:r w:rsidRPr="00F73180">
              <w:rPr>
                <w:sz w:val="24"/>
                <w:szCs w:val="24"/>
              </w:rPr>
              <w:t>şi</w:t>
            </w:r>
            <w:proofErr w:type="spellEnd"/>
            <w:r w:rsidRPr="00F73180">
              <w:rPr>
                <w:sz w:val="24"/>
                <w:szCs w:val="24"/>
              </w:rPr>
              <w:t xml:space="preserve"> </w:t>
            </w:r>
            <w:proofErr w:type="spellStart"/>
            <w:r w:rsidRPr="00F73180">
              <w:rPr>
                <w:sz w:val="24"/>
                <w:szCs w:val="24"/>
              </w:rPr>
              <w:t>responsabilităţii</w:t>
            </w:r>
            <w:proofErr w:type="spellEnd"/>
            <w:r w:rsidRPr="00F73180">
              <w:rPr>
                <w:sz w:val="24"/>
                <w:szCs w:val="24"/>
              </w:rPr>
              <w:t xml:space="preserve"> bugetar – fiscale nr. 181/2014.</w:t>
            </w:r>
          </w:p>
        </w:tc>
      </w:tr>
      <w:tr w:rsidR="00772EC6" w:rsidRPr="009361B9" w14:paraId="11E8BF94" w14:textId="77777777" w:rsidTr="00285849">
        <w:trPr>
          <w:trHeight w:val="623"/>
        </w:trPr>
        <w:tc>
          <w:tcPr>
            <w:tcW w:w="5000" w:type="pct"/>
          </w:tcPr>
          <w:p w14:paraId="641843AA" w14:textId="00900A09" w:rsidR="00772EC6" w:rsidRPr="002164A6" w:rsidRDefault="00772EC6" w:rsidP="0016376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2164A6">
              <w:rPr>
                <w:b/>
                <w:sz w:val="24"/>
                <w:szCs w:val="24"/>
              </w:rPr>
              <w:t>2.2</w:t>
            </w:r>
            <w:r w:rsidR="00146DC6">
              <w:rPr>
                <w:b/>
                <w:sz w:val="24"/>
                <w:szCs w:val="24"/>
              </w:rPr>
              <w:t>.</w:t>
            </w:r>
            <w:r w:rsidRPr="002164A6">
              <w:rPr>
                <w:b/>
                <w:sz w:val="24"/>
                <w:szCs w:val="24"/>
              </w:rPr>
              <w:t xml:space="preserve"> Descrierea situației actuale și a problemelor care impun intervenția, inclusiv a cadrului normativ aplicabil și a deficienților/lacunelor normative</w:t>
            </w:r>
          </w:p>
        </w:tc>
      </w:tr>
      <w:tr w:rsidR="00900A94" w:rsidRPr="009361B9" w14:paraId="0A5149AF" w14:textId="77777777" w:rsidTr="00EF110F">
        <w:trPr>
          <w:trHeight w:val="2881"/>
        </w:trPr>
        <w:tc>
          <w:tcPr>
            <w:tcW w:w="5000" w:type="pct"/>
          </w:tcPr>
          <w:p w14:paraId="1E95EAA5" w14:textId="04FE2553" w:rsidR="003171CF" w:rsidRPr="00A92266" w:rsidRDefault="003171CF" w:rsidP="005D1D81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Î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n Raport</w:t>
            </w:r>
            <w:r w:rsidR="000F6B1B">
              <w:rPr>
                <w:rFonts w:cs="Times New Roman"/>
                <w:color w:val="000000"/>
                <w:sz w:val="24"/>
                <w:szCs w:val="24"/>
              </w:rPr>
              <w:t xml:space="preserve">ul </w:t>
            </w:r>
            <w:r w:rsidR="000F6B1B">
              <w:rPr>
                <w:rFonts w:cs="Times New Roman"/>
                <w:color w:val="000000"/>
                <w:sz w:val="24"/>
                <w:szCs w:val="24"/>
                <w:lang w:val="ro-MD"/>
              </w:rPr>
              <w:t>semianual privind executarea bugetului public național și a componentelor acestuia pe anul 2024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sunt expuse datele privind executarea veniturilor în sumă de </w:t>
            </w:r>
            <w:r>
              <w:rPr>
                <w:rFonts w:cs="Times New Roman"/>
                <w:color w:val="000000"/>
                <w:sz w:val="24"/>
                <w:szCs w:val="24"/>
              </w:rPr>
              <w:t>52 178,9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mil.lei, cheltuielilor în sumă de </w:t>
            </w:r>
            <w:r>
              <w:rPr>
                <w:rFonts w:cs="Times New Roman"/>
                <w:color w:val="000000"/>
                <w:sz w:val="24"/>
                <w:szCs w:val="24"/>
              </w:rPr>
              <w:t>57</w:t>
            </w:r>
            <w:r>
              <w:rPr>
                <w:rFonts w:cs="Times New Roman"/>
                <w:color w:val="000000"/>
                <w:sz w:val="24"/>
                <w:szCs w:val="24"/>
                <w:lang w:val="ro-MD"/>
              </w:rPr>
              <w:t> 706,9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mil. lei, cu un deficit în sumă de </w:t>
            </w:r>
            <w:r>
              <w:rPr>
                <w:rFonts w:cs="Times New Roman"/>
                <w:color w:val="000000"/>
                <w:sz w:val="24"/>
                <w:szCs w:val="24"/>
              </w:rPr>
              <w:t>5 528,0</w:t>
            </w:r>
            <w:r w:rsidR="000F6B1B">
              <w:rPr>
                <w:rFonts w:cs="Times New Roman"/>
                <w:color w:val="000000"/>
                <w:sz w:val="24"/>
                <w:szCs w:val="24"/>
              </w:rPr>
              <w:t xml:space="preserve"> mil.lei.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78578152" w14:textId="3A180785" w:rsidR="003171CF" w:rsidRPr="00A92266" w:rsidRDefault="003171CF" w:rsidP="005D1D81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>Raportul conține o informație mai detaliată privi</w:t>
            </w:r>
            <w:r w:rsidR="00826F6F">
              <w:rPr>
                <w:rFonts w:cs="Times New Roman"/>
                <w:color w:val="000000"/>
                <w:sz w:val="24"/>
                <w:szCs w:val="24"/>
              </w:rPr>
              <w:t>nd executarea bugetului de stat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, inclusiv venituri, cheltuieli, sold bugetar </w:t>
            </w:r>
            <w:proofErr w:type="spellStart"/>
            <w:r w:rsidRPr="00A92266">
              <w:rPr>
                <w:rFonts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surse de </w:t>
            </w:r>
            <w:proofErr w:type="spellStart"/>
            <w:r w:rsidRPr="00A92266">
              <w:rPr>
                <w:rFonts w:cs="Times New Roman"/>
                <w:color w:val="000000"/>
                <w:sz w:val="24"/>
                <w:szCs w:val="24"/>
              </w:rPr>
              <w:t>finanţare</w:t>
            </w:r>
            <w:proofErr w:type="spellEnd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a soldului bugetar, </w:t>
            </w:r>
            <w:bookmarkStart w:id="0" w:name="_Toc464892981"/>
            <w:bookmarkStart w:id="1" w:name="_Toc16062599"/>
            <w:r w:rsidRPr="00A92266">
              <w:rPr>
                <w:rFonts w:cs="Times New Roman"/>
                <w:color w:val="000000"/>
                <w:sz w:val="24"/>
                <w:szCs w:val="24"/>
              </w:rPr>
              <w:t>soldurile mijloacelor bănești în conturile bugetului de stat, precum și evoluții în domeniul datoriei de stat și altor angajamente condiționate în semestrul I 202</w:t>
            </w:r>
            <w:bookmarkEnd w:id="0"/>
            <w:bookmarkEnd w:id="1"/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6785927A" w14:textId="50092EA2" w:rsidR="00900A94" w:rsidRPr="002A4896" w:rsidRDefault="003171CF" w:rsidP="005D1D81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sz w:val="24"/>
                <w:szCs w:val="24"/>
                <w:lang w:val="en-GB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De asemenea, raportul conține un capitol privind </w:t>
            </w:r>
            <w:bookmarkStart w:id="2" w:name="_Toc16062600"/>
            <w:r w:rsidRPr="00A92266">
              <w:rPr>
                <w:rFonts w:cs="Times New Roman"/>
                <w:color w:val="000000"/>
                <w:sz w:val="24"/>
                <w:szCs w:val="24"/>
              </w:rPr>
              <w:t>perspectivele executării bugetului public național până la finele anului</w:t>
            </w:r>
            <w:bookmarkEnd w:id="2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6564" w:rsidRPr="009361B9" w14:paraId="6960D132" w14:textId="77777777" w:rsidTr="00204810">
        <w:trPr>
          <w:trHeight w:val="481"/>
        </w:trPr>
        <w:tc>
          <w:tcPr>
            <w:tcW w:w="5000" w:type="pct"/>
            <w:shd w:val="clear" w:color="auto" w:fill="EDEDED" w:themeFill="accent3" w:themeFillTint="33"/>
          </w:tcPr>
          <w:p w14:paraId="293ECD90" w14:textId="6D8AFBA1" w:rsidR="008D6564" w:rsidRPr="002B4205" w:rsidRDefault="008D6564" w:rsidP="007D574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2B4205">
              <w:rPr>
                <w:b/>
                <w:sz w:val="24"/>
                <w:szCs w:val="24"/>
                <w:lang w:val="ro-MD"/>
              </w:rPr>
              <w:t xml:space="preserve">3. </w:t>
            </w:r>
            <w:r w:rsidR="007D574C" w:rsidRPr="002B4205">
              <w:rPr>
                <w:b/>
                <w:sz w:val="24"/>
                <w:szCs w:val="24"/>
                <w:lang w:val="ro-MD"/>
              </w:rPr>
              <w:t>Obiectivele urmărite și soluțiile propuse</w:t>
            </w:r>
          </w:p>
        </w:tc>
      </w:tr>
      <w:tr w:rsidR="008D6564" w:rsidRPr="009361B9" w14:paraId="2013A388" w14:textId="77777777" w:rsidTr="00285849">
        <w:trPr>
          <w:trHeight w:val="413"/>
        </w:trPr>
        <w:tc>
          <w:tcPr>
            <w:tcW w:w="5000" w:type="pct"/>
          </w:tcPr>
          <w:p w14:paraId="42465ABC" w14:textId="232DDD21" w:rsidR="008D6564" w:rsidRPr="00772EC6" w:rsidRDefault="00D12D87" w:rsidP="00E75102">
            <w:pPr>
              <w:tabs>
                <w:tab w:val="left" w:pos="37"/>
              </w:tabs>
              <w:spacing w:after="0" w:line="276" w:lineRule="auto"/>
              <w:ind w:left="37"/>
              <w:jc w:val="both"/>
              <w:rPr>
                <w:sz w:val="24"/>
                <w:szCs w:val="24"/>
                <w:lang w:val="en-GB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Scopul </w:t>
            </w:r>
            <w:r w:rsidR="009A7C8E">
              <w:rPr>
                <w:rFonts w:cs="Times New Roman"/>
                <w:color w:val="000000"/>
                <w:sz w:val="24"/>
                <w:szCs w:val="24"/>
              </w:rPr>
              <w:t xml:space="preserve">proiectului de </w:t>
            </w:r>
            <w:proofErr w:type="spellStart"/>
            <w:r w:rsidR="009A7C8E">
              <w:rPr>
                <w:rFonts w:cs="Times New Roman"/>
                <w:color w:val="000000"/>
                <w:sz w:val="24"/>
                <w:szCs w:val="24"/>
              </w:rPr>
              <w:t>hotăr</w:t>
            </w:r>
            <w:proofErr w:type="spellEnd"/>
            <w:r w:rsidR="009A7C8E">
              <w:rPr>
                <w:rFonts w:cs="Times New Roman"/>
                <w:color w:val="000000"/>
                <w:sz w:val="24"/>
                <w:szCs w:val="24"/>
                <w:lang w:val="ro-MD"/>
              </w:rPr>
              <w:t>â</w:t>
            </w:r>
            <w:r>
              <w:rPr>
                <w:rFonts w:cs="Times New Roman"/>
                <w:color w:val="000000"/>
                <w:sz w:val="24"/>
                <w:szCs w:val="24"/>
              </w:rPr>
              <w:t>re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constă în informarea Parlamentului asupra mersului executării bugetului public național în primele 6 luni ale anului curent</w:t>
            </w:r>
            <w:r w:rsidR="007A3CAF">
              <w:rPr>
                <w:rFonts w:cs="Times New Roman"/>
                <w:color w:val="000000"/>
                <w:sz w:val="24"/>
                <w:szCs w:val="24"/>
              </w:rPr>
              <w:t xml:space="preserve"> și perspectivele executării până la finele anului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D6564" w:rsidRPr="009361B9" w14:paraId="2FBB376C" w14:textId="77777777" w:rsidTr="00F31E96">
        <w:trPr>
          <w:trHeight w:val="393"/>
        </w:trPr>
        <w:tc>
          <w:tcPr>
            <w:tcW w:w="5000" w:type="pct"/>
            <w:shd w:val="clear" w:color="auto" w:fill="EDEDED" w:themeFill="accent3" w:themeFillTint="33"/>
          </w:tcPr>
          <w:p w14:paraId="2C756BF4" w14:textId="7CA4548D" w:rsidR="008D6564" w:rsidRPr="00EA68BB" w:rsidRDefault="008D6564" w:rsidP="003B27A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EA68BB">
              <w:rPr>
                <w:b/>
                <w:sz w:val="24"/>
                <w:szCs w:val="24"/>
                <w:lang w:val="ro-MD"/>
              </w:rPr>
              <w:t xml:space="preserve">4. </w:t>
            </w:r>
            <w:r w:rsidR="003B27AB" w:rsidRPr="00EA68BB">
              <w:rPr>
                <w:b/>
                <w:sz w:val="24"/>
                <w:szCs w:val="24"/>
                <w:lang w:val="ro-MD"/>
              </w:rPr>
              <w:t>Analiza impactului de reglementare</w:t>
            </w:r>
          </w:p>
        </w:tc>
      </w:tr>
      <w:tr w:rsidR="008D6564" w:rsidRPr="009361B9" w14:paraId="7E9C5DCB" w14:textId="77777777" w:rsidTr="00772EC6">
        <w:trPr>
          <w:trHeight w:val="337"/>
        </w:trPr>
        <w:tc>
          <w:tcPr>
            <w:tcW w:w="5000" w:type="pct"/>
          </w:tcPr>
          <w:p w14:paraId="3C4A0486" w14:textId="30DD9B7D" w:rsidR="008D6564" w:rsidRPr="00752287" w:rsidRDefault="00752287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752287">
              <w:rPr>
                <w:rFonts w:cs="Times New Roman"/>
                <w:b/>
                <w:color w:val="000000"/>
                <w:sz w:val="24"/>
                <w:szCs w:val="24"/>
              </w:rPr>
              <w:t>4.1</w:t>
            </w:r>
            <w:r w:rsidR="00146DC6">
              <w:rPr>
                <w:rFonts w:cs="Times New Roman"/>
                <w:b/>
                <w:color w:val="000000"/>
                <w:sz w:val="24"/>
                <w:szCs w:val="24"/>
              </w:rPr>
              <w:t>.</w:t>
            </w:r>
            <w:r w:rsidRPr="00752287">
              <w:rPr>
                <w:rFonts w:cs="Times New Roman"/>
                <w:b/>
                <w:color w:val="000000"/>
                <w:sz w:val="24"/>
                <w:szCs w:val="24"/>
              </w:rPr>
              <w:t xml:space="preserve"> Impactul asupra sectorului public</w:t>
            </w:r>
          </w:p>
        </w:tc>
      </w:tr>
      <w:tr w:rsidR="00EA68BB" w:rsidRPr="009361B9" w14:paraId="691652F0" w14:textId="77777777" w:rsidTr="00772EC6">
        <w:trPr>
          <w:trHeight w:val="337"/>
        </w:trPr>
        <w:tc>
          <w:tcPr>
            <w:tcW w:w="5000" w:type="pct"/>
          </w:tcPr>
          <w:p w14:paraId="0BFFA2D4" w14:textId="5F798925" w:rsidR="00EA68BB" w:rsidRPr="00B36231" w:rsidRDefault="00146DC6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</w:p>
        </w:tc>
      </w:tr>
      <w:tr w:rsidR="00EA68BB" w:rsidRPr="009361B9" w14:paraId="4DB32947" w14:textId="77777777" w:rsidTr="00772EC6">
        <w:trPr>
          <w:trHeight w:val="337"/>
        </w:trPr>
        <w:tc>
          <w:tcPr>
            <w:tcW w:w="5000" w:type="pct"/>
          </w:tcPr>
          <w:p w14:paraId="6AEAD325" w14:textId="65926FB2" w:rsidR="00EA68BB" w:rsidRPr="00146DC6" w:rsidRDefault="00146DC6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146DC6">
              <w:rPr>
                <w:rFonts w:cs="Times New Roman"/>
                <w:b/>
                <w:color w:val="000000"/>
                <w:sz w:val="24"/>
                <w:szCs w:val="24"/>
              </w:rPr>
              <w:t>4.2. Impactul financiar și argumentarea costurilor estimative</w:t>
            </w:r>
          </w:p>
        </w:tc>
      </w:tr>
      <w:tr w:rsidR="00EA68BB" w:rsidRPr="009361B9" w14:paraId="1486CB69" w14:textId="77777777" w:rsidTr="00772EC6">
        <w:trPr>
          <w:trHeight w:val="337"/>
        </w:trPr>
        <w:tc>
          <w:tcPr>
            <w:tcW w:w="5000" w:type="pct"/>
          </w:tcPr>
          <w:p w14:paraId="4DAA2CD5" w14:textId="590B8CA9" w:rsidR="00EA68BB" w:rsidRPr="00B36231" w:rsidRDefault="00392CEB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o-MD"/>
              </w:rPr>
              <w:t>Aprobarea proiectului nu va necesita cheltuieli financiare din bugetul de stat.</w:t>
            </w:r>
          </w:p>
        </w:tc>
      </w:tr>
      <w:tr w:rsidR="00EA68BB" w:rsidRPr="009361B9" w14:paraId="1B9D69C7" w14:textId="77777777" w:rsidTr="00772EC6">
        <w:trPr>
          <w:trHeight w:val="337"/>
        </w:trPr>
        <w:tc>
          <w:tcPr>
            <w:tcW w:w="5000" w:type="pct"/>
          </w:tcPr>
          <w:p w14:paraId="7BCDA770" w14:textId="489CC2A3" w:rsidR="00EA68BB" w:rsidRPr="00DA1293" w:rsidRDefault="00255C09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A1293">
              <w:rPr>
                <w:rFonts w:cs="Times New Roman"/>
                <w:b/>
                <w:color w:val="000000"/>
                <w:sz w:val="24"/>
                <w:szCs w:val="24"/>
              </w:rPr>
              <w:t xml:space="preserve">4.3. Impactul asupra </w:t>
            </w:r>
            <w:proofErr w:type="spellStart"/>
            <w:r w:rsidRPr="00DA1293">
              <w:rPr>
                <w:rFonts w:cs="Times New Roman"/>
                <w:b/>
                <w:color w:val="000000"/>
                <w:sz w:val="24"/>
                <w:szCs w:val="24"/>
              </w:rPr>
              <w:t>asupra</w:t>
            </w:r>
            <w:proofErr w:type="spellEnd"/>
            <w:r w:rsidRPr="00DA1293">
              <w:rPr>
                <w:rFonts w:cs="Times New Roman"/>
                <w:b/>
                <w:color w:val="000000"/>
                <w:sz w:val="24"/>
                <w:szCs w:val="24"/>
              </w:rPr>
              <w:t xml:space="preserve"> sectorului privat</w:t>
            </w:r>
          </w:p>
        </w:tc>
      </w:tr>
      <w:tr w:rsidR="00EA68BB" w:rsidRPr="009361B9" w14:paraId="5A7853AE" w14:textId="77777777" w:rsidTr="00772EC6">
        <w:trPr>
          <w:trHeight w:val="337"/>
        </w:trPr>
        <w:tc>
          <w:tcPr>
            <w:tcW w:w="5000" w:type="pct"/>
          </w:tcPr>
          <w:p w14:paraId="06FE07A7" w14:textId="05847A41" w:rsidR="00EA68BB" w:rsidRPr="00B36231" w:rsidRDefault="00DA1293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</w:p>
        </w:tc>
      </w:tr>
      <w:tr w:rsidR="00DA1293" w:rsidRPr="009361B9" w14:paraId="60FA8BB9" w14:textId="77777777" w:rsidTr="00772EC6">
        <w:trPr>
          <w:trHeight w:val="337"/>
        </w:trPr>
        <w:tc>
          <w:tcPr>
            <w:tcW w:w="5000" w:type="pct"/>
          </w:tcPr>
          <w:p w14:paraId="27116273" w14:textId="5130FB06" w:rsidR="00DA1293" w:rsidRPr="001F34EC" w:rsidRDefault="004A521E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1F34EC">
              <w:rPr>
                <w:rFonts w:cs="Times New Roman"/>
                <w:b/>
                <w:color w:val="000000"/>
                <w:sz w:val="24"/>
                <w:szCs w:val="24"/>
              </w:rPr>
              <w:t>4.4. Impactul social</w:t>
            </w:r>
          </w:p>
        </w:tc>
      </w:tr>
      <w:tr w:rsidR="00DA1293" w:rsidRPr="009361B9" w14:paraId="323C7F7E" w14:textId="77777777" w:rsidTr="00772EC6">
        <w:trPr>
          <w:trHeight w:val="337"/>
        </w:trPr>
        <w:tc>
          <w:tcPr>
            <w:tcW w:w="5000" w:type="pct"/>
          </w:tcPr>
          <w:p w14:paraId="3728C5E4" w14:textId="6D96516E" w:rsidR="00DA1293" w:rsidRPr="00B36231" w:rsidRDefault="001F34EC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</w:p>
        </w:tc>
      </w:tr>
      <w:tr w:rsidR="00DA1293" w:rsidRPr="009361B9" w14:paraId="6ACD6EED" w14:textId="77777777" w:rsidTr="00772EC6">
        <w:trPr>
          <w:trHeight w:val="337"/>
        </w:trPr>
        <w:tc>
          <w:tcPr>
            <w:tcW w:w="5000" w:type="pct"/>
          </w:tcPr>
          <w:p w14:paraId="0437C6AC" w14:textId="4DB2DF31" w:rsidR="00DA1293" w:rsidRPr="00A513E4" w:rsidRDefault="00A513E4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A513E4">
              <w:rPr>
                <w:rFonts w:cs="Times New Roman"/>
                <w:b/>
                <w:color w:val="000000"/>
                <w:sz w:val="24"/>
                <w:szCs w:val="24"/>
              </w:rPr>
              <w:t>4.5. Impactul asupra mediului</w:t>
            </w:r>
          </w:p>
        </w:tc>
      </w:tr>
      <w:tr w:rsidR="00A513E4" w:rsidRPr="009361B9" w14:paraId="544684B2" w14:textId="77777777" w:rsidTr="00772EC6">
        <w:trPr>
          <w:trHeight w:val="337"/>
        </w:trPr>
        <w:tc>
          <w:tcPr>
            <w:tcW w:w="5000" w:type="pct"/>
          </w:tcPr>
          <w:p w14:paraId="5DDBCCA3" w14:textId="62DD9A5F" w:rsidR="00A513E4" w:rsidRPr="00B36231" w:rsidRDefault="00F723F2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</w:p>
        </w:tc>
      </w:tr>
      <w:tr w:rsidR="00A513E4" w:rsidRPr="009361B9" w14:paraId="0E52C5EB" w14:textId="77777777" w:rsidTr="00772EC6">
        <w:trPr>
          <w:trHeight w:val="337"/>
        </w:trPr>
        <w:tc>
          <w:tcPr>
            <w:tcW w:w="5000" w:type="pct"/>
          </w:tcPr>
          <w:p w14:paraId="0F2B61C7" w14:textId="620061E7" w:rsidR="00A513E4" w:rsidRPr="00B36231" w:rsidRDefault="00A513E4" w:rsidP="00A513E4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13E4">
              <w:rPr>
                <w:rFonts w:cs="Times New Roman"/>
                <w:b/>
                <w:color w:val="000000"/>
                <w:sz w:val="24"/>
                <w:szCs w:val="24"/>
              </w:rPr>
              <w:t xml:space="preserve">4.5.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Alte impacturi și informații relevante</w:t>
            </w:r>
          </w:p>
        </w:tc>
      </w:tr>
      <w:tr w:rsidR="00A513E4" w:rsidRPr="009361B9" w14:paraId="14D919F8" w14:textId="77777777" w:rsidTr="00772EC6">
        <w:trPr>
          <w:trHeight w:val="337"/>
        </w:trPr>
        <w:tc>
          <w:tcPr>
            <w:tcW w:w="5000" w:type="pct"/>
          </w:tcPr>
          <w:p w14:paraId="702349F4" w14:textId="3EDB88E2" w:rsidR="00A513E4" w:rsidRPr="00B36231" w:rsidRDefault="00324088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</w:p>
        </w:tc>
      </w:tr>
      <w:tr w:rsidR="008D6564" w:rsidRPr="009361B9" w14:paraId="2A410944" w14:textId="77777777" w:rsidTr="006030AD">
        <w:trPr>
          <w:trHeight w:val="381"/>
        </w:trPr>
        <w:tc>
          <w:tcPr>
            <w:tcW w:w="5000" w:type="pct"/>
            <w:shd w:val="clear" w:color="auto" w:fill="EDEDED" w:themeFill="accent3" w:themeFillTint="33"/>
          </w:tcPr>
          <w:p w14:paraId="4FC74223" w14:textId="572C76FF" w:rsidR="008D6564" w:rsidRPr="00CC5D94" w:rsidRDefault="008D6564" w:rsidP="00BD62F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CC5D94">
              <w:rPr>
                <w:b/>
                <w:sz w:val="24"/>
                <w:szCs w:val="24"/>
                <w:lang w:val="ro-MD"/>
              </w:rPr>
              <w:t xml:space="preserve">5. </w:t>
            </w:r>
            <w:r w:rsidR="00BD62FB" w:rsidRPr="00CC5D94">
              <w:rPr>
                <w:b/>
                <w:sz w:val="24"/>
                <w:szCs w:val="24"/>
                <w:lang w:val="ro-MD"/>
              </w:rPr>
              <w:t>Compatibilitatea proiectului actului normativ cu legislația UE</w:t>
            </w:r>
          </w:p>
        </w:tc>
      </w:tr>
      <w:tr w:rsidR="008D6564" w:rsidRPr="009361B9" w14:paraId="4175A9ED" w14:textId="77777777" w:rsidTr="00EB1570">
        <w:trPr>
          <w:trHeight w:val="393"/>
        </w:trPr>
        <w:tc>
          <w:tcPr>
            <w:tcW w:w="5000" w:type="pct"/>
          </w:tcPr>
          <w:p w14:paraId="1C0D334C" w14:textId="56782532" w:rsidR="008D6564" w:rsidRPr="009361B9" w:rsidRDefault="00336D39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Proiectul nu are drept scop armonizarea legislației naționale cu legislația Uniunii Europene.</w:t>
            </w:r>
          </w:p>
        </w:tc>
      </w:tr>
      <w:tr w:rsidR="008D6564" w:rsidRPr="009361B9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5CEEBD32" w:rsidR="008D6564" w:rsidRPr="005D466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5D466A">
              <w:rPr>
                <w:b/>
                <w:sz w:val="24"/>
                <w:szCs w:val="24"/>
                <w:lang w:val="ro-MD"/>
              </w:rPr>
              <w:lastRenderedPageBreak/>
              <w:t xml:space="preserve">6. </w:t>
            </w:r>
            <w:r w:rsidR="0013158C" w:rsidRPr="005D466A">
              <w:rPr>
                <w:b/>
                <w:sz w:val="24"/>
                <w:szCs w:val="24"/>
                <w:lang w:val="ro-MD"/>
              </w:rPr>
              <w:t xml:space="preserve">Avizarea </w:t>
            </w:r>
            <w:proofErr w:type="spellStart"/>
            <w:r w:rsidR="0013158C" w:rsidRPr="005D466A">
              <w:rPr>
                <w:b/>
                <w:sz w:val="24"/>
                <w:szCs w:val="24"/>
                <w:lang w:val="ro-MD"/>
              </w:rPr>
              <w:t>şi</w:t>
            </w:r>
            <w:proofErr w:type="spellEnd"/>
            <w:r w:rsidR="0013158C" w:rsidRPr="005D466A">
              <w:rPr>
                <w:b/>
                <w:sz w:val="24"/>
                <w:szCs w:val="24"/>
                <w:lang w:val="ro-MD"/>
              </w:rPr>
              <w:t xml:space="preserve"> consultarea publică a proiectului actului normativ</w:t>
            </w:r>
          </w:p>
        </w:tc>
      </w:tr>
      <w:tr w:rsidR="008D6564" w:rsidRPr="009361B9" w14:paraId="58FA24F6" w14:textId="77777777" w:rsidTr="00EB1570">
        <w:trPr>
          <w:trHeight w:val="628"/>
        </w:trPr>
        <w:tc>
          <w:tcPr>
            <w:tcW w:w="5000" w:type="pct"/>
          </w:tcPr>
          <w:p w14:paraId="5E360211" w14:textId="10AD728D" w:rsidR="008D6564" w:rsidRPr="002935A1" w:rsidRDefault="00027652" w:rsidP="009D1F30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În scopul respectării prevederilor Legii nr.239/2008 privind transparența în procesul decizional, proiectul Hotărârii Guvernului însoțit de nota informativă, Raportul semianual privind executarea bugetului public național și a componentelor acestuia pe anul 2024 și formularele vor fi plasate pe pagina web oficială a Ministerului Finanțelor </w:t>
            </w:r>
            <w:hyperlink r:id="rId5" w:history="1">
              <w:r w:rsidRPr="00BB74D5">
                <w:rPr>
                  <w:rStyle w:val="a5"/>
                  <w:sz w:val="24"/>
                  <w:szCs w:val="24"/>
                  <w:lang w:val="ro-MD"/>
                </w:rPr>
                <w:t>www.mf.gov.md</w:t>
              </w:r>
            </w:hyperlink>
            <w:r>
              <w:rPr>
                <w:sz w:val="24"/>
                <w:szCs w:val="24"/>
                <w:lang w:val="ro-MD"/>
              </w:rPr>
              <w:t xml:space="preserve">, compartimentul Transparența decizională, Procesul decizional, precum și pe </w:t>
            </w:r>
            <w:hyperlink r:id="rId6" w:history="1">
              <w:r w:rsidRPr="00BB74D5">
                <w:rPr>
                  <w:rStyle w:val="a5"/>
                  <w:sz w:val="24"/>
                  <w:szCs w:val="24"/>
                  <w:lang w:val="ro-MD"/>
                </w:rPr>
                <w:t>www.particip.gov.md</w:t>
              </w:r>
            </w:hyperlink>
            <w:r>
              <w:rPr>
                <w:sz w:val="24"/>
                <w:szCs w:val="24"/>
                <w:lang w:val="ro-MD"/>
              </w:rPr>
              <w:t xml:space="preserve">.  </w:t>
            </w:r>
          </w:p>
        </w:tc>
      </w:tr>
      <w:tr w:rsidR="008D6564" w:rsidRPr="009361B9" w14:paraId="42B5BD03" w14:textId="77777777" w:rsidTr="006030AD">
        <w:trPr>
          <w:trHeight w:val="311"/>
        </w:trPr>
        <w:tc>
          <w:tcPr>
            <w:tcW w:w="5000" w:type="pct"/>
            <w:shd w:val="clear" w:color="auto" w:fill="EDEDED" w:themeFill="accent3" w:themeFillTint="33"/>
          </w:tcPr>
          <w:p w14:paraId="0F68CE0F" w14:textId="5E7EE459" w:rsidR="008D6564" w:rsidRPr="001C4B8A" w:rsidRDefault="008D6564" w:rsidP="0013158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1C4B8A">
              <w:rPr>
                <w:b/>
                <w:sz w:val="24"/>
                <w:szCs w:val="24"/>
                <w:lang w:val="ro-MD"/>
              </w:rPr>
              <w:t xml:space="preserve">7. </w:t>
            </w:r>
            <w:r w:rsidR="005B3667" w:rsidRPr="001C4B8A">
              <w:rPr>
                <w:b/>
                <w:sz w:val="24"/>
                <w:szCs w:val="24"/>
                <w:lang w:val="ro-MD"/>
              </w:rPr>
              <w:t>Concluziile experților</w:t>
            </w:r>
          </w:p>
        </w:tc>
      </w:tr>
      <w:tr w:rsidR="008D6564" w:rsidRPr="009361B9" w14:paraId="77FD8356" w14:textId="77777777" w:rsidTr="009831F3">
        <w:trPr>
          <w:trHeight w:val="429"/>
        </w:trPr>
        <w:tc>
          <w:tcPr>
            <w:tcW w:w="5000" w:type="pct"/>
          </w:tcPr>
          <w:p w14:paraId="5120F255" w14:textId="2C51DF51" w:rsidR="008D6564" w:rsidRPr="009361B9" w:rsidRDefault="00D935D2" w:rsidP="00912E2F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</w:p>
        </w:tc>
      </w:tr>
      <w:tr w:rsidR="008D6564" w:rsidRPr="009361B9" w14:paraId="68CEEF97" w14:textId="77777777" w:rsidTr="001D4402">
        <w:trPr>
          <w:trHeight w:val="447"/>
        </w:trPr>
        <w:tc>
          <w:tcPr>
            <w:tcW w:w="5000" w:type="pct"/>
            <w:shd w:val="clear" w:color="auto" w:fill="EDEDED" w:themeFill="accent3" w:themeFillTint="33"/>
          </w:tcPr>
          <w:p w14:paraId="53A47FFD" w14:textId="05611BBD" w:rsidR="008D6564" w:rsidRPr="00B0085A" w:rsidRDefault="008D6564" w:rsidP="00957EC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B0085A">
              <w:rPr>
                <w:b/>
                <w:sz w:val="24"/>
                <w:szCs w:val="24"/>
                <w:lang w:val="ro-MD"/>
              </w:rPr>
              <w:t xml:space="preserve">8. </w:t>
            </w:r>
            <w:r w:rsidR="00957ECF" w:rsidRPr="00B0085A">
              <w:rPr>
                <w:b/>
                <w:sz w:val="24"/>
                <w:szCs w:val="24"/>
                <w:lang w:val="ro-MD"/>
              </w:rPr>
              <w:t>Modul de încorporare a actului în cadrul normativ existent</w:t>
            </w:r>
          </w:p>
        </w:tc>
      </w:tr>
      <w:tr w:rsidR="008D6564" w:rsidRPr="009361B9" w14:paraId="1E5848B9" w14:textId="77777777" w:rsidTr="00BD0EC0">
        <w:trPr>
          <w:trHeight w:val="443"/>
        </w:trPr>
        <w:tc>
          <w:tcPr>
            <w:tcW w:w="5000" w:type="pct"/>
          </w:tcPr>
          <w:p w14:paraId="65CA5629" w14:textId="63CA2FFF" w:rsidR="008D6564" w:rsidRPr="009361B9" w:rsidRDefault="00B90BEC" w:rsidP="00EC3A10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Proiectul </w:t>
            </w:r>
            <w:r w:rsidR="00D935D2">
              <w:rPr>
                <w:sz w:val="24"/>
                <w:szCs w:val="24"/>
                <w:lang w:val="ro-MD"/>
              </w:rPr>
              <w:t>Hotărârii Guvernului corespunde prevederilor cadrului normativ în vigoare</w:t>
            </w:r>
            <w:r w:rsidR="00EC3A10">
              <w:rPr>
                <w:sz w:val="24"/>
                <w:szCs w:val="24"/>
                <w:lang w:val="ro-MD"/>
              </w:rPr>
              <w:t>.</w:t>
            </w:r>
          </w:p>
        </w:tc>
      </w:tr>
      <w:tr w:rsidR="008D6564" w:rsidRPr="009361B9" w14:paraId="363936FD" w14:textId="77777777" w:rsidTr="00C222A2">
        <w:trPr>
          <w:trHeight w:val="384"/>
        </w:trPr>
        <w:tc>
          <w:tcPr>
            <w:tcW w:w="5000" w:type="pct"/>
            <w:shd w:val="clear" w:color="auto" w:fill="EDEDED" w:themeFill="accent3" w:themeFillTint="33"/>
          </w:tcPr>
          <w:p w14:paraId="3BEAB547" w14:textId="7E2118BA" w:rsidR="008D6564" w:rsidRPr="009831F3" w:rsidRDefault="008D6564" w:rsidP="009831F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9831F3">
              <w:rPr>
                <w:b/>
                <w:sz w:val="24"/>
                <w:szCs w:val="24"/>
                <w:lang w:val="ro-MD"/>
              </w:rPr>
              <w:t xml:space="preserve">9. </w:t>
            </w:r>
            <w:r w:rsidR="009831F3" w:rsidRPr="009831F3">
              <w:rPr>
                <w:b/>
                <w:sz w:val="24"/>
                <w:szCs w:val="24"/>
                <w:lang w:val="ro-MD"/>
              </w:rPr>
              <w:t>Măsurile necesare pentru implementarea prevederilor proiectului actului normativ</w:t>
            </w:r>
          </w:p>
        </w:tc>
      </w:tr>
      <w:tr w:rsidR="008D6564" w:rsidRPr="009361B9" w14:paraId="20D42339" w14:textId="77777777" w:rsidTr="00EC3A10">
        <w:trPr>
          <w:trHeight w:val="502"/>
        </w:trPr>
        <w:tc>
          <w:tcPr>
            <w:tcW w:w="5000" w:type="pct"/>
          </w:tcPr>
          <w:p w14:paraId="4BFF6BB7" w14:textId="4888E18D" w:rsidR="008D6564" w:rsidRPr="009361B9" w:rsidRDefault="00EC3A10" w:rsidP="00EC3A10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</w:t>
            </w:r>
            <w:r w:rsidR="00B466F1">
              <w:rPr>
                <w:sz w:val="24"/>
                <w:szCs w:val="24"/>
                <w:lang w:val="ro-MD"/>
              </w:rPr>
              <w:t>roiectul</w:t>
            </w:r>
            <w:r w:rsidR="00664295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>H</w:t>
            </w:r>
            <w:r w:rsidR="00664295">
              <w:rPr>
                <w:sz w:val="24"/>
                <w:szCs w:val="24"/>
                <w:lang w:val="ro-MD"/>
              </w:rPr>
              <w:t>otărâr</w:t>
            </w:r>
            <w:r>
              <w:rPr>
                <w:sz w:val="24"/>
                <w:szCs w:val="24"/>
                <w:lang w:val="ro-MD"/>
              </w:rPr>
              <w:t>ii Guvernului</w:t>
            </w:r>
            <w:r w:rsidR="00664295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>nu necesită modificarea altor acte normative</w:t>
            </w:r>
            <w:r>
              <w:rPr>
                <w:sz w:val="24"/>
                <w:szCs w:val="24"/>
                <w:lang w:val="ro-MD"/>
              </w:rPr>
              <w:t xml:space="preserve">. </w:t>
            </w:r>
          </w:p>
        </w:tc>
      </w:tr>
    </w:tbl>
    <w:p w14:paraId="2079B7C6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both"/>
        <w:rPr>
          <w:bCs/>
          <w:sz w:val="24"/>
          <w:szCs w:val="24"/>
          <w:vertAlign w:val="superscript"/>
          <w:lang w:val="ro-MD"/>
        </w:rPr>
      </w:pPr>
    </w:p>
    <w:p w14:paraId="788BF633" w14:textId="5B5B5CEE" w:rsidR="008D6564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Cs/>
          <w:sz w:val="24"/>
          <w:szCs w:val="24"/>
          <w:lang w:val="ro-MD"/>
        </w:rPr>
      </w:pPr>
    </w:p>
    <w:p w14:paraId="07CC0332" w14:textId="77777777" w:rsidR="00863A6D" w:rsidRDefault="00F10335" w:rsidP="00F10335">
      <w:pPr>
        <w:ind w:firstLine="900"/>
        <w:jc w:val="both"/>
        <w:rPr>
          <w:szCs w:val="28"/>
        </w:rPr>
      </w:pPr>
      <w:r w:rsidRPr="00B11F00">
        <w:rPr>
          <w:szCs w:val="28"/>
        </w:rPr>
        <w:t xml:space="preserve">  </w:t>
      </w:r>
    </w:p>
    <w:p w14:paraId="69A55E94" w14:textId="77777777" w:rsidR="00863A6D" w:rsidRDefault="00863A6D" w:rsidP="00F10335">
      <w:pPr>
        <w:ind w:firstLine="900"/>
        <w:jc w:val="both"/>
        <w:rPr>
          <w:szCs w:val="28"/>
        </w:rPr>
      </w:pPr>
    </w:p>
    <w:p w14:paraId="10DD4904" w14:textId="14FCCD3B" w:rsidR="00F10335" w:rsidRPr="00B11F00" w:rsidRDefault="00F10335" w:rsidP="00F10335">
      <w:pPr>
        <w:ind w:firstLine="900"/>
        <w:jc w:val="both"/>
        <w:rPr>
          <w:b/>
          <w:szCs w:val="28"/>
        </w:rPr>
      </w:pPr>
      <w:r w:rsidRPr="00B11F00">
        <w:rPr>
          <w:szCs w:val="28"/>
        </w:rPr>
        <w:t xml:space="preserve">  </w:t>
      </w:r>
      <w:r w:rsidRPr="00B11F00">
        <w:rPr>
          <w:b/>
          <w:szCs w:val="28"/>
        </w:rPr>
        <w:t>Ministru</w:t>
      </w:r>
      <w:r w:rsidRPr="00B11F00">
        <w:rPr>
          <w:szCs w:val="28"/>
        </w:rPr>
        <w:tab/>
      </w:r>
      <w:r w:rsidRPr="00B11F00">
        <w:rPr>
          <w:szCs w:val="28"/>
        </w:rPr>
        <w:tab/>
      </w:r>
      <w:r w:rsidRPr="00B11F00">
        <w:rPr>
          <w:szCs w:val="28"/>
        </w:rPr>
        <w:tab/>
        <w:t xml:space="preserve">      </w:t>
      </w:r>
      <w:r w:rsidR="00EC3A10">
        <w:rPr>
          <w:szCs w:val="28"/>
        </w:rPr>
        <w:t xml:space="preserve">       </w:t>
      </w:r>
      <w:bookmarkStart w:id="3" w:name="_GoBack"/>
      <w:bookmarkEnd w:id="3"/>
      <w:r w:rsidRPr="00B11F00">
        <w:rPr>
          <w:szCs w:val="28"/>
        </w:rPr>
        <w:t xml:space="preserve">                 </w:t>
      </w:r>
      <w:r w:rsidR="00E3266A">
        <w:rPr>
          <w:b/>
          <w:szCs w:val="28"/>
        </w:rPr>
        <w:t>Victoria</w:t>
      </w:r>
      <w:r w:rsidRPr="00B11F00">
        <w:rPr>
          <w:b/>
          <w:szCs w:val="28"/>
        </w:rPr>
        <w:t xml:space="preserve"> </w:t>
      </w:r>
      <w:r w:rsidR="00E3266A">
        <w:rPr>
          <w:b/>
          <w:szCs w:val="28"/>
        </w:rPr>
        <w:t>BELOUS</w:t>
      </w:r>
    </w:p>
    <w:sectPr w:rsidR="00F10335" w:rsidRPr="00B11F00" w:rsidSect="00687A1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64"/>
    <w:rsid w:val="00027652"/>
    <w:rsid w:val="00047C95"/>
    <w:rsid w:val="00073EE4"/>
    <w:rsid w:val="00075A42"/>
    <w:rsid w:val="00094A2A"/>
    <w:rsid w:val="000A79C8"/>
    <w:rsid w:val="000E397F"/>
    <w:rsid w:val="000E531B"/>
    <w:rsid w:val="000F6B1B"/>
    <w:rsid w:val="0013158C"/>
    <w:rsid w:val="00146DC6"/>
    <w:rsid w:val="001636D5"/>
    <w:rsid w:val="0016376C"/>
    <w:rsid w:val="00190A3A"/>
    <w:rsid w:val="001B7217"/>
    <w:rsid w:val="001C4B8A"/>
    <w:rsid w:val="001D4402"/>
    <w:rsid w:val="001E6718"/>
    <w:rsid w:val="001F34EC"/>
    <w:rsid w:val="001F6FC3"/>
    <w:rsid w:val="00204810"/>
    <w:rsid w:val="0020794A"/>
    <w:rsid w:val="002164A6"/>
    <w:rsid w:val="00220323"/>
    <w:rsid w:val="00220375"/>
    <w:rsid w:val="00255C09"/>
    <w:rsid w:val="00285849"/>
    <w:rsid w:val="002935A1"/>
    <w:rsid w:val="002A4896"/>
    <w:rsid w:val="002B4205"/>
    <w:rsid w:val="002C7667"/>
    <w:rsid w:val="003171CF"/>
    <w:rsid w:val="00324088"/>
    <w:rsid w:val="003356EC"/>
    <w:rsid w:val="00336D39"/>
    <w:rsid w:val="00392CEB"/>
    <w:rsid w:val="00396488"/>
    <w:rsid w:val="003A2753"/>
    <w:rsid w:val="003B27AB"/>
    <w:rsid w:val="00475FC7"/>
    <w:rsid w:val="00487FF1"/>
    <w:rsid w:val="004A521E"/>
    <w:rsid w:val="004D3B28"/>
    <w:rsid w:val="004E3CB4"/>
    <w:rsid w:val="00560550"/>
    <w:rsid w:val="005B35D8"/>
    <w:rsid w:val="005B3667"/>
    <w:rsid w:val="005C31FA"/>
    <w:rsid w:val="005D1D81"/>
    <w:rsid w:val="005D466A"/>
    <w:rsid w:val="006030AD"/>
    <w:rsid w:val="0065354F"/>
    <w:rsid w:val="00664295"/>
    <w:rsid w:val="00680603"/>
    <w:rsid w:val="00683080"/>
    <w:rsid w:val="00687A1A"/>
    <w:rsid w:val="006A2EC1"/>
    <w:rsid w:val="006B0241"/>
    <w:rsid w:val="006B20CF"/>
    <w:rsid w:val="006C0B77"/>
    <w:rsid w:val="006D7842"/>
    <w:rsid w:val="006E7513"/>
    <w:rsid w:val="006F4F6D"/>
    <w:rsid w:val="00707DF1"/>
    <w:rsid w:val="0073091A"/>
    <w:rsid w:val="007347EC"/>
    <w:rsid w:val="00752287"/>
    <w:rsid w:val="00772EC6"/>
    <w:rsid w:val="00780E6F"/>
    <w:rsid w:val="007814A8"/>
    <w:rsid w:val="007A3CAF"/>
    <w:rsid w:val="007D2831"/>
    <w:rsid w:val="007D574C"/>
    <w:rsid w:val="007F02CB"/>
    <w:rsid w:val="008242FF"/>
    <w:rsid w:val="00826F6F"/>
    <w:rsid w:val="008379D1"/>
    <w:rsid w:val="00863A6D"/>
    <w:rsid w:val="00870751"/>
    <w:rsid w:val="008A7FEB"/>
    <w:rsid w:val="008C1250"/>
    <w:rsid w:val="008D6564"/>
    <w:rsid w:val="008E2C3D"/>
    <w:rsid w:val="008E457D"/>
    <w:rsid w:val="008F5684"/>
    <w:rsid w:val="00900A94"/>
    <w:rsid w:val="00912E2F"/>
    <w:rsid w:val="00922C48"/>
    <w:rsid w:val="00957ECF"/>
    <w:rsid w:val="00973478"/>
    <w:rsid w:val="009831F3"/>
    <w:rsid w:val="00987540"/>
    <w:rsid w:val="009A7C8E"/>
    <w:rsid w:val="009D1F30"/>
    <w:rsid w:val="009F1C49"/>
    <w:rsid w:val="009F2C8C"/>
    <w:rsid w:val="00A15971"/>
    <w:rsid w:val="00A259BA"/>
    <w:rsid w:val="00A513E4"/>
    <w:rsid w:val="00A5318B"/>
    <w:rsid w:val="00A57294"/>
    <w:rsid w:val="00A71688"/>
    <w:rsid w:val="00A8072A"/>
    <w:rsid w:val="00A85143"/>
    <w:rsid w:val="00A92266"/>
    <w:rsid w:val="00AB48BF"/>
    <w:rsid w:val="00AE26E0"/>
    <w:rsid w:val="00AE2DD2"/>
    <w:rsid w:val="00AE49F0"/>
    <w:rsid w:val="00B0085A"/>
    <w:rsid w:val="00B11F00"/>
    <w:rsid w:val="00B36231"/>
    <w:rsid w:val="00B466F1"/>
    <w:rsid w:val="00B90BEC"/>
    <w:rsid w:val="00B915B7"/>
    <w:rsid w:val="00BD0EC0"/>
    <w:rsid w:val="00BD62FB"/>
    <w:rsid w:val="00C222A2"/>
    <w:rsid w:val="00C24032"/>
    <w:rsid w:val="00C6115B"/>
    <w:rsid w:val="00C72C3E"/>
    <w:rsid w:val="00C939F3"/>
    <w:rsid w:val="00CC5D94"/>
    <w:rsid w:val="00CE574E"/>
    <w:rsid w:val="00D1242B"/>
    <w:rsid w:val="00D12D87"/>
    <w:rsid w:val="00D35C30"/>
    <w:rsid w:val="00D7626A"/>
    <w:rsid w:val="00D935D2"/>
    <w:rsid w:val="00D9378C"/>
    <w:rsid w:val="00DA1293"/>
    <w:rsid w:val="00E3266A"/>
    <w:rsid w:val="00E720BA"/>
    <w:rsid w:val="00E75102"/>
    <w:rsid w:val="00EA59DF"/>
    <w:rsid w:val="00EA68BB"/>
    <w:rsid w:val="00EB1570"/>
    <w:rsid w:val="00EB21A6"/>
    <w:rsid w:val="00EC3A10"/>
    <w:rsid w:val="00ED61E9"/>
    <w:rsid w:val="00EE4070"/>
    <w:rsid w:val="00EF110F"/>
    <w:rsid w:val="00EF2A83"/>
    <w:rsid w:val="00F10335"/>
    <w:rsid w:val="00F12C76"/>
    <w:rsid w:val="00F31E96"/>
    <w:rsid w:val="00F46755"/>
    <w:rsid w:val="00F626D6"/>
    <w:rsid w:val="00F723F2"/>
    <w:rsid w:val="00F73180"/>
    <w:rsid w:val="00F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1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46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Belaia, Diana</cp:lastModifiedBy>
  <cp:revision>138</cp:revision>
  <cp:lastPrinted>2024-09-04T10:44:00Z</cp:lastPrinted>
  <dcterms:created xsi:type="dcterms:W3CDTF">2023-08-28T11:00:00Z</dcterms:created>
  <dcterms:modified xsi:type="dcterms:W3CDTF">2024-09-04T12:34:00Z</dcterms:modified>
</cp:coreProperties>
</file>