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B7" w:rsidRDefault="000F21B7" w:rsidP="00D019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sz w:val="28"/>
          <w:szCs w:val="28"/>
          <w:lang w:val="ro-RO"/>
        </w:rPr>
      </w:pPr>
    </w:p>
    <w:p w:rsidR="000F21B7" w:rsidRDefault="000F21B7" w:rsidP="00D019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sz w:val="28"/>
          <w:szCs w:val="28"/>
          <w:lang w:val="ro-RO"/>
        </w:rPr>
      </w:pPr>
    </w:p>
    <w:p w:rsidR="00D019E3" w:rsidRPr="00D410A2" w:rsidRDefault="00D019E3" w:rsidP="00D019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bCs/>
          <w:sz w:val="28"/>
          <w:szCs w:val="28"/>
          <w:lang w:val="ro-RO"/>
        </w:rPr>
      </w:pPr>
      <w:r w:rsidRPr="00D410A2">
        <w:rPr>
          <w:b/>
          <w:sz w:val="28"/>
          <w:szCs w:val="28"/>
          <w:lang w:val="ro-RO"/>
        </w:rPr>
        <w:t>NOTĂ DE FUNDAMENTARE</w:t>
      </w:r>
    </w:p>
    <w:p w:rsidR="00900DA9" w:rsidRPr="009B5A0C" w:rsidRDefault="00D019E3" w:rsidP="00900D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bCs/>
          <w:sz w:val="28"/>
          <w:szCs w:val="28"/>
          <w:lang w:val="ro-RO"/>
        </w:rPr>
      </w:pPr>
      <w:r w:rsidRPr="00D410A2">
        <w:rPr>
          <w:b/>
          <w:sz w:val="28"/>
          <w:szCs w:val="28"/>
          <w:lang w:val="ro-RO"/>
        </w:rPr>
        <w:t xml:space="preserve">la proiectul Ordinului Ministrului Finanțelor </w:t>
      </w:r>
      <w:r w:rsidR="00900DA9">
        <w:rPr>
          <w:b/>
          <w:sz w:val="28"/>
          <w:szCs w:val="28"/>
          <w:lang w:val="ro-RO"/>
        </w:rPr>
        <w:t>c</w:t>
      </w:r>
      <w:r w:rsidR="00900DA9" w:rsidRPr="009B5A0C">
        <w:rPr>
          <w:b/>
          <w:bCs/>
          <w:sz w:val="28"/>
          <w:szCs w:val="28"/>
          <w:lang w:val="ro-RO"/>
        </w:rPr>
        <w:t xml:space="preserve">u privire la </w:t>
      </w:r>
      <w:r w:rsidR="00900DA9">
        <w:rPr>
          <w:b/>
          <w:bCs/>
          <w:sz w:val="28"/>
          <w:szCs w:val="28"/>
          <w:lang w:val="ro-RO"/>
        </w:rPr>
        <w:t xml:space="preserve">raportarea </w:t>
      </w:r>
      <w:proofErr w:type="spellStart"/>
      <w:r w:rsidR="00900DA9">
        <w:rPr>
          <w:b/>
          <w:bCs/>
          <w:sz w:val="28"/>
          <w:szCs w:val="28"/>
          <w:lang w:val="ro-RO"/>
        </w:rPr>
        <w:t>informaţiei</w:t>
      </w:r>
      <w:proofErr w:type="spellEnd"/>
      <w:r w:rsidR="00900DA9">
        <w:rPr>
          <w:b/>
          <w:bCs/>
          <w:sz w:val="28"/>
          <w:szCs w:val="28"/>
          <w:lang w:val="ro-RO"/>
        </w:rPr>
        <w:t xml:space="preserve"> </w:t>
      </w:r>
      <w:r w:rsidR="00900DA9" w:rsidRPr="009B5A0C">
        <w:rPr>
          <w:b/>
          <w:bCs/>
          <w:sz w:val="28"/>
          <w:szCs w:val="28"/>
          <w:lang w:val="ro-RO"/>
        </w:rPr>
        <w:t xml:space="preserve">privind creditele ipotecare </w:t>
      </w:r>
      <w:proofErr w:type="spellStart"/>
      <w:r w:rsidR="00900DA9" w:rsidRPr="009B5A0C">
        <w:rPr>
          <w:b/>
          <w:bCs/>
          <w:sz w:val="28"/>
          <w:szCs w:val="28"/>
          <w:lang w:val="ro-RO"/>
        </w:rPr>
        <w:t>şi</w:t>
      </w:r>
      <w:proofErr w:type="spellEnd"/>
      <w:r w:rsidR="00900DA9" w:rsidRPr="009B5A0C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900DA9" w:rsidRPr="009B5A0C">
        <w:rPr>
          <w:b/>
          <w:bCs/>
          <w:sz w:val="28"/>
          <w:szCs w:val="28"/>
          <w:lang w:val="ro-RO"/>
        </w:rPr>
        <w:t>garanţiile</w:t>
      </w:r>
      <w:proofErr w:type="spellEnd"/>
      <w:r w:rsidR="00900DA9" w:rsidRPr="009B5A0C">
        <w:rPr>
          <w:b/>
          <w:bCs/>
          <w:sz w:val="28"/>
          <w:szCs w:val="28"/>
          <w:lang w:val="ro-RO"/>
        </w:rPr>
        <w:t xml:space="preserve"> de stat</w:t>
      </w:r>
      <w:r w:rsidR="00900DA9">
        <w:rPr>
          <w:b/>
          <w:bCs/>
          <w:sz w:val="28"/>
          <w:szCs w:val="28"/>
          <w:lang w:val="ro-RO"/>
        </w:rPr>
        <w:t xml:space="preserve"> </w:t>
      </w:r>
      <w:r w:rsidR="00900DA9">
        <w:rPr>
          <w:b/>
          <w:bCs/>
          <w:sz w:val="28"/>
          <w:szCs w:val="28"/>
          <w:lang w:val="ro-RO"/>
        </w:rPr>
        <w:t xml:space="preserve">acordate în cadrul Programului </w:t>
      </w:r>
      <w:r w:rsidR="00900DA9" w:rsidRPr="009B5A0C">
        <w:rPr>
          <w:b/>
          <w:bCs/>
          <w:sz w:val="28"/>
          <w:szCs w:val="28"/>
          <w:lang w:val="ro-RO"/>
        </w:rPr>
        <w:t xml:space="preserve">de stat „Prima casă” </w:t>
      </w:r>
    </w:p>
    <w:p w:rsidR="00D019E3" w:rsidRPr="00D410A2" w:rsidRDefault="00D019E3" w:rsidP="00D019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sz w:val="28"/>
          <w:szCs w:val="28"/>
          <w:lang w:val="ro-RO"/>
        </w:rPr>
      </w:pPr>
    </w:p>
    <w:tbl>
      <w:tblPr>
        <w:tblStyle w:val="TableGri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109"/>
      </w:tblGrid>
      <w:tr w:rsidR="00D019E3" w:rsidRPr="00900DA9" w:rsidTr="00723824"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>1. Denumirea sau numele autorului și, după caz, a/al participanților la elaborarea proiectului actului normativ</w:t>
            </w:r>
          </w:p>
        </w:tc>
      </w:tr>
      <w:tr w:rsidR="00D019E3" w:rsidRPr="00900DA9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en-GB"/>
              </w:rPr>
              <w:t>P</w:t>
            </w:r>
            <w:proofErr w:type="spellStart"/>
            <w:r w:rsidRPr="00D410A2">
              <w:rPr>
                <w:sz w:val="26"/>
                <w:szCs w:val="26"/>
                <w:lang w:val="ro-RO"/>
              </w:rPr>
              <w:t>roiectul</w:t>
            </w:r>
            <w:proofErr w:type="spellEnd"/>
            <w:r w:rsidRPr="00D410A2">
              <w:rPr>
                <w:sz w:val="26"/>
                <w:szCs w:val="26"/>
                <w:lang w:val="ro-RO"/>
              </w:rPr>
              <w:t xml:space="preserve"> Ordinului </w:t>
            </w:r>
            <w:r w:rsidR="00900DA9" w:rsidRPr="00900DA9">
              <w:rPr>
                <w:sz w:val="26"/>
                <w:szCs w:val="26"/>
                <w:lang w:val="ro-RO"/>
              </w:rPr>
              <w:t>Ministrului Finanțelor c</w:t>
            </w:r>
            <w:r w:rsidR="00900DA9" w:rsidRPr="00900DA9">
              <w:rPr>
                <w:bCs/>
                <w:sz w:val="26"/>
                <w:szCs w:val="26"/>
                <w:lang w:val="ro-RO"/>
              </w:rPr>
              <w:t xml:space="preserve">u privire la raportarea </w:t>
            </w:r>
            <w:proofErr w:type="spellStart"/>
            <w:r w:rsidR="00900DA9" w:rsidRPr="00900DA9">
              <w:rPr>
                <w:bCs/>
                <w:sz w:val="26"/>
                <w:szCs w:val="26"/>
                <w:lang w:val="ro-RO"/>
              </w:rPr>
              <w:t>informaţiei</w:t>
            </w:r>
            <w:proofErr w:type="spellEnd"/>
            <w:r w:rsidR="00900DA9" w:rsidRPr="00900DA9">
              <w:rPr>
                <w:bCs/>
                <w:sz w:val="26"/>
                <w:szCs w:val="26"/>
                <w:lang w:val="ro-RO"/>
              </w:rPr>
              <w:t xml:space="preserve"> privind creditele ipotecare </w:t>
            </w:r>
            <w:proofErr w:type="spellStart"/>
            <w:r w:rsidR="00900DA9" w:rsidRPr="00900DA9">
              <w:rPr>
                <w:bCs/>
                <w:sz w:val="26"/>
                <w:szCs w:val="26"/>
                <w:lang w:val="ro-RO"/>
              </w:rPr>
              <w:t>şi</w:t>
            </w:r>
            <w:proofErr w:type="spellEnd"/>
            <w:r w:rsidR="00900DA9" w:rsidRPr="00900DA9">
              <w:rPr>
                <w:bCs/>
                <w:sz w:val="26"/>
                <w:szCs w:val="26"/>
                <w:lang w:val="ro-RO"/>
              </w:rPr>
              <w:t xml:space="preserve"> </w:t>
            </w:r>
            <w:proofErr w:type="spellStart"/>
            <w:r w:rsidR="00900DA9" w:rsidRPr="00900DA9">
              <w:rPr>
                <w:bCs/>
                <w:sz w:val="26"/>
                <w:szCs w:val="26"/>
                <w:lang w:val="ro-RO"/>
              </w:rPr>
              <w:t>garanţiile</w:t>
            </w:r>
            <w:proofErr w:type="spellEnd"/>
            <w:r w:rsidR="00900DA9" w:rsidRPr="00900DA9">
              <w:rPr>
                <w:bCs/>
                <w:sz w:val="26"/>
                <w:szCs w:val="26"/>
                <w:lang w:val="ro-RO"/>
              </w:rPr>
              <w:t xml:space="preserve"> de stat acordate în cadrul Programului de stat „Prima casă”</w:t>
            </w:r>
            <w:r w:rsidR="00900DA9">
              <w:rPr>
                <w:bCs/>
                <w:sz w:val="26"/>
                <w:szCs w:val="26"/>
                <w:lang w:val="ro-RO"/>
              </w:rPr>
              <w:t xml:space="preserve">, </w:t>
            </w:r>
            <w:r w:rsidR="00900DA9" w:rsidRPr="00D410A2">
              <w:rPr>
                <w:sz w:val="26"/>
                <w:szCs w:val="26"/>
                <w:lang w:val="ro-RO"/>
              </w:rPr>
              <w:t>este elaborat de către Ministerul Finanțelor.</w:t>
            </w:r>
          </w:p>
        </w:tc>
      </w:tr>
      <w:tr w:rsidR="00D019E3" w:rsidRPr="00900DA9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>2. Condițiile ce au impus elaborarea proiectului actului normativ</w:t>
            </w:r>
          </w:p>
        </w:tc>
      </w:tr>
      <w:tr w:rsidR="00D019E3" w:rsidRPr="00900DA9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0F21B7" w:rsidRDefault="00D019E3" w:rsidP="00723824">
            <w:pPr>
              <w:jc w:val="both"/>
              <w:rPr>
                <w:bCs/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ro-RO"/>
              </w:rPr>
              <w:t xml:space="preserve">Elaborarea proiectului Ordinului </w:t>
            </w:r>
            <w:r w:rsidR="00900DA9" w:rsidRPr="00900DA9">
              <w:rPr>
                <w:sz w:val="26"/>
                <w:szCs w:val="26"/>
                <w:lang w:val="ro-RO"/>
              </w:rPr>
              <w:t>Ministrului Finanțelor c</w:t>
            </w:r>
            <w:r w:rsidR="00900DA9" w:rsidRPr="00900DA9">
              <w:rPr>
                <w:bCs/>
                <w:sz w:val="26"/>
                <w:szCs w:val="26"/>
                <w:lang w:val="ro-RO"/>
              </w:rPr>
              <w:t xml:space="preserve">u privire la raportarea </w:t>
            </w:r>
            <w:proofErr w:type="spellStart"/>
            <w:r w:rsidR="00900DA9" w:rsidRPr="00900DA9">
              <w:rPr>
                <w:bCs/>
                <w:sz w:val="26"/>
                <w:szCs w:val="26"/>
                <w:lang w:val="ro-RO"/>
              </w:rPr>
              <w:t>informaţiei</w:t>
            </w:r>
            <w:proofErr w:type="spellEnd"/>
            <w:r w:rsidR="00900DA9" w:rsidRPr="00900DA9">
              <w:rPr>
                <w:bCs/>
                <w:sz w:val="26"/>
                <w:szCs w:val="26"/>
                <w:lang w:val="ro-RO"/>
              </w:rPr>
              <w:t xml:space="preserve"> privind creditele ipotecare </w:t>
            </w:r>
            <w:proofErr w:type="spellStart"/>
            <w:r w:rsidR="00900DA9" w:rsidRPr="00900DA9">
              <w:rPr>
                <w:bCs/>
                <w:sz w:val="26"/>
                <w:szCs w:val="26"/>
                <w:lang w:val="ro-RO"/>
              </w:rPr>
              <w:t>şi</w:t>
            </w:r>
            <w:proofErr w:type="spellEnd"/>
            <w:r w:rsidR="00900DA9" w:rsidRPr="00900DA9">
              <w:rPr>
                <w:bCs/>
                <w:sz w:val="26"/>
                <w:szCs w:val="26"/>
                <w:lang w:val="ro-RO"/>
              </w:rPr>
              <w:t xml:space="preserve"> </w:t>
            </w:r>
            <w:proofErr w:type="spellStart"/>
            <w:r w:rsidR="00900DA9" w:rsidRPr="00900DA9">
              <w:rPr>
                <w:bCs/>
                <w:sz w:val="26"/>
                <w:szCs w:val="26"/>
                <w:lang w:val="ro-RO"/>
              </w:rPr>
              <w:t>garanţiile</w:t>
            </w:r>
            <w:proofErr w:type="spellEnd"/>
            <w:r w:rsidR="00900DA9" w:rsidRPr="00900DA9">
              <w:rPr>
                <w:bCs/>
                <w:sz w:val="26"/>
                <w:szCs w:val="26"/>
                <w:lang w:val="ro-RO"/>
              </w:rPr>
              <w:t xml:space="preserve"> de stat acordate în cadrul Programului de stat „Prima casă”</w:t>
            </w:r>
            <w:r w:rsidR="00900DA9">
              <w:rPr>
                <w:bCs/>
                <w:sz w:val="26"/>
                <w:szCs w:val="26"/>
                <w:lang w:val="ro-RO"/>
              </w:rPr>
              <w:t xml:space="preserve"> </w:t>
            </w:r>
            <w:r w:rsidRPr="00D410A2">
              <w:rPr>
                <w:sz w:val="26"/>
                <w:szCs w:val="26"/>
                <w:lang w:val="ro-RO"/>
              </w:rPr>
              <w:t>derivă din necesitatea ajustării cadrului normativ secundar la prevederile Legii nr. 218/2024 pentru modificarea unor acte normative („Prima casă Plus”), care prevede în mod special operarea modificărilor și completărilor la Legea nr. 293/2017 privind unele măsuri în vederea implementării Programului de stat „Prima casă”.</w:t>
            </w:r>
          </w:p>
        </w:tc>
      </w:tr>
      <w:tr w:rsidR="00D019E3" w:rsidRPr="00900DA9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>3. Obiectivele urmărite și soluțiile propuse</w:t>
            </w:r>
          </w:p>
        </w:tc>
      </w:tr>
      <w:tr w:rsidR="00D019E3" w:rsidRPr="00900DA9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B7" w:rsidRPr="000F21B7" w:rsidRDefault="000F21B7" w:rsidP="000F21B7">
            <w:pPr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P</w:t>
            </w:r>
            <w:r w:rsidRPr="000F21B7">
              <w:rPr>
                <w:sz w:val="26"/>
                <w:szCs w:val="26"/>
                <w:lang w:val="ro-RO"/>
              </w:rPr>
              <w:t xml:space="preserve">otrivit Legii nr. 218/2024 pentru modificarea unor acte normative, </w:t>
            </w:r>
            <w:r w:rsidRPr="000F21B7">
              <w:rPr>
                <w:b/>
                <w:i/>
                <w:sz w:val="26"/>
                <w:szCs w:val="26"/>
                <w:lang w:val="ro-RO"/>
              </w:rPr>
              <w:t>a fost modificată cota de garantare</w:t>
            </w:r>
            <w:r w:rsidRPr="000F21B7">
              <w:rPr>
                <w:sz w:val="26"/>
                <w:szCs w:val="26"/>
                <w:lang w:val="ro-RO"/>
              </w:rPr>
              <w:t>, de către stat, a creditului ipotecar destinat procurării locuinței în cadrul Programului</w:t>
            </w:r>
            <w:r w:rsidR="001C498E">
              <w:rPr>
                <w:sz w:val="26"/>
                <w:szCs w:val="26"/>
                <w:lang w:val="ro-RO"/>
              </w:rPr>
              <w:t xml:space="preserve"> </w:t>
            </w:r>
            <w:r w:rsidR="001C498E" w:rsidRPr="00900DA9">
              <w:rPr>
                <w:bCs/>
                <w:sz w:val="26"/>
                <w:szCs w:val="26"/>
                <w:lang w:val="ro-RO"/>
              </w:rPr>
              <w:t>de stat „Prima casă”</w:t>
            </w:r>
            <w:r w:rsidRPr="000F21B7">
              <w:rPr>
                <w:sz w:val="26"/>
                <w:szCs w:val="26"/>
                <w:lang w:val="ro-RO"/>
              </w:rPr>
              <w:t>, după cum urmează:</w:t>
            </w:r>
          </w:p>
          <w:p w:rsidR="000F21B7" w:rsidRPr="000F21B7" w:rsidRDefault="000F21B7" w:rsidP="000F21B7">
            <w:pPr>
              <w:jc w:val="both"/>
              <w:rPr>
                <w:sz w:val="26"/>
                <w:szCs w:val="26"/>
                <w:lang w:val="ro-RO"/>
              </w:rPr>
            </w:pPr>
            <w:r w:rsidRPr="000F21B7">
              <w:rPr>
                <w:sz w:val="26"/>
                <w:szCs w:val="26"/>
                <w:lang w:val="ro-RO"/>
              </w:rPr>
              <w:t xml:space="preserve">a) 70% din soldul creditului ipotecar – pentru procurarea </w:t>
            </w:r>
            <w:proofErr w:type="spellStart"/>
            <w:r w:rsidRPr="000F21B7">
              <w:rPr>
                <w:sz w:val="26"/>
                <w:szCs w:val="26"/>
                <w:lang w:val="ro-RO"/>
              </w:rPr>
              <w:t>locuinţelor</w:t>
            </w:r>
            <w:proofErr w:type="spellEnd"/>
            <w:r w:rsidRPr="000F21B7">
              <w:rPr>
                <w:sz w:val="26"/>
                <w:szCs w:val="26"/>
                <w:lang w:val="ro-RO"/>
              </w:rPr>
              <w:t xml:space="preserve"> care se află în afara municipiului </w:t>
            </w:r>
            <w:proofErr w:type="spellStart"/>
            <w:r w:rsidRPr="000F21B7">
              <w:rPr>
                <w:sz w:val="26"/>
                <w:szCs w:val="26"/>
                <w:lang w:val="ro-RO"/>
              </w:rPr>
              <w:t>Chişinău</w:t>
            </w:r>
            <w:proofErr w:type="spellEnd"/>
            <w:r w:rsidRPr="000F21B7">
              <w:rPr>
                <w:sz w:val="26"/>
                <w:szCs w:val="26"/>
                <w:lang w:val="ro-RO"/>
              </w:rPr>
              <w:t>;</w:t>
            </w:r>
          </w:p>
          <w:p w:rsidR="000F21B7" w:rsidRPr="000F21B7" w:rsidRDefault="000F21B7" w:rsidP="000F21B7">
            <w:pPr>
              <w:jc w:val="both"/>
              <w:rPr>
                <w:sz w:val="26"/>
                <w:szCs w:val="26"/>
                <w:lang w:val="ro-RO"/>
              </w:rPr>
            </w:pPr>
            <w:r w:rsidRPr="000F21B7">
              <w:rPr>
                <w:sz w:val="26"/>
                <w:szCs w:val="26"/>
                <w:lang w:val="ro-RO"/>
              </w:rPr>
              <w:t xml:space="preserve">b) 70% din soldul creditului ipotecar – pentru procurarea </w:t>
            </w:r>
            <w:proofErr w:type="spellStart"/>
            <w:r w:rsidRPr="000F21B7">
              <w:rPr>
                <w:sz w:val="26"/>
                <w:szCs w:val="26"/>
                <w:lang w:val="ro-RO"/>
              </w:rPr>
              <w:t>locuinţelor</w:t>
            </w:r>
            <w:proofErr w:type="spellEnd"/>
            <w:r w:rsidRPr="000F21B7">
              <w:rPr>
                <w:sz w:val="26"/>
                <w:szCs w:val="26"/>
                <w:lang w:val="ro-RO"/>
              </w:rPr>
              <w:t xml:space="preserve"> care se află în clădiri cu statut de monument situate pe teritoriul Republicii Moldova;</w:t>
            </w:r>
          </w:p>
          <w:p w:rsidR="000F21B7" w:rsidRPr="000F21B7" w:rsidRDefault="000F21B7" w:rsidP="000F21B7">
            <w:pPr>
              <w:jc w:val="both"/>
              <w:rPr>
                <w:sz w:val="26"/>
                <w:szCs w:val="26"/>
                <w:lang w:val="ro-RO"/>
              </w:rPr>
            </w:pPr>
            <w:r w:rsidRPr="000F21B7">
              <w:rPr>
                <w:sz w:val="26"/>
                <w:szCs w:val="26"/>
                <w:lang w:val="ro-RO"/>
              </w:rPr>
              <w:t xml:space="preserve">c) 65% din soldul creditului ipotecar – pentru procurarea </w:t>
            </w:r>
            <w:proofErr w:type="spellStart"/>
            <w:r w:rsidRPr="000F21B7">
              <w:rPr>
                <w:sz w:val="26"/>
                <w:szCs w:val="26"/>
                <w:lang w:val="ro-RO"/>
              </w:rPr>
              <w:t>locuinţelor</w:t>
            </w:r>
            <w:proofErr w:type="spellEnd"/>
            <w:r w:rsidRPr="000F21B7">
              <w:rPr>
                <w:sz w:val="26"/>
                <w:szCs w:val="26"/>
                <w:lang w:val="ro-RO"/>
              </w:rPr>
              <w:t xml:space="preserve"> care se află în municipiul </w:t>
            </w:r>
            <w:proofErr w:type="spellStart"/>
            <w:r w:rsidRPr="000F21B7">
              <w:rPr>
                <w:sz w:val="26"/>
                <w:szCs w:val="26"/>
                <w:lang w:val="ro-RO"/>
              </w:rPr>
              <w:t>Chişinău</w:t>
            </w:r>
            <w:proofErr w:type="spellEnd"/>
            <w:r w:rsidRPr="000F21B7">
              <w:rPr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0F21B7">
              <w:rPr>
                <w:sz w:val="26"/>
                <w:szCs w:val="26"/>
                <w:lang w:val="ro-RO"/>
              </w:rPr>
              <w:t>şi</w:t>
            </w:r>
            <w:proofErr w:type="spellEnd"/>
            <w:r w:rsidRPr="000F21B7">
              <w:rPr>
                <w:sz w:val="26"/>
                <w:szCs w:val="26"/>
                <w:lang w:val="ro-RO"/>
              </w:rPr>
              <w:t xml:space="preserve"> care au fost date în exploatare cu cel mult 10 ani înainte de data solicitării creditului ipotecar în cadrul Programului;</w:t>
            </w:r>
          </w:p>
          <w:p w:rsidR="000F21B7" w:rsidRPr="000F21B7" w:rsidRDefault="000F21B7" w:rsidP="000F21B7">
            <w:pPr>
              <w:jc w:val="both"/>
              <w:rPr>
                <w:sz w:val="26"/>
                <w:szCs w:val="26"/>
                <w:lang w:val="ro-RO"/>
              </w:rPr>
            </w:pPr>
            <w:r w:rsidRPr="000F21B7">
              <w:rPr>
                <w:sz w:val="26"/>
                <w:szCs w:val="26"/>
                <w:lang w:val="ro-RO"/>
              </w:rPr>
              <w:t xml:space="preserve">d) 50% din soldul creditului ipotecar – pentru procurarea </w:t>
            </w:r>
            <w:proofErr w:type="spellStart"/>
            <w:r w:rsidRPr="000F21B7">
              <w:rPr>
                <w:sz w:val="26"/>
                <w:szCs w:val="26"/>
                <w:lang w:val="ro-RO"/>
              </w:rPr>
              <w:t>locuinţelor</w:t>
            </w:r>
            <w:proofErr w:type="spellEnd"/>
            <w:r w:rsidRPr="000F21B7">
              <w:rPr>
                <w:sz w:val="26"/>
                <w:szCs w:val="26"/>
                <w:lang w:val="ro-RO"/>
              </w:rPr>
              <w:t xml:space="preserve"> care se află în municipiul </w:t>
            </w:r>
            <w:proofErr w:type="spellStart"/>
            <w:r w:rsidRPr="000F21B7">
              <w:rPr>
                <w:sz w:val="26"/>
                <w:szCs w:val="26"/>
                <w:lang w:val="ro-RO"/>
              </w:rPr>
              <w:t>Chişinău</w:t>
            </w:r>
            <w:proofErr w:type="spellEnd"/>
            <w:r w:rsidRPr="000F21B7">
              <w:rPr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0F21B7">
              <w:rPr>
                <w:sz w:val="26"/>
                <w:szCs w:val="26"/>
                <w:lang w:val="ro-RO"/>
              </w:rPr>
              <w:t>şi</w:t>
            </w:r>
            <w:proofErr w:type="spellEnd"/>
            <w:r w:rsidRPr="000F21B7">
              <w:rPr>
                <w:sz w:val="26"/>
                <w:szCs w:val="26"/>
                <w:lang w:val="ro-RO"/>
              </w:rPr>
              <w:t xml:space="preserve"> care au fost date în exploatare cu mai mult de 10 ani înainte de data solicitării creditului ipotecar în cadrul Programului.</w:t>
            </w:r>
          </w:p>
          <w:p w:rsidR="001C498E" w:rsidRDefault="000F21B7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0F21B7">
              <w:rPr>
                <w:sz w:val="26"/>
                <w:szCs w:val="26"/>
                <w:lang w:val="ro-RO"/>
              </w:rPr>
              <w:t xml:space="preserve">Prin urmare, pentru a asigura monitorizarea și raportarea garanției de stat în mod corespunzător, se impune necesitatea operării modificărilor la formularele de prezentare a informațiilor Ministerului Finanțelor, de către creditori și Instituția Publică Organizația pentru Dezvoltarea </w:t>
            </w:r>
            <w:proofErr w:type="spellStart"/>
            <w:r w:rsidRPr="000F21B7">
              <w:rPr>
                <w:sz w:val="26"/>
                <w:szCs w:val="26"/>
                <w:lang w:val="ro-RO"/>
              </w:rPr>
              <w:t>Antreprenoriatului</w:t>
            </w:r>
            <w:proofErr w:type="spellEnd"/>
            <w:r w:rsidRPr="000F21B7">
              <w:rPr>
                <w:sz w:val="26"/>
                <w:szCs w:val="26"/>
                <w:lang w:val="ro-RO"/>
              </w:rPr>
              <w:t>.</w:t>
            </w:r>
            <w:r w:rsidR="001C498E">
              <w:rPr>
                <w:sz w:val="26"/>
                <w:szCs w:val="26"/>
                <w:lang w:val="ro-RO"/>
              </w:rPr>
              <w:t xml:space="preserve"> </w:t>
            </w:r>
          </w:p>
          <w:p w:rsidR="00D019E3" w:rsidRPr="00D410A2" w:rsidRDefault="001C498E" w:rsidP="001C498E">
            <w:pPr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Dat fiind amploarea modificărilor operate în vederea ajustării formularelor de prezentare a informațiilor, s-a considerat oportună expunerea acestora în redacție nouă. Corespunzător, </w:t>
            </w:r>
            <w:r w:rsidRPr="00D410A2">
              <w:rPr>
                <w:sz w:val="26"/>
                <w:szCs w:val="26"/>
                <w:lang w:val="ro-RO"/>
              </w:rPr>
              <w:t>Ordinul Ministrului Finanțelor nr.</w:t>
            </w:r>
            <w:r>
              <w:rPr>
                <w:sz w:val="26"/>
                <w:szCs w:val="26"/>
                <w:lang w:val="ro-RO"/>
              </w:rPr>
              <w:t xml:space="preserve">97/2018 </w:t>
            </w:r>
            <w:r w:rsidRPr="000F21B7">
              <w:rPr>
                <w:bCs/>
                <w:sz w:val="26"/>
                <w:szCs w:val="26"/>
                <w:lang w:val="en-GB"/>
              </w:rPr>
              <w:t xml:space="preserve">cu </w:t>
            </w:r>
            <w:proofErr w:type="spellStart"/>
            <w:r w:rsidRPr="000F21B7">
              <w:rPr>
                <w:bCs/>
                <w:sz w:val="26"/>
                <w:szCs w:val="26"/>
                <w:lang w:val="en-GB"/>
              </w:rPr>
              <w:t>privire</w:t>
            </w:r>
            <w:proofErr w:type="spellEnd"/>
            <w:r w:rsidRPr="000F21B7">
              <w:rPr>
                <w:bCs/>
                <w:sz w:val="26"/>
                <w:szCs w:val="26"/>
                <w:lang w:val="en-GB"/>
              </w:rPr>
              <w:t xml:space="preserve"> la </w:t>
            </w:r>
            <w:proofErr w:type="spellStart"/>
            <w:r w:rsidRPr="000F21B7">
              <w:rPr>
                <w:bCs/>
                <w:sz w:val="26"/>
                <w:szCs w:val="26"/>
                <w:lang w:val="en-GB"/>
              </w:rPr>
              <w:t>prezentarea</w:t>
            </w:r>
            <w:proofErr w:type="spellEnd"/>
            <w:r w:rsidRPr="000F21B7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F21B7">
              <w:rPr>
                <w:bCs/>
                <w:sz w:val="26"/>
                <w:szCs w:val="26"/>
                <w:lang w:val="en-GB"/>
              </w:rPr>
              <w:t>informaţiei</w:t>
            </w:r>
            <w:proofErr w:type="spellEnd"/>
            <w:r w:rsidRPr="000F21B7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F21B7">
              <w:rPr>
                <w:bCs/>
                <w:sz w:val="26"/>
                <w:szCs w:val="26"/>
                <w:lang w:val="en-GB"/>
              </w:rPr>
              <w:t>privind</w:t>
            </w:r>
            <w:proofErr w:type="spellEnd"/>
            <w:r w:rsidRPr="000F21B7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F21B7">
              <w:rPr>
                <w:bCs/>
                <w:sz w:val="26"/>
                <w:szCs w:val="26"/>
                <w:lang w:val="en-GB"/>
              </w:rPr>
              <w:t>creditele</w:t>
            </w:r>
            <w:proofErr w:type="spellEnd"/>
            <w:r w:rsidRPr="000F21B7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F21B7">
              <w:rPr>
                <w:bCs/>
                <w:sz w:val="26"/>
                <w:szCs w:val="26"/>
                <w:lang w:val="en-GB"/>
              </w:rPr>
              <w:t>ipotecare</w:t>
            </w:r>
            <w:proofErr w:type="spellEnd"/>
            <w:r w:rsidRPr="000F21B7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F21B7">
              <w:rPr>
                <w:bCs/>
                <w:sz w:val="26"/>
                <w:szCs w:val="26"/>
                <w:lang w:val="en-GB"/>
              </w:rPr>
              <w:t>şi</w:t>
            </w:r>
            <w:proofErr w:type="spellEnd"/>
            <w:r>
              <w:rPr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0F21B7">
              <w:rPr>
                <w:bCs/>
                <w:sz w:val="26"/>
                <w:szCs w:val="26"/>
                <w:lang w:val="en-GB"/>
              </w:rPr>
              <w:t>garanţiile</w:t>
            </w:r>
            <w:proofErr w:type="spellEnd"/>
            <w:r w:rsidRPr="000F21B7">
              <w:rPr>
                <w:bCs/>
                <w:sz w:val="26"/>
                <w:szCs w:val="26"/>
                <w:lang w:val="en-GB"/>
              </w:rPr>
              <w:t xml:space="preserve"> de stat </w:t>
            </w:r>
            <w:proofErr w:type="spellStart"/>
            <w:r w:rsidRPr="000F21B7">
              <w:rPr>
                <w:bCs/>
                <w:sz w:val="26"/>
                <w:szCs w:val="26"/>
                <w:lang w:val="en-GB"/>
              </w:rPr>
              <w:t>acordate</w:t>
            </w:r>
            <w:proofErr w:type="spellEnd"/>
            <w:r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GB"/>
              </w:rPr>
              <w:t>în</w:t>
            </w:r>
            <w:proofErr w:type="spellEnd"/>
            <w:r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GB"/>
              </w:rPr>
              <w:t>cadrul</w:t>
            </w:r>
            <w:proofErr w:type="spellEnd"/>
            <w:r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GB"/>
              </w:rPr>
              <w:t>Programului</w:t>
            </w:r>
            <w:proofErr w:type="spellEnd"/>
            <w:r>
              <w:rPr>
                <w:bCs/>
                <w:sz w:val="26"/>
                <w:szCs w:val="26"/>
                <w:lang w:val="en-GB"/>
              </w:rPr>
              <w:t xml:space="preserve"> de stat „</w:t>
            </w:r>
            <w:r w:rsidRPr="000F21B7">
              <w:rPr>
                <w:bCs/>
                <w:sz w:val="26"/>
                <w:szCs w:val="26"/>
                <w:lang w:val="en-GB"/>
              </w:rPr>
              <w:t xml:space="preserve">Prima </w:t>
            </w:r>
            <w:proofErr w:type="spellStart"/>
            <w:r w:rsidRPr="000F21B7">
              <w:rPr>
                <w:bCs/>
                <w:sz w:val="26"/>
                <w:szCs w:val="26"/>
                <w:lang w:val="en-GB"/>
              </w:rPr>
              <w:t>casă</w:t>
            </w:r>
            <w:proofErr w:type="spellEnd"/>
            <w:r w:rsidRPr="000F21B7">
              <w:rPr>
                <w:bCs/>
                <w:sz w:val="26"/>
                <w:szCs w:val="26"/>
                <w:lang w:val="en-GB"/>
              </w:rPr>
              <w:t>”</w:t>
            </w:r>
            <w:r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GB"/>
              </w:rPr>
              <w:t>urmează</w:t>
            </w:r>
            <w:proofErr w:type="spellEnd"/>
            <w:r>
              <w:rPr>
                <w:bCs/>
                <w:sz w:val="26"/>
                <w:szCs w:val="26"/>
                <w:lang w:val="en-GB"/>
              </w:rPr>
              <w:t xml:space="preserve"> a fi </w:t>
            </w:r>
            <w:proofErr w:type="spellStart"/>
            <w:r>
              <w:rPr>
                <w:bCs/>
                <w:sz w:val="26"/>
                <w:szCs w:val="26"/>
                <w:lang w:val="en-GB"/>
              </w:rPr>
              <w:t>abrogat</w:t>
            </w:r>
            <w:proofErr w:type="spellEnd"/>
            <w:r>
              <w:rPr>
                <w:bCs/>
                <w:sz w:val="26"/>
                <w:szCs w:val="26"/>
                <w:lang w:val="en-GB"/>
              </w:rPr>
              <w:t>.</w:t>
            </w:r>
          </w:p>
        </w:tc>
      </w:tr>
      <w:tr w:rsidR="00D019E3" w:rsidRPr="00D410A2" w:rsidTr="00723824">
        <w:trPr>
          <w:trHeight w:val="381"/>
        </w:trPr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 xml:space="preserve">4. Analiza impactului de reglementare </w:t>
            </w:r>
          </w:p>
        </w:tc>
      </w:tr>
      <w:tr w:rsidR="00D019E3" w:rsidRPr="00900DA9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Default="00D019E3" w:rsidP="000F21B7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ro-RO"/>
              </w:rPr>
              <w:t xml:space="preserve">Nu este aplicabil la această etapă, </w:t>
            </w:r>
            <w:proofErr w:type="spellStart"/>
            <w:r w:rsidRPr="00D410A2">
              <w:rPr>
                <w:sz w:val="26"/>
                <w:szCs w:val="26"/>
                <w:lang w:val="ro-RO"/>
              </w:rPr>
              <w:t>întrucît</w:t>
            </w:r>
            <w:proofErr w:type="spellEnd"/>
            <w:r w:rsidRPr="00D410A2">
              <w:rPr>
                <w:sz w:val="26"/>
                <w:szCs w:val="26"/>
                <w:lang w:val="ro-RO"/>
              </w:rPr>
              <w:t xml:space="preserve"> </w:t>
            </w:r>
            <w:r w:rsidR="000F21B7">
              <w:rPr>
                <w:sz w:val="26"/>
                <w:szCs w:val="26"/>
                <w:lang w:val="ro-RO"/>
              </w:rPr>
              <w:t xml:space="preserve">elaborarea </w:t>
            </w:r>
            <w:r w:rsidR="000F21B7">
              <w:rPr>
                <w:sz w:val="26"/>
                <w:szCs w:val="26"/>
                <w:lang w:val="en-GB"/>
              </w:rPr>
              <w:t>p</w:t>
            </w:r>
            <w:proofErr w:type="spellStart"/>
            <w:r w:rsidR="000F21B7" w:rsidRPr="00D410A2">
              <w:rPr>
                <w:sz w:val="26"/>
                <w:szCs w:val="26"/>
                <w:lang w:val="ro-RO"/>
              </w:rPr>
              <w:t>roiectul</w:t>
            </w:r>
            <w:r w:rsidR="000F21B7">
              <w:rPr>
                <w:sz w:val="26"/>
                <w:szCs w:val="26"/>
                <w:lang w:val="ro-RO"/>
              </w:rPr>
              <w:t>ui</w:t>
            </w:r>
            <w:proofErr w:type="spellEnd"/>
            <w:r w:rsidR="000F21B7" w:rsidRPr="00D410A2">
              <w:rPr>
                <w:sz w:val="26"/>
                <w:szCs w:val="26"/>
                <w:lang w:val="ro-RO"/>
              </w:rPr>
              <w:t xml:space="preserve"> Ordinului </w:t>
            </w:r>
            <w:r w:rsidR="000F21B7" w:rsidRPr="00900DA9">
              <w:rPr>
                <w:sz w:val="26"/>
                <w:szCs w:val="26"/>
                <w:lang w:val="ro-RO"/>
              </w:rPr>
              <w:t>Ministrului Finanțelor c</w:t>
            </w:r>
            <w:r w:rsidR="000F21B7" w:rsidRPr="00900DA9">
              <w:rPr>
                <w:bCs/>
                <w:sz w:val="26"/>
                <w:szCs w:val="26"/>
                <w:lang w:val="ro-RO"/>
              </w:rPr>
              <w:t xml:space="preserve">u privire la raportarea </w:t>
            </w:r>
            <w:proofErr w:type="spellStart"/>
            <w:r w:rsidR="000F21B7" w:rsidRPr="00900DA9">
              <w:rPr>
                <w:bCs/>
                <w:sz w:val="26"/>
                <w:szCs w:val="26"/>
                <w:lang w:val="ro-RO"/>
              </w:rPr>
              <w:t>informaţiei</w:t>
            </w:r>
            <w:proofErr w:type="spellEnd"/>
            <w:r w:rsidR="000F21B7" w:rsidRPr="00900DA9">
              <w:rPr>
                <w:bCs/>
                <w:sz w:val="26"/>
                <w:szCs w:val="26"/>
                <w:lang w:val="ro-RO"/>
              </w:rPr>
              <w:t xml:space="preserve"> privind creditele ipotecare </w:t>
            </w:r>
            <w:proofErr w:type="spellStart"/>
            <w:r w:rsidR="000F21B7" w:rsidRPr="00900DA9">
              <w:rPr>
                <w:bCs/>
                <w:sz w:val="26"/>
                <w:szCs w:val="26"/>
                <w:lang w:val="ro-RO"/>
              </w:rPr>
              <w:t>şi</w:t>
            </w:r>
            <w:proofErr w:type="spellEnd"/>
            <w:r w:rsidR="000F21B7" w:rsidRPr="00900DA9">
              <w:rPr>
                <w:bCs/>
                <w:sz w:val="26"/>
                <w:szCs w:val="26"/>
                <w:lang w:val="ro-RO"/>
              </w:rPr>
              <w:t xml:space="preserve"> </w:t>
            </w:r>
            <w:proofErr w:type="spellStart"/>
            <w:r w:rsidR="000F21B7" w:rsidRPr="00900DA9">
              <w:rPr>
                <w:bCs/>
                <w:sz w:val="26"/>
                <w:szCs w:val="26"/>
                <w:lang w:val="ro-RO"/>
              </w:rPr>
              <w:t>garanţiile</w:t>
            </w:r>
            <w:proofErr w:type="spellEnd"/>
            <w:r w:rsidR="000F21B7" w:rsidRPr="00900DA9">
              <w:rPr>
                <w:bCs/>
                <w:sz w:val="26"/>
                <w:szCs w:val="26"/>
                <w:lang w:val="ro-RO"/>
              </w:rPr>
              <w:t xml:space="preserve"> de stat acordate în cadrul Programului de stat „Prima casă”</w:t>
            </w:r>
            <w:r w:rsidR="000F21B7">
              <w:rPr>
                <w:bCs/>
                <w:sz w:val="26"/>
                <w:szCs w:val="26"/>
                <w:lang w:val="ro-RO"/>
              </w:rPr>
              <w:t xml:space="preserve"> vizează expunerea în redacție nouă a </w:t>
            </w:r>
            <w:r w:rsidRPr="00D410A2">
              <w:rPr>
                <w:sz w:val="26"/>
                <w:szCs w:val="26"/>
                <w:lang w:val="ro-RO"/>
              </w:rPr>
              <w:t>Ordinului Ministrului Finanțelor nr.</w:t>
            </w:r>
            <w:r w:rsidR="000F21B7">
              <w:rPr>
                <w:sz w:val="26"/>
                <w:szCs w:val="26"/>
                <w:lang w:val="ro-RO"/>
              </w:rPr>
              <w:t xml:space="preserve">97/2018, dat fiind </w:t>
            </w:r>
            <w:r w:rsidRPr="00D410A2">
              <w:rPr>
                <w:sz w:val="26"/>
                <w:szCs w:val="26"/>
                <w:lang w:val="ro-RO"/>
              </w:rPr>
              <w:t>necesitatea ajustării acestuia la prevederile Legii nr. 218/2024 pentru modificarea unor act</w:t>
            </w:r>
            <w:r w:rsidR="000F21B7">
              <w:rPr>
                <w:sz w:val="26"/>
                <w:szCs w:val="26"/>
                <w:lang w:val="ro-RO"/>
              </w:rPr>
              <w:t>e normative („Prima casă Plus”).</w:t>
            </w:r>
          </w:p>
          <w:p w:rsidR="001C498E" w:rsidRPr="00D410A2" w:rsidRDefault="001C498E" w:rsidP="000F21B7">
            <w:pPr>
              <w:jc w:val="both"/>
              <w:rPr>
                <w:sz w:val="26"/>
                <w:szCs w:val="26"/>
                <w:lang w:val="ro-RO"/>
              </w:rPr>
            </w:pPr>
            <w:bookmarkStart w:id="0" w:name="_GoBack"/>
            <w:bookmarkEnd w:id="0"/>
          </w:p>
        </w:tc>
      </w:tr>
      <w:tr w:rsidR="00D019E3" w:rsidRPr="00900DA9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lastRenderedPageBreak/>
              <w:t xml:space="preserve">5. Compatibilitatea proiectului actului normativ cu legislația UE </w:t>
            </w:r>
          </w:p>
        </w:tc>
      </w:tr>
      <w:tr w:rsidR="00D019E3" w:rsidRPr="00900DA9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ro-RO"/>
              </w:rPr>
              <w:t>Proiectul nu prevede armonizarea legislației naționale cu legislația Uniunii Europene.</w:t>
            </w:r>
          </w:p>
        </w:tc>
      </w:tr>
      <w:tr w:rsidR="00D019E3" w:rsidRPr="00900DA9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>6. Avizarea și consultarea publică a proiectului actului normativ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ro-RO"/>
              </w:rPr>
              <w:t>Proiectul urmează a fi supus avizării și consultării publice în conformitate cu prevederile art. 32 alin. (5) din Legea nr. 100/2017 cu privire la actele normative.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>7. Concluziile expertizelor</w:t>
            </w:r>
          </w:p>
        </w:tc>
      </w:tr>
      <w:tr w:rsidR="00D019E3" w:rsidRPr="00D410A2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o-RO"/>
              </w:rPr>
              <w:t>-</w:t>
            </w:r>
          </w:p>
        </w:tc>
      </w:tr>
      <w:tr w:rsidR="00D019E3" w:rsidRPr="00900DA9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>8. Modul de încorporare a actului în cadrul normativ existent</w:t>
            </w:r>
          </w:p>
        </w:tc>
      </w:tr>
      <w:tr w:rsidR="00D019E3" w:rsidRPr="00900DA9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sz w:val="26"/>
                <w:szCs w:val="26"/>
                <w:lang w:val="ro-RO"/>
              </w:rPr>
            </w:pPr>
            <w:r w:rsidRPr="00D410A2">
              <w:rPr>
                <w:sz w:val="26"/>
                <w:szCs w:val="26"/>
                <w:lang w:val="ro-RO"/>
              </w:rPr>
              <w:t xml:space="preserve">Proiectul propus vine să </w:t>
            </w:r>
            <w:r w:rsidR="000F21B7">
              <w:rPr>
                <w:sz w:val="26"/>
                <w:szCs w:val="26"/>
                <w:lang w:val="ro-RO"/>
              </w:rPr>
              <w:t xml:space="preserve">expună în redacție nouă </w:t>
            </w:r>
            <w:r w:rsidRPr="00D410A2">
              <w:rPr>
                <w:sz w:val="26"/>
                <w:szCs w:val="26"/>
                <w:lang w:val="ro-RO"/>
              </w:rPr>
              <w:t>Ordinul Ministrului Finanțelor nr.</w:t>
            </w:r>
            <w:r w:rsidR="000F21B7">
              <w:rPr>
                <w:sz w:val="26"/>
                <w:szCs w:val="26"/>
                <w:lang w:val="ro-RO"/>
              </w:rPr>
              <w:t xml:space="preserve">97/2018 </w:t>
            </w:r>
            <w:r w:rsidR="000F21B7" w:rsidRPr="000F21B7">
              <w:rPr>
                <w:bCs/>
                <w:sz w:val="26"/>
                <w:szCs w:val="26"/>
                <w:lang w:val="en-GB"/>
              </w:rPr>
              <w:t xml:space="preserve">cu </w:t>
            </w:r>
            <w:proofErr w:type="spellStart"/>
            <w:r w:rsidR="000F21B7" w:rsidRPr="000F21B7">
              <w:rPr>
                <w:bCs/>
                <w:sz w:val="26"/>
                <w:szCs w:val="26"/>
                <w:lang w:val="en-GB"/>
              </w:rPr>
              <w:t>privire</w:t>
            </w:r>
            <w:proofErr w:type="spellEnd"/>
            <w:r w:rsidR="000F21B7" w:rsidRPr="000F21B7">
              <w:rPr>
                <w:bCs/>
                <w:sz w:val="26"/>
                <w:szCs w:val="26"/>
                <w:lang w:val="en-GB"/>
              </w:rPr>
              <w:t xml:space="preserve"> la </w:t>
            </w:r>
            <w:proofErr w:type="spellStart"/>
            <w:r w:rsidR="000F21B7" w:rsidRPr="000F21B7">
              <w:rPr>
                <w:bCs/>
                <w:sz w:val="26"/>
                <w:szCs w:val="26"/>
                <w:lang w:val="en-GB"/>
              </w:rPr>
              <w:t>prezentarea</w:t>
            </w:r>
            <w:proofErr w:type="spellEnd"/>
            <w:r w:rsidR="000F21B7" w:rsidRPr="000F21B7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F21B7" w:rsidRPr="000F21B7">
              <w:rPr>
                <w:bCs/>
                <w:sz w:val="26"/>
                <w:szCs w:val="26"/>
                <w:lang w:val="en-GB"/>
              </w:rPr>
              <w:t>informaţiei</w:t>
            </w:r>
            <w:proofErr w:type="spellEnd"/>
            <w:r w:rsidR="000F21B7" w:rsidRPr="000F21B7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F21B7" w:rsidRPr="000F21B7">
              <w:rPr>
                <w:bCs/>
                <w:sz w:val="26"/>
                <w:szCs w:val="26"/>
                <w:lang w:val="en-GB"/>
              </w:rPr>
              <w:t>privind</w:t>
            </w:r>
            <w:proofErr w:type="spellEnd"/>
            <w:r w:rsidR="000F21B7" w:rsidRPr="000F21B7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F21B7" w:rsidRPr="000F21B7">
              <w:rPr>
                <w:bCs/>
                <w:sz w:val="26"/>
                <w:szCs w:val="26"/>
                <w:lang w:val="en-GB"/>
              </w:rPr>
              <w:t>creditele</w:t>
            </w:r>
            <w:proofErr w:type="spellEnd"/>
            <w:r w:rsidR="000F21B7" w:rsidRPr="000F21B7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F21B7" w:rsidRPr="000F21B7">
              <w:rPr>
                <w:bCs/>
                <w:sz w:val="26"/>
                <w:szCs w:val="26"/>
                <w:lang w:val="en-GB"/>
              </w:rPr>
              <w:t>ipotecare</w:t>
            </w:r>
            <w:proofErr w:type="spellEnd"/>
            <w:r w:rsidR="000F21B7" w:rsidRPr="000F21B7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F21B7" w:rsidRPr="000F21B7">
              <w:rPr>
                <w:bCs/>
                <w:sz w:val="26"/>
                <w:szCs w:val="26"/>
                <w:lang w:val="en-GB"/>
              </w:rPr>
              <w:t>şi</w:t>
            </w:r>
            <w:proofErr w:type="spellEnd"/>
            <w:r w:rsidR="000F21B7">
              <w:rPr>
                <w:sz w:val="26"/>
                <w:szCs w:val="26"/>
                <w:lang w:val="ro-RO"/>
              </w:rPr>
              <w:t xml:space="preserve"> </w:t>
            </w:r>
            <w:proofErr w:type="spellStart"/>
            <w:r w:rsidR="000F21B7" w:rsidRPr="000F21B7">
              <w:rPr>
                <w:bCs/>
                <w:sz w:val="26"/>
                <w:szCs w:val="26"/>
                <w:lang w:val="en-GB"/>
              </w:rPr>
              <w:t>garanţiile</w:t>
            </w:r>
            <w:proofErr w:type="spellEnd"/>
            <w:r w:rsidR="000F21B7" w:rsidRPr="000F21B7">
              <w:rPr>
                <w:bCs/>
                <w:sz w:val="26"/>
                <w:szCs w:val="26"/>
                <w:lang w:val="en-GB"/>
              </w:rPr>
              <w:t xml:space="preserve"> de stat </w:t>
            </w:r>
            <w:proofErr w:type="spellStart"/>
            <w:r w:rsidR="000F21B7" w:rsidRPr="000F21B7">
              <w:rPr>
                <w:bCs/>
                <w:sz w:val="26"/>
                <w:szCs w:val="26"/>
                <w:lang w:val="en-GB"/>
              </w:rPr>
              <w:t>acordate</w:t>
            </w:r>
            <w:proofErr w:type="spellEnd"/>
            <w:r w:rsidR="000F21B7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F21B7">
              <w:rPr>
                <w:bCs/>
                <w:sz w:val="26"/>
                <w:szCs w:val="26"/>
                <w:lang w:val="en-GB"/>
              </w:rPr>
              <w:t>în</w:t>
            </w:r>
            <w:proofErr w:type="spellEnd"/>
            <w:r w:rsidR="000F21B7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F21B7">
              <w:rPr>
                <w:bCs/>
                <w:sz w:val="26"/>
                <w:szCs w:val="26"/>
                <w:lang w:val="en-GB"/>
              </w:rPr>
              <w:t>cadrul</w:t>
            </w:r>
            <w:proofErr w:type="spellEnd"/>
            <w:r w:rsidR="000F21B7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F21B7">
              <w:rPr>
                <w:bCs/>
                <w:sz w:val="26"/>
                <w:szCs w:val="26"/>
                <w:lang w:val="en-GB"/>
              </w:rPr>
              <w:t>Programului</w:t>
            </w:r>
            <w:proofErr w:type="spellEnd"/>
            <w:r w:rsidR="000F21B7">
              <w:rPr>
                <w:bCs/>
                <w:sz w:val="26"/>
                <w:szCs w:val="26"/>
                <w:lang w:val="en-GB"/>
              </w:rPr>
              <w:t xml:space="preserve"> de stat „</w:t>
            </w:r>
            <w:r w:rsidR="000F21B7" w:rsidRPr="000F21B7">
              <w:rPr>
                <w:bCs/>
                <w:sz w:val="26"/>
                <w:szCs w:val="26"/>
                <w:lang w:val="en-GB"/>
              </w:rPr>
              <w:t xml:space="preserve">Prima </w:t>
            </w:r>
            <w:proofErr w:type="spellStart"/>
            <w:r w:rsidR="000F21B7" w:rsidRPr="000F21B7">
              <w:rPr>
                <w:bCs/>
                <w:sz w:val="26"/>
                <w:szCs w:val="26"/>
                <w:lang w:val="en-GB"/>
              </w:rPr>
              <w:t>casă</w:t>
            </w:r>
            <w:proofErr w:type="spellEnd"/>
            <w:r w:rsidR="000F21B7" w:rsidRPr="000F21B7">
              <w:rPr>
                <w:bCs/>
                <w:sz w:val="26"/>
                <w:szCs w:val="26"/>
                <w:lang w:val="en-GB"/>
              </w:rPr>
              <w:t>”</w:t>
            </w:r>
            <w:r w:rsidR="000F21B7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F21B7">
              <w:rPr>
                <w:bCs/>
                <w:sz w:val="26"/>
                <w:szCs w:val="26"/>
                <w:lang w:val="en-GB"/>
              </w:rPr>
              <w:t>și</w:t>
            </w:r>
            <w:proofErr w:type="spellEnd"/>
            <w:r w:rsidR="000F21B7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F21B7">
              <w:rPr>
                <w:bCs/>
                <w:sz w:val="26"/>
                <w:szCs w:val="26"/>
                <w:lang w:val="en-GB"/>
              </w:rPr>
              <w:t>anexele</w:t>
            </w:r>
            <w:proofErr w:type="spellEnd"/>
            <w:r w:rsidR="000F21B7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0F21B7">
              <w:rPr>
                <w:bCs/>
                <w:sz w:val="26"/>
                <w:szCs w:val="26"/>
                <w:lang w:val="en-GB"/>
              </w:rPr>
              <w:t>acestuia</w:t>
            </w:r>
            <w:proofErr w:type="spellEnd"/>
            <w:r w:rsidR="000F21B7">
              <w:rPr>
                <w:bCs/>
                <w:sz w:val="26"/>
                <w:szCs w:val="26"/>
                <w:lang w:val="en-GB"/>
              </w:rPr>
              <w:t xml:space="preserve">, </w:t>
            </w:r>
            <w:r w:rsidRPr="00D410A2">
              <w:rPr>
                <w:sz w:val="26"/>
                <w:szCs w:val="26"/>
                <w:lang w:val="ro-RO"/>
              </w:rPr>
              <w:t>în corelare cu prevederile actelor normative în vigoare (Legea nr. 218/2024) și nu afectează concepția generală ori caracterul unitar al cadrului normativ în vigoare.</w:t>
            </w:r>
          </w:p>
        </w:tc>
      </w:tr>
      <w:tr w:rsidR="00D019E3" w:rsidRPr="00900DA9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D019E3" w:rsidP="00723824">
            <w:pPr>
              <w:jc w:val="both"/>
              <w:rPr>
                <w:b/>
                <w:bCs/>
                <w:sz w:val="26"/>
                <w:szCs w:val="26"/>
                <w:lang w:val="ro-RO"/>
              </w:rPr>
            </w:pPr>
            <w:r w:rsidRPr="00D410A2">
              <w:rPr>
                <w:b/>
                <w:bCs/>
                <w:sz w:val="26"/>
                <w:szCs w:val="26"/>
                <w:lang w:val="ro-RO"/>
              </w:rPr>
              <w:t>9. Măsurile necesare pentru implementarea prevederilor proiectului actului normativ</w:t>
            </w:r>
          </w:p>
        </w:tc>
      </w:tr>
      <w:tr w:rsidR="00D019E3" w:rsidRPr="00900DA9" w:rsidTr="0072382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E3" w:rsidRPr="00D410A2" w:rsidRDefault="000F21B7" w:rsidP="00723824">
            <w:pPr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-</w:t>
            </w:r>
          </w:p>
        </w:tc>
      </w:tr>
    </w:tbl>
    <w:p w:rsidR="00D019E3" w:rsidRDefault="00D019E3" w:rsidP="00D019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lang w:val="ro-RO"/>
        </w:rPr>
      </w:pPr>
    </w:p>
    <w:p w:rsidR="00D019E3" w:rsidRDefault="00D019E3" w:rsidP="00D019E3">
      <w:pPr>
        <w:jc w:val="both"/>
        <w:rPr>
          <w:lang w:val="ro-RO"/>
        </w:rPr>
      </w:pPr>
    </w:p>
    <w:p w:rsidR="00D019E3" w:rsidRDefault="00D019E3" w:rsidP="00D019E3">
      <w:pPr>
        <w:jc w:val="both"/>
        <w:rPr>
          <w:lang w:val="ro-RO"/>
        </w:rPr>
      </w:pPr>
    </w:p>
    <w:p w:rsidR="00D019E3" w:rsidRDefault="00D019E3" w:rsidP="00D019E3">
      <w:pPr>
        <w:jc w:val="both"/>
        <w:rPr>
          <w:lang w:val="ro-RO"/>
        </w:rPr>
      </w:pPr>
    </w:p>
    <w:tbl>
      <w:tblPr>
        <w:tblW w:w="0" w:type="auto"/>
        <w:tblInd w:w="-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0"/>
        <w:gridCol w:w="4045"/>
      </w:tblGrid>
      <w:tr w:rsidR="00D019E3" w:rsidRPr="00CA2291" w:rsidTr="00723824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D019E3" w:rsidRPr="00CA2291" w:rsidRDefault="00D019E3" w:rsidP="00723824">
            <w:pPr>
              <w:jc w:val="right"/>
              <w:rPr>
                <w:b/>
                <w:bCs/>
                <w:sz w:val="28"/>
                <w:szCs w:val="28"/>
                <w:lang w:val="ro-RO" w:eastAsia="en-US"/>
              </w:rPr>
            </w:pPr>
            <w:r w:rsidRPr="00CA2291">
              <w:rPr>
                <w:b/>
                <w:bCs/>
                <w:sz w:val="28"/>
                <w:szCs w:val="28"/>
                <w:lang w:val="ro-RO" w:eastAsia="en-US"/>
              </w:rPr>
              <w:t>MINISTRUL FINANŢELOR</w:t>
            </w:r>
            <w:r>
              <w:rPr>
                <w:b/>
                <w:bCs/>
                <w:sz w:val="28"/>
                <w:szCs w:val="28"/>
                <w:lang w:val="ro-RO" w:eastAsia="en-US"/>
              </w:rPr>
              <w:t xml:space="preserve">  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019E3" w:rsidRPr="00CA2291" w:rsidRDefault="00D019E3" w:rsidP="00723824">
            <w:pPr>
              <w:ind w:left="708"/>
              <w:rPr>
                <w:b/>
                <w:bCs/>
                <w:sz w:val="28"/>
                <w:szCs w:val="28"/>
                <w:lang w:val="ro-RO" w:eastAsia="en-US"/>
              </w:rPr>
            </w:pPr>
            <w:r w:rsidRPr="00CA2291">
              <w:rPr>
                <w:b/>
                <w:bCs/>
                <w:color w:val="000000"/>
                <w:sz w:val="28"/>
                <w:szCs w:val="28"/>
                <w:lang w:val="ro-RO" w:eastAsia="en-GB"/>
              </w:rPr>
              <w:t>Victoria BELOUS</w:t>
            </w:r>
          </w:p>
        </w:tc>
      </w:tr>
    </w:tbl>
    <w:p w:rsidR="00D019E3" w:rsidRPr="00CA2291" w:rsidRDefault="00D019E3" w:rsidP="00D019E3">
      <w:pPr>
        <w:jc w:val="both"/>
        <w:rPr>
          <w:lang w:val="ro-RO"/>
        </w:rPr>
      </w:pPr>
    </w:p>
    <w:p w:rsidR="00D019E3" w:rsidRPr="006C6831" w:rsidRDefault="00D019E3" w:rsidP="00D019E3"/>
    <w:p w:rsidR="00D019E3" w:rsidRDefault="00D019E3" w:rsidP="00E048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b/>
          <w:sz w:val="28"/>
          <w:szCs w:val="28"/>
          <w:lang w:val="ro-RO"/>
        </w:rPr>
      </w:pPr>
    </w:p>
    <w:sectPr w:rsidR="00D019E3" w:rsidSect="00F5382A">
      <w:pgSz w:w="11906" w:h="16838"/>
      <w:pgMar w:top="425" w:right="107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8F9"/>
    <w:multiLevelType w:val="hybridMultilevel"/>
    <w:tmpl w:val="7870E39A"/>
    <w:lvl w:ilvl="0" w:tplc="2AF0BA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31AC3EF3"/>
    <w:multiLevelType w:val="multilevel"/>
    <w:tmpl w:val="58A4E05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1F84"/>
    <w:multiLevelType w:val="hybridMultilevel"/>
    <w:tmpl w:val="E044180E"/>
    <w:lvl w:ilvl="0" w:tplc="1D1872E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3B92"/>
    <w:rsid w:val="00005B63"/>
    <w:rsid w:val="00051427"/>
    <w:rsid w:val="000669D1"/>
    <w:rsid w:val="0009382E"/>
    <w:rsid w:val="000C5D17"/>
    <w:rsid w:val="000C7629"/>
    <w:rsid w:val="000E704D"/>
    <w:rsid w:val="000F21B7"/>
    <w:rsid w:val="000F6002"/>
    <w:rsid w:val="00176CB0"/>
    <w:rsid w:val="0019260B"/>
    <w:rsid w:val="0019383C"/>
    <w:rsid w:val="001C498E"/>
    <w:rsid w:val="001E0794"/>
    <w:rsid w:val="001E0B50"/>
    <w:rsid w:val="00204861"/>
    <w:rsid w:val="002300A1"/>
    <w:rsid w:val="00233AFB"/>
    <w:rsid w:val="0024088F"/>
    <w:rsid w:val="0029350E"/>
    <w:rsid w:val="002A4FBB"/>
    <w:rsid w:val="002A6337"/>
    <w:rsid w:val="002B09A9"/>
    <w:rsid w:val="00313392"/>
    <w:rsid w:val="00325FF3"/>
    <w:rsid w:val="00333770"/>
    <w:rsid w:val="003B2712"/>
    <w:rsid w:val="003B758F"/>
    <w:rsid w:val="003D66FD"/>
    <w:rsid w:val="003E1E5D"/>
    <w:rsid w:val="003E5CCC"/>
    <w:rsid w:val="00404E48"/>
    <w:rsid w:val="0040606D"/>
    <w:rsid w:val="0043633D"/>
    <w:rsid w:val="00446CB5"/>
    <w:rsid w:val="00462198"/>
    <w:rsid w:val="00462E38"/>
    <w:rsid w:val="004C1908"/>
    <w:rsid w:val="004D6675"/>
    <w:rsid w:val="00505006"/>
    <w:rsid w:val="005119F8"/>
    <w:rsid w:val="00515829"/>
    <w:rsid w:val="00530E97"/>
    <w:rsid w:val="00533925"/>
    <w:rsid w:val="00544B25"/>
    <w:rsid w:val="0055303D"/>
    <w:rsid w:val="005610A5"/>
    <w:rsid w:val="00562836"/>
    <w:rsid w:val="005C2DE6"/>
    <w:rsid w:val="005E72D8"/>
    <w:rsid w:val="005E7980"/>
    <w:rsid w:val="005F2917"/>
    <w:rsid w:val="005F650D"/>
    <w:rsid w:val="00602165"/>
    <w:rsid w:val="00603AFA"/>
    <w:rsid w:val="0064438D"/>
    <w:rsid w:val="006B1708"/>
    <w:rsid w:val="006D2BA1"/>
    <w:rsid w:val="00713472"/>
    <w:rsid w:val="00716D6C"/>
    <w:rsid w:val="00721880"/>
    <w:rsid w:val="00721979"/>
    <w:rsid w:val="00724F95"/>
    <w:rsid w:val="00770883"/>
    <w:rsid w:val="007717FC"/>
    <w:rsid w:val="007D384D"/>
    <w:rsid w:val="007E5D8C"/>
    <w:rsid w:val="007E69D2"/>
    <w:rsid w:val="00811D67"/>
    <w:rsid w:val="008A2773"/>
    <w:rsid w:val="008A726D"/>
    <w:rsid w:val="008F60EE"/>
    <w:rsid w:val="00900DA9"/>
    <w:rsid w:val="009051A1"/>
    <w:rsid w:val="009371B5"/>
    <w:rsid w:val="0095023A"/>
    <w:rsid w:val="0097657D"/>
    <w:rsid w:val="0098558B"/>
    <w:rsid w:val="009E4DC4"/>
    <w:rsid w:val="009F7AA2"/>
    <w:rsid w:val="009F7FE2"/>
    <w:rsid w:val="00A060BB"/>
    <w:rsid w:val="00A35B57"/>
    <w:rsid w:val="00A52B34"/>
    <w:rsid w:val="00A560D0"/>
    <w:rsid w:val="00A733DE"/>
    <w:rsid w:val="00A96D12"/>
    <w:rsid w:val="00B1497F"/>
    <w:rsid w:val="00B2050B"/>
    <w:rsid w:val="00B24BC6"/>
    <w:rsid w:val="00B3137B"/>
    <w:rsid w:val="00B35ED7"/>
    <w:rsid w:val="00BD656F"/>
    <w:rsid w:val="00BF5B35"/>
    <w:rsid w:val="00BF671F"/>
    <w:rsid w:val="00C00199"/>
    <w:rsid w:val="00C21726"/>
    <w:rsid w:val="00C44E99"/>
    <w:rsid w:val="00C512F2"/>
    <w:rsid w:val="00C656CA"/>
    <w:rsid w:val="00C72EB2"/>
    <w:rsid w:val="00CA20F1"/>
    <w:rsid w:val="00CA2291"/>
    <w:rsid w:val="00CF1309"/>
    <w:rsid w:val="00D019E3"/>
    <w:rsid w:val="00D1462D"/>
    <w:rsid w:val="00D24095"/>
    <w:rsid w:val="00D410A2"/>
    <w:rsid w:val="00D4504C"/>
    <w:rsid w:val="00D54A54"/>
    <w:rsid w:val="00D7284F"/>
    <w:rsid w:val="00D740BF"/>
    <w:rsid w:val="00D77EAB"/>
    <w:rsid w:val="00DB04DD"/>
    <w:rsid w:val="00DC23C7"/>
    <w:rsid w:val="00E048A6"/>
    <w:rsid w:val="00E27C5B"/>
    <w:rsid w:val="00E776C4"/>
    <w:rsid w:val="00E80F8B"/>
    <w:rsid w:val="00E824CA"/>
    <w:rsid w:val="00EE0C0A"/>
    <w:rsid w:val="00F04593"/>
    <w:rsid w:val="00F1144A"/>
    <w:rsid w:val="00F41385"/>
    <w:rsid w:val="00F50C48"/>
    <w:rsid w:val="00F536BA"/>
    <w:rsid w:val="00F5382A"/>
    <w:rsid w:val="00F53C81"/>
    <w:rsid w:val="00F54371"/>
    <w:rsid w:val="00F621B9"/>
    <w:rsid w:val="00F90635"/>
    <w:rsid w:val="00FC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FE3E"/>
  <w15:docId w15:val="{BCB5646D-2EAD-4DF2-9771-0C54BA86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uiPriority w:val="39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t">
    <w:name w:val="tt"/>
    <w:basedOn w:val="Normal"/>
    <w:rsid w:val="00003B92"/>
    <w:pPr>
      <w:spacing w:before="100" w:beforeAutospacing="1" w:after="100" w:afterAutospacing="1"/>
    </w:pPr>
  </w:style>
  <w:style w:type="paragraph" w:customStyle="1" w:styleId="md">
    <w:name w:val="md"/>
    <w:basedOn w:val="Normal"/>
    <w:rsid w:val="00003B92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40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B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B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emit">
    <w:name w:val="emit"/>
    <w:basedOn w:val="Normal"/>
    <w:rsid w:val="00562836"/>
    <w:pPr>
      <w:spacing w:before="100" w:beforeAutospacing="1" w:after="100" w:afterAutospacing="1"/>
    </w:pPr>
    <w:rPr>
      <w:lang w:val="en-US" w:eastAsia="en-US"/>
    </w:rPr>
  </w:style>
  <w:style w:type="paragraph" w:customStyle="1" w:styleId="ttsp">
    <w:name w:val="tt_sp"/>
    <w:basedOn w:val="Normal"/>
    <w:rsid w:val="00562836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562836"/>
    <w:pPr>
      <w:spacing w:before="100" w:beforeAutospacing="1" w:after="100" w:afterAutospacing="1"/>
    </w:pPr>
    <w:rPr>
      <w:lang w:val="en-US" w:eastAsia="en-US"/>
    </w:rPr>
  </w:style>
  <w:style w:type="paragraph" w:customStyle="1" w:styleId="cb">
    <w:name w:val="cb"/>
    <w:basedOn w:val="Normal"/>
    <w:rsid w:val="00562836"/>
    <w:pPr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F5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aaaa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Vircolici Ana</cp:lastModifiedBy>
  <cp:revision>14</cp:revision>
  <cp:lastPrinted>2024-08-14T10:35:00Z</cp:lastPrinted>
  <dcterms:created xsi:type="dcterms:W3CDTF">2024-08-14T05:15:00Z</dcterms:created>
  <dcterms:modified xsi:type="dcterms:W3CDTF">2024-08-14T12:22:00Z</dcterms:modified>
</cp:coreProperties>
</file>